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left="3960" w:right="920" w:hanging="3424"/>
        <w:spacing w:after="0" w:line="265" w:lineRule="auto"/>
        <w:tabs>
          <w:tab w:leader="none" w:pos="736"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ANNUAL REPORT PURSUANT TO SECTION 13 OR 15(d) OF THE SECURITIES EXCHANGE ACT OF 1934 </w:t>
      </w:r>
      <w:r>
        <w:rPr>
          <w:rFonts w:ascii="Arial" w:cs="Arial" w:eastAsia="Arial" w:hAnsi="Arial"/>
          <w:sz w:val="20"/>
          <w:szCs w:val="20"/>
          <w:color w:val="auto"/>
        </w:rPr>
        <w:t>For the fiscal year ended November 1, 2009</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19" w:lineRule="exact"/>
        <w:rPr>
          <w:sz w:val="24"/>
          <w:szCs w:val="24"/>
          <w:color w:val="auto"/>
        </w:rPr>
      </w:pPr>
    </w:p>
    <w:p>
      <w:pPr>
        <w:jc w:val="center"/>
        <w:ind w:left="4080" w:right="520" w:hanging="3544"/>
        <w:spacing w:after="0" w:line="265" w:lineRule="auto"/>
        <w:tabs>
          <w:tab w:leader="none" w:pos="73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TRANSITION REPORT PURSUANT TO SECTION 13 OR 15(d) OF THE SECURITIES EXCHANGE ACT OF 1934 </w:t>
      </w:r>
      <w:r>
        <w:rPr>
          <w:rFonts w:ascii="Arial" w:cs="Arial" w:eastAsia="Arial" w:hAnsi="Arial"/>
          <w:sz w:val="20"/>
          <w:szCs w:val="20"/>
          <w:color w:val="auto"/>
        </w:rPr>
        <w:t>For the transition period from ___ to ___</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Commission file number </w:t>
      </w:r>
      <w:r>
        <w:rPr>
          <w:rFonts w:ascii="Arial" w:cs="Arial" w:eastAsia="Arial" w:hAnsi="Arial"/>
          <w:sz w:val="20"/>
          <w:szCs w:val="20"/>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3315970</wp:posOffset>
            </wp:positionH>
            <wp:positionV relativeFrom="paragraph">
              <wp:posOffset>139065</wp:posOffset>
            </wp:positionV>
            <wp:extent cx="633095" cy="696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095" cy="696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PHOTRONICS, INC.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(Exact name of registrant as specified in its charter)</w:t>
      </w:r>
    </w:p>
    <w:p>
      <w:pPr>
        <w:spacing w:after="0" w:line="197" w:lineRule="exact"/>
        <w:rPr>
          <w:sz w:val="24"/>
          <w:szCs w:val="24"/>
          <w:color w:val="auto"/>
        </w:rPr>
      </w:pPr>
    </w:p>
    <w:tbl>
      <w:tblPr>
        <w:tblLayout w:type="fixed"/>
        <w:tblInd w:w="1840" w:type="dxa"/>
        <w:tblCellMar>
          <w:top w:w="0" w:type="dxa"/>
          <w:left w:w="0" w:type="dxa"/>
          <w:bottom w:w="0" w:type="dxa"/>
          <w:right w:w="0" w:type="dxa"/>
        </w:tblCellMar>
      </w:tblPr>
      <w:tr>
        <w:trPr>
          <w:trHeight w:val="230"/>
        </w:trPr>
        <w:tc>
          <w:tcPr>
            <w:tcW w:w="4300" w:type="dxa"/>
            <w:vAlign w:val="bottom"/>
          </w:tcPr>
          <w:p>
            <w:pPr>
              <w:jc w:val="center"/>
              <w:ind w:right="1540"/>
              <w:spacing w:after="0"/>
              <w:rPr>
                <w:sz w:val="20"/>
                <w:szCs w:val="20"/>
                <w:color w:val="auto"/>
              </w:rPr>
            </w:pPr>
            <w:r>
              <w:rPr>
                <w:rFonts w:ascii="Arial" w:cs="Arial" w:eastAsia="Arial" w:hAnsi="Arial"/>
                <w:sz w:val="20"/>
                <w:szCs w:val="20"/>
                <w:b w:val="1"/>
                <w:bCs w:val="1"/>
                <w:color w:val="auto"/>
                <w:w w:val="88"/>
              </w:rPr>
              <w:t>Connecticut</w:t>
            </w:r>
          </w:p>
        </w:tc>
        <w:tc>
          <w:tcPr>
            <w:tcW w:w="3460" w:type="dxa"/>
            <w:vAlign w:val="bottom"/>
          </w:tcPr>
          <w:p>
            <w:pPr>
              <w:jc w:val="center"/>
              <w:ind w:left="1520"/>
              <w:spacing w:after="0"/>
              <w:rPr>
                <w:sz w:val="20"/>
                <w:szCs w:val="20"/>
                <w:color w:val="auto"/>
              </w:rPr>
            </w:pPr>
            <w:r>
              <w:rPr>
                <w:rFonts w:ascii="Arial" w:cs="Arial" w:eastAsia="Arial" w:hAnsi="Arial"/>
                <w:sz w:val="20"/>
                <w:szCs w:val="20"/>
                <w:b w:val="1"/>
                <w:bCs w:val="1"/>
                <w:color w:val="auto"/>
                <w:w w:val="89"/>
              </w:rPr>
              <w:t>06-0854886</w:t>
            </w:r>
          </w:p>
        </w:tc>
      </w:tr>
      <w:tr>
        <w:trPr>
          <w:trHeight w:val="224"/>
        </w:trPr>
        <w:tc>
          <w:tcPr>
            <w:tcW w:w="4300" w:type="dxa"/>
            <w:vAlign w:val="bottom"/>
          </w:tcPr>
          <w:p>
            <w:pPr>
              <w:jc w:val="center"/>
              <w:ind w:right="1540"/>
              <w:spacing w:after="0" w:line="225" w:lineRule="exact"/>
              <w:rPr>
                <w:sz w:val="20"/>
                <w:szCs w:val="20"/>
                <w:color w:val="auto"/>
              </w:rPr>
            </w:pPr>
            <w:r>
              <w:rPr>
                <w:rFonts w:ascii="Arial" w:cs="Arial" w:eastAsia="Arial" w:hAnsi="Arial"/>
                <w:sz w:val="20"/>
                <w:szCs w:val="20"/>
                <w:i w:val="1"/>
                <w:iCs w:val="1"/>
                <w:color w:val="auto"/>
                <w:w w:val="93"/>
              </w:rPr>
              <w:t>(State or other jurisdiction</w:t>
            </w:r>
          </w:p>
        </w:tc>
        <w:tc>
          <w:tcPr>
            <w:tcW w:w="3460" w:type="dxa"/>
            <w:vAlign w:val="bottom"/>
          </w:tcPr>
          <w:p>
            <w:pPr>
              <w:jc w:val="center"/>
              <w:ind w:left="1500"/>
              <w:spacing w:after="0" w:line="225" w:lineRule="exact"/>
              <w:rPr>
                <w:sz w:val="20"/>
                <w:szCs w:val="20"/>
                <w:color w:val="auto"/>
              </w:rPr>
            </w:pPr>
            <w:r>
              <w:rPr>
                <w:rFonts w:ascii="Arial" w:cs="Arial" w:eastAsia="Arial" w:hAnsi="Arial"/>
                <w:sz w:val="20"/>
                <w:szCs w:val="20"/>
                <w:i w:val="1"/>
                <w:iCs w:val="1"/>
                <w:color w:val="auto"/>
                <w:w w:val="90"/>
              </w:rPr>
              <w:t>(IRS Employer</w:t>
            </w:r>
          </w:p>
        </w:tc>
      </w:tr>
      <w:tr>
        <w:trPr>
          <w:trHeight w:val="254"/>
        </w:trPr>
        <w:tc>
          <w:tcPr>
            <w:tcW w:w="4300" w:type="dxa"/>
            <w:vAlign w:val="bottom"/>
          </w:tcPr>
          <w:p>
            <w:pPr>
              <w:jc w:val="center"/>
              <w:ind w:right="1540"/>
              <w:spacing w:after="0"/>
              <w:rPr>
                <w:sz w:val="20"/>
                <w:szCs w:val="20"/>
                <w:color w:val="auto"/>
              </w:rPr>
            </w:pPr>
            <w:r>
              <w:rPr>
                <w:rFonts w:ascii="Arial" w:cs="Arial" w:eastAsia="Arial" w:hAnsi="Arial"/>
                <w:sz w:val="20"/>
                <w:szCs w:val="20"/>
                <w:i w:val="1"/>
                <w:iCs w:val="1"/>
                <w:color w:val="auto"/>
                <w:w w:val="94"/>
              </w:rPr>
              <w:t>of incorporation or organization)</w:t>
            </w:r>
          </w:p>
        </w:tc>
        <w:tc>
          <w:tcPr>
            <w:tcW w:w="3460" w:type="dxa"/>
            <w:vAlign w:val="bottom"/>
          </w:tcPr>
          <w:p>
            <w:pPr>
              <w:jc w:val="center"/>
              <w:ind w:left="1520"/>
              <w:spacing w:after="0"/>
              <w:rPr>
                <w:sz w:val="20"/>
                <w:szCs w:val="20"/>
                <w:color w:val="auto"/>
              </w:rPr>
            </w:pPr>
            <w:r>
              <w:rPr>
                <w:rFonts w:ascii="Arial" w:cs="Arial" w:eastAsia="Arial" w:hAnsi="Arial"/>
                <w:sz w:val="20"/>
                <w:szCs w:val="20"/>
                <w:i w:val="1"/>
                <w:iCs w:val="1"/>
                <w:color w:val="auto"/>
                <w:w w:val="94"/>
              </w:rPr>
              <w:t>Identification Number)</w:t>
            </w:r>
          </w:p>
        </w:tc>
      </w:tr>
    </w:tbl>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15 Secor Road, Brookfield, Connecticut 06804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(Address of principal executive offices and zip code)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(203) 775-9000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(Registrant's telephone number, including area code)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Securities registered pursuant to Section 12(b) of the Act: </w:t>
      </w:r>
      <w:r>
        <w:rPr>
          <w:rFonts w:ascii="Arial" w:cs="Arial" w:eastAsia="Arial" w:hAnsi="Arial"/>
          <w:sz w:val="18"/>
          <w:szCs w:val="18"/>
          <w:b w:val="1"/>
          <w:bCs w:val="1"/>
          <w:color w:val="auto"/>
        </w:rPr>
        <w:t>Common Stock, $0.01 par value per share - NASDAQ Global Select Market</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 xml:space="preserve">Securities registered pursuant to Section 12(g) of the Act: </w:t>
      </w:r>
      <w:r>
        <w:rPr>
          <w:rFonts w:ascii="Arial" w:cs="Arial" w:eastAsia="Arial" w:hAnsi="Arial"/>
          <w:sz w:val="20"/>
          <w:szCs w:val="20"/>
          <w:b w:val="1"/>
          <w:bCs w:val="1"/>
          <w:color w:val="auto"/>
        </w:rPr>
        <w:t>None</w:t>
      </w:r>
    </w:p>
    <w:p>
      <w:pPr>
        <w:spacing w:after="0" w:line="200" w:lineRule="exact"/>
        <w:rPr>
          <w:sz w:val="24"/>
          <w:szCs w:val="24"/>
          <w:color w:val="auto"/>
        </w:rPr>
      </w:pPr>
    </w:p>
    <w:p>
      <w:pPr>
        <w:spacing w:after="0" w:line="224" w:lineRule="exact"/>
        <w:rPr>
          <w:sz w:val="24"/>
          <w:szCs w:val="24"/>
          <w:color w:val="auto"/>
        </w:rPr>
      </w:pPr>
    </w:p>
    <w:p>
      <w:pPr>
        <w:ind w:right="2040"/>
        <w:spacing w:after="0" w:line="258" w:lineRule="auto"/>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 Yes o No x</w:t>
      </w:r>
    </w:p>
    <w:p>
      <w:pPr>
        <w:spacing w:after="0" w:line="154" w:lineRule="exact"/>
        <w:rPr>
          <w:sz w:val="24"/>
          <w:szCs w:val="24"/>
          <w:color w:val="auto"/>
        </w:rPr>
      </w:pPr>
    </w:p>
    <w:p>
      <w:pPr>
        <w:ind w:right="1860"/>
        <w:spacing w:after="0" w:line="258" w:lineRule="auto"/>
        <w:rPr>
          <w:sz w:val="20"/>
          <w:szCs w:val="20"/>
          <w:color w:val="auto"/>
        </w:rPr>
      </w:pPr>
      <w:r>
        <w:rPr>
          <w:rFonts w:ascii="Arial" w:cs="Arial" w:eastAsia="Arial" w:hAnsi="Arial"/>
          <w:sz w:val="20"/>
          <w:szCs w:val="20"/>
          <w:color w:val="auto"/>
        </w:rPr>
        <w:t>Indicate by check mark if the registrant is not required to file reports pursuant to Section 13 or Section 15(d) of the Act. Yes o No x</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Act of 1934 during the preceding 12 months (or for such shorter period that the registrant was required to file such reports), and (2) has been</w:t>
      </w:r>
    </w:p>
    <w:p>
      <w:pPr>
        <w:spacing w:after="0" w:line="12" w:lineRule="exact"/>
        <w:rPr>
          <w:sz w:val="24"/>
          <w:szCs w:val="24"/>
          <w:color w:val="auto"/>
        </w:rPr>
      </w:pPr>
    </w:p>
    <w:p>
      <w:pPr>
        <w:spacing w:after="0"/>
        <w:rPr>
          <w:sz w:val="20"/>
          <w:szCs w:val="20"/>
          <w:color w:val="auto"/>
        </w:rPr>
      </w:pPr>
      <w:r>
        <w:rPr>
          <w:rFonts w:ascii="Arial" w:cs="Arial" w:eastAsia="Arial" w:hAnsi="Arial"/>
          <w:sz w:val="20"/>
          <w:szCs w:val="20"/>
          <w:color w:val="auto"/>
        </w:rPr>
        <w:t>subject to such filing requirements for the past 90 days.</w:t>
      </w:r>
    </w:p>
    <w:p>
      <w:pPr>
        <w:spacing w:after="0"/>
        <w:rPr>
          <w:sz w:val="20"/>
          <w:szCs w:val="20"/>
          <w:color w:val="auto"/>
        </w:rPr>
      </w:pPr>
      <w:r>
        <w:rPr>
          <w:rFonts w:ascii="Arial" w:cs="Arial" w:eastAsia="Arial" w:hAnsi="Arial"/>
          <w:sz w:val="20"/>
          <w:szCs w:val="20"/>
          <w:color w:val="auto"/>
        </w:rPr>
        <w:t>Yes x No o</w:t>
      </w:r>
    </w:p>
    <w:p>
      <w:pPr>
        <w:spacing w:after="0" w:line="178" w:lineRule="exact"/>
        <w:rPr>
          <w:sz w:val="24"/>
          <w:szCs w:val="24"/>
          <w:color w:val="auto"/>
        </w:rPr>
      </w:pPr>
    </w:p>
    <w:p>
      <w:pPr>
        <w:spacing w:after="0" w:line="242"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9" w:lineRule="exact"/>
        <w:rPr>
          <w:sz w:val="24"/>
          <w:szCs w:val="24"/>
          <w:color w:val="auto"/>
        </w:rPr>
      </w:pPr>
    </w:p>
    <w:p>
      <w:pPr>
        <w:ind w:right="60"/>
        <w:spacing w:after="0" w:line="246"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580"/>
        <w:spacing w:after="0" w:line="242"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Large Accelerated Filer o Accelerated Filer x Non-Accelerated Filer o Smaller Reporting Company o</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0" w:lineRule="exact"/>
        <w:rPr>
          <w:sz w:val="24"/>
          <w:szCs w:val="24"/>
          <w:color w:val="auto"/>
        </w:rPr>
      </w:pPr>
    </w:p>
    <w:p>
      <w:pPr>
        <w:spacing w:after="0"/>
        <w:rPr>
          <w:sz w:val="20"/>
          <w:szCs w:val="20"/>
          <w:color w:val="auto"/>
        </w:rPr>
      </w:pPr>
      <w:r>
        <w:rPr>
          <w:rFonts w:ascii="Arial" w:cs="Arial" w:eastAsia="Arial" w:hAnsi="Arial"/>
          <w:sz w:val="20"/>
          <w:szCs w:val="20"/>
          <w:color w:val="auto"/>
        </w:rPr>
        <w:t>Yes o No x</w:t>
      </w:r>
    </w:p>
    <w:p>
      <w:pPr>
        <w:spacing w:after="0" w:line="178" w:lineRule="exact"/>
        <w:rPr>
          <w:sz w:val="24"/>
          <w:szCs w:val="24"/>
          <w:color w:val="auto"/>
        </w:rPr>
      </w:pPr>
    </w:p>
    <w:p>
      <w:pPr>
        <w:jc w:val="both"/>
        <w:ind w:right="360"/>
        <w:spacing w:after="0" w:line="246" w:lineRule="auto"/>
        <w:rPr>
          <w:sz w:val="20"/>
          <w:szCs w:val="20"/>
          <w:color w:val="auto"/>
        </w:rPr>
      </w:pPr>
      <w:r>
        <w:rPr>
          <w:rFonts w:ascii="Arial" w:cs="Arial" w:eastAsia="Arial" w:hAnsi="Arial"/>
          <w:sz w:val="20"/>
          <w:szCs w:val="20"/>
          <w:color w:val="auto"/>
        </w:rPr>
        <w:t>As of May 3, 2009, which was the last business day of the registrant's most recently completed second fiscal quarter, the aggregate market value of the shares of the registrant common stock held by non-affiliates was approximately $67,211,105 (based upon the closing price of $1.76 per share as reported by the Nasdaq Global Select Market on that date).</w:t>
      </w:r>
    </w:p>
    <w:p>
      <w:pPr>
        <w:sectPr>
          <w:pgSz w:w="11900" w:h="16838" w:orient="portrait"/>
          <w:cols w:equalWidth="0" w:num="1">
            <w:col w:w="11400"/>
          </w:cols>
          <w:pgMar w:left="240" w:top="214" w:right="259" w:bottom="0" w:gutter="0" w:footer="0" w:header="0"/>
        </w:sectPr>
      </w:pPr>
    </w:p>
    <w:bookmarkStart w:id="1" w:name="page2"/>
    <w:bookmarkEnd w:id="1"/>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2009, 53,185,252 shares of the registrant's common stock were outstanding.</w:t>
      </w:r>
    </w:p>
    <w:p>
      <w:pPr>
        <w:spacing w:after="0" w:line="189"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DOCUMENTS INCORPORATED BY REFERENCE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1100"/>
              <w:spacing w:after="0"/>
              <w:rPr>
                <w:sz w:val="20"/>
                <w:szCs w:val="20"/>
                <w:color w:val="auto"/>
              </w:rPr>
            </w:pPr>
            <w:r>
              <w:rPr>
                <w:rFonts w:ascii="Arial" w:cs="Arial" w:eastAsia="Arial" w:hAnsi="Arial"/>
                <w:sz w:val="20"/>
                <w:szCs w:val="20"/>
                <w:color w:val="auto"/>
              </w:rPr>
              <w:t>Proxy Statement for the 2010</w:t>
            </w:r>
          </w:p>
        </w:tc>
        <w:tc>
          <w:tcPr>
            <w:tcW w:w="6800" w:type="dxa"/>
            <w:vAlign w:val="bottom"/>
          </w:tcPr>
          <w:p>
            <w:pPr>
              <w:spacing w:after="0"/>
              <w:rPr>
                <w:sz w:val="19"/>
                <w:szCs w:val="19"/>
                <w:color w:val="auto"/>
              </w:rPr>
            </w:pPr>
          </w:p>
        </w:tc>
      </w:tr>
      <w:tr>
        <w:trPr>
          <w:trHeight w:val="224"/>
        </w:trPr>
        <w:tc>
          <w:tcPr>
            <w:tcW w:w="4660" w:type="dxa"/>
            <w:vAlign w:val="bottom"/>
          </w:tcPr>
          <w:p>
            <w:pPr>
              <w:ind w:left="1100"/>
              <w:spacing w:after="0" w:line="225" w:lineRule="exact"/>
              <w:rPr>
                <w:sz w:val="20"/>
                <w:szCs w:val="20"/>
                <w:color w:val="auto"/>
              </w:rPr>
            </w:pPr>
            <w:r>
              <w:rPr>
                <w:rFonts w:ascii="Arial" w:cs="Arial" w:eastAsia="Arial" w:hAnsi="Arial"/>
                <w:sz w:val="20"/>
                <w:szCs w:val="20"/>
                <w:color w:val="auto"/>
              </w:rPr>
              <w:t>Annual Meeting of Shareholders</w:t>
            </w:r>
          </w:p>
        </w:tc>
        <w:tc>
          <w:tcPr>
            <w:tcW w:w="6800" w:type="dxa"/>
            <w:vAlign w:val="bottom"/>
          </w:tcPr>
          <w:p>
            <w:pPr>
              <w:jc w:val="right"/>
              <w:ind w:right="1040"/>
              <w:spacing w:after="0" w:line="225" w:lineRule="exact"/>
              <w:rPr>
                <w:sz w:val="20"/>
                <w:szCs w:val="20"/>
                <w:color w:val="auto"/>
              </w:rPr>
            </w:pPr>
            <w:r>
              <w:rPr>
                <w:rFonts w:ascii="Arial" w:cs="Arial" w:eastAsia="Arial" w:hAnsi="Arial"/>
                <w:sz w:val="20"/>
                <w:szCs w:val="20"/>
                <w:color w:val="auto"/>
              </w:rPr>
              <w:t>Incorporated into Part III</w:t>
            </w:r>
          </w:p>
        </w:tc>
      </w:tr>
      <w:tr>
        <w:trPr>
          <w:trHeight w:val="254"/>
        </w:trPr>
        <w:tc>
          <w:tcPr>
            <w:tcW w:w="4660" w:type="dxa"/>
            <w:vAlign w:val="bottom"/>
          </w:tcPr>
          <w:p>
            <w:pPr>
              <w:ind w:left="1100"/>
              <w:spacing w:after="0"/>
              <w:rPr>
                <w:sz w:val="20"/>
                <w:szCs w:val="20"/>
                <w:color w:val="auto"/>
              </w:rPr>
            </w:pPr>
            <w:r>
              <w:rPr>
                <w:rFonts w:ascii="Arial" w:cs="Arial" w:eastAsia="Arial" w:hAnsi="Arial"/>
                <w:sz w:val="20"/>
                <w:szCs w:val="20"/>
                <w:color w:val="auto"/>
              </w:rPr>
              <w:t>to be held in April 2010</w:t>
            </w:r>
          </w:p>
        </w:tc>
        <w:tc>
          <w:tcPr>
            <w:tcW w:w="6800" w:type="dxa"/>
            <w:vAlign w:val="bottom"/>
          </w:tcPr>
          <w:p>
            <w:pPr>
              <w:jc w:val="right"/>
              <w:ind w:right="1040"/>
              <w:spacing w:after="0"/>
              <w:rPr>
                <w:sz w:val="20"/>
                <w:szCs w:val="20"/>
                <w:color w:val="auto"/>
              </w:rPr>
            </w:pPr>
            <w:r>
              <w:rPr>
                <w:rFonts w:ascii="Arial" w:cs="Arial" w:eastAsia="Arial" w:hAnsi="Arial"/>
                <w:sz w:val="20"/>
                <w:szCs w:val="20"/>
                <w:color w:val="auto"/>
              </w:rPr>
              <w:t>of this Form 10-K</w:t>
            </w:r>
          </w:p>
        </w:tc>
      </w:tr>
      <w:tr>
        <w:trPr>
          <w:trHeight w:val="847"/>
        </w:trPr>
        <w:tc>
          <w:tcPr>
            <w:tcW w:w="4660" w:type="dxa"/>
            <w:vAlign w:val="bottom"/>
          </w:tcPr>
          <w:p>
            <w:pPr>
              <w:spacing w:after="0"/>
              <w:rPr>
                <w:sz w:val="24"/>
                <w:szCs w:val="24"/>
                <w:color w:val="auto"/>
              </w:rPr>
            </w:pPr>
          </w:p>
        </w:tc>
        <w:tc>
          <w:tcPr>
            <w:tcW w:w="6800" w:type="dxa"/>
            <w:vAlign w:val="bottom"/>
          </w:tcPr>
          <w:p>
            <w:pPr>
              <w:jc w:val="right"/>
              <w:ind w:right="5520"/>
              <w:spacing w:after="0"/>
              <w:rPr>
                <w:sz w:val="20"/>
                <w:szCs w:val="20"/>
                <w:color w:val="auto"/>
              </w:rPr>
            </w:pPr>
            <w:r>
              <w:rPr>
                <w:rFonts w:ascii="Arial" w:cs="Arial" w:eastAsia="Arial" w:hAnsi="Arial"/>
                <w:sz w:val="20"/>
                <w:szCs w:val="20"/>
                <w:color w:val="auto"/>
              </w:rPr>
              <w:t>-1-</w:t>
            </w:r>
          </w:p>
        </w:tc>
      </w:tr>
      <w:tr>
        <w:trPr>
          <w:trHeight w:val="194"/>
        </w:trPr>
        <w:tc>
          <w:tcPr>
            <w:tcW w:w="466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Information</w:t>
      </w:r>
    </w:p>
    <w:p>
      <w:pPr>
        <w:spacing w:after="0" w:line="200" w:lineRule="exact"/>
        <w:rPr>
          <w:sz w:val="20"/>
          <w:szCs w:val="20"/>
          <w:color w:val="auto"/>
        </w:rPr>
      </w:pPr>
    </w:p>
    <w:p>
      <w:pPr>
        <w:ind w:right="40" w:firstLine="246"/>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made by or on behalf of Photronics, Inc. ("Company" or "we").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annual report on Form 10-K,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changes in the market price of the Company's common stock; foreign currency rate fluctuations; economic and political conditions in international markets; the ability to obtain additional financing;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to fully utilize its tools; the ability of the Company to achieve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ind w:right="80" w:firstLine="249"/>
        <w:spacing w:after="0" w:line="252" w:lineRule="auto"/>
        <w:rPr>
          <w:sz w:val="20"/>
          <w:szCs w:val="20"/>
          <w:color w:val="auto"/>
        </w:rPr>
      </w:pPr>
      <w:r>
        <w:rPr>
          <w:rFonts w:ascii="Arial" w:cs="Arial" w:eastAsia="Arial" w:hAnsi="Arial"/>
          <w:sz w:val="19"/>
          <w:szCs w:val="19"/>
          <w:color w:val="auto"/>
        </w:rPr>
        <w:t>Photronics, Inc. ("Company")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164" w:lineRule="exact"/>
        <w:rPr>
          <w:sz w:val="20"/>
          <w:szCs w:val="20"/>
          <w:color w:val="auto"/>
        </w:rPr>
      </w:pPr>
    </w:p>
    <w:p>
      <w:pPr>
        <w:ind w:right="120" w:firstLine="249"/>
        <w:spacing w:after="0" w:line="252" w:lineRule="auto"/>
        <w:rPr>
          <w:sz w:val="20"/>
          <w:szCs w:val="20"/>
          <w:color w:val="auto"/>
        </w:rPr>
      </w:pPr>
      <w:r>
        <w:rPr>
          <w:rFonts w:ascii="Arial" w:cs="Arial" w:eastAsia="Arial" w:hAnsi="Arial"/>
          <w:sz w:val="19"/>
          <w:szCs w:val="19"/>
          <w:color w:val="auto"/>
        </w:rPr>
        <w:t>Photronics, Inc. and its subsidiaries is one of the world's leading manufacturers of photomasks, which are high precision photographic quartz plates containing microscopic images of electronic circuits. Photomasks are a key element in the manufacture of semiconductors and flat panel displays, or FPDs, and are used as masters to transfer circuit patterns onto semiconductor wafers and flat panel substrates during the fabrication of integrated circuits, or ICs, and a variety of FPDs and, to a lesser extent, other types of electrical and optical components. The Company currently operates principally from nine manufacturing facilities; two of which are located in Europe, two in Taiwan, one each in Korea and Singapore; and three in the United States. The Company closed its manufacturing facilities in Manchester, United Kingdom and Shanghai, China during the year ended November 1, 2009.</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Technology</w:t>
      </w:r>
    </w:p>
    <w:p>
      <w:pPr>
        <w:spacing w:after="0" w:line="200" w:lineRule="exact"/>
        <w:rPr>
          <w:sz w:val="20"/>
          <w:szCs w:val="20"/>
          <w:color w:val="auto"/>
        </w:rPr>
      </w:pPr>
    </w:p>
    <w:p>
      <w:pPr>
        <w:ind w:right="100" w:firstLine="246"/>
        <w:spacing w:after="0" w:line="293" w:lineRule="auto"/>
        <w:rPr>
          <w:sz w:val="20"/>
          <w:szCs w:val="20"/>
          <w:color w:val="auto"/>
        </w:rPr>
      </w:pPr>
      <w:r>
        <w:rPr>
          <w:rFonts w:ascii="Arial" w:cs="Arial" w:eastAsia="Arial" w:hAnsi="Arial"/>
          <w:sz w:val="17"/>
          <w:szCs w:val="17"/>
          <w:color w:val="auto"/>
        </w:rPr>
        <w:t>The Company manufactures photomasks, which are used as masters to transfer circuit patterns onto semiconductor wafers and flat panel substrates. The Company's photomasks are manufactured in accordance with circuit designs provided on a confidential basis by its customers. IC and FPD photomasks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w:t>
      </w:r>
    </w:p>
    <w:p>
      <w:pPr>
        <w:sectPr>
          <w:pgSz w:w="11900" w:h="16844" w:orient="portrait"/>
          <w:cols w:equalWidth="0" w:num="1">
            <w:col w:w="11460"/>
          </w:cols>
          <w:pgMar w:left="240" w:top="120" w:right="199" w:bottom="0" w:gutter="0" w:footer="0" w:header="0"/>
        </w:sectPr>
      </w:pPr>
    </w:p>
    <w:bookmarkStart w:id="2" w:name="page3"/>
    <w:bookmarkEnd w:id="2"/>
    <w:p>
      <w:pPr>
        <w:ind w:right="280"/>
        <w:spacing w:after="0" w:line="242" w:lineRule="auto"/>
        <w:rPr>
          <w:sz w:val="20"/>
          <w:szCs w:val="20"/>
          <w:color w:val="auto"/>
        </w:rPr>
      </w:pPr>
      <w:r>
        <w:rPr>
          <w:rFonts w:ascii="Arial" w:cs="Arial" w:eastAsia="Arial" w:hAnsi="Arial"/>
          <w:sz w:val="20"/>
          <w:szCs w:val="20"/>
          <w:color w:val="auto"/>
        </w:rPr>
        <w:t>lithography system then exposes the circuit pattern onto the photomask blank. The exposed areas are developed and etched to produce that pattern on the photomask. The photomask is inspected for defects and conformity to the customer design data, any defects are repaired, any required pellicles (protective translucent cellulose membranes) are applied and, after final inspection, the photomask is shipped to the customer.</w:t>
      </w:r>
    </w:p>
    <w:p>
      <w:pPr>
        <w:spacing w:after="0" w:line="170" w:lineRule="exact"/>
        <w:rPr>
          <w:sz w:val="20"/>
          <w:szCs w:val="20"/>
          <w:color w:val="auto"/>
        </w:rPr>
      </w:pPr>
    </w:p>
    <w:p>
      <w:pPr>
        <w:ind w:firstLine="246"/>
        <w:spacing w:after="0" w:line="266" w:lineRule="auto"/>
        <w:rPr>
          <w:sz w:val="20"/>
          <w:szCs w:val="20"/>
          <w:color w:val="auto"/>
        </w:rPr>
      </w:pPr>
      <w:r>
        <w:rPr>
          <w:rFonts w:ascii="Arial" w:cs="Arial" w:eastAsia="Arial" w:hAnsi="Arial"/>
          <w:sz w:val="18"/>
          <w:szCs w:val="18"/>
          <w:color w:val="auto"/>
        </w:rPr>
        <w:t>The Company currently supports customers across the full spectrum of IC production and FPD technologies by manufacturing photomasks using electron beam or optical-based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with the most advanced processing techniques to produce the most advanced semiconductor and FPD display devices intended for use in an array of products. However, in the case of IC production, electron beam technologies fabricate the large majority of critical layer photomasks. End markets served with IC photomasks include devices used for microprocessors, memory, telecommunications and related applications. The Company currently owns a number of high-end and mature electron beam and laser-based systems. The production of photomasks by the optical (laser-based) method is less expensive and less precise than those manufactured on high-end electron beam systems.</w:t>
      </w:r>
    </w:p>
    <w:p>
      <w:pPr>
        <w:spacing w:after="0" w:line="154" w:lineRule="exact"/>
        <w:rPr>
          <w:sz w:val="20"/>
          <w:szCs w:val="20"/>
          <w:color w:val="auto"/>
        </w:rPr>
      </w:pPr>
    </w:p>
    <w:p>
      <w:pPr>
        <w:ind w:right="320" w:firstLine="246"/>
        <w:spacing w:after="0" w:line="273"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geographic location, efficient manufacturing methods, high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144" w:lineRule="exact"/>
        <w:rPr>
          <w:sz w:val="20"/>
          <w:szCs w:val="20"/>
          <w:color w:val="auto"/>
        </w:rPr>
      </w:pPr>
    </w:p>
    <w:p>
      <w:pPr>
        <w:ind w:right="320" w:firstLine="249"/>
        <w:spacing w:after="0" w:line="258" w:lineRule="auto"/>
        <w:rPr>
          <w:sz w:val="20"/>
          <w:szCs w:val="20"/>
          <w:color w:val="auto"/>
        </w:rPr>
      </w:pPr>
      <w:r>
        <w:rPr>
          <w:rFonts w:ascii="Arial" w:cs="Arial" w:eastAsia="Arial" w:hAnsi="Arial"/>
          <w:sz w:val="20"/>
          <w:szCs w:val="20"/>
          <w:color w:val="auto"/>
        </w:rPr>
        <w:t>Quality control is an integral part of the photomask manufacturing process. Photomasks are manufactured in temperature, humidity, and particulate controlled clean rooms because of the high level of precision, quality and yields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40"/>
        <w:spacing w:after="0" w:line="311" w:lineRule="auto"/>
        <w:rPr>
          <w:sz w:val="20"/>
          <w:szCs w:val="20"/>
          <w:color w:val="auto"/>
        </w:rPr>
      </w:pPr>
      <w:r>
        <w:rPr>
          <w:rFonts w:ascii="Arial" w:cs="Arial" w:eastAsia="Arial" w:hAnsi="Arial"/>
          <w:sz w:val="17"/>
          <w:szCs w:val="17"/>
          <w:color w:val="auto"/>
        </w:rPr>
        <w:t>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 After inspection and any necessary repair, the Company utilizes proprietary processes to clean the photomasks prior to shipment.</w:t>
      </w:r>
    </w:p>
    <w:p>
      <w:pPr>
        <w:spacing w:after="0" w:line="113" w:lineRule="exact"/>
        <w:rPr>
          <w:sz w:val="20"/>
          <w:szCs w:val="20"/>
          <w:color w:val="auto"/>
        </w:rPr>
      </w:pPr>
    </w:p>
    <w:p>
      <w:pPr>
        <w:ind w:right="40" w:firstLine="246"/>
        <w:spacing w:after="0" w:line="239" w:lineRule="auto"/>
        <w:rPr>
          <w:sz w:val="20"/>
          <w:szCs w:val="20"/>
          <w:color w:val="auto"/>
        </w:rPr>
      </w:pPr>
      <w:r>
        <w:rPr>
          <w:rFonts w:ascii="Arial" w:cs="Arial" w:eastAsia="Arial" w:hAnsi="Arial"/>
          <w:sz w:val="20"/>
          <w:szCs w:val="20"/>
          <w:color w:val="auto"/>
        </w:rPr>
        <w:t>The majority of IC photomasks produced for the semiconductor industry employ geometries of 90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 this includes masks at and below the 65 nanometer technology node and for FPD at and above the Generation 7 technology node. The Company has access to technology and customer qualified manufacturing capability that allows it to compete in high-end markets serving both IC and FPD applications.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00" w:lineRule="exact"/>
        <w:rPr>
          <w:sz w:val="20"/>
          <w:szCs w:val="20"/>
          <w:color w:val="auto"/>
        </w:rPr>
      </w:pPr>
    </w:p>
    <w:p>
      <w:pPr>
        <w:ind w:right="80" w:firstLine="246"/>
        <w:spacing w:after="0" w:line="238" w:lineRule="auto"/>
        <w:rPr>
          <w:sz w:val="20"/>
          <w:szCs w:val="20"/>
          <w:color w:val="auto"/>
        </w:rPr>
      </w:pPr>
      <w:r>
        <w:rPr>
          <w:rFonts w:ascii="Arial" w:cs="Arial" w:eastAsia="Arial" w:hAnsi="Arial"/>
          <w:sz w:val="20"/>
          <w:szCs w:val="20"/>
          <w:color w:val="auto"/>
        </w:rPr>
        <w:t>The market for photomasks primarily consists of domestic and international semiconductor and FPD manufacturers and designers, including a limited number of manufacturers who have the capability to internally manufacture photomasks. Photomasks are manufactured by independent merchant manufacturers like us, and by semiconductor and FPD manufacturers that produce photomasks exclusively for their own use (captive manufacturers). Since the mid-1980s, there has been a strong trend in Asia, Europe and North America toward the divesture or closing of captive photomask operations by semiconductor manufacturers and an increase in the share of the market served by independent manufacturers. This trend has been driven by the increasing complexity involved in manufacturing plus the high cost of the necessary capital equipment.</w:t>
      </w:r>
    </w:p>
    <w:p>
      <w:pPr>
        <w:spacing w:after="0" w:line="173" w:lineRule="exact"/>
        <w:rPr>
          <w:sz w:val="20"/>
          <w:szCs w:val="20"/>
          <w:color w:val="auto"/>
        </w:rPr>
      </w:pPr>
    </w:p>
    <w:p>
      <w:pPr>
        <w:ind w:firstLine="249"/>
        <w:spacing w:after="0"/>
        <w:rPr>
          <w:sz w:val="20"/>
          <w:szCs w:val="20"/>
          <w:color w:val="auto"/>
        </w:rPr>
      </w:pPr>
      <w:r>
        <w:rPr>
          <w:rFonts w:ascii="Arial" w:cs="Arial" w:eastAsia="Arial" w:hAnsi="Arial"/>
          <w:sz w:val="20"/>
          <w:szCs w:val="20"/>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In some instances, the Company enters into sales arrangements, based on the understanding that, as long as the Company's performance is competitive, the Company will receive a specified percentage of that customer's photomask requirements.</w:t>
      </w:r>
    </w:p>
    <w:p>
      <w:pPr>
        <w:spacing w:after="0" w:line="171" w:lineRule="exact"/>
        <w:rPr>
          <w:sz w:val="20"/>
          <w:szCs w:val="20"/>
          <w:color w:val="auto"/>
        </w:rPr>
      </w:pPr>
    </w:p>
    <w:p>
      <w:pPr>
        <w:ind w:right="680" w:firstLine="246"/>
        <w:spacing w:after="0" w:line="287"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throughout the United States, Europe and Asia.</w:t>
      </w:r>
    </w:p>
    <w:p>
      <w:pPr>
        <w:spacing w:after="0" w:line="130" w:lineRule="exact"/>
        <w:rPr>
          <w:sz w:val="20"/>
          <w:szCs w:val="20"/>
          <w:color w:val="auto"/>
        </w:rPr>
      </w:pPr>
    </w:p>
    <w:p>
      <w:pPr>
        <w:ind w:right="160" w:firstLine="246"/>
        <w:spacing w:after="0"/>
        <w:rPr>
          <w:sz w:val="20"/>
          <w:szCs w:val="20"/>
          <w:color w:val="auto"/>
        </w:rPr>
      </w:pPr>
      <w:r>
        <w:rPr>
          <w:rFonts w:ascii="Arial" w:cs="Arial" w:eastAsia="Arial" w:hAnsi="Arial"/>
          <w:sz w:val="20"/>
          <w:szCs w:val="20"/>
          <w:color w:val="auto"/>
        </w:rPr>
        <w:t>The Company supports international customers through both its domestic and international facilities. The Company considers its presence in international markets important to attracting new customers, providing global solutions to its customers, minimizing delivery time, and serving customers that utilize manufacturing foundries outside of the United States, principally in Asia. See Note 17 to the Company's consolidated financial statements for the amount of net sales and long-lived assets attributable to each of the Company's geographic areas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00" w:lineRule="exact"/>
        <w:rPr>
          <w:sz w:val="20"/>
          <w:szCs w:val="20"/>
          <w:color w:val="auto"/>
        </w:rPr>
      </w:pPr>
    </w:p>
    <w:p>
      <w:pPr>
        <w:ind w:right="220" w:firstLine="246"/>
        <w:spacing w:after="0" w:line="258" w:lineRule="auto"/>
        <w:rPr>
          <w:sz w:val="20"/>
          <w:szCs w:val="20"/>
          <w:color w:val="auto"/>
        </w:rPr>
      </w:pPr>
      <w:r>
        <w:rPr>
          <w:rFonts w:ascii="Arial" w:cs="Arial" w:eastAsia="Arial" w:hAnsi="Arial"/>
          <w:sz w:val="20"/>
          <w:szCs w:val="20"/>
          <w:color w:val="auto"/>
        </w:rPr>
        <w:t>The Company primarily sells its products to leading semiconductor and FPD manufacturers. The Company's largest customers during the fiscal year ended November 1, 2009 ("fiscal 2009") included the following:</w:t>
      </w:r>
    </w:p>
    <w:p>
      <w:pPr>
        <w:sectPr>
          <w:pgSz w:w="11900" w:h="16838" w:orient="portrait"/>
          <w:cols w:equalWidth="0" w:num="1">
            <w:col w:w="11420"/>
          </w:cols>
          <w:pgMar w:left="240" w:top="120" w:right="239" w:bottom="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AU Optronics Corp.</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Chartered Semiconductor Manufacturing, Ltd.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Dongbu HiTek Co. Ltd.</w:t>
      </w:r>
    </w:p>
    <w:p>
      <w:pPr>
        <w:spacing w:after="0"/>
        <w:rPr>
          <w:sz w:val="20"/>
          <w:szCs w:val="20"/>
          <w:color w:val="auto"/>
        </w:rPr>
      </w:pPr>
      <w:r>
        <w:rPr>
          <w:rFonts w:ascii="Arial" w:cs="Arial" w:eastAsia="Arial" w:hAnsi="Arial"/>
          <w:sz w:val="20"/>
          <w:szCs w:val="20"/>
          <w:color w:val="auto"/>
        </w:rPr>
        <w:t>Freescale Semiconductor, Inc.</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Maxim Integrated Products, Inc.</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Micron Technology, Inc.</w:t>
      </w:r>
    </w:p>
    <w:p>
      <w:pPr>
        <w:spacing w:after="0"/>
        <w:rPr>
          <w:sz w:val="20"/>
          <w:szCs w:val="20"/>
          <w:color w:val="auto"/>
        </w:rPr>
      </w:pPr>
      <w:r>
        <w:rPr>
          <w:rFonts w:ascii="Arial" w:cs="Arial" w:eastAsia="Arial" w:hAnsi="Arial"/>
          <w:sz w:val="18"/>
          <w:szCs w:val="18"/>
          <w:color w:val="auto"/>
        </w:rPr>
        <w:t>National Semiconductor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Novatek Microelectronics Corp., Ltd.</w:t>
      </w:r>
    </w:p>
    <w:p>
      <w:pPr>
        <w:sectPr>
          <w:pgSz w:w="11900" w:h="16838" w:orient="portrait"/>
          <w:cols w:equalWidth="0" w:num="2">
            <w:col w:w="3700" w:space="160"/>
            <w:col w:w="7560"/>
          </w:cols>
          <w:pgMar w:left="240" w:top="120"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20"/>
                <w:szCs w:val="20"/>
                <w:color w:val="auto"/>
              </w:rPr>
              <w:t>HannStar Display Corp.</w:t>
            </w:r>
          </w:p>
        </w:tc>
        <w:tc>
          <w:tcPr>
            <w:tcW w:w="8120" w:type="dxa"/>
            <w:vAlign w:val="bottom"/>
          </w:tcPr>
          <w:p>
            <w:pPr>
              <w:ind w:left="520"/>
              <w:spacing w:after="0"/>
              <w:rPr>
                <w:sz w:val="20"/>
                <w:szCs w:val="20"/>
                <w:color w:val="auto"/>
              </w:rPr>
            </w:pPr>
            <w:r>
              <w:rPr>
                <w:rFonts w:ascii="Arial" w:cs="Arial" w:eastAsia="Arial" w:hAnsi="Arial"/>
                <w:sz w:val="20"/>
                <w:szCs w:val="20"/>
                <w:color w:val="auto"/>
              </w:rPr>
              <w:t>ON Semiconductor Corporation</w:t>
            </w:r>
          </w:p>
        </w:tc>
      </w:tr>
      <w:tr>
        <w:trPr>
          <w:trHeight w:val="224"/>
        </w:trPr>
        <w:tc>
          <w:tcPr>
            <w:tcW w:w="3340" w:type="dxa"/>
            <w:vAlign w:val="bottom"/>
          </w:tcPr>
          <w:p>
            <w:pPr>
              <w:spacing w:after="0" w:line="225" w:lineRule="exact"/>
              <w:rPr>
                <w:sz w:val="20"/>
                <w:szCs w:val="20"/>
                <w:color w:val="auto"/>
              </w:rPr>
            </w:pPr>
            <w:r>
              <w:rPr>
                <w:rFonts w:ascii="Arial" w:cs="Arial" w:eastAsia="Arial" w:hAnsi="Arial"/>
                <w:sz w:val="20"/>
                <w:szCs w:val="20"/>
                <w:color w:val="auto"/>
              </w:rPr>
              <w:t>IM Flash Technologies, LLC</w:t>
            </w:r>
          </w:p>
        </w:tc>
        <w:tc>
          <w:tcPr>
            <w:tcW w:w="8120" w:type="dxa"/>
            <w:vAlign w:val="bottom"/>
          </w:tcPr>
          <w:p>
            <w:pPr>
              <w:ind w:left="520"/>
              <w:spacing w:after="0" w:line="225" w:lineRule="exact"/>
              <w:rPr>
                <w:sz w:val="20"/>
                <w:szCs w:val="20"/>
                <w:color w:val="auto"/>
              </w:rPr>
            </w:pPr>
            <w:r>
              <w:rPr>
                <w:rFonts w:ascii="Arial" w:cs="Arial" w:eastAsia="Arial" w:hAnsi="Arial"/>
                <w:sz w:val="20"/>
                <w:szCs w:val="20"/>
                <w:color w:val="auto"/>
              </w:rPr>
              <w:t>Samsung Electronics Co., Ltd.</w:t>
            </w:r>
          </w:p>
        </w:tc>
      </w:tr>
      <w:tr>
        <w:trPr>
          <w:trHeight w:val="224"/>
        </w:trPr>
        <w:tc>
          <w:tcPr>
            <w:tcW w:w="3340" w:type="dxa"/>
            <w:vAlign w:val="bottom"/>
          </w:tcPr>
          <w:p>
            <w:pPr>
              <w:spacing w:after="0" w:line="225" w:lineRule="exact"/>
              <w:rPr>
                <w:sz w:val="20"/>
                <w:szCs w:val="20"/>
                <w:color w:val="auto"/>
              </w:rPr>
            </w:pPr>
            <w:r>
              <w:rPr>
                <w:rFonts w:ascii="Arial" w:cs="Arial" w:eastAsia="Arial" w:hAnsi="Arial"/>
                <w:sz w:val="20"/>
                <w:szCs w:val="20"/>
                <w:color w:val="auto"/>
              </w:rPr>
              <w:t>Integrated Device Technology, Inc.</w:t>
            </w:r>
          </w:p>
        </w:tc>
        <w:tc>
          <w:tcPr>
            <w:tcW w:w="8120" w:type="dxa"/>
            <w:vAlign w:val="bottom"/>
          </w:tcPr>
          <w:p>
            <w:pPr>
              <w:ind w:left="520"/>
              <w:spacing w:after="0" w:line="225" w:lineRule="exact"/>
              <w:rPr>
                <w:sz w:val="20"/>
                <w:szCs w:val="20"/>
                <w:color w:val="auto"/>
              </w:rPr>
            </w:pPr>
            <w:r>
              <w:rPr>
                <w:rFonts w:ascii="Arial" w:cs="Arial" w:eastAsia="Arial" w:hAnsi="Arial"/>
                <w:sz w:val="20"/>
                <w:szCs w:val="20"/>
                <w:color w:val="auto"/>
              </w:rPr>
              <w:t>Skyworks Solutions, Inc.</w:t>
            </w:r>
          </w:p>
        </w:tc>
      </w:tr>
      <w:tr>
        <w:trPr>
          <w:trHeight w:val="224"/>
        </w:trPr>
        <w:tc>
          <w:tcPr>
            <w:tcW w:w="3340" w:type="dxa"/>
            <w:vAlign w:val="bottom"/>
          </w:tcPr>
          <w:p>
            <w:pPr>
              <w:spacing w:after="0" w:line="225" w:lineRule="exact"/>
              <w:rPr>
                <w:sz w:val="20"/>
                <w:szCs w:val="20"/>
                <w:color w:val="auto"/>
              </w:rPr>
            </w:pPr>
            <w:r>
              <w:rPr>
                <w:rFonts w:ascii="Arial" w:cs="Arial" w:eastAsia="Arial" w:hAnsi="Arial"/>
                <w:sz w:val="20"/>
                <w:szCs w:val="20"/>
                <w:color w:val="auto"/>
              </w:rPr>
              <w:t>Jazz Semiconductor, Inc.</w:t>
            </w:r>
          </w:p>
        </w:tc>
        <w:tc>
          <w:tcPr>
            <w:tcW w:w="8120" w:type="dxa"/>
            <w:vAlign w:val="bottom"/>
          </w:tcPr>
          <w:p>
            <w:pPr>
              <w:ind w:left="520"/>
              <w:spacing w:after="0" w:line="225" w:lineRule="exact"/>
              <w:rPr>
                <w:sz w:val="20"/>
                <w:szCs w:val="20"/>
                <w:color w:val="auto"/>
              </w:rPr>
            </w:pPr>
            <w:r>
              <w:rPr>
                <w:rFonts w:ascii="Arial" w:cs="Arial" w:eastAsia="Arial" w:hAnsi="Arial"/>
                <w:sz w:val="20"/>
                <w:szCs w:val="20"/>
                <w:color w:val="auto"/>
              </w:rPr>
              <w:t>ST Microelectronics, Inc.</w:t>
            </w:r>
          </w:p>
        </w:tc>
      </w:tr>
      <w:tr>
        <w:trPr>
          <w:trHeight w:val="224"/>
        </w:trPr>
        <w:tc>
          <w:tcPr>
            <w:tcW w:w="3340" w:type="dxa"/>
            <w:vAlign w:val="bottom"/>
          </w:tcPr>
          <w:p>
            <w:pPr>
              <w:spacing w:after="0" w:line="225" w:lineRule="exact"/>
              <w:rPr>
                <w:sz w:val="20"/>
                <w:szCs w:val="20"/>
                <w:color w:val="auto"/>
              </w:rPr>
            </w:pPr>
            <w:r>
              <w:rPr>
                <w:rFonts w:ascii="Arial" w:cs="Arial" w:eastAsia="Arial" w:hAnsi="Arial"/>
                <w:sz w:val="20"/>
                <w:szCs w:val="20"/>
                <w:color w:val="auto"/>
              </w:rPr>
              <w:t>LG Philips LCD Co., Ltd.</w:t>
            </w:r>
          </w:p>
        </w:tc>
        <w:tc>
          <w:tcPr>
            <w:tcW w:w="8120" w:type="dxa"/>
            <w:vAlign w:val="bottom"/>
          </w:tcPr>
          <w:p>
            <w:pPr>
              <w:ind w:left="520"/>
              <w:spacing w:after="0" w:line="225" w:lineRule="exact"/>
              <w:rPr>
                <w:sz w:val="20"/>
                <w:szCs w:val="20"/>
                <w:color w:val="auto"/>
              </w:rPr>
            </w:pPr>
            <w:r>
              <w:rPr>
                <w:rFonts w:ascii="Arial" w:cs="Arial" w:eastAsia="Arial" w:hAnsi="Arial"/>
                <w:sz w:val="20"/>
                <w:szCs w:val="20"/>
                <w:color w:val="auto"/>
              </w:rPr>
              <w:t>Texas Instruments Incorporated</w:t>
            </w:r>
          </w:p>
        </w:tc>
      </w:tr>
      <w:tr>
        <w:trPr>
          <w:trHeight w:val="254"/>
        </w:trPr>
        <w:tc>
          <w:tcPr>
            <w:tcW w:w="3340" w:type="dxa"/>
            <w:vAlign w:val="bottom"/>
          </w:tcPr>
          <w:p>
            <w:pPr>
              <w:spacing w:after="0"/>
              <w:rPr>
                <w:sz w:val="20"/>
                <w:szCs w:val="20"/>
                <w:color w:val="auto"/>
              </w:rPr>
            </w:pPr>
            <w:r>
              <w:rPr>
                <w:rFonts w:ascii="Arial" w:cs="Arial" w:eastAsia="Arial" w:hAnsi="Arial"/>
                <w:sz w:val="20"/>
                <w:szCs w:val="20"/>
                <w:color w:val="auto"/>
              </w:rPr>
              <w:t>Magnachip Semiconductor</w:t>
            </w:r>
          </w:p>
        </w:tc>
        <w:tc>
          <w:tcPr>
            <w:tcW w:w="8120" w:type="dxa"/>
            <w:vAlign w:val="bottom"/>
          </w:tcPr>
          <w:p>
            <w:pPr>
              <w:ind w:left="520"/>
              <w:spacing w:after="0"/>
              <w:rPr>
                <w:sz w:val="20"/>
                <w:szCs w:val="20"/>
                <w:color w:val="auto"/>
              </w:rPr>
            </w:pPr>
            <w:r>
              <w:rPr>
                <w:rFonts w:ascii="Arial" w:cs="Arial" w:eastAsia="Arial" w:hAnsi="Arial"/>
                <w:sz w:val="20"/>
                <w:szCs w:val="20"/>
                <w:color w:val="auto"/>
              </w:rPr>
              <w:t>United Microelectronics Corp.</w:t>
            </w:r>
          </w:p>
        </w:tc>
      </w:tr>
      <w:tr>
        <w:trPr>
          <w:trHeight w:val="847"/>
        </w:trPr>
        <w:tc>
          <w:tcPr>
            <w:tcW w:w="3340" w:type="dxa"/>
            <w:vAlign w:val="bottom"/>
          </w:tcPr>
          <w:p>
            <w:pPr>
              <w:spacing w:after="0"/>
              <w:rPr>
                <w:sz w:val="24"/>
                <w:szCs w:val="24"/>
                <w:color w:val="auto"/>
              </w:rPr>
            </w:pPr>
          </w:p>
        </w:tc>
        <w:tc>
          <w:tcPr>
            <w:tcW w:w="8120" w:type="dxa"/>
            <w:vAlign w:val="bottom"/>
          </w:tcPr>
          <w:p>
            <w:pPr>
              <w:ind w:left="2260"/>
              <w:spacing w:after="0"/>
              <w:rPr>
                <w:sz w:val="20"/>
                <w:szCs w:val="20"/>
                <w:color w:val="auto"/>
              </w:rPr>
            </w:pPr>
            <w:r>
              <w:rPr>
                <w:rFonts w:ascii="Arial" w:cs="Arial" w:eastAsia="Arial" w:hAnsi="Arial"/>
                <w:sz w:val="20"/>
                <w:szCs w:val="20"/>
                <w:color w:val="auto"/>
              </w:rPr>
              <w:t>-4-</w:t>
            </w:r>
          </w:p>
        </w:tc>
      </w:tr>
      <w:tr>
        <w:trPr>
          <w:trHeight w:val="194"/>
        </w:trPr>
        <w:tc>
          <w:tcPr>
            <w:tcW w:w="3340" w:type="dxa"/>
            <w:vAlign w:val="bottom"/>
            <w:tcBorders>
              <w:bottom w:val="single" w:sz="8" w:color="9A9A9A"/>
            </w:tcBorders>
          </w:tcPr>
          <w:p>
            <w:pPr>
              <w:spacing w:after="0"/>
              <w:rPr>
                <w:sz w:val="16"/>
                <w:szCs w:val="16"/>
                <w:color w:val="auto"/>
              </w:rPr>
            </w:pPr>
          </w:p>
        </w:tc>
        <w:tc>
          <w:tcPr>
            <w:tcW w:w="81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40" w:firstLine="249"/>
        <w:spacing w:after="0"/>
        <w:rPr>
          <w:sz w:val="20"/>
          <w:szCs w:val="20"/>
          <w:color w:val="auto"/>
        </w:rPr>
      </w:pPr>
      <w:r>
        <w:rPr>
          <w:rFonts w:ascii="Arial" w:cs="Arial" w:eastAsia="Arial" w:hAnsi="Arial"/>
          <w:sz w:val="20"/>
          <w:szCs w:val="20"/>
          <w:color w:val="auto"/>
        </w:rPr>
        <w:t>During fiscal 2009, the Company sold its products and services to approximately 600 customers. Samsung Electronics Co., Ltd. accounted for approximately 19% of the Company's net sales in fiscal 2009, and 25% in fiscal 2008 and 2007. This included sales of both IC and FPD photomasks. The Company's five largest customers, in the aggregate, accounted for approximately 42% in fiscal 2009, 44% in fiscal 2008 and 43% in fiscal 2007, of net sales. A significant decrease in the amount of sales to any of these customers could have a material adverse effect on the financial performance and business prospects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00" w:lineRule="exact"/>
        <w:rPr>
          <w:sz w:val="20"/>
          <w:szCs w:val="20"/>
          <w:color w:val="auto"/>
        </w:rPr>
      </w:pPr>
    </w:p>
    <w:p>
      <w:pPr>
        <w:ind w:right="160" w:firstLine="246"/>
        <w:spacing w:after="0" w:line="242" w:lineRule="auto"/>
        <w:rPr>
          <w:sz w:val="20"/>
          <w:szCs w:val="20"/>
          <w:color w:val="auto"/>
        </w:rPr>
      </w:pPr>
      <w:r>
        <w:rPr>
          <w:rFonts w:ascii="Arial" w:cs="Arial" w:eastAsia="Arial" w:hAnsi="Arial"/>
          <w:sz w:val="20"/>
          <w:szCs w:val="20"/>
          <w:color w:val="auto"/>
        </w:rPr>
        <w:t>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Additionally, the Company can be impacted during its first or second quarter by the Asian New Year holiday period which also may reduce customer orders.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00" w:lineRule="exact"/>
        <w:rPr>
          <w:sz w:val="20"/>
          <w:szCs w:val="20"/>
          <w:color w:val="auto"/>
        </w:rPr>
      </w:pPr>
    </w:p>
    <w:p>
      <w:pPr>
        <w:ind w:right="40" w:firstLine="246"/>
        <w:spacing w:after="0" w:line="249" w:lineRule="auto"/>
        <w:rPr>
          <w:sz w:val="20"/>
          <w:szCs w:val="20"/>
          <w:color w:val="auto"/>
        </w:rPr>
      </w:pPr>
      <w:r>
        <w:rPr>
          <w:rFonts w:ascii="Arial" w:cs="Arial" w:eastAsia="Arial" w:hAnsi="Arial"/>
          <w:sz w:val="19"/>
          <w:szCs w:val="19"/>
          <w:color w:val="auto"/>
        </w:rPr>
        <w:t>The Company conducts its primary research and development activities at the MP Mask Technology Center, LLC ("MP Mask") joint venture operation located in Boise, Idaho, and in site-specific research and development programs to support strategic customers. The MP Mask research and development programs, coupled with site-specific research and development initiatives, are designed to advance the Company's leadership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are focused on 32 nanometer node and below IC technology and Generation 8 and higher FPD technology. The Company believes these core competencies will continue to be a critical part of semiconductor manufacturing as optical lithography continues to scale device capabilities at and below 45 nanometer. The Company has incurred research and development expenses of $15.4 million, $17.5 million and $17.3 million in fiscal 2009, 2008 and 2007, respectively. The Company believes that it owns, controls, or licenses valuable proprietary information necessary for its business as it is presently conducted. This includes trade secrets as well as patents. The Company believes that its intellectual property and trade secret know-how will continue to be important to its technical leadership in the field of photomasks.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and Trademarks</w:t>
      </w:r>
    </w:p>
    <w:p>
      <w:pPr>
        <w:spacing w:after="0" w:line="200" w:lineRule="exact"/>
        <w:rPr>
          <w:sz w:val="20"/>
          <w:szCs w:val="20"/>
          <w:color w:val="auto"/>
        </w:rPr>
      </w:pPr>
    </w:p>
    <w:p>
      <w:pPr>
        <w:ind w:right="180" w:firstLine="246"/>
        <w:spacing w:after="0"/>
        <w:rPr>
          <w:sz w:val="20"/>
          <w:szCs w:val="20"/>
          <w:color w:val="auto"/>
        </w:rPr>
      </w:pPr>
      <w:r>
        <w:rPr>
          <w:rFonts w:ascii="Arial" w:cs="Arial" w:eastAsia="Arial" w:hAnsi="Arial"/>
          <w:sz w:val="20"/>
          <w:szCs w:val="20"/>
          <w:color w:val="auto"/>
        </w:rPr>
        <w:t>The Company has over 45 patents with ownership interest in the United States. The subject matter of these patents generally relates to the manufacture of photomasks themselves and the use of photomasks to manufacture other products. The expiration dates of these patents range from 2011 to 2027. Additionally, pursuant to the technology license agreement with Micron Technology, Inc. (Micron), the Company has access to certain technology of Micron and MP Mask. The Company also has a number of trademarks and trademark registrations in the United States and in other countries.</w:t>
      </w:r>
    </w:p>
    <w:p>
      <w:pPr>
        <w:spacing w:after="0" w:line="171" w:lineRule="exact"/>
        <w:rPr>
          <w:sz w:val="20"/>
          <w:szCs w:val="20"/>
          <w:color w:val="auto"/>
        </w:rPr>
      </w:pPr>
    </w:p>
    <w:p>
      <w:pPr>
        <w:ind w:right="100" w:firstLine="246"/>
        <w:spacing w:after="0" w:line="259" w:lineRule="auto"/>
        <w:rPr>
          <w:sz w:val="20"/>
          <w:szCs w:val="20"/>
          <w:color w:val="auto"/>
        </w:rPr>
      </w:pPr>
      <w:r>
        <w:rPr>
          <w:rFonts w:ascii="Arial" w:cs="Arial" w:eastAsia="Arial" w:hAnsi="Arial"/>
          <w:sz w:val="19"/>
          <w:szCs w:val="19"/>
          <w:color w:val="auto"/>
        </w:rPr>
        <w:t>While the Company believes that its intellectual property is, and will continue to be, important to the Company's technical leadership in the field of photomasks, the Company's operations are not dependent on any one individual patent. The Company protects its intellectual property rights regarding products and manufacturing processes through patents and trade secrets. The Company also relies on non-disclosure agreements with employees and vendors to protect its intellectual property and proprietary processes.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Materials, Supplies and Equipment</w:t>
      </w:r>
    </w:p>
    <w:p>
      <w:pPr>
        <w:spacing w:after="0" w:line="200" w:lineRule="exact"/>
        <w:rPr>
          <w:sz w:val="20"/>
          <w:szCs w:val="20"/>
          <w:color w:val="auto"/>
        </w:rPr>
      </w:pPr>
    </w:p>
    <w:p>
      <w:pPr>
        <w:ind w:right="60" w:firstLine="249"/>
        <w:spacing w:after="0" w:line="252" w:lineRule="auto"/>
        <w:rPr>
          <w:sz w:val="20"/>
          <w:szCs w:val="20"/>
          <w:color w:val="auto"/>
        </w:rPr>
      </w:pPr>
      <w:r>
        <w:rPr>
          <w:rFonts w:ascii="Arial" w:cs="Arial" w:eastAsia="Arial" w:hAnsi="Arial"/>
          <w:sz w:val="19"/>
          <w:szCs w:val="19"/>
          <w:color w:val="auto"/>
        </w:rPr>
        <w:t>Raw materials used by the Company generally include high precision quartz plates (including large area plates), which are used as photomask blanks,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and although the Company is not dependent on any one supplier for most of its raw materials, glass blanks used for the production of certain high-end photomasks are only available from one supplier. The Company believes that its utilization of a select group of strategic suppliers enables it to access the most technologically advanced materials available. On an ongoing basis, the Company continues to consider additional supply sources.</w:t>
      </w:r>
    </w:p>
    <w:p>
      <w:pPr>
        <w:spacing w:after="0" w:line="164" w:lineRule="exact"/>
        <w:rPr>
          <w:sz w:val="20"/>
          <w:szCs w:val="20"/>
          <w:color w:val="auto"/>
        </w:rPr>
      </w:pPr>
    </w:p>
    <w:p>
      <w:pPr>
        <w:ind w:right="1220" w:firstLine="246"/>
        <w:spacing w:after="0" w:line="285" w:lineRule="auto"/>
        <w:rPr>
          <w:sz w:val="20"/>
          <w:szCs w:val="20"/>
          <w:color w:val="auto"/>
        </w:rPr>
      </w:pPr>
      <w:r>
        <w:rPr>
          <w:rFonts w:ascii="Arial" w:cs="Arial" w:eastAsia="Arial" w:hAnsi="Arial"/>
          <w:sz w:val="19"/>
          <w:szCs w:val="19"/>
          <w:color w:val="auto"/>
        </w:rPr>
        <w:t>The Company relies on a limited number of equipment suppliers to develop and supply the equipment used in the photomask manufacturing process. Although the Company has been able to obtain equipment on a timely basis, the</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inability to obtain equipment when required could adversely affect the Company's business and results of operations. The Company also relies on these and additional suppliers to develop future generations of manufacturing systems to support the Company's requirements.</w:t>
      </w:r>
    </w:p>
    <w:p>
      <w:pPr>
        <w:sectPr>
          <w:pgSz w:w="11900" w:h="16838" w:orient="portrait"/>
          <w:cols w:equalWidth="0" w:num="1">
            <w:col w:w="11460"/>
          </w:cols>
          <w:pgMar w:left="240" w:top="115" w:right="199" w:bottom="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Backlog</w:t>
      </w:r>
    </w:p>
    <w:p>
      <w:pPr>
        <w:spacing w:after="0" w:line="201" w:lineRule="exact"/>
        <w:rPr>
          <w:sz w:val="20"/>
          <w:szCs w:val="20"/>
          <w:color w:val="auto"/>
        </w:rPr>
      </w:pPr>
    </w:p>
    <w:p>
      <w:pPr>
        <w:ind w:right="20" w:firstLine="246"/>
        <w:spacing w:after="0" w:line="265" w:lineRule="auto"/>
        <w:rPr>
          <w:sz w:val="20"/>
          <w:szCs w:val="20"/>
          <w:color w:val="auto"/>
        </w:rPr>
      </w:pPr>
      <w:r>
        <w:rPr>
          <w:rFonts w:ascii="Arial" w:cs="Arial" w:eastAsia="Arial" w:hAnsi="Arial"/>
          <w:sz w:val="19"/>
          <w:szCs w:val="19"/>
          <w:color w:val="auto"/>
        </w:rPr>
        <w:t>The first several levels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Operations</w:t>
      </w:r>
    </w:p>
    <w:p>
      <w:pPr>
        <w:spacing w:after="0" w:line="200" w:lineRule="exact"/>
        <w:rPr>
          <w:sz w:val="20"/>
          <w:szCs w:val="20"/>
          <w:color w:val="auto"/>
        </w:rPr>
      </w:pPr>
    </w:p>
    <w:p>
      <w:pPr>
        <w:ind w:right="80" w:firstLine="299"/>
        <w:spacing w:after="0" w:line="265" w:lineRule="auto"/>
        <w:rPr>
          <w:sz w:val="20"/>
          <w:szCs w:val="20"/>
          <w:color w:val="auto"/>
        </w:rPr>
      </w:pPr>
      <w:r>
        <w:rPr>
          <w:rFonts w:ascii="Arial" w:cs="Arial" w:eastAsia="Arial" w:hAnsi="Arial"/>
          <w:sz w:val="19"/>
          <w:szCs w:val="19"/>
          <w:color w:val="auto"/>
        </w:rPr>
        <w:t>International sales were approximately 72%, 77% and 75% of the Company's sales in fiscal 2009, 2008 and 2007, respectively. The Company believes that maintaining significant international operations requires it to have, among other things, a local presence in the markets in which it operates. This requires a significant investment in financial, management, operational, and other resources.</w:t>
      </w:r>
    </w:p>
    <w:p>
      <w:pPr>
        <w:spacing w:after="0" w:line="149" w:lineRule="exact"/>
        <w:rPr>
          <w:sz w:val="20"/>
          <w:szCs w:val="20"/>
          <w:color w:val="auto"/>
        </w:rPr>
      </w:pPr>
    </w:p>
    <w:p>
      <w:pPr>
        <w:ind w:right="160" w:firstLine="249"/>
        <w:spacing w:after="0" w:line="273" w:lineRule="auto"/>
        <w:rPr>
          <w:sz w:val="20"/>
          <w:szCs w:val="20"/>
          <w:color w:val="auto"/>
        </w:rPr>
      </w:pPr>
      <w:r>
        <w:rPr>
          <w:rFonts w:ascii="Arial" w:cs="Arial" w:eastAsia="Arial" w:hAnsi="Arial"/>
          <w:sz w:val="18"/>
          <w:szCs w:val="18"/>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the United States and to deploy resources where they can be used to their greatest advantage, and consequently may adversely affect its financial conditions and results of operations.</w:t>
      </w:r>
    </w:p>
    <w:p>
      <w:pPr>
        <w:spacing w:after="0" w:line="144" w:lineRule="exact"/>
        <w:rPr>
          <w:sz w:val="20"/>
          <w:szCs w:val="20"/>
          <w:color w:val="auto"/>
        </w:rPr>
      </w:pPr>
    </w:p>
    <w:p>
      <w:pPr>
        <w:ind w:right="560" w:firstLine="249"/>
        <w:spacing w:after="0" w:line="442" w:lineRule="auto"/>
        <w:rPr>
          <w:sz w:val="20"/>
          <w:szCs w:val="20"/>
          <w:color w:val="auto"/>
        </w:rPr>
      </w:pPr>
      <w:r>
        <w:rPr>
          <w:rFonts w:ascii="Arial" w:cs="Arial" w:eastAsia="Arial" w:hAnsi="Arial"/>
          <w:sz w:val="20"/>
          <w:szCs w:val="20"/>
          <w:color w:val="auto"/>
        </w:rPr>
        <w:t xml:space="preserve">Note 17 of the notes to the Company's consolidated financial statements reports net sales and long-lived assets by geographic region. </w:t>
      </w:r>
      <w:r>
        <w:rPr>
          <w:rFonts w:ascii="Arial" w:cs="Arial" w:eastAsia="Arial" w:hAnsi="Arial"/>
          <w:sz w:val="20"/>
          <w:szCs w:val="20"/>
          <w:b w:val="1"/>
          <w:bCs w:val="1"/>
          <w:color w:val="auto"/>
        </w:rPr>
        <w:t>Competition</w:t>
      </w:r>
    </w:p>
    <w:p>
      <w:pPr>
        <w:ind w:right="80" w:firstLine="246"/>
        <w:spacing w:after="0" w:line="251" w:lineRule="auto"/>
        <w:rPr>
          <w:sz w:val="20"/>
          <w:szCs w:val="20"/>
          <w:color w:val="auto"/>
        </w:rPr>
      </w:pPr>
      <w:r>
        <w:rPr>
          <w:rFonts w:ascii="Arial" w:cs="Arial" w:eastAsia="Arial" w:hAnsi="Arial"/>
          <w:sz w:val="19"/>
          <w:szCs w:val="19"/>
          <w:color w:val="auto"/>
        </w:rPr>
        <w:t>The photomask industry is highly competitive and most of the Company's customers utilize multiple photomask suppliers. The Company's ability to compete depends primarily upon its consistency of product quality and timeliness of delivery, as well as pricing, technical capability and service. The Company also believes that proximity to customers is an important factor in certain markets where cycle time from order to delivery is critical. A few competitors have greater financial, technical, sales, marketing and other resources than the Company. The Company believes that consistency of product quality, timeliness of delivery, and price are the principal factors considered by customers in selecting their photomask suppliers. The Company's inability to meet these requirements could adversely affect its sales. The Company believes that it is able to compete effectively because of its dedication to customer service, its investment in state-of-the-art photomask equipment and facilities, and its experienced technical employees.</w:t>
      </w:r>
    </w:p>
    <w:p>
      <w:pPr>
        <w:spacing w:after="0" w:line="166" w:lineRule="exact"/>
        <w:rPr>
          <w:sz w:val="20"/>
          <w:szCs w:val="20"/>
          <w:color w:val="auto"/>
        </w:rPr>
      </w:pPr>
    </w:p>
    <w:p>
      <w:pPr>
        <w:ind w:firstLine="249"/>
        <w:spacing w:after="0" w:line="252" w:lineRule="auto"/>
        <w:rPr>
          <w:sz w:val="20"/>
          <w:szCs w:val="20"/>
          <w:color w:val="auto"/>
        </w:rPr>
      </w:pPr>
      <w:r>
        <w:rPr>
          <w:rFonts w:ascii="Arial" w:cs="Arial" w:eastAsia="Arial" w:hAnsi="Arial"/>
          <w:sz w:val="19"/>
          <w:szCs w:val="19"/>
          <w:color w:val="auto"/>
        </w:rPr>
        <w:t>The Company estimates that for the types of photomasks it manufactures (IC and FPD) the size of the total market (captive and merchant) is approximately $3.2 billion. Competitors include Compugraphics, Inc., Dai Nippon Printing Co., Ltd., Hoya Corporation, SK-Electronics Co. Ltd., Taiwan Mask Corporation, Toppan Printing Co., Ltd. and Toppan Chungwha Electronics.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expects such pressure to continue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00" w:lineRule="exact"/>
        <w:rPr>
          <w:sz w:val="20"/>
          <w:szCs w:val="20"/>
          <w:color w:val="auto"/>
        </w:rPr>
      </w:pPr>
    </w:p>
    <w:p>
      <w:pPr>
        <w:ind w:right="100" w:firstLine="238"/>
        <w:spacing w:after="0" w:line="258" w:lineRule="auto"/>
        <w:rPr>
          <w:sz w:val="20"/>
          <w:szCs w:val="20"/>
          <w:color w:val="auto"/>
        </w:rPr>
      </w:pPr>
      <w:r>
        <w:rPr>
          <w:rFonts w:ascii="Arial" w:cs="Arial" w:eastAsia="Arial" w:hAnsi="Arial"/>
          <w:sz w:val="20"/>
          <w:szCs w:val="20"/>
          <w:color w:val="auto"/>
        </w:rPr>
        <w:t>As of November 1, 2009, the Company and its majority-owned subsidiaries had approximately 1,300 employees. The Company believes it offers competitive compensation and other benefits and that its employee relations are good.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94"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b w:val="1"/>
          <w:bCs w:val="1"/>
          <w:color w:val="auto"/>
        </w:rPr>
        <w:t>The Company is dependent on the semiconductor industry which, as a whole, is volatile and could have a negative material impact on its business.</w:t>
      </w:r>
    </w:p>
    <w:p>
      <w:pPr>
        <w:spacing w:after="0" w:line="146" w:lineRule="exact"/>
        <w:rPr>
          <w:sz w:val="20"/>
          <w:szCs w:val="20"/>
          <w:color w:val="auto"/>
        </w:rPr>
      </w:pPr>
    </w:p>
    <w:p>
      <w:pPr>
        <w:ind w:right="20" w:firstLine="246"/>
        <w:spacing w:after="0" w:line="250" w:lineRule="auto"/>
        <w:rPr>
          <w:sz w:val="20"/>
          <w:szCs w:val="20"/>
          <w:color w:val="auto"/>
        </w:rPr>
      </w:pPr>
      <w:r>
        <w:rPr>
          <w:rFonts w:ascii="Arial" w:cs="Arial" w:eastAsia="Arial" w:hAnsi="Arial"/>
          <w:sz w:val="19"/>
          <w:szCs w:val="19"/>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demand for semiconductors and FPDs increases.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began to experience a downturn in fiscal 2008, which continued through fiscal 2009, and had an adverse impact on the Company's 2009 operating results.</w:t>
      </w:r>
    </w:p>
    <w:p>
      <w:pPr>
        <w:spacing w:after="0" w:line="164" w:lineRule="exact"/>
        <w:rPr>
          <w:sz w:val="20"/>
          <w:szCs w:val="20"/>
          <w:color w:val="auto"/>
        </w:rPr>
      </w:pPr>
    </w:p>
    <w:p>
      <w:pPr>
        <w:ind w:right="120" w:firstLine="246"/>
        <w:spacing w:after="0" w:line="269" w:lineRule="auto"/>
        <w:rPr>
          <w:sz w:val="20"/>
          <w:szCs w:val="20"/>
          <w:color w:val="auto"/>
        </w:rPr>
      </w:pPr>
      <w:r>
        <w:rPr>
          <w:rFonts w:ascii="Arial" w:cs="Arial" w:eastAsia="Arial" w:hAnsi="Arial"/>
          <w:sz w:val="18"/>
          <w:szCs w:val="18"/>
          <w:color w:val="auto"/>
        </w:rPr>
        <w:t>The Company's sales of photomasks for use in fabricating high performance electronic products such as FPDs decreased in fiscal 2009 as compared to fiscal 2008. The Company's results may suffer if the FPD photomask market does not grow or if the Company is unable to serve this market successfully. As is the case with semiconductor photomask demand, the Company believes that demand for photomasks for FPDs depends primarily on design activity and, to a lesser extent upon an increase in the number of production facilities used to manufacture FPDs. As a result, an increase in FPD sales will not necessarily lead to a corresponding increase in photomask sales. The technology for fabricating FPDs continues to develop in order to increase the size and improve the resolution of FPDs. A slowdown in the development of new technologies for fabricating FPDs could reduce the demand for related photomasks even if demand for FPDs increases.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 incurred net losses in fiscal years 2009 and 2008, and may incur future net losses.</w:t>
      </w:r>
    </w:p>
    <w:p>
      <w:pPr>
        <w:sectPr>
          <w:pgSz w:w="11900" w:h="16838" w:orient="portrait"/>
          <w:cols w:equalWidth="0" w:num="1">
            <w:col w:w="11420"/>
          </w:cols>
          <w:pgMar w:left="240" w:top="114" w:right="239" w:bottom="0" w:gutter="0" w:footer="0" w:header="0"/>
        </w:sectPr>
      </w:pPr>
    </w:p>
    <w:bookmarkStart w:id="5" w:name="page6"/>
    <w:bookmarkEnd w:id="5"/>
    <w:p>
      <w:pPr>
        <w:jc w:val="both"/>
        <w:ind w:right="220" w:firstLine="246"/>
        <w:spacing w:after="0" w:line="259" w:lineRule="auto"/>
        <w:rPr>
          <w:sz w:val="20"/>
          <w:szCs w:val="20"/>
          <w:color w:val="auto"/>
        </w:rPr>
      </w:pPr>
      <w:r>
        <w:rPr>
          <w:rFonts w:ascii="Arial" w:cs="Arial" w:eastAsia="Arial" w:hAnsi="Arial"/>
          <w:sz w:val="19"/>
          <w:szCs w:val="19"/>
          <w:color w:val="auto"/>
        </w:rPr>
        <w:t>The Company incurred net losses of $41.9 million in fiscal 2009 and $210.8 million in fiscal 2008. These net losses were incurred due to the global recession and related severe downturn experienced by the semiconductor industry that began in 2008. Net losses incurred in both fiscal years 2009 and 2008 include significant non-cash charges for restructurings, impairments of goodwill, and impairments of long-lived assets. The Company cannot provide assurance of when Photronics will return to profitability.</w:t>
      </w:r>
    </w:p>
    <w:p>
      <w:pPr>
        <w:spacing w:after="0" w:line="148" w:lineRule="exact"/>
        <w:rPr>
          <w:sz w:val="20"/>
          <w:szCs w:val="20"/>
          <w:color w:val="auto"/>
        </w:rPr>
      </w:pPr>
    </w:p>
    <w:p>
      <w:pPr>
        <w:ind w:right="500"/>
        <w:spacing w:after="0" w:line="265" w:lineRule="auto"/>
        <w:rPr>
          <w:sz w:val="20"/>
          <w:szCs w:val="20"/>
          <w:color w:val="auto"/>
        </w:rPr>
      </w:pPr>
      <w:r>
        <w:rPr>
          <w:rFonts w:ascii="Arial" w:cs="Arial" w:eastAsia="Arial" w:hAnsi="Arial"/>
          <w:sz w:val="20"/>
          <w:szCs w:val="20"/>
          <w:b w:val="1"/>
          <w:bCs w:val="1"/>
          <w:color w:val="auto"/>
        </w:rPr>
        <w:t>The Company's quarterly operating results fluctuate significantly and may continue to do so in the future which could adversely impact the Company's business.</w:t>
      </w:r>
    </w:p>
    <w:p>
      <w:pPr>
        <w:spacing w:after="0" w:line="146" w:lineRule="exact"/>
        <w:rPr>
          <w:sz w:val="20"/>
          <w:szCs w:val="20"/>
          <w:color w:val="auto"/>
        </w:rPr>
      </w:pPr>
    </w:p>
    <w:p>
      <w:pPr>
        <w:ind w:right="40" w:firstLine="246"/>
        <w:spacing w:after="0" w:line="264"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securities, particularly its common stock and securities linked to the value of the Company's common stock. Operating results may fluctuate as a result of many factors, including size and timing of orders and shipments, loss of significant customers, product mix, technological change, fluctuations in manufacturing yields, competition and general economic conditions. The Company operates in a high fixed cost environment and, to the extent its revenues and asset utilization increase or decrease, operating margins will be positively or negatively impacted. 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month-to-month, the Company's capital expenditures and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period-to-period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prices of the Company's common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20"/>
        <w:spacing w:after="0" w:line="265" w:lineRule="auto"/>
        <w:rPr>
          <w:sz w:val="20"/>
          <w:szCs w:val="20"/>
          <w:color w:val="auto"/>
        </w:rPr>
      </w:pPr>
      <w:r>
        <w:rPr>
          <w:rFonts w:ascii="Arial" w:cs="Arial" w:eastAsia="Arial" w:hAnsi="Arial"/>
          <w:sz w:val="20"/>
          <w:szCs w:val="20"/>
          <w:b w:val="1"/>
          <w:bCs w:val="1"/>
          <w:color w:val="auto"/>
        </w:rPr>
        <w:t>The Company's industry is subject to rapid technological change and the Company might fail to remain competitive, which could have a material adverse effect on the Company's business and results of operations.</w:t>
      </w:r>
    </w:p>
    <w:p>
      <w:pPr>
        <w:spacing w:after="0" w:line="146" w:lineRule="exact"/>
        <w:rPr>
          <w:sz w:val="20"/>
          <w:szCs w:val="20"/>
          <w:color w:val="auto"/>
        </w:rPr>
      </w:pPr>
    </w:p>
    <w:p>
      <w:pPr>
        <w:ind w:firstLine="246"/>
        <w:spacing w:after="0" w:line="263" w:lineRule="auto"/>
        <w:rPr>
          <w:sz w:val="20"/>
          <w:szCs w:val="20"/>
          <w:color w:val="auto"/>
        </w:rPr>
      </w:pPr>
      <w:r>
        <w:rPr>
          <w:rFonts w:ascii="Arial" w:cs="Arial" w:eastAsia="Arial" w:hAnsi="Arial"/>
          <w:sz w:val="18"/>
          <w:szCs w:val="18"/>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demand for photomasks has been, and could in the future be, adversely affected by changes in methods of fabricating semiconductors and high performance electronics (that could affect the type or quantity of photomasks utilized), such as changes in semiconductor demand that favor field programmable gate arrays and other semiconductor designs that replace application-specific ICs. Additionally, increased market acceptance of alternative methods of IC designs onto semiconductor wafers, such as direct-write lithography, could reduce or eliminate the need for photomasks in the production of semiconductors. As of the end of fiscal 2009, direct-write lithography has not been proven to be a commercially viable alternative to photomasks, as it is considered too slow for high volume semiconductor wafer production. However, should direct-write or any other alternative methods of transferring IC designs to semiconductor wafers without the use of photomasks achieve market acceptance, the Company's business and results of operations would be materially adversely affected. If the Company is unable to anticipate, respond to or utilize these or other changing technologies, due to resource, technological or other constraints, its business and results of operations could be materially adversely affected. Further, should sales volumes decrease based upon the flow of design releases from the Company's customers, the Company may have excess or underutilized production capacity that could significantly impact operating margins, or result in write-offs from asset impairments.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operations will continue to require substantial capital, which it may be unable to obtain.</w:t>
      </w:r>
    </w:p>
    <w:p>
      <w:pPr>
        <w:spacing w:after="0" w:line="200" w:lineRule="exact"/>
        <w:rPr>
          <w:sz w:val="20"/>
          <w:szCs w:val="20"/>
          <w:color w:val="auto"/>
        </w:rPr>
      </w:pPr>
    </w:p>
    <w:p>
      <w:pPr>
        <w:ind w:right="20" w:firstLine="246"/>
        <w:spacing w:after="0" w:line="238" w:lineRule="auto"/>
        <w:rPr>
          <w:sz w:val="20"/>
          <w:szCs w:val="20"/>
          <w:color w:val="auto"/>
        </w:rPr>
      </w:pPr>
      <w:r>
        <w:rPr>
          <w:rFonts w:ascii="Arial" w:cs="Arial" w:eastAsia="Arial" w:hAnsi="Arial"/>
          <w:sz w:val="20"/>
          <w:szCs w:val="20"/>
          <w:color w:val="auto"/>
        </w:rPr>
        <w:t>The manufacture of photomasks requires substantial investments in high-end manufacturing capability at existing and new facilities. The Company expects that it will be required to continue to make substantial capital expenditures to meet the technological demands of its customers and to position it for future growth. The Company's capital expenditure payments for fiscal 2010 are expected to be in the range of $45 million to $55 million, of which $10 million was accrued as of November 1, 2009. Further, the Company's credit facility has a limitation on capital expenditure payments. The Company cannot provide assurance that it will be able to obtain the additional capital required in connection with its operations on reasonable terms, if at all, or that any such expenditure will not have a material adverse effect on its business and results of operations.</w:t>
      </w:r>
    </w:p>
    <w:p>
      <w:pPr>
        <w:spacing w:after="0" w:line="167"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b w:val="1"/>
          <w:bCs w:val="1"/>
          <w:color w:val="auto"/>
        </w:rPr>
        <w:t>The Company's agreements with Micron have several risks; should either company not comply or execute under these agreements it could significantly disrupt the Company's business and technology activities which could have a material effect on the Company's operations or cash flows.</w:t>
      </w:r>
    </w:p>
    <w:p>
      <w:pPr>
        <w:spacing w:after="0" w:line="163" w:lineRule="exact"/>
        <w:rPr>
          <w:sz w:val="20"/>
          <w:szCs w:val="20"/>
          <w:color w:val="auto"/>
        </w:rPr>
      </w:pPr>
    </w:p>
    <w:p>
      <w:pPr>
        <w:ind w:right="120" w:firstLine="249"/>
        <w:spacing w:after="0" w:line="254" w:lineRule="auto"/>
        <w:rPr>
          <w:sz w:val="20"/>
          <w:szCs w:val="20"/>
          <w:color w:val="auto"/>
        </w:rPr>
      </w:pPr>
      <w:r>
        <w:rPr>
          <w:rFonts w:ascii="Arial" w:cs="Arial" w:eastAsia="Arial" w:hAnsi="Arial"/>
          <w:sz w:val="19"/>
          <w:szCs w:val="19"/>
          <w:color w:val="auto"/>
        </w:rPr>
        <w:t>On May 5,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$135.0 million in exchange for a 49.99% interest in MP Mask, a license for photomask technology of Micron and certain supply agreements. The Company invested an additional $2.6 million in 2008 and $3.5 million in 2007 in MP Mask for capital expenditure and working capital purposes, and received distributions from MP Mask of $5.0 million in both 2009 and 2008.</w:t>
      </w:r>
    </w:p>
    <w:p>
      <w:pPr>
        <w:spacing w:after="0" w:line="158" w:lineRule="exact"/>
        <w:rPr>
          <w:sz w:val="20"/>
          <w:szCs w:val="20"/>
          <w:color w:val="auto"/>
        </w:rPr>
      </w:pPr>
    </w:p>
    <w:p>
      <w:pPr>
        <w:ind w:firstLine="249"/>
        <w:spacing w:after="0" w:line="273" w:lineRule="auto"/>
        <w:rPr>
          <w:sz w:val="20"/>
          <w:szCs w:val="20"/>
          <w:color w:val="auto"/>
        </w:rPr>
      </w:pPr>
      <w:r>
        <w:rPr>
          <w:rFonts w:ascii="Arial" w:cs="Arial" w:eastAsia="Arial" w:hAnsi="Arial"/>
          <w:sz w:val="18"/>
          <w:szCs w:val="18"/>
          <w:color w:val="auto"/>
        </w:rPr>
        <w:t>MP Mask is governed by a Board of Managers, appointed by Micron and Photronics. Since MP Mask's inception, Micron as a result of its majority ownership, has appointed the majority of the managers. The number of managers appointed by each party is subject to change as ownership interests change. Under the operating agreement relating to the MP Mask joint venture, through May 5, 2010, the Company may be required to make additional contributions to the joint venture up to the maximum amount defined in the operating agreement. However, should the Board of Managers determine that additional funding is required, the joint venture shall pursue its own financing. If the joint venture is</w:t>
      </w:r>
    </w:p>
    <w:p>
      <w:pPr>
        <w:sectPr>
          <w:pgSz w:w="11900" w:h="16838" w:orient="portrait"/>
          <w:cols w:equalWidth="0" w:num="1">
            <w:col w:w="11400"/>
          </w:cols>
          <w:pgMar w:left="240" w:top="120" w:right="259" w:bottom="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20"/>
          <w:szCs w:val="20"/>
          <w:color w:val="auto"/>
        </w:rPr>
        <w:t>unable to obtain its own financing it may request additional capital contributions from the Company. Should the Company choose not to make a requested contribution to the joint venture, Photronics' ownership interest may be reduced.</w:t>
      </w:r>
    </w:p>
    <w:p>
      <w:pPr>
        <w:spacing w:after="0" w:line="153" w:lineRule="exact"/>
        <w:rPr>
          <w:sz w:val="20"/>
          <w:szCs w:val="20"/>
          <w:color w:val="auto"/>
        </w:rPr>
      </w:pPr>
    </w:p>
    <w:p>
      <w:pPr>
        <w:ind w:right="280" w:firstLine="249"/>
        <w:spacing w:after="0" w:line="258" w:lineRule="auto"/>
        <w:rPr>
          <w:sz w:val="20"/>
          <w:szCs w:val="20"/>
          <w:color w:val="auto"/>
        </w:rPr>
      </w:pPr>
      <w:r>
        <w:rPr>
          <w:rFonts w:ascii="Arial" w:cs="Arial" w:eastAsia="Arial" w:hAnsi="Arial"/>
          <w:sz w:val="20"/>
          <w:szCs w:val="20"/>
          <w:color w:val="auto"/>
        </w:rPr>
        <w:t>On May 19, 2009, the Company's capital lease agreement with Micron for the U.S. nanoFab was canceled, at which time Photronics and Micron agreed to enter into a new lease agreement for the U.S. nanoFab building. Under provisions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of the new lease agreement, quarterly lease payments were reduced, the lease term was extended, and ownership of the property will not transfer to the Company at the end of the lease term. As a result of the new lease agreement, the Company reduced its lease obligations and the carrying value of its assets under capital leases by approximately $28 million. Including the $28 million reduction in carrying value of assets under capital leases, the Company's total investment to date in the purchase and equipping of the Company's U.S. nanoFab is approximately $157 million. The U.S. nanoFab began production in the second fiscal quarter of 2008.</w:t>
      </w:r>
    </w:p>
    <w:p>
      <w:pPr>
        <w:spacing w:after="0" w:line="156" w:lineRule="exact"/>
        <w:rPr>
          <w:sz w:val="20"/>
          <w:szCs w:val="20"/>
          <w:color w:val="auto"/>
        </w:rPr>
      </w:pPr>
    </w:p>
    <w:p>
      <w:pPr>
        <w:jc w:val="both"/>
        <w:ind w:right="220" w:firstLine="249"/>
        <w:spacing w:after="0" w:line="246" w:lineRule="auto"/>
        <w:rPr>
          <w:sz w:val="20"/>
          <w:szCs w:val="20"/>
          <w:color w:val="auto"/>
        </w:rPr>
      </w:pPr>
      <w:r>
        <w:rPr>
          <w:rFonts w:ascii="Arial" w:cs="Arial" w:eastAsia="Arial" w:hAnsi="Arial"/>
          <w:sz w:val="20"/>
          <w:szCs w:val="20"/>
          <w:color w:val="auto"/>
        </w:rPr>
        <w:t>Failure by Photronics or Micron to comply or execute under any of these agreements, to capitalize on the use of existing technology or to further develop technology could result in a significant disruption to the Company's business and technology activities, and could adversely affect the Company's operations and cash flows.</w:t>
      </w:r>
    </w:p>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b w:val="1"/>
          <w:bCs w:val="1"/>
          <w:color w:val="auto"/>
        </w:rPr>
        <w:t>The Company has been dependent on sales to a limited number of large customers; the loss of any of these customers or any reduction in orders from these customers could have a material adverse effect on its sales and results of operations.</w:t>
      </w:r>
    </w:p>
    <w:p>
      <w:pPr>
        <w:spacing w:after="0" w:line="124" w:lineRule="exact"/>
        <w:rPr>
          <w:sz w:val="20"/>
          <w:szCs w:val="20"/>
          <w:color w:val="auto"/>
        </w:rPr>
      </w:pPr>
    </w:p>
    <w:p>
      <w:pPr>
        <w:ind w:right="40" w:firstLine="249"/>
        <w:spacing w:after="0" w:line="266" w:lineRule="auto"/>
        <w:rPr>
          <w:sz w:val="20"/>
          <w:szCs w:val="20"/>
          <w:color w:val="auto"/>
        </w:rPr>
      </w:pPr>
      <w:r>
        <w:rPr>
          <w:rFonts w:ascii="Arial" w:cs="Arial" w:eastAsia="Arial" w:hAnsi="Arial"/>
          <w:sz w:val="18"/>
          <w:szCs w:val="18"/>
          <w:color w:val="auto"/>
        </w:rPr>
        <w:t>Historically, the Company has sold a significant proportion of photomasks to a limited number of IC and FPD manufacturers. During fiscal 2009, one customer, Samsung Electronics Co., Ltd., accounted for approximately 19% of the Company's net sales. The Company's five largest customers, in the aggregate, accounted for 42% of net sales in fiscal 2009, 44% in fiscal 2008, and 43% in fiscal 2007. None of the Company's customers has entered into a long-term agreement with the Company requiring them to purchase the Company's products. The loss of a significant customer or any reduction or delay in orders from any significant customer, (including reductions or delays due to customer departures from recent buying patterns), or an unfavorable change in market, economic, or competitive conditions in the semiconductor or FPD industries, could have a material adverse effect on the Company's financial performance and business prospects. The continuing consolidation of semiconductor manufacturers and economic downturn in the semiconductor industry may increase the likelihood of losing a significant customer and have an adverse effect on the Company's financial performance and business prospects.</w:t>
      </w:r>
    </w:p>
    <w:p>
      <w:pPr>
        <w:spacing w:after="0" w:line="148"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auto"/>
        </w:rPr>
        <w:t>The Company depends on a small number of suppliers for equipment and raw materials and, if the Company's suppliers do not deliver their products to them, the Company may be unable to deliver its products to its customers, which could adversely affect its business and results of operations.</w:t>
      </w:r>
    </w:p>
    <w:p>
      <w:pPr>
        <w:spacing w:after="0" w:line="163" w:lineRule="exact"/>
        <w:rPr>
          <w:sz w:val="20"/>
          <w:szCs w:val="20"/>
          <w:color w:val="auto"/>
        </w:rPr>
      </w:pPr>
    </w:p>
    <w:p>
      <w:pPr>
        <w:ind w:firstLine="246"/>
        <w:spacing w:after="0" w:line="239" w:lineRule="auto"/>
        <w:rPr>
          <w:sz w:val="20"/>
          <w:szCs w:val="20"/>
          <w:color w:val="auto"/>
        </w:rPr>
      </w:pPr>
      <w:r>
        <w:rPr>
          <w:rFonts w:ascii="Arial" w:cs="Arial" w:eastAsia="Arial" w:hAnsi="Arial"/>
          <w:sz w:val="20"/>
          <w:szCs w:val="20"/>
          <w:color w:val="auto"/>
        </w:rPr>
        <w:t>The Company relies on a limited number of photomask equipment manufacturers to develop and supply the equipment it uses. These equipment manufacturers currently require lead times of up to 12 months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71" w:lineRule="exact"/>
        <w:rPr>
          <w:sz w:val="20"/>
          <w:szCs w:val="20"/>
          <w:color w:val="auto"/>
        </w:rPr>
      </w:pPr>
    </w:p>
    <w:p>
      <w:pPr>
        <w:ind w:right="60" w:firstLine="246"/>
        <w:spacing w:after="0" w:line="238" w:lineRule="auto"/>
        <w:rPr>
          <w:sz w:val="20"/>
          <w:szCs w:val="20"/>
          <w:color w:val="auto"/>
        </w:rPr>
      </w:pPr>
      <w:r>
        <w:rPr>
          <w:rFonts w:ascii="Arial" w:cs="Arial" w:eastAsia="Arial" w:hAnsi="Arial"/>
          <w:sz w:val="20"/>
          <w:szCs w:val="20"/>
          <w:color w:val="auto"/>
        </w:rPr>
        <w:t>The Company uses high precision quartz photomask blanks, pellicles, and electronic grade chemicals in its manufacturing processes. There are a limited number of suppliers of these raw materials and, for production of certain high-end photomasks, there is only one available supplier. The Company has no long-term contracts for the supply of these raw materials. Any delays or quality problems in connection with significant raw materials, particularly photomask blanks, could cause delays in shipments of photomasks, which could have a material adverse effect on the Company's business and results of operations. The fluctuation of foreign currency exchange rates with respect to prices of equipment and raw materials used in manufacturing also could have a material adverse effect on the Company's business and results of operations.</w:t>
      </w:r>
    </w:p>
    <w:p>
      <w:pPr>
        <w:spacing w:after="0" w:line="167" w:lineRule="exact"/>
        <w:rPr>
          <w:sz w:val="20"/>
          <w:szCs w:val="20"/>
          <w:color w:val="auto"/>
        </w:rPr>
      </w:pPr>
    </w:p>
    <w:p>
      <w:pPr>
        <w:ind w:right="760"/>
        <w:spacing w:after="0" w:line="290" w:lineRule="auto"/>
        <w:rPr>
          <w:sz w:val="20"/>
          <w:szCs w:val="20"/>
          <w:color w:val="auto"/>
        </w:rPr>
      </w:pPr>
      <w:r>
        <w:rPr>
          <w:rFonts w:ascii="Arial" w:cs="Arial" w:eastAsia="Arial" w:hAnsi="Arial"/>
          <w:sz w:val="18"/>
          <w:szCs w:val="18"/>
          <w:b w:val="1"/>
          <w:bCs w:val="1"/>
          <w:color w:val="auto"/>
        </w:rPr>
        <w:t>The Company faces risks associated with complex manufacturing processes, including the use of sophisticated equipment and manufacturing processes with complex technologies. The inability of the Company to effectively utilize these processes and technologies could have a material adverse effect on its business and results of operations.</w:t>
      </w:r>
    </w:p>
    <w:p>
      <w:pPr>
        <w:spacing w:after="0" w:line="128" w:lineRule="exact"/>
        <w:rPr>
          <w:sz w:val="20"/>
          <w:szCs w:val="20"/>
          <w:color w:val="auto"/>
        </w:rPr>
      </w:pPr>
    </w:p>
    <w:p>
      <w:pPr>
        <w:ind w:right="20" w:firstLine="246"/>
        <w:spacing w:after="0" w:line="242" w:lineRule="auto"/>
        <w:rPr>
          <w:sz w:val="20"/>
          <w:szCs w:val="20"/>
          <w:color w:val="auto"/>
        </w:rPr>
      </w:pPr>
      <w:r>
        <w:rPr>
          <w:rFonts w:ascii="Arial" w:cs="Arial" w:eastAsia="Arial" w:hAnsi="Arial"/>
          <w:sz w:val="20"/>
          <w:szCs w:val="20"/>
          <w:color w:val="auto"/>
        </w:rPr>
        <w:t>The Company's complex manufacturing processes require the use of expensive and technologically sophisticated equipment and materials, and are continuously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debt agreements limit its ability to obtain financing and obligates the Company to repay debt.</w:t>
      </w:r>
    </w:p>
    <w:p>
      <w:pPr>
        <w:sectPr>
          <w:pgSz w:w="11900" w:h="16838" w:orient="portrait"/>
          <w:cols w:equalWidth="0" w:num="1">
            <w:col w:w="11420"/>
          </w:cols>
          <w:pgMar w:left="240" w:top="120" w:right="239" w:bottom="0" w:gutter="0" w:footer="0" w:header="0"/>
        </w:sectPr>
      </w:pPr>
    </w:p>
    <w:bookmarkStart w:id="7" w:name="page8"/>
    <w:bookmarkEnd w:id="7"/>
    <w:p>
      <w:pPr>
        <w:ind w:right="60" w:firstLine="238"/>
        <w:spacing w:after="0" w:line="267" w:lineRule="auto"/>
        <w:rPr>
          <w:sz w:val="20"/>
          <w:szCs w:val="20"/>
          <w:color w:val="auto"/>
        </w:rPr>
      </w:pPr>
      <w:r>
        <w:rPr>
          <w:rFonts w:ascii="Arial" w:cs="Arial" w:eastAsia="Arial" w:hAnsi="Arial"/>
          <w:sz w:val="18"/>
          <w:szCs w:val="18"/>
          <w:color w:val="auto"/>
        </w:rPr>
        <w:t>As of November 1, 2009, the Company had $2.6 million outstanding under its revolving credit facility and $27.2 million outstanding under its term loan agreement. The outstanding balance of the revolving credit facility was reduced by $120.2 million during the quarter ended November 1, 2009, primarily with the net proceeds of the Company's 5.5% convertible notes and common stock offerings, and with cash from operations. On June 8, 2009, the Company entered into the aforementioned term loan agreement in the U.S. for $27.2 million, which was used to repay outstanding foreign loans on June 12, 2009. Financial covenants related to these debts include, among others, a Senior Leverage Ratio, Total Leverage Ratio, Minimum Fixed Charge Ratio and minimum six-month EBITDA levels. Existing covenant restrictions limit the Company's ability to obtain additional debt financing and, should Photronics be unable to meet one or more of these covenants, the bank may require the Company to repay the outstanding balances prior to the expiration date of the agreements.</w:t>
      </w:r>
    </w:p>
    <w:p>
      <w:pPr>
        <w:spacing w:after="0" w:line="153" w:lineRule="exact"/>
        <w:rPr>
          <w:sz w:val="20"/>
          <w:szCs w:val="20"/>
          <w:color w:val="auto"/>
        </w:rPr>
      </w:pPr>
    </w:p>
    <w:p>
      <w:pPr>
        <w:ind w:firstLine="246"/>
        <w:spacing w:after="0" w:line="256" w:lineRule="auto"/>
        <w:rPr>
          <w:sz w:val="20"/>
          <w:szCs w:val="20"/>
          <w:color w:val="auto"/>
        </w:rPr>
      </w:pPr>
      <w:r>
        <w:rPr>
          <w:rFonts w:ascii="Arial" w:cs="Arial" w:eastAsia="Arial" w:hAnsi="Arial"/>
          <w:sz w:val="19"/>
          <w:szCs w:val="19"/>
          <w:color w:val="auto"/>
        </w:rPr>
        <w:t>The Company's ability to comply with the financial and other covenants in its debt agreements may be affected by worsening economic or business conditions, or other events. Should the Company be unable to meet one or more of these covenants, lenders may require the Company to repay its outstanding balances prior to the expiration date of the agreements. The Company cannot assure that additional sources of financing will be available to pay off long-term borrowings to avoid default. Should the Company default on any of the long-term borrowings, a cross default would occur on other long-term borrowings, unless amended or waived.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prior and future acquisitions may entail certain operational and financial risks.</w:t>
      </w:r>
    </w:p>
    <w:p>
      <w:pPr>
        <w:spacing w:after="0" w:line="200" w:lineRule="exact"/>
        <w:rPr>
          <w:sz w:val="20"/>
          <w:szCs w:val="20"/>
          <w:color w:val="auto"/>
        </w:rPr>
      </w:pPr>
    </w:p>
    <w:p>
      <w:pPr>
        <w:ind w:right="40" w:firstLine="246"/>
        <w:spacing w:after="0" w:line="250" w:lineRule="auto"/>
        <w:rPr>
          <w:sz w:val="20"/>
          <w:szCs w:val="20"/>
          <w:color w:val="auto"/>
        </w:rPr>
      </w:pPr>
      <w:r>
        <w:rPr>
          <w:rFonts w:ascii="Arial" w:cs="Arial" w:eastAsia="Arial" w:hAnsi="Arial"/>
          <w:sz w:val="19"/>
          <w:szCs w:val="19"/>
          <w:color w:val="auto"/>
        </w:rPr>
        <w:t>The Company has made significant acquisitions throughout its history. Acquisitions have focused on increasing its manufacturing presence in Asia, including its acquisition of Precision Semiconductor Mask Corporation, a Taiwanese photomask manufacturer, in 2000 and PK Ltd., a Korean photomask manufacturer, in 2001 and increasing its technology base through the MP Mask joint venture between Photronics and Micron in 2006. The Company may make additional acquisitions in the future. Acquisitions place significant demands on the Company's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amortization of acquired intangible assets and potential loss of key employees of acquired operations. Sales of acquired operations also may decline following an acquisition, particularly if there is an overlap of customers served by the Company and the acquired operation, and these customers transition to another vendor in order to ensure a second source of supply. Furthermore, the Company may be required to utilize its cash reserves and/or issue new securities for future acquisitions, which could have a dilutive effect on its 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cash flow from operations and current holdings of cash may not be adequate for its current and long term needs.</w:t>
      </w:r>
    </w:p>
    <w:p>
      <w:pPr>
        <w:spacing w:after="0" w:line="223" w:lineRule="exact"/>
        <w:rPr>
          <w:sz w:val="20"/>
          <w:szCs w:val="20"/>
          <w:color w:val="auto"/>
        </w:rPr>
      </w:pPr>
    </w:p>
    <w:p>
      <w:pPr>
        <w:ind w:firstLine="246"/>
        <w:spacing w:after="0" w:line="267" w:lineRule="auto"/>
        <w:rPr>
          <w:sz w:val="20"/>
          <w:szCs w:val="20"/>
          <w:color w:val="auto"/>
        </w:rPr>
      </w:pPr>
      <w:r>
        <w:rPr>
          <w:rFonts w:ascii="Arial" w:cs="Arial" w:eastAsia="Arial" w:hAnsi="Arial"/>
          <w:sz w:val="18"/>
          <w:szCs w:val="18"/>
          <w:color w:val="auto"/>
        </w:rPr>
        <w:t>The Company's liquidity is highly dependent on its sales volume and the timing of its capital expenditures, (which can vary significantly from period to period), as it operates in a high fixed cost environment. Depending on conditions in the IC semiconductor and FPD market, the Company's cash flows from operations and current holdings of cash may not be adequate to meet the Company's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is evaluating alternatives to increase its capital, delaying capital expenditures and evaluating further cost reduction initiatives. However, the Company cannot assure that additional sources of financing would be available to it on commercially favorable terms should its capital requirements exceed cash available from operations and existing cash, and cash available under its credit facility.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65" w:lineRule="auto"/>
        <w:rPr>
          <w:sz w:val="20"/>
          <w:szCs w:val="20"/>
          <w:color w:val="auto"/>
        </w:rPr>
      </w:pPr>
      <w:r>
        <w:rPr>
          <w:rFonts w:ascii="Arial" w:cs="Arial" w:eastAsia="Arial" w:hAnsi="Arial"/>
          <w:sz w:val="20"/>
          <w:szCs w:val="20"/>
          <w:b w:val="1"/>
          <w:bCs w:val="1"/>
          <w:color w:val="auto"/>
        </w:rPr>
        <w:t>The Company may incur unforeseen charges related to its 2009 restructurings in China and the U.K. or, it may fail to realize projected benefits related to these or any other possible future facility closures or restructures.</w:t>
      </w:r>
    </w:p>
    <w:p>
      <w:pPr>
        <w:spacing w:after="0" w:line="146" w:lineRule="exact"/>
        <w:rPr>
          <w:sz w:val="20"/>
          <w:szCs w:val="20"/>
          <w:color w:val="auto"/>
        </w:rPr>
      </w:pPr>
    </w:p>
    <w:p>
      <w:pPr>
        <w:ind w:right="140" w:firstLine="249"/>
        <w:spacing w:after="0" w:line="242" w:lineRule="auto"/>
        <w:rPr>
          <w:sz w:val="20"/>
          <w:szCs w:val="20"/>
          <w:color w:val="auto"/>
        </w:rPr>
      </w:pPr>
      <w:r>
        <w:rPr>
          <w:rFonts w:ascii="Arial" w:cs="Arial" w:eastAsia="Arial" w:hAnsi="Arial"/>
          <w:sz w:val="20"/>
          <w:szCs w:val="20"/>
          <w:color w:val="auto"/>
        </w:rPr>
        <w:t>In order to lower its operating costs and increase its manufacturing efficiencies, the Company ceased the manufacture of photomasks at its facility in Manchester, U.K., in January 2009 and at its facility in Shanghai, China, in July 2009. However, the Company cannot assure that these actions will not result in unforeseen costs, disruptions in its operations, or other negative events that could result in its failing to realize the projected benefits of these restructures.</w:t>
      </w:r>
    </w:p>
    <w:p>
      <w:pPr>
        <w:spacing w:after="0" w:line="169" w:lineRule="exact"/>
        <w:rPr>
          <w:sz w:val="20"/>
          <w:szCs w:val="20"/>
          <w:color w:val="auto"/>
        </w:rPr>
      </w:pPr>
    </w:p>
    <w:p>
      <w:pPr>
        <w:ind w:right="80" w:firstLine="246"/>
        <w:spacing w:after="0" w:line="285" w:lineRule="auto"/>
        <w:rPr>
          <w:sz w:val="20"/>
          <w:szCs w:val="20"/>
          <w:color w:val="auto"/>
        </w:rPr>
      </w:pPr>
      <w:r>
        <w:rPr>
          <w:rFonts w:ascii="Arial" w:cs="Arial" w:eastAsia="Arial" w:hAnsi="Arial"/>
          <w:sz w:val="19"/>
          <w:szCs w:val="19"/>
          <w:color w:val="auto"/>
        </w:rPr>
        <w:t>The Company also cannot assure that there will not be additional facility closures or other restructurings in the near or long term, nor can it assure that it will not incur significant charges should there be any additional future facility closures or restructures.</w:t>
      </w:r>
    </w:p>
    <w:p>
      <w:pPr>
        <w:spacing w:after="0" w:line="123" w:lineRule="exact"/>
        <w:rPr>
          <w:sz w:val="20"/>
          <w:szCs w:val="20"/>
          <w:color w:val="auto"/>
        </w:rPr>
      </w:pPr>
    </w:p>
    <w:p>
      <w:pPr>
        <w:ind w:right="540"/>
        <w:spacing w:after="0" w:line="321" w:lineRule="auto"/>
        <w:rPr>
          <w:sz w:val="20"/>
          <w:szCs w:val="20"/>
          <w:color w:val="auto"/>
        </w:rPr>
      </w:pPr>
      <w:r>
        <w:rPr>
          <w:rFonts w:ascii="Arial" w:cs="Arial" w:eastAsia="Arial" w:hAnsi="Arial"/>
          <w:sz w:val="18"/>
          <w:szCs w:val="18"/>
          <w:b w:val="1"/>
          <w:bCs w:val="1"/>
          <w:color w:val="auto"/>
        </w:rPr>
        <w:t>The Company operates in a highly competitive industry; should the Company be unable to meet its customers' requirements for product quality, timeliness of delivery or technical capabilities, it could adversely affect the Company's sales.</w:t>
      </w:r>
    </w:p>
    <w:p>
      <w:pPr>
        <w:spacing w:after="0" w:line="100" w:lineRule="exact"/>
        <w:rPr>
          <w:sz w:val="20"/>
          <w:szCs w:val="20"/>
          <w:color w:val="auto"/>
        </w:rPr>
      </w:pPr>
    </w:p>
    <w:p>
      <w:pPr>
        <w:ind w:right="40" w:firstLine="246"/>
        <w:spacing w:after="0" w:line="249" w:lineRule="auto"/>
        <w:rPr>
          <w:sz w:val="20"/>
          <w:szCs w:val="20"/>
          <w:color w:val="auto"/>
        </w:rPr>
      </w:pPr>
      <w:r>
        <w:rPr>
          <w:rFonts w:ascii="Arial" w:cs="Arial" w:eastAsia="Arial" w:hAnsi="Arial"/>
          <w:sz w:val="19"/>
          <w:szCs w:val="19"/>
          <w:color w:val="auto"/>
        </w:rPr>
        <w:t>The photomask industry is highly competitive, and most of the Company's customers utilize more than one photomask supplier. The Company's competitors include Compugraphics, Inc., Dai Nippon Printing Co., Ltd., Hoya Corporation, SK-Electronics Co., Ltd., Taiwan Mask Corporation, Toppan Printing Co., Ltd. and Toppan Chungwha Electronics Corporation.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does.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have a material adverse effect on its business and results of operations. In the past, competition led to pressure to reduce prices which, the Company believes, contributed to the decrease in the number of independent manufacturers. This pressure to reduce prices may continue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substantial international operations are subject to additional risks.</w:t>
      </w:r>
    </w:p>
    <w:p>
      <w:pPr>
        <w:sectPr>
          <w:pgSz w:w="11900" w:h="16838" w:orient="portrait"/>
          <w:cols w:equalWidth="0" w:num="1">
            <w:col w:w="11420"/>
          </w:cols>
          <w:pgMar w:left="240" w:top="120" w:right="239" w:bottom="101" w:gutter="0" w:footer="0" w:header="0"/>
        </w:sectPr>
      </w:pPr>
    </w:p>
    <w:bookmarkStart w:id="8" w:name="page9"/>
    <w:bookmarkEnd w:id="8"/>
    <w:p>
      <w:pPr>
        <w:ind w:right="200" w:firstLine="249"/>
        <w:spacing w:after="0" w:line="269" w:lineRule="auto"/>
        <w:rPr>
          <w:sz w:val="20"/>
          <w:szCs w:val="20"/>
          <w:color w:val="auto"/>
        </w:rPr>
      </w:pPr>
      <w:r>
        <w:rPr>
          <w:rFonts w:ascii="Arial" w:cs="Arial" w:eastAsia="Arial" w:hAnsi="Arial"/>
          <w:sz w:val="18"/>
          <w:szCs w:val="18"/>
          <w:color w:val="auto"/>
        </w:rPr>
        <w:t>International sales accounted for approximately 72% of the Company's net sales for fiscal 2009, 77% in fiscal 2008, and 75% in fiscal 2007. The Company believes that maintaining significant international operations requires it to have, among other things, a local presence in the markets in which it operates. This requires significant investments of financial, managerial, operational, and other resources. Since 1996, the Company has significantly expanded its operations in international markets by acquiring existing businesses in Europe, establishing a manufacturing operation in Singapore, acquiring majority equity interests in photomask manufacturing operations in Korea and Taiwan and building a new manufacturing facility for FPD photomasks in Taiwan. As the served market continues to shift to Asia, the Company will continue to assess its manufacturing base and may close or open new facilities to adapt to these market conditions.</w:t>
      </w:r>
    </w:p>
    <w:p>
      <w:pPr>
        <w:spacing w:after="0" w:line="147" w:lineRule="exact"/>
        <w:rPr>
          <w:sz w:val="20"/>
          <w:szCs w:val="20"/>
          <w:color w:val="auto"/>
        </w:rPr>
      </w:pPr>
    </w:p>
    <w:p>
      <w:pPr>
        <w:ind w:right="280" w:firstLine="249"/>
        <w:spacing w:after="0"/>
        <w:rPr>
          <w:sz w:val="20"/>
          <w:szCs w:val="20"/>
          <w:color w:val="auto"/>
        </w:rPr>
      </w:pPr>
      <w:r>
        <w:rPr>
          <w:rFonts w:ascii="Arial" w:cs="Arial" w:eastAsia="Arial" w:hAnsi="Arial"/>
          <w:sz w:val="20"/>
          <w:szCs w:val="20"/>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the United States and, consequently, on its business and results of operations.</w:t>
      </w:r>
    </w:p>
    <w:p>
      <w:pPr>
        <w:spacing w:after="0" w:line="165" w:lineRule="exact"/>
        <w:rPr>
          <w:sz w:val="20"/>
          <w:szCs w:val="20"/>
          <w:color w:val="auto"/>
        </w:rPr>
      </w:pPr>
    </w:p>
    <w:p>
      <w:pPr>
        <w:ind w:right="640"/>
        <w:spacing w:after="0" w:line="265" w:lineRule="auto"/>
        <w:rPr>
          <w:sz w:val="20"/>
          <w:szCs w:val="20"/>
          <w:color w:val="auto"/>
        </w:rPr>
      </w:pPr>
      <w:r>
        <w:rPr>
          <w:rFonts w:ascii="Arial" w:cs="Arial" w:eastAsia="Arial" w:hAnsi="Arial"/>
          <w:sz w:val="20"/>
          <w:szCs w:val="20"/>
          <w:b w:val="1"/>
          <w:bCs w:val="1"/>
          <w:color w:val="auto"/>
        </w:rPr>
        <w:t>Changes in foreign currency exchange rates could materially, adversely affect the Company's business, results of operations, or financial condition.</w:t>
      </w:r>
    </w:p>
    <w:p>
      <w:pPr>
        <w:spacing w:after="0" w:line="146" w:lineRule="exact"/>
        <w:rPr>
          <w:sz w:val="20"/>
          <w:szCs w:val="20"/>
          <w:color w:val="auto"/>
        </w:rPr>
      </w:pPr>
    </w:p>
    <w:p>
      <w:pPr>
        <w:ind w:firstLine="295"/>
        <w:spacing w:after="0" w:line="238" w:lineRule="auto"/>
        <w:rPr>
          <w:sz w:val="20"/>
          <w:szCs w:val="20"/>
          <w:color w:val="auto"/>
        </w:rPr>
      </w:pPr>
      <w:r>
        <w:rPr>
          <w:rFonts w:ascii="Arial" w:cs="Arial" w:eastAsia="Arial" w:hAnsi="Arial"/>
          <w:sz w:val="20"/>
          <w:szCs w:val="20"/>
          <w:color w:val="auto"/>
        </w:rPr>
        <w:t>The Company's financial statements are prepared in accordance with accounting principals generally accepted in the United States of America (U.S. GAAP) and are reported in U.S. dollars. The Company's international operations have transactions and balances denominated in currencies other than the U.S. dollar, primarily the Korean won, New Taiwan dollar, Japanese yen, Singapore dollar, euro, British pound and Chinese renminbi. In fiscal 2009, the Company recorded a net loss of $3.1 million in its statement of operations from changes in foreign currency rates, while its net assets were increased by $10.7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291" w:lineRule="auto"/>
        <w:rPr>
          <w:sz w:val="20"/>
          <w:szCs w:val="20"/>
          <w:color w:val="auto"/>
        </w:rPr>
      </w:pPr>
      <w:r>
        <w:rPr>
          <w:rFonts w:ascii="Arial" w:cs="Arial" w:eastAsia="Arial" w:hAnsi="Arial"/>
          <w:sz w:val="19"/>
          <w:szCs w:val="19"/>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124" w:lineRule="exact"/>
        <w:rPr>
          <w:sz w:val="20"/>
          <w:szCs w:val="20"/>
          <w:color w:val="auto"/>
        </w:rPr>
      </w:pPr>
    </w:p>
    <w:p>
      <w:pPr>
        <w:ind w:right="100" w:firstLine="246"/>
        <w:spacing w:after="0"/>
        <w:rPr>
          <w:sz w:val="20"/>
          <w:szCs w:val="20"/>
          <w:color w:val="auto"/>
        </w:rPr>
      </w:pPr>
      <w:r>
        <w:rPr>
          <w:rFonts w:ascii="Arial" w:cs="Arial" w:eastAsia="Arial" w:hAnsi="Arial"/>
          <w:sz w:val="20"/>
          <w:szCs w:val="20"/>
          <w:color w:val="auto"/>
        </w:rPr>
        <w:t>The Company's success, in part, depends upon key managerial, engineering and technical personnel, as well as its ability to continue to attract and retain additional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 The Company believes that it provides competitive compensation and incentive packages to its employees.</w:t>
      </w:r>
    </w:p>
    <w:p>
      <w:pPr>
        <w:spacing w:after="0" w:line="165" w:lineRule="exact"/>
        <w:rPr>
          <w:sz w:val="20"/>
          <w:szCs w:val="20"/>
          <w:color w:val="auto"/>
        </w:rPr>
      </w:pPr>
    </w:p>
    <w:p>
      <w:pPr>
        <w:jc w:val="both"/>
        <w:ind w:right="120"/>
        <w:spacing w:after="0" w:line="249" w:lineRule="auto"/>
        <w:rPr>
          <w:sz w:val="20"/>
          <w:szCs w:val="20"/>
          <w:color w:val="auto"/>
        </w:rPr>
      </w:pPr>
      <w:r>
        <w:rPr>
          <w:rFonts w:ascii="Arial" w:cs="Arial" w:eastAsia="Arial" w:hAnsi="Arial"/>
          <w:sz w:val="20"/>
          <w:szCs w:val="20"/>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63" w:lineRule="exact"/>
        <w:rPr>
          <w:sz w:val="20"/>
          <w:szCs w:val="20"/>
          <w:color w:val="auto"/>
        </w:rPr>
      </w:pPr>
    </w:p>
    <w:p>
      <w:pPr>
        <w:ind w:right="100" w:firstLine="246"/>
        <w:spacing w:after="0" w:line="246" w:lineRule="auto"/>
        <w:rPr>
          <w:sz w:val="20"/>
          <w:szCs w:val="20"/>
          <w:color w:val="auto"/>
        </w:rPr>
      </w:pPr>
      <w:r>
        <w:rPr>
          <w:rFonts w:ascii="Arial" w:cs="Arial" w:eastAsia="Arial" w:hAnsi="Arial"/>
          <w:sz w:val="20"/>
          <w:szCs w:val="20"/>
          <w:color w:val="auto"/>
        </w:rPr>
        <w:t>The Company believes that the success of its business depends more on its proprietary technology, information and processes, and know-how than on its patents or trademarks. Much of its proprietary information and technology relating to manufacturing processes is not patented and may not be patentable. The Company cannot offer assurance that:</w:t>
      </w:r>
    </w:p>
    <w:p>
      <w:pPr>
        <w:spacing w:after="0" w:line="165" w:lineRule="exact"/>
        <w:rPr>
          <w:sz w:val="20"/>
          <w:szCs w:val="20"/>
          <w:color w:val="auto"/>
        </w:rPr>
      </w:pPr>
    </w:p>
    <w:p>
      <w:pPr>
        <w:ind w:left="440" w:hanging="191"/>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it will be able to adequately protect its technology;</w:t>
      </w:r>
    </w:p>
    <w:p>
      <w:pPr>
        <w:spacing w:after="0" w:line="193" w:lineRule="exact"/>
        <w:rPr>
          <w:rFonts w:ascii="Arial" w:cs="Arial" w:eastAsia="Arial" w:hAnsi="Arial"/>
          <w:sz w:val="20"/>
          <w:szCs w:val="20"/>
          <w:color w:val="auto"/>
        </w:rPr>
      </w:pPr>
    </w:p>
    <w:p>
      <w:pPr>
        <w:ind w:left="440" w:hanging="191"/>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competitors will not independently develop similar technology; or</w:t>
      </w:r>
    </w:p>
    <w:p>
      <w:pPr>
        <w:spacing w:after="0" w:line="193" w:lineRule="exact"/>
        <w:rPr>
          <w:rFonts w:ascii="Arial" w:cs="Arial" w:eastAsia="Arial" w:hAnsi="Arial"/>
          <w:sz w:val="20"/>
          <w:szCs w:val="20"/>
          <w:color w:val="auto"/>
        </w:rPr>
      </w:pPr>
    </w:p>
    <w:p>
      <w:pPr>
        <w:ind w:left="440" w:hanging="191"/>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international intellectual property laws will adequately protect its intellectual property rights.</w:t>
      </w:r>
    </w:p>
    <w:p>
      <w:pPr>
        <w:spacing w:after="0" w:line="194" w:lineRule="exact"/>
        <w:rPr>
          <w:sz w:val="20"/>
          <w:szCs w:val="20"/>
          <w:color w:val="auto"/>
        </w:rPr>
      </w:pPr>
    </w:p>
    <w:p>
      <w:pPr>
        <w:ind w:right="80" w:firstLine="246"/>
        <w:spacing w:after="0" w:line="256" w:lineRule="auto"/>
        <w:rPr>
          <w:sz w:val="20"/>
          <w:szCs w:val="20"/>
          <w:color w:val="auto"/>
        </w:rPr>
      </w:pPr>
      <w:r>
        <w:rPr>
          <w:rFonts w:ascii="Arial" w:cs="Arial" w:eastAsia="Arial" w:hAnsi="Arial"/>
          <w:sz w:val="19"/>
          <w:szCs w:val="19"/>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to defend itself against claimed infringement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150" w:lineRule="exact"/>
        <w:rPr>
          <w:sz w:val="20"/>
          <w:szCs w:val="20"/>
          <w:color w:val="auto"/>
        </w:rPr>
      </w:pPr>
    </w:p>
    <w:p>
      <w:pPr>
        <w:ind w:right="940"/>
        <w:spacing w:after="0" w:line="265" w:lineRule="auto"/>
        <w:rPr>
          <w:sz w:val="20"/>
          <w:szCs w:val="20"/>
          <w:color w:val="auto"/>
        </w:rPr>
      </w:pPr>
      <w:r>
        <w:rPr>
          <w:rFonts w:ascii="Arial" w:cs="Arial" w:eastAsia="Arial" w:hAnsi="Arial"/>
          <w:sz w:val="20"/>
          <w:szCs w:val="20"/>
          <w:b w:val="1"/>
          <w:bCs w:val="1"/>
          <w:color w:val="auto"/>
        </w:rPr>
        <w:t>The Company may be unprepared for changes to environmental laws and regulations and may incur liabilities arising from environmental matters.</w:t>
      </w:r>
    </w:p>
    <w:p>
      <w:pPr>
        <w:spacing w:after="0" w:line="146" w:lineRule="exact"/>
        <w:rPr>
          <w:sz w:val="20"/>
          <w:szCs w:val="20"/>
          <w:color w:val="auto"/>
        </w:rPr>
      </w:pPr>
    </w:p>
    <w:p>
      <w:pPr>
        <w:ind w:right="140" w:firstLine="246"/>
        <w:spacing w:after="0" w:line="278"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138" w:lineRule="exact"/>
        <w:rPr>
          <w:sz w:val="20"/>
          <w:szCs w:val="20"/>
          <w:color w:val="auto"/>
        </w:rPr>
      </w:pPr>
    </w:p>
    <w:p>
      <w:pPr>
        <w:ind w:right="20" w:firstLine="249"/>
        <w:spacing w:after="0"/>
        <w:rPr>
          <w:sz w:val="20"/>
          <w:szCs w:val="20"/>
          <w:color w:val="auto"/>
        </w:rPr>
      </w:pPr>
      <w:r>
        <w:rPr>
          <w:rFonts w:ascii="Arial" w:cs="Arial" w:eastAsia="Arial" w:hAnsi="Arial"/>
          <w:sz w:val="20"/>
          <w:szCs w:val="20"/>
          <w:color w:val="auto"/>
        </w:rPr>
        <w:t>In addition, these laws and regulations may impose clean-up liabilities on current and former owners and operators of real property, without regard to fault, so that these liabilities may be joint and several with other parties. In the past, the Company has been involved in remediation activities relating to its properties. The Company believes, based upon current information, that environmental liabilities relating to these activities or other matters are not material to its financial statements. However, there can be no assurances that the Company will not incur any material environmental liabilities in the future.</w:t>
      </w:r>
    </w:p>
    <w:p>
      <w:pPr>
        <w:spacing w:after="0" w:line="165" w:lineRule="exact"/>
        <w:rPr>
          <w:sz w:val="20"/>
          <w:szCs w:val="20"/>
          <w:color w:val="auto"/>
        </w:rPr>
      </w:pPr>
    </w:p>
    <w:p>
      <w:pPr>
        <w:ind w:right="660"/>
        <w:spacing w:after="0" w:line="265" w:lineRule="auto"/>
        <w:rPr>
          <w:sz w:val="20"/>
          <w:szCs w:val="20"/>
          <w:color w:val="auto"/>
        </w:rPr>
      </w:pPr>
      <w:r>
        <w:rPr>
          <w:rFonts w:ascii="Arial" w:cs="Arial" w:eastAsia="Arial" w:hAnsi="Arial"/>
          <w:sz w:val="20"/>
          <w:szCs w:val="20"/>
          <w:b w:val="1"/>
          <w:bCs w:val="1"/>
          <w:color w:val="auto"/>
        </w:rPr>
        <w:t>The Company's production facilities could be damaged or disrupted by a natural disaster or labor strike, either of which could adversely affect its financial position, results of operations and cash flows.</w:t>
      </w:r>
    </w:p>
    <w:p>
      <w:pPr>
        <w:sectPr>
          <w:pgSz w:w="11900" w:h="16838" w:orient="portrait"/>
          <w:cols w:equalWidth="0" w:num="1">
            <w:col w:w="11420"/>
          </w:cols>
          <w:pgMar w:left="240" w:top="120" w:right="239" w:bottom="0" w:gutter="0" w:footer="0" w:header="0"/>
        </w:sectPr>
      </w:pPr>
    </w:p>
    <w:bookmarkStart w:id="9" w:name="page10"/>
    <w:bookmarkEnd w:id="9"/>
    <w:p>
      <w:pPr>
        <w:ind w:right="80" w:firstLine="246"/>
        <w:spacing w:after="0" w:line="278" w:lineRule="auto"/>
        <w:rPr>
          <w:sz w:val="20"/>
          <w:szCs w:val="20"/>
          <w:color w:val="auto"/>
        </w:rPr>
      </w:pPr>
      <w:r>
        <w:rPr>
          <w:rFonts w:ascii="Arial" w:cs="Arial" w:eastAsia="Arial" w:hAnsi="Arial"/>
          <w:sz w:val="18"/>
          <w:szCs w:val="18"/>
          <w:color w:val="auto"/>
        </w:rPr>
        <w:t>The Company's facilities in Taiwan are located in a seismically active area. In addition, a major catastrophe such as an earthquake or other natural disaster, labor strikes, or work stoppage at any of the Company's manufacturing facilities could result in a prolonged interruption of its business. Any disruption resulting from these events could cause significant delays in shipments of the Company's products and the loss of sales and customers, which could have a material, adverse effect on the Company's financial position, results of operations, and cash flows.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spacing w:after="0" w:line="265" w:lineRule="auto"/>
        <w:rPr>
          <w:sz w:val="20"/>
          <w:szCs w:val="20"/>
          <w:color w:val="auto"/>
        </w:rPr>
      </w:pPr>
      <w:r>
        <w:rPr>
          <w:rFonts w:ascii="Arial" w:cs="Arial" w:eastAsia="Arial" w:hAnsi="Arial"/>
          <w:sz w:val="20"/>
          <w:szCs w:val="20"/>
          <w:b w:val="1"/>
          <w:bCs w:val="1"/>
          <w:color w:val="auto"/>
        </w:rPr>
        <w:t>The Company's sales can be impacted by the health and stability of the general economy, which could adversely affect its operations and cash flows.</w:t>
      </w:r>
    </w:p>
    <w:p>
      <w:pPr>
        <w:spacing w:after="0" w:line="146" w:lineRule="exact"/>
        <w:rPr>
          <w:sz w:val="20"/>
          <w:szCs w:val="20"/>
          <w:color w:val="auto"/>
        </w:rPr>
      </w:pPr>
    </w:p>
    <w:p>
      <w:pPr>
        <w:ind w:right="20" w:firstLine="246"/>
        <w:spacing w:after="0" w:line="278" w:lineRule="auto"/>
        <w:rPr>
          <w:sz w:val="20"/>
          <w:szCs w:val="20"/>
          <w:color w:val="auto"/>
        </w:rPr>
      </w:pPr>
      <w:r>
        <w:rPr>
          <w:rFonts w:ascii="Arial" w:cs="Arial" w:eastAsia="Arial" w:hAnsi="Arial"/>
          <w:sz w:val="18"/>
          <w:szCs w:val="18"/>
          <w:color w:val="auto"/>
        </w:rPr>
        <w:t>The global recession and other unfavorable changes in general economic conditions in the U.S. or other countries in which the Company does business may have the effect of reducing the demand for photomasks. For example, an economic downturn may lead to a decrease in demand for end products whose manufacturing process involves the use of photomasks, which may result in a reduction in new product design and development by semiconductor manufacturers, which could adversely affect the Company's operations and cash flows.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the Company's credit standing could adversely affect its financial position.</w:t>
      </w:r>
    </w:p>
    <w:p>
      <w:pPr>
        <w:spacing w:after="0" w:line="200" w:lineRule="exact"/>
        <w:rPr>
          <w:sz w:val="20"/>
          <w:szCs w:val="20"/>
          <w:color w:val="auto"/>
        </w:rPr>
      </w:pPr>
    </w:p>
    <w:p>
      <w:pPr>
        <w:ind w:right="240" w:firstLine="246"/>
        <w:spacing w:after="0" w:line="246" w:lineRule="auto"/>
        <w:rPr>
          <w:sz w:val="20"/>
          <w:szCs w:val="20"/>
          <w:color w:val="auto"/>
        </w:rPr>
      </w:pPr>
      <w:r>
        <w:rPr>
          <w:rFonts w:ascii="Arial" w:cs="Arial" w:eastAsia="Arial" w:hAnsi="Arial"/>
          <w:sz w:val="20"/>
          <w:szCs w:val="20"/>
          <w:color w:val="auto"/>
        </w:rPr>
        <w:t>The Company's ability to raise debt capital can be materially influenced by acquisitions, dispositions, other investment decisions, and the results of its operations in the near-term. Should the Company's credit standing decline, its cost and ability to raise needed working and investment capital could adversely affect its results of operations and cash flows.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taxes could adversely affect the Company's financial results.</w:t>
      </w:r>
    </w:p>
    <w:p>
      <w:pPr>
        <w:spacing w:after="0" w:line="200" w:lineRule="exact"/>
        <w:rPr>
          <w:sz w:val="20"/>
          <w:szCs w:val="20"/>
          <w:color w:val="auto"/>
        </w:rPr>
      </w:pPr>
    </w:p>
    <w:p>
      <w:pPr>
        <w:ind w:right="180" w:firstLine="246"/>
        <w:spacing w:after="0"/>
        <w:rPr>
          <w:sz w:val="20"/>
          <w:szCs w:val="20"/>
          <w:color w:val="auto"/>
        </w:rPr>
      </w:pPr>
      <w:r>
        <w:rPr>
          <w:rFonts w:ascii="Arial" w:cs="Arial" w:eastAsia="Arial" w:hAnsi="Arial"/>
          <w:sz w:val="20"/>
          <w:szCs w:val="20"/>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Company's business could be adversely impacted by global or regional catastrophic events.</w:t>
      </w:r>
    </w:p>
    <w:p>
      <w:pPr>
        <w:spacing w:after="0" w:line="200" w:lineRule="exact"/>
        <w:rPr>
          <w:sz w:val="20"/>
          <w:szCs w:val="20"/>
          <w:color w:val="auto"/>
        </w:rPr>
      </w:pPr>
    </w:p>
    <w:p>
      <w:pPr>
        <w:ind w:right="140" w:firstLine="246"/>
        <w:spacing w:after="0"/>
        <w:rPr>
          <w:sz w:val="20"/>
          <w:szCs w:val="20"/>
          <w:color w:val="auto"/>
        </w:rPr>
      </w:pPr>
      <w:r>
        <w:rPr>
          <w:rFonts w:ascii="Arial" w:cs="Arial" w:eastAsia="Arial" w:hAnsi="Arial"/>
          <w:sz w:val="20"/>
          <w:szCs w:val="20"/>
          <w:color w:val="auto"/>
        </w:rPr>
        <w:t>The Company's business could be adversely affected by terrorist acts, major natural disasters, widespread outbreaks of infectious diseases, or the outbreak or escalation of wars, especially in the Asian region where the Company generates a significant portion of its international sales. Such events in the geographic regions in which the Company does business, including political tensions within the Korean Peninsula where a major portion of the Company's foreign operations are located, could have material, adverse impacts on its sales volume, cost of raw materials, earnings, cash flows and financial condition.</w:t>
      </w:r>
    </w:p>
    <w:p>
      <w:pPr>
        <w:spacing w:after="0" w:line="165" w:lineRule="exact"/>
        <w:rPr>
          <w:sz w:val="20"/>
          <w:szCs w:val="20"/>
          <w:color w:val="auto"/>
        </w:rPr>
      </w:pPr>
    </w:p>
    <w:p>
      <w:pPr>
        <w:ind w:right="560"/>
        <w:spacing w:after="0" w:line="291" w:lineRule="auto"/>
        <w:rPr>
          <w:sz w:val="20"/>
          <w:szCs w:val="20"/>
          <w:color w:val="auto"/>
        </w:rPr>
      </w:pPr>
      <w:r>
        <w:rPr>
          <w:rFonts w:ascii="Arial" w:cs="Arial" w:eastAsia="Arial" w:hAnsi="Arial"/>
          <w:sz w:val="19"/>
          <w:szCs w:val="19"/>
          <w:b w:val="1"/>
          <w:bCs w:val="1"/>
          <w:color w:val="auto"/>
        </w:rPr>
        <w:t>The fair value of certain warrants issued on the Company's common stock is subject to fluctuations with the market price of the Company's common stock, and may have a material, adverse effect on the Company's results of operations.</w:t>
      </w:r>
    </w:p>
    <w:p>
      <w:pPr>
        <w:spacing w:after="0" w:line="124" w:lineRule="exact"/>
        <w:rPr>
          <w:sz w:val="20"/>
          <w:szCs w:val="20"/>
          <w:color w:val="auto"/>
        </w:rPr>
      </w:pPr>
    </w:p>
    <w:p>
      <w:pPr>
        <w:ind w:firstLine="249"/>
        <w:spacing w:after="0" w:line="267" w:lineRule="auto"/>
        <w:rPr>
          <w:sz w:val="20"/>
          <w:szCs w:val="20"/>
          <w:color w:val="auto"/>
        </w:rPr>
      </w:pPr>
      <w:r>
        <w:rPr>
          <w:rFonts w:ascii="Arial" w:cs="Arial" w:eastAsia="Arial" w:hAnsi="Arial"/>
          <w:sz w:val="18"/>
          <w:szCs w:val="18"/>
          <w:color w:val="auto"/>
        </w:rPr>
        <w:t>On May 15, 2009, in connection with an amendment to the Company's credit facility, Photronics issued 2.1 million warrants to purchase the Company's common stock, approximately 0.8 million of which were outstanding at November 1, 2009. As a result of certain net cash settleable put provisions, the warrants were recorded as a liability during fiscal 2009 and are subsequently being reported at fair value. The warrants are each exercisable for one share of common stock and have an exercise price of $0.01. Therefore, changes in the market price of the Company's common stock could result in a significant change in the fair value of the warrants, which would result in a charge or credit to other income (expense) in the Company's statements of operations. During the period that the warrants were outstanding in fiscal 2009, the market price of the Company's common stock increased, which resulted in a non-cash loss of $0.3 million. Changes in the market price of the Company's common stock may continue to have a material adverse effect on the Company's results of operations on a non-cash basis.</w:t>
      </w:r>
    </w:p>
    <w:p>
      <w:pPr>
        <w:spacing w:after="0" w:line="146" w:lineRule="exact"/>
        <w:rPr>
          <w:sz w:val="20"/>
          <w:szCs w:val="20"/>
          <w:color w:val="auto"/>
        </w:rPr>
      </w:pPr>
    </w:p>
    <w:p>
      <w:pPr>
        <w:jc w:val="both"/>
        <w:ind w:right="60"/>
        <w:spacing w:after="0" w:line="249" w:lineRule="auto"/>
        <w:rPr>
          <w:sz w:val="20"/>
          <w:szCs w:val="20"/>
          <w:color w:val="auto"/>
        </w:rPr>
      </w:pPr>
      <w:r>
        <w:rPr>
          <w:rFonts w:ascii="Arial" w:cs="Arial" w:eastAsia="Arial" w:hAnsi="Arial"/>
          <w:sz w:val="20"/>
          <w:szCs w:val="20"/>
          <w:b w:val="1"/>
          <w:bCs w:val="1"/>
          <w:color w:val="auto"/>
        </w:rPr>
        <w:t>Certain warrants issued by the Company include a "put" provision, giving the holders the option to sell the warrants to the Company at approximately the market price of the Company's common stock, which may have a material adverse effect on the Company's cash flows.</w:t>
      </w:r>
    </w:p>
    <w:p>
      <w:pPr>
        <w:spacing w:after="0" w:line="163" w:lineRule="exact"/>
        <w:rPr>
          <w:sz w:val="20"/>
          <w:szCs w:val="20"/>
          <w:color w:val="auto"/>
        </w:rPr>
      </w:pPr>
    </w:p>
    <w:p>
      <w:pPr>
        <w:ind w:right="20" w:firstLine="246"/>
        <w:spacing w:after="0" w:line="254" w:lineRule="auto"/>
        <w:rPr>
          <w:sz w:val="20"/>
          <w:szCs w:val="20"/>
          <w:color w:val="auto"/>
        </w:rPr>
      </w:pPr>
      <w:r>
        <w:rPr>
          <w:rFonts w:ascii="Arial" w:cs="Arial" w:eastAsia="Arial" w:hAnsi="Arial"/>
          <w:sz w:val="19"/>
          <w:szCs w:val="19"/>
          <w:color w:val="auto"/>
        </w:rPr>
        <w:t>The warrants discussed above include a put provision which may be exercised from May 15, 2012 through the expiration of the warrants on May 15, 2014. The put provision is only exercisable if the Company's common stock is not traded on a national exchange or if the Company's credit facility, which matures on January 31, 2011, has not been paid in full by another financing facility (new credit facility, debt and/or an equity securities, or capital contributions) or with other funds. As of November 1, 2009, approximately 768,000 warrants were outstanding that include a put provision. The purchase of a significant amount of the Company's common stock by Photronics under the put provision may have a material adverse effect on the Company's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65" w:lineRule="auto"/>
        <w:rPr>
          <w:sz w:val="20"/>
          <w:szCs w:val="20"/>
          <w:color w:val="auto"/>
        </w:rPr>
      </w:pPr>
      <w:r>
        <w:rPr>
          <w:rFonts w:ascii="Arial" w:cs="Arial" w:eastAsia="Arial" w:hAnsi="Arial"/>
          <w:sz w:val="20"/>
          <w:szCs w:val="20"/>
          <w:b w:val="1"/>
          <w:bCs w:val="1"/>
          <w:color w:val="auto"/>
        </w:rPr>
        <w:t>Servicing the Company's debt requires a significant amount of cash, and the Company may not have sufficient cash flow from its operations to pay its indebtedness.</w:t>
      </w:r>
    </w:p>
    <w:p>
      <w:pPr>
        <w:spacing w:after="0" w:line="146" w:lineRule="exact"/>
        <w:rPr>
          <w:sz w:val="20"/>
          <w:szCs w:val="20"/>
          <w:color w:val="auto"/>
        </w:rPr>
      </w:pPr>
    </w:p>
    <w:p>
      <w:pPr>
        <w:ind w:right="160" w:firstLine="299"/>
        <w:spacing w:after="0" w:line="278" w:lineRule="auto"/>
        <w:rPr>
          <w:sz w:val="20"/>
          <w:szCs w:val="20"/>
          <w:color w:val="auto"/>
        </w:rPr>
      </w:pPr>
      <w:r>
        <w:rPr>
          <w:rFonts w:ascii="Arial" w:cs="Arial" w:eastAsia="Arial" w:hAnsi="Arial"/>
          <w:sz w:val="18"/>
          <w:szCs w:val="18"/>
          <w:color w:val="auto"/>
        </w:rPr>
        <w:t>The Company's ability to make scheduled payments of the principal and interest or to refinance its indebtedness depends on its future performance, which is subject to economic, financial, competitive and other factors beyond the Company's control. The Company's business may not continue to generate sufficient cash flow from operations in the future to service its debt and make necessary capital expenditures. If the Company is unable to generate such cash flow, it may be required to adopt one or more alternatives, such as selling assets, restructuring</w:t>
      </w:r>
    </w:p>
    <w:p>
      <w:pPr>
        <w:sectPr>
          <w:pgSz w:w="11900" w:h="16838" w:orient="portrait"/>
          <w:cols w:equalWidth="0" w:num="1">
            <w:col w:w="11420"/>
          </w:cols>
          <w:pgMar w:left="240" w:top="120" w:right="239" w:bottom="0" w:gutter="0" w:footer="0" w:header="0"/>
        </w:sectPr>
      </w:pPr>
    </w:p>
    <w:bookmarkStart w:id="10" w:name="page11"/>
    <w:bookmarkEnd w:id="10"/>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debt or obtaining additional equity capital on terms that may be onerous or highly dilutive. The Company's ability to refinance its indebtedness will depend on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DESCRIPTION OF PROPERTY</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following table presents certain information about the Company's photomask manufacturing facilities:</w:t>
      </w:r>
    </w:p>
    <w:p>
      <w:pPr>
        <w:spacing w:after="0" w:line="188"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Type of</w:t>
      </w:r>
    </w:p>
    <w:p>
      <w:pPr>
        <w:spacing w:after="0" w:line="16"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b w:val="1"/>
          <w:bCs w:val="1"/>
          <w:color w:val="auto"/>
        </w:rPr>
        <w:t>Location</w:t>
      </w:r>
      <w:r>
        <w:rPr>
          <w:sz w:val="20"/>
          <w:szCs w:val="20"/>
          <w:color w:val="auto"/>
        </w:rPr>
        <w:tab/>
      </w:r>
      <w:r>
        <w:rPr>
          <w:rFonts w:ascii="Arial" w:cs="Arial" w:eastAsia="Arial" w:hAnsi="Arial"/>
          <w:sz w:val="20"/>
          <w:szCs w:val="20"/>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8281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20"/>
                <w:szCs w:val="20"/>
                <w:color w:val="auto"/>
              </w:rPr>
              <w:t>Allen, Texas</w:t>
            </w:r>
          </w:p>
        </w:tc>
        <w:tc>
          <w:tcPr>
            <w:tcW w:w="820" w:type="dxa"/>
            <w:vAlign w:val="bottom"/>
          </w:tcPr>
          <w:p>
            <w:pPr>
              <w:ind w:left="120"/>
              <w:spacing w:after="0"/>
              <w:rPr>
                <w:sz w:val="20"/>
                <w:szCs w:val="20"/>
                <w:color w:val="auto"/>
              </w:rPr>
            </w:pPr>
            <w:r>
              <w:rPr>
                <w:rFonts w:ascii="Arial" w:cs="Arial" w:eastAsia="Arial" w:hAnsi="Arial"/>
                <w:sz w:val="20"/>
                <w:szCs w:val="20"/>
                <w:color w:val="auto"/>
              </w:rPr>
              <w:t>Owned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Boise, Idaho</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Leased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w w:val="99"/>
              </w:rPr>
              <w:t>Brookfield, Connecticut</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Owned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w w:val="99"/>
              </w:rPr>
              <w:t>Bridgend, South Wales</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Leased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Cheonan, Korea</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Owned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Dresden, Germany</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Leased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Hsinchu, Taiwan</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Leased</w:t>
            </w:r>
          </w:p>
        </w:tc>
        <w:tc>
          <w:tcPr>
            <w:tcW w:w="640" w:type="dxa"/>
            <w:vAlign w:val="bottom"/>
          </w:tcPr>
          <w:p>
            <w:pPr>
              <w:spacing w:after="0"/>
              <w:rPr>
                <w:sz w:val="19"/>
                <w:szCs w:val="19"/>
                <w:color w:val="auto"/>
              </w:rPr>
            </w:pP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Shanghai, China</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Owned</w:t>
            </w:r>
          </w:p>
        </w:tc>
        <w:tc>
          <w:tcPr>
            <w:tcW w:w="640" w:type="dxa"/>
            <w:vAlign w:val="bottom"/>
          </w:tcPr>
          <w:p>
            <w:pPr>
              <w:ind w:left="120"/>
              <w:spacing w:after="0" w:line="225" w:lineRule="exact"/>
              <w:rPr>
                <w:sz w:val="20"/>
                <w:szCs w:val="20"/>
                <w:color w:val="auto"/>
              </w:rPr>
            </w:pPr>
            <w:r>
              <w:rPr>
                <w:rFonts w:ascii="Arial" w:cs="Arial" w:eastAsia="Arial" w:hAnsi="Arial"/>
                <w:sz w:val="20"/>
                <w:szCs w:val="20"/>
                <w:color w:val="auto"/>
                <w:w w:val="91"/>
              </w:rPr>
              <w:t>(1) (2)</w:t>
            </w:r>
          </w:p>
        </w:tc>
      </w:tr>
      <w:tr>
        <w:trPr>
          <w:trHeight w:val="224"/>
        </w:trPr>
        <w:tc>
          <w:tcPr>
            <w:tcW w:w="2060" w:type="dxa"/>
            <w:vAlign w:val="bottom"/>
          </w:tcPr>
          <w:p>
            <w:pPr>
              <w:spacing w:after="0" w:line="225" w:lineRule="exact"/>
              <w:rPr>
                <w:sz w:val="20"/>
                <w:szCs w:val="20"/>
                <w:color w:val="auto"/>
              </w:rPr>
            </w:pPr>
            <w:r>
              <w:rPr>
                <w:rFonts w:ascii="Arial" w:cs="Arial" w:eastAsia="Arial" w:hAnsi="Arial"/>
                <w:sz w:val="20"/>
                <w:szCs w:val="20"/>
                <w:color w:val="auto"/>
              </w:rPr>
              <w:t>Singapore</w:t>
            </w:r>
          </w:p>
        </w:tc>
        <w:tc>
          <w:tcPr>
            <w:tcW w:w="820" w:type="dxa"/>
            <w:vAlign w:val="bottom"/>
          </w:tcPr>
          <w:p>
            <w:pPr>
              <w:ind w:left="120"/>
              <w:spacing w:after="0" w:line="225" w:lineRule="exact"/>
              <w:rPr>
                <w:sz w:val="20"/>
                <w:szCs w:val="20"/>
                <w:color w:val="auto"/>
              </w:rPr>
            </w:pPr>
            <w:r>
              <w:rPr>
                <w:rFonts w:ascii="Arial" w:cs="Arial" w:eastAsia="Arial" w:hAnsi="Arial"/>
                <w:sz w:val="20"/>
                <w:szCs w:val="20"/>
                <w:color w:val="auto"/>
              </w:rPr>
              <w:t>Leased</w:t>
            </w:r>
          </w:p>
        </w:tc>
        <w:tc>
          <w:tcPr>
            <w:tcW w:w="640" w:type="dxa"/>
            <w:vAlign w:val="bottom"/>
          </w:tcPr>
          <w:p>
            <w:pPr>
              <w:spacing w:after="0"/>
              <w:rPr>
                <w:sz w:val="19"/>
                <w:szCs w:val="19"/>
                <w:color w:val="auto"/>
              </w:rPr>
            </w:pPr>
          </w:p>
        </w:tc>
      </w:tr>
      <w:tr>
        <w:trPr>
          <w:trHeight w:val="254"/>
        </w:trPr>
        <w:tc>
          <w:tcPr>
            <w:tcW w:w="2060" w:type="dxa"/>
            <w:vAlign w:val="bottom"/>
          </w:tcPr>
          <w:p>
            <w:pPr>
              <w:spacing w:after="0"/>
              <w:rPr>
                <w:sz w:val="20"/>
                <w:szCs w:val="20"/>
                <w:color w:val="auto"/>
              </w:rPr>
            </w:pPr>
            <w:r>
              <w:rPr>
                <w:rFonts w:ascii="Arial" w:cs="Arial" w:eastAsia="Arial" w:hAnsi="Arial"/>
                <w:sz w:val="20"/>
                <w:szCs w:val="20"/>
                <w:color w:val="auto"/>
              </w:rPr>
              <w:t>Taichung, Taiwan</w:t>
            </w:r>
          </w:p>
        </w:tc>
        <w:tc>
          <w:tcPr>
            <w:tcW w:w="820" w:type="dxa"/>
            <w:vAlign w:val="bottom"/>
          </w:tcPr>
          <w:p>
            <w:pPr>
              <w:ind w:left="120"/>
              <w:spacing w:after="0"/>
              <w:rPr>
                <w:sz w:val="20"/>
                <w:szCs w:val="20"/>
                <w:color w:val="auto"/>
              </w:rPr>
            </w:pPr>
            <w:r>
              <w:rPr>
                <w:rFonts w:ascii="Arial" w:cs="Arial" w:eastAsia="Arial" w:hAnsi="Arial"/>
                <w:sz w:val="20"/>
                <w:szCs w:val="20"/>
                <w:color w:val="auto"/>
              </w:rPr>
              <w:t>Owned</w:t>
            </w:r>
          </w:p>
        </w:tc>
        <w:tc>
          <w:tcPr>
            <w:tcW w:w="640" w:type="dxa"/>
            <w:vAlign w:val="bottom"/>
          </w:tcPr>
          <w:p>
            <w:pPr>
              <w:ind w:left="120"/>
              <w:spacing w:after="0"/>
              <w:rPr>
                <w:sz w:val="20"/>
                <w:szCs w:val="20"/>
                <w:color w:val="auto"/>
              </w:rPr>
            </w:pPr>
            <w:r>
              <w:rPr>
                <w:rFonts w:ascii="Arial" w:cs="Arial" w:eastAsia="Arial" w:hAnsi="Arial"/>
                <w:sz w:val="20"/>
                <w:szCs w:val="20"/>
                <w:color w:val="auto"/>
              </w:rPr>
              <w:t>(1)</w:t>
            </w:r>
          </w:p>
        </w:tc>
      </w:tr>
    </w:tbl>
    <w:p>
      <w:pPr>
        <w:spacing w:after="0" w:line="200" w:lineRule="exact"/>
        <w:rPr>
          <w:sz w:val="20"/>
          <w:szCs w:val="20"/>
          <w:color w:val="auto"/>
        </w:rPr>
      </w:pPr>
    </w:p>
    <w:p>
      <w:pPr>
        <w:spacing w:after="0" w:line="394" w:lineRule="exact"/>
        <w:rPr>
          <w:sz w:val="20"/>
          <w:szCs w:val="20"/>
          <w:color w:val="auto"/>
        </w:rPr>
      </w:pPr>
    </w:p>
    <w:p>
      <w:pPr>
        <w:ind w:left="340" w:right="2740" w:hanging="340"/>
        <w:spacing w:after="0" w:line="258"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owns its manufacturing facilities in Shanghai and Taichung, however, it leases the related land.</w:t>
      </w:r>
    </w:p>
    <w:p>
      <w:pPr>
        <w:spacing w:after="0" w:line="178" w:lineRule="exact"/>
        <w:rPr>
          <w:rFonts w:ascii="Arial" w:cs="Arial" w:eastAsia="Arial" w:hAnsi="Arial"/>
          <w:sz w:val="20"/>
          <w:szCs w:val="20"/>
          <w:color w:val="auto"/>
        </w:rPr>
      </w:pPr>
    </w:p>
    <w:p>
      <w:pPr>
        <w:ind w:left="340" w:hanging="340"/>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Production at the Shanghai, China facility ceased in July 2009.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246"/>
        <w:spacing w:after="0" w:line="314"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00" w:lineRule="exact"/>
        <w:rPr>
          <w:sz w:val="20"/>
          <w:szCs w:val="20"/>
          <w:color w:val="auto"/>
        </w:rPr>
      </w:pPr>
    </w:p>
    <w:p>
      <w:pPr>
        <w:ind w:right="100" w:firstLine="246"/>
        <w:spacing w:after="0" w:line="258" w:lineRule="auto"/>
        <w:rPr>
          <w:sz w:val="20"/>
          <w:szCs w:val="20"/>
          <w:color w:val="auto"/>
        </w:rPr>
      </w:pPr>
      <w:r>
        <w:rPr>
          <w:rFonts w:ascii="Arial" w:cs="Arial" w:eastAsia="Arial" w:hAnsi="Arial"/>
          <w:sz w:val="20"/>
          <w:szCs w:val="20"/>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SUBMISSION OF MATTERS TO A VOTE OF SECURITY HOLDERS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No matters were submitted to a vote of the Company's security holders during the fourth quarter of fiscal 2009.</w:t>
      </w:r>
    </w:p>
    <w:p>
      <w:pPr>
        <w:spacing w:after="0" w:line="188"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REGISTRANT'S COMMON EQUITY</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AND RELATED SHAREHOLDERS' MATTERS</w:t>
      </w:r>
    </w:p>
    <w:p>
      <w:pPr>
        <w:spacing w:after="0" w:line="178" w:lineRule="exact"/>
        <w:rPr>
          <w:sz w:val="20"/>
          <w:szCs w:val="20"/>
          <w:color w:val="auto"/>
        </w:rPr>
      </w:pPr>
    </w:p>
    <w:p>
      <w:pPr>
        <w:ind w:right="280" w:firstLine="246"/>
        <w:spacing w:after="0" w:line="314" w:lineRule="auto"/>
        <w:rPr>
          <w:sz w:val="20"/>
          <w:szCs w:val="20"/>
          <w:color w:val="auto"/>
        </w:rPr>
      </w:pPr>
      <w:r>
        <w:rPr>
          <w:rFonts w:ascii="Arial" w:cs="Arial" w:eastAsia="Arial" w:hAnsi="Arial"/>
          <w:sz w:val="18"/>
          <w:szCs w:val="18"/>
          <w:color w:val="auto"/>
        </w:rPr>
        <w:t>The Common Stock of the Company is traded on the NASDAQ Global Select Market ("NASDAQ") under the symbol PLAB. The table below shows the range of high and low sale prices per share for each quarter for fiscal year 2009 and 2008, as reported by NASDAQ.</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High</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b w:val="1"/>
                <w:bCs w:val="1"/>
                <w:color w:val="auto"/>
                <w:w w:val="99"/>
              </w:rPr>
              <w:t>Low</w:t>
            </w:r>
          </w:p>
        </w:tc>
        <w:tc>
          <w:tcPr>
            <w:tcW w:w="0" w:type="dxa"/>
            <w:vAlign w:val="bottom"/>
          </w:tcPr>
          <w:p>
            <w:pPr>
              <w:spacing w:after="0"/>
              <w:rPr>
                <w:sz w:val="1"/>
                <w:szCs w:val="1"/>
                <w:color w:val="auto"/>
              </w:rPr>
            </w:pPr>
          </w:p>
        </w:tc>
      </w:tr>
      <w:tr>
        <w:trPr>
          <w:trHeight w:val="90"/>
        </w:trPr>
        <w:tc>
          <w:tcPr>
            <w:tcW w:w="3460" w:type="dxa"/>
            <w:vAlign w:val="bottom"/>
            <w:vMerge w:val="restart"/>
          </w:tcPr>
          <w:p>
            <w:pPr>
              <w:spacing w:after="0"/>
              <w:rPr>
                <w:sz w:val="20"/>
                <w:szCs w:val="20"/>
                <w:color w:val="auto"/>
              </w:rPr>
            </w:pPr>
            <w:r>
              <w:rPr>
                <w:rFonts w:ascii="Arial" w:cs="Arial" w:eastAsia="Arial" w:hAnsi="Arial"/>
                <w:sz w:val="20"/>
                <w:szCs w:val="20"/>
                <w:b w:val="1"/>
                <w:bCs w:val="1"/>
                <w:color w:val="auto"/>
                <w:w w:val="96"/>
              </w:rPr>
              <w:t>Fiscal Year Ended November 1, 2009:</w:t>
            </w: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60" w:type="dxa"/>
            <w:vAlign w:val="bottom"/>
          </w:tcPr>
          <w:p>
            <w:pPr>
              <w:ind w:left="140"/>
              <w:spacing w:after="0"/>
              <w:rPr>
                <w:sz w:val="20"/>
                <w:szCs w:val="20"/>
                <w:color w:val="auto"/>
              </w:rPr>
            </w:pPr>
            <w:r>
              <w:rPr>
                <w:rFonts w:ascii="Arial" w:cs="Arial" w:eastAsia="Arial" w:hAnsi="Arial"/>
                <w:sz w:val="20"/>
                <w:szCs w:val="20"/>
                <w:color w:val="auto"/>
              </w:rPr>
              <w:t>Quarter Ended February 1, 2009</w:t>
            </w:r>
          </w:p>
        </w:tc>
        <w:tc>
          <w:tcPr>
            <w:tcW w:w="560" w:type="dxa"/>
            <w:vAlign w:val="bottom"/>
          </w:tcPr>
          <w:p>
            <w:pPr>
              <w:jc w:val="right"/>
              <w:spacing w:after="0"/>
              <w:rPr>
                <w:sz w:val="20"/>
                <w:szCs w:val="20"/>
                <w:color w:val="auto"/>
              </w:rPr>
            </w:pPr>
            <w:r>
              <w:rPr>
                <w:rFonts w:ascii="Arial" w:cs="Arial" w:eastAsia="Arial" w:hAnsi="Arial"/>
                <w:sz w:val="20"/>
                <w:szCs w:val="20"/>
                <w:color w:val="auto"/>
                <w:w w:val="93"/>
              </w:rPr>
              <w:t>$ 2.15</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5" w:lineRule="exact"/>
              <w:rPr>
                <w:sz w:val="20"/>
                <w:szCs w:val="20"/>
                <w:color w:val="auto"/>
              </w:rPr>
            </w:pPr>
            <w:r>
              <w:rPr>
                <w:rFonts w:ascii="Arial" w:cs="Arial" w:eastAsia="Arial" w:hAnsi="Arial"/>
                <w:sz w:val="20"/>
                <w:szCs w:val="20"/>
                <w:color w:val="auto"/>
              </w:rPr>
              <w:t>Quarter Ended May 3, 2009</w:t>
            </w:r>
          </w:p>
        </w:tc>
        <w:tc>
          <w:tcPr>
            <w:tcW w:w="560" w:type="dxa"/>
            <w:vAlign w:val="bottom"/>
          </w:tcPr>
          <w:p>
            <w:pPr>
              <w:jc w:val="right"/>
              <w:spacing w:after="0" w:line="225" w:lineRule="exact"/>
              <w:rPr>
                <w:sz w:val="20"/>
                <w:szCs w:val="20"/>
                <w:color w:val="auto"/>
              </w:rPr>
            </w:pPr>
            <w:r>
              <w:rPr>
                <w:rFonts w:ascii="Arial" w:cs="Arial" w:eastAsia="Arial" w:hAnsi="Arial"/>
                <w:sz w:val="20"/>
                <w:szCs w:val="20"/>
                <w:color w:val="auto"/>
              </w:rPr>
              <w:t>1.82</w:t>
            </w:r>
          </w:p>
        </w:tc>
        <w:tc>
          <w:tcPr>
            <w:tcW w:w="6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0.65</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5" w:lineRule="exact"/>
              <w:rPr>
                <w:sz w:val="20"/>
                <w:szCs w:val="20"/>
                <w:color w:val="auto"/>
              </w:rPr>
            </w:pPr>
            <w:r>
              <w:rPr>
                <w:rFonts w:ascii="Arial" w:cs="Arial" w:eastAsia="Arial" w:hAnsi="Arial"/>
                <w:sz w:val="20"/>
                <w:szCs w:val="20"/>
                <w:color w:val="auto"/>
              </w:rPr>
              <w:t>Quarter Ended August 2, 2009</w:t>
            </w:r>
          </w:p>
        </w:tc>
        <w:tc>
          <w:tcPr>
            <w:tcW w:w="560" w:type="dxa"/>
            <w:vAlign w:val="bottom"/>
          </w:tcPr>
          <w:p>
            <w:pPr>
              <w:jc w:val="right"/>
              <w:spacing w:after="0" w:line="225" w:lineRule="exact"/>
              <w:rPr>
                <w:sz w:val="20"/>
                <w:szCs w:val="20"/>
                <w:color w:val="auto"/>
              </w:rPr>
            </w:pPr>
            <w:r>
              <w:rPr>
                <w:rFonts w:ascii="Arial" w:cs="Arial" w:eastAsia="Arial" w:hAnsi="Arial"/>
                <w:sz w:val="20"/>
                <w:szCs w:val="20"/>
                <w:color w:val="auto"/>
              </w:rPr>
              <w:t>5.46</w:t>
            </w:r>
          </w:p>
        </w:tc>
        <w:tc>
          <w:tcPr>
            <w:tcW w:w="6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54"/>
        </w:trPr>
        <w:tc>
          <w:tcPr>
            <w:tcW w:w="3460" w:type="dxa"/>
            <w:vAlign w:val="bottom"/>
          </w:tcPr>
          <w:p>
            <w:pPr>
              <w:ind w:left="140"/>
              <w:spacing w:after="0"/>
              <w:rPr>
                <w:sz w:val="20"/>
                <w:szCs w:val="20"/>
                <w:color w:val="auto"/>
              </w:rPr>
            </w:pPr>
            <w:r>
              <w:rPr>
                <w:rFonts w:ascii="Arial" w:cs="Arial" w:eastAsia="Arial" w:hAnsi="Arial"/>
                <w:sz w:val="20"/>
                <w:szCs w:val="20"/>
                <w:color w:val="auto"/>
              </w:rPr>
              <w:t>Quarter Ended November 1, 2009</w:t>
            </w:r>
          </w:p>
        </w:tc>
        <w:tc>
          <w:tcPr>
            <w:tcW w:w="560" w:type="dxa"/>
            <w:vAlign w:val="bottom"/>
          </w:tcPr>
          <w:p>
            <w:pPr>
              <w:jc w:val="right"/>
              <w:spacing w:after="0"/>
              <w:rPr>
                <w:sz w:val="20"/>
                <w:szCs w:val="20"/>
                <w:color w:val="auto"/>
              </w:rPr>
            </w:pPr>
            <w:r>
              <w:rPr>
                <w:rFonts w:ascii="Arial" w:cs="Arial" w:eastAsia="Arial" w:hAnsi="Arial"/>
                <w:sz w:val="20"/>
                <w:szCs w:val="20"/>
                <w:color w:val="auto"/>
              </w:rPr>
              <w:t>5.49</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449"/>
        </w:trPr>
        <w:tc>
          <w:tcPr>
            <w:tcW w:w="3460" w:type="dxa"/>
            <w:vAlign w:val="bottom"/>
          </w:tcPr>
          <w:p>
            <w:pPr>
              <w:spacing w:after="0"/>
              <w:rPr>
                <w:sz w:val="20"/>
                <w:szCs w:val="20"/>
                <w:color w:val="auto"/>
              </w:rPr>
            </w:pPr>
            <w:r>
              <w:rPr>
                <w:rFonts w:ascii="Arial" w:cs="Arial" w:eastAsia="Arial" w:hAnsi="Arial"/>
                <w:sz w:val="20"/>
                <w:szCs w:val="20"/>
                <w:b w:val="1"/>
                <w:bCs w:val="1"/>
                <w:color w:val="auto"/>
                <w:w w:val="96"/>
              </w:rPr>
              <w:t>Fiscal Year Ended November 2, 2008: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60" w:type="dxa"/>
            <w:vAlign w:val="bottom"/>
          </w:tcPr>
          <w:p>
            <w:pPr>
              <w:ind w:left="140"/>
              <w:spacing w:after="0"/>
              <w:rPr>
                <w:sz w:val="20"/>
                <w:szCs w:val="20"/>
                <w:color w:val="auto"/>
              </w:rPr>
            </w:pPr>
            <w:r>
              <w:rPr>
                <w:rFonts w:ascii="Arial" w:cs="Arial" w:eastAsia="Arial" w:hAnsi="Arial"/>
                <w:sz w:val="20"/>
                <w:szCs w:val="20"/>
                <w:color w:val="auto"/>
              </w:rPr>
              <w:t>Quarter Ended January 27, 2008</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$13.10</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$8.91</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5" w:lineRule="exact"/>
              <w:rPr>
                <w:sz w:val="20"/>
                <w:szCs w:val="20"/>
                <w:color w:val="auto"/>
              </w:rPr>
            </w:pPr>
            <w:r>
              <w:rPr>
                <w:rFonts w:ascii="Arial" w:cs="Arial" w:eastAsia="Arial" w:hAnsi="Arial"/>
                <w:sz w:val="20"/>
                <w:szCs w:val="20"/>
                <w:color w:val="auto"/>
              </w:rPr>
              <w:t>Quarter Ended April 27, 2008</w:t>
            </w:r>
          </w:p>
        </w:tc>
        <w:tc>
          <w:tcPr>
            <w:tcW w:w="560" w:type="dxa"/>
            <w:vAlign w:val="bottom"/>
          </w:tcPr>
          <w:p>
            <w:pPr>
              <w:jc w:val="right"/>
              <w:spacing w:after="0" w:line="225" w:lineRule="exact"/>
              <w:rPr>
                <w:sz w:val="20"/>
                <w:szCs w:val="20"/>
                <w:color w:val="auto"/>
              </w:rPr>
            </w:pPr>
            <w:r>
              <w:rPr>
                <w:rFonts w:ascii="Arial" w:cs="Arial" w:eastAsia="Arial" w:hAnsi="Arial"/>
                <w:sz w:val="20"/>
                <w:szCs w:val="20"/>
                <w:color w:val="auto"/>
              </w:rPr>
              <w:t>12.87</w:t>
            </w:r>
          </w:p>
        </w:tc>
        <w:tc>
          <w:tcPr>
            <w:tcW w:w="6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8.44</w:t>
            </w:r>
          </w:p>
        </w:tc>
        <w:tc>
          <w:tcPr>
            <w:tcW w:w="0" w:type="dxa"/>
            <w:vAlign w:val="bottom"/>
          </w:tcPr>
          <w:p>
            <w:pPr>
              <w:spacing w:after="0"/>
              <w:rPr>
                <w:sz w:val="1"/>
                <w:szCs w:val="1"/>
                <w:color w:val="auto"/>
              </w:rPr>
            </w:pPr>
          </w:p>
        </w:tc>
      </w:tr>
      <w:tr>
        <w:trPr>
          <w:trHeight w:val="224"/>
        </w:trPr>
        <w:tc>
          <w:tcPr>
            <w:tcW w:w="3460" w:type="dxa"/>
            <w:vAlign w:val="bottom"/>
          </w:tcPr>
          <w:p>
            <w:pPr>
              <w:ind w:left="140"/>
              <w:spacing w:after="0" w:line="225" w:lineRule="exact"/>
              <w:rPr>
                <w:sz w:val="20"/>
                <w:szCs w:val="20"/>
                <w:color w:val="auto"/>
              </w:rPr>
            </w:pPr>
            <w:r>
              <w:rPr>
                <w:rFonts w:ascii="Arial" w:cs="Arial" w:eastAsia="Arial" w:hAnsi="Arial"/>
                <w:sz w:val="20"/>
                <w:szCs w:val="20"/>
                <w:color w:val="auto"/>
              </w:rPr>
              <w:t>Quarter Ended July 27, 2008</w:t>
            </w:r>
          </w:p>
        </w:tc>
        <w:tc>
          <w:tcPr>
            <w:tcW w:w="560" w:type="dxa"/>
            <w:vAlign w:val="bottom"/>
          </w:tcPr>
          <w:p>
            <w:pPr>
              <w:jc w:val="right"/>
              <w:spacing w:after="0" w:line="225" w:lineRule="exact"/>
              <w:rPr>
                <w:sz w:val="20"/>
                <w:szCs w:val="20"/>
                <w:color w:val="auto"/>
              </w:rPr>
            </w:pPr>
            <w:r>
              <w:rPr>
                <w:rFonts w:ascii="Arial" w:cs="Arial" w:eastAsia="Arial" w:hAnsi="Arial"/>
                <w:sz w:val="20"/>
                <w:szCs w:val="20"/>
                <w:color w:val="auto"/>
              </w:rPr>
              <w:t>11.16</w:t>
            </w:r>
          </w:p>
        </w:tc>
        <w:tc>
          <w:tcPr>
            <w:tcW w:w="6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4.40</w:t>
            </w:r>
          </w:p>
        </w:tc>
        <w:tc>
          <w:tcPr>
            <w:tcW w:w="0" w:type="dxa"/>
            <w:vAlign w:val="bottom"/>
          </w:tcPr>
          <w:p>
            <w:pPr>
              <w:spacing w:after="0"/>
              <w:rPr>
                <w:sz w:val="1"/>
                <w:szCs w:val="1"/>
                <w:color w:val="auto"/>
              </w:rPr>
            </w:pPr>
          </w:p>
        </w:tc>
      </w:tr>
      <w:tr>
        <w:trPr>
          <w:trHeight w:val="254"/>
        </w:trPr>
        <w:tc>
          <w:tcPr>
            <w:tcW w:w="3460" w:type="dxa"/>
            <w:vAlign w:val="bottom"/>
          </w:tcPr>
          <w:p>
            <w:pPr>
              <w:ind w:left="140"/>
              <w:spacing w:after="0"/>
              <w:rPr>
                <w:sz w:val="20"/>
                <w:szCs w:val="20"/>
                <w:color w:val="auto"/>
              </w:rPr>
            </w:pPr>
            <w:r>
              <w:rPr>
                <w:rFonts w:ascii="Arial" w:cs="Arial" w:eastAsia="Arial" w:hAnsi="Arial"/>
                <w:sz w:val="20"/>
                <w:szCs w:val="20"/>
                <w:color w:val="auto"/>
              </w:rPr>
              <w:t>Quarter Ended November 2, 2008</w:t>
            </w:r>
          </w:p>
        </w:tc>
        <w:tc>
          <w:tcPr>
            <w:tcW w:w="560" w:type="dxa"/>
            <w:vAlign w:val="bottom"/>
          </w:tcPr>
          <w:p>
            <w:pPr>
              <w:jc w:val="right"/>
              <w:spacing w:after="0"/>
              <w:rPr>
                <w:sz w:val="20"/>
                <w:szCs w:val="20"/>
                <w:color w:val="auto"/>
              </w:rPr>
            </w:pPr>
            <w:r>
              <w:rPr>
                <w:rFonts w:ascii="Arial" w:cs="Arial" w:eastAsia="Arial" w:hAnsi="Arial"/>
                <w:sz w:val="20"/>
                <w:szCs w:val="20"/>
                <w:color w:val="auto"/>
              </w:rPr>
              <w:t>4.74</w:t>
            </w:r>
          </w:p>
        </w:tc>
        <w:tc>
          <w:tcPr>
            <w:tcW w:w="600" w:type="dxa"/>
            <w:vAlign w:val="bottom"/>
            <w:gridSpan w:val="2"/>
          </w:tcPr>
          <w:p>
            <w:pPr>
              <w:jc w:val="right"/>
              <w:spacing w:after="0"/>
              <w:rPr>
                <w:sz w:val="20"/>
                <w:szCs w:val="20"/>
                <w:color w:val="auto"/>
              </w:rPr>
            </w:pPr>
            <w:r>
              <w:rPr>
                <w:rFonts w:ascii="Arial" w:cs="Arial" w:eastAsia="Arial" w:hAnsi="Arial"/>
                <w:sz w:val="20"/>
                <w:szCs w:val="20"/>
                <w:color w:val="auto"/>
              </w:rPr>
              <w:t>0.39</w:t>
            </w:r>
          </w:p>
        </w:tc>
        <w:tc>
          <w:tcPr>
            <w:tcW w:w="0" w:type="dxa"/>
            <w:vAlign w:val="bottom"/>
          </w:tcPr>
          <w:p>
            <w:pPr>
              <w:spacing w:after="0"/>
              <w:rPr>
                <w:sz w:val="1"/>
                <w:szCs w:val="1"/>
                <w:color w:val="auto"/>
              </w:rPr>
            </w:pPr>
          </w:p>
        </w:tc>
      </w:tr>
    </w:tbl>
    <w:p>
      <w:pPr>
        <w:sectPr>
          <w:pgSz w:w="11900" w:h="16926" w:orient="portrait"/>
          <w:cols w:equalWidth="0" w:num="1">
            <w:col w:w="11400"/>
          </w:cols>
          <w:pgMar w:left="240" w:top="120" w:right="259" w:bottom="0" w:gutter="0" w:footer="0" w:header="0"/>
        </w:sectPr>
      </w:pPr>
    </w:p>
    <w:bookmarkStart w:id="11" w:name="page12"/>
    <w:bookmarkEnd w:id="11"/>
    <w:p>
      <w:pPr>
        <w:ind w:firstLine="249"/>
        <w:spacing w:after="0" w:line="258" w:lineRule="auto"/>
        <w:rPr>
          <w:sz w:val="20"/>
          <w:szCs w:val="20"/>
          <w:color w:val="auto"/>
        </w:rPr>
      </w:pPr>
      <w:r>
        <w:rPr>
          <w:rFonts w:ascii="Arial" w:cs="Arial" w:eastAsia="Arial" w:hAnsi="Arial"/>
          <w:sz w:val="20"/>
          <w:szCs w:val="20"/>
          <w:color w:val="auto"/>
        </w:rPr>
        <w:t>On December 29, 2009, the closing sale price for the Common Stock as reported by NASDAQ was $4.54. Based on information available to the Company, the Company believes it has approximately 5,900 shareholders.</w:t>
      </w:r>
    </w:p>
    <w:p>
      <w:pPr>
        <w:spacing w:after="0" w:line="154" w:lineRule="exact"/>
        <w:rPr>
          <w:sz w:val="20"/>
          <w:szCs w:val="20"/>
          <w:color w:val="auto"/>
        </w:rPr>
      </w:pPr>
    </w:p>
    <w:p>
      <w:pPr>
        <w:ind w:right="20" w:firstLine="246"/>
        <w:spacing w:after="0" w:line="314" w:lineRule="auto"/>
        <w:rPr>
          <w:sz w:val="20"/>
          <w:szCs w:val="20"/>
          <w:color w:val="auto"/>
        </w:rPr>
      </w:pPr>
      <w:r>
        <w:rPr>
          <w:rFonts w:ascii="Arial" w:cs="Arial" w:eastAsia="Arial" w:hAnsi="Arial"/>
          <w:sz w:val="18"/>
          <w:szCs w:val="18"/>
          <w:color w:val="auto"/>
        </w:rPr>
        <w:t>The Company has not paid any cash dividends to date and, for the foreseeable future, anticipates that earnings will continue to be retained for use in its business. Further, the Company's revolving credit facility ("credit facility") precludes it from paying cash dividends.</w:t>
      </w:r>
    </w:p>
    <w:p>
      <w:pPr>
        <w:spacing w:after="0" w:line="106" w:lineRule="exact"/>
        <w:rPr>
          <w:sz w:val="20"/>
          <w:szCs w:val="20"/>
          <w:color w:val="auto"/>
        </w:rPr>
      </w:pPr>
    </w:p>
    <w:p>
      <w:pPr>
        <w:ind w:right="40" w:firstLine="246"/>
        <w:spacing w:after="0" w:line="258" w:lineRule="auto"/>
        <w:rPr>
          <w:sz w:val="20"/>
          <w:szCs w:val="20"/>
          <w:color w:val="auto"/>
        </w:rPr>
      </w:pPr>
      <w:r>
        <w:rPr>
          <w:rFonts w:ascii="Arial" w:cs="Arial" w:eastAsia="Arial" w:hAnsi="Arial"/>
          <w:sz w:val="20"/>
          <w:szCs w:val="20"/>
          <w:color w:val="auto"/>
        </w:rPr>
        <w:t>The information regarding the Company's equity compensation required to be disclosed by Item 201(d) of Regulation S-K is incorporated by reference from the Company's 2010 definitive Proxy Statement into Item 12 of Part III of this report.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00" w:lineRule="exact"/>
        <w:rPr>
          <w:sz w:val="20"/>
          <w:szCs w:val="20"/>
          <w:color w:val="auto"/>
        </w:rPr>
      </w:pPr>
    </w:p>
    <w:p>
      <w:pPr>
        <w:ind w:right="40" w:firstLine="246"/>
        <w:spacing w:after="0" w:line="246" w:lineRule="auto"/>
        <w:rPr>
          <w:sz w:val="20"/>
          <w:szCs w:val="20"/>
          <w:color w:val="auto"/>
        </w:rPr>
      </w:pPr>
      <w:r>
        <w:rPr>
          <w:rFonts w:ascii="Arial" w:cs="Arial" w:eastAsia="Arial" w:hAnsi="Arial"/>
          <w:sz w:val="20"/>
          <w:szCs w:val="20"/>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Year Ended</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8"/>
              </w:rPr>
              <w:t>November 1,</w:t>
            </w: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2,</w:t>
            </w:r>
          </w:p>
        </w:tc>
        <w:tc>
          <w:tcPr>
            <w:tcW w:w="78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20"/>
                <w:szCs w:val="20"/>
                <w:b w:val="1"/>
                <w:bCs w:val="1"/>
                <w:color w:val="auto"/>
                <w:w w:val="90"/>
              </w:rPr>
              <w:t>October 28, October 29,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30,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800" w:type="dxa"/>
            <w:vAlign w:val="bottom"/>
          </w:tcPr>
          <w:p>
            <w:pPr>
              <w:spacing w:after="0"/>
              <w:rPr>
                <w:sz w:val="22"/>
                <w:szCs w:val="22"/>
                <w:color w:val="auto"/>
              </w:rPr>
            </w:pPr>
          </w:p>
        </w:tc>
        <w:tc>
          <w:tcPr>
            <w:tcW w:w="1120" w:type="dxa"/>
            <w:vAlign w:val="bottom"/>
          </w:tcPr>
          <w:p>
            <w:pPr>
              <w:jc w:val="right"/>
              <w:ind w:right="260"/>
              <w:spacing w:after="0"/>
              <w:rPr>
                <w:sz w:val="20"/>
                <w:szCs w:val="20"/>
                <w:color w:val="auto"/>
              </w:rPr>
            </w:pPr>
            <w:r>
              <w:rPr>
                <w:rFonts w:ascii="Arial" w:cs="Arial" w:eastAsia="Arial" w:hAnsi="Arial"/>
                <w:sz w:val="20"/>
                <w:szCs w:val="20"/>
                <w:b w:val="1"/>
                <w:bCs w:val="1"/>
                <w:color w:val="auto"/>
              </w:rPr>
              <w:t>2008</w:t>
            </w:r>
          </w:p>
        </w:tc>
        <w:tc>
          <w:tcPr>
            <w:tcW w:w="780" w:type="dxa"/>
            <w:vAlign w:val="bottom"/>
          </w:tcPr>
          <w:p>
            <w:pPr>
              <w:spacing w:after="0"/>
              <w:rPr>
                <w:sz w:val="22"/>
                <w:szCs w:val="22"/>
                <w:color w:val="auto"/>
              </w:rPr>
            </w:pPr>
          </w:p>
        </w:tc>
        <w:tc>
          <w:tcPr>
            <w:tcW w:w="1040" w:type="dxa"/>
            <w:vAlign w:val="bottom"/>
          </w:tcPr>
          <w:p>
            <w:pPr>
              <w:jc w:val="right"/>
              <w:ind w:right="240"/>
              <w:spacing w:after="0"/>
              <w:rPr>
                <w:sz w:val="20"/>
                <w:szCs w:val="20"/>
                <w:color w:val="auto"/>
              </w:rPr>
            </w:pPr>
            <w:r>
              <w:rPr>
                <w:rFonts w:ascii="Arial" w:cs="Arial" w:eastAsia="Arial" w:hAnsi="Arial"/>
                <w:sz w:val="20"/>
                <w:szCs w:val="20"/>
                <w:b w:val="1"/>
                <w:bCs w:val="1"/>
                <w:color w:val="auto"/>
              </w:rPr>
              <w:t>2007</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2006</w:t>
            </w:r>
          </w:p>
        </w:tc>
        <w:tc>
          <w:tcPr>
            <w:tcW w:w="260" w:type="dxa"/>
            <w:vAlign w:val="bottom"/>
          </w:tcPr>
          <w:p>
            <w:pPr>
              <w:spacing w:after="0"/>
              <w:rPr>
                <w:sz w:val="22"/>
                <w:szCs w:val="22"/>
                <w:color w:val="auto"/>
              </w:rPr>
            </w:pPr>
          </w:p>
        </w:tc>
        <w:tc>
          <w:tcPr>
            <w:tcW w:w="1020" w:type="dxa"/>
            <w:vAlign w:val="bottom"/>
          </w:tcPr>
          <w:p>
            <w:pPr>
              <w:jc w:val="right"/>
              <w:ind w:right="220"/>
              <w:spacing w:after="0"/>
              <w:rPr>
                <w:sz w:val="20"/>
                <w:szCs w:val="20"/>
                <w:color w:val="auto"/>
              </w:rPr>
            </w:pPr>
            <w:r>
              <w:rPr>
                <w:rFonts w:ascii="Arial" w:cs="Arial" w:eastAsia="Arial" w:hAnsi="Arial"/>
                <w:sz w:val="20"/>
                <w:szCs w:val="20"/>
                <w:b w:val="1"/>
                <w:bCs w:val="1"/>
                <w:color w:val="auto"/>
              </w:rPr>
              <w:t>2005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OPERATING DATA:</w:t>
            </w:r>
          </w:p>
        </w:tc>
        <w:tc>
          <w:tcPr>
            <w:tcW w:w="1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9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90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1120" w:type="dxa"/>
            <w:vAlign w:val="bottom"/>
          </w:tcPr>
          <w:p>
            <w:pPr>
              <w:jc w:val="right"/>
              <w:spacing w:after="0"/>
              <w:rPr>
                <w:sz w:val="20"/>
                <w:szCs w:val="20"/>
                <w:color w:val="auto"/>
              </w:rPr>
            </w:pPr>
            <w:r>
              <w:rPr>
                <w:rFonts w:ascii="Arial" w:cs="Arial" w:eastAsia="Arial" w:hAnsi="Arial"/>
                <w:sz w:val="20"/>
                <w:szCs w:val="20"/>
                <w:color w:val="auto"/>
              </w:rPr>
              <w:t>$361,353</w:t>
            </w: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$422,548</w:t>
            </w: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$421,479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$454,875</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$440,770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900" w:type="dxa"/>
            <w:vAlign w:val="bottom"/>
            <w:gridSpan w:val="2"/>
          </w:tcPr>
          <w:p>
            <w:pPr>
              <w:spacing w:after="0"/>
              <w:rPr>
                <w:sz w:val="20"/>
                <w:szCs w:val="20"/>
                <w:color w:val="auto"/>
              </w:rPr>
            </w:pPr>
            <w:r>
              <w:rPr>
                <w:rFonts w:ascii="Arial" w:cs="Arial" w:eastAsia="Arial" w:hAnsi="Arial"/>
                <w:sz w:val="20"/>
                <w:szCs w:val="20"/>
                <w:color w:val="auto"/>
              </w:rPr>
              <w:t>Cost and expenses: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Cost of sales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(304,282)</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(349,841)</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(321,958)</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(307,851)</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(295,649)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w w:val="90"/>
              </w:rPr>
              <w:t>Selling, general and administrative</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(41,162)</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(55,167)</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(61,507)</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(62,215)</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(54,295)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Research and development</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(15,423)</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(17,475)</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(17,300)</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(27,337)</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(32,152)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w w:val="98"/>
              </w:rPr>
              <w:t>Consolidation, restructuring and</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related charges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(13,557)</w:t>
            </w:r>
          </w:p>
        </w:tc>
        <w:tc>
          <w:tcPr>
            <w:tcW w:w="800" w:type="dxa"/>
            <w:vAlign w:val="bottom"/>
          </w:tcPr>
          <w:p>
            <w:pPr>
              <w:ind w:left="20"/>
              <w:spacing w:after="0" w:line="225" w:lineRule="exact"/>
              <w:rPr>
                <w:sz w:val="20"/>
                <w:szCs w:val="20"/>
                <w:color w:val="auto"/>
              </w:rPr>
            </w:pPr>
            <w:r>
              <w:rPr>
                <w:rFonts w:ascii="Arial" w:cs="Arial" w:eastAsia="Arial" w:hAnsi="Arial"/>
                <w:sz w:val="20"/>
                <w:szCs w:val="20"/>
                <w:color w:val="auto"/>
              </w:rPr>
              <w:t>(a)</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(510)</w:t>
            </w:r>
          </w:p>
        </w:tc>
        <w:tc>
          <w:tcPr>
            <w:tcW w:w="780" w:type="dxa"/>
            <w:vAlign w:val="bottom"/>
          </w:tcPr>
          <w:p>
            <w:pPr>
              <w:ind w:left="20"/>
              <w:spacing w:after="0" w:line="225" w:lineRule="exact"/>
              <w:rPr>
                <w:sz w:val="20"/>
                <w:szCs w:val="20"/>
                <w:color w:val="auto"/>
              </w:rPr>
            </w:pPr>
            <w:r>
              <w:rPr>
                <w:rFonts w:ascii="Arial" w:cs="Arial" w:eastAsia="Arial" w:hAnsi="Arial"/>
                <w:sz w:val="20"/>
                <w:szCs w:val="20"/>
                <w:color w:val="auto"/>
              </w:rPr>
              <w:t>(d)</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2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(15,639) (g)</w:t>
            </w: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Impairment of long-lived assets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(1,458)</w:t>
            </w:r>
          </w:p>
        </w:tc>
        <w:tc>
          <w:tcPr>
            <w:tcW w:w="800" w:type="dxa"/>
            <w:vAlign w:val="bottom"/>
          </w:tcPr>
          <w:p>
            <w:pPr>
              <w:ind w:left="20"/>
              <w:spacing w:after="0" w:line="225" w:lineRule="exact"/>
              <w:rPr>
                <w:sz w:val="20"/>
                <w:szCs w:val="20"/>
                <w:color w:val="auto"/>
              </w:rPr>
            </w:pPr>
            <w:r>
              <w:rPr>
                <w:rFonts w:ascii="Arial" w:cs="Arial" w:eastAsia="Arial" w:hAnsi="Arial"/>
                <w:sz w:val="20"/>
                <w:szCs w:val="20"/>
                <w:color w:val="auto"/>
              </w:rPr>
              <w:t>(b)</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(66,874)</w:t>
            </w:r>
          </w:p>
        </w:tc>
        <w:tc>
          <w:tcPr>
            <w:tcW w:w="780" w:type="dxa"/>
            <w:vAlign w:val="bottom"/>
          </w:tcPr>
          <w:p>
            <w:pPr>
              <w:ind w:left="20"/>
              <w:spacing w:after="0" w:line="225" w:lineRule="exact"/>
              <w:rPr>
                <w:sz w:val="20"/>
                <w:szCs w:val="20"/>
                <w:color w:val="auto"/>
              </w:rPr>
            </w:pPr>
            <w:r>
              <w:rPr>
                <w:rFonts w:ascii="Arial" w:cs="Arial" w:eastAsia="Arial" w:hAnsi="Arial"/>
                <w:sz w:val="20"/>
                <w:szCs w:val="20"/>
                <w:color w:val="auto"/>
              </w:rPr>
              <w:t>(e)</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Impairment of goodwill</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(138,534)</w:t>
            </w:r>
          </w:p>
        </w:tc>
        <w:tc>
          <w:tcPr>
            <w:tcW w:w="780" w:type="dxa"/>
            <w:vAlign w:val="bottom"/>
          </w:tcPr>
          <w:p>
            <w:pPr>
              <w:ind w:left="20"/>
              <w:spacing w:after="0" w:line="225" w:lineRule="exact"/>
              <w:rPr>
                <w:sz w:val="20"/>
                <w:szCs w:val="20"/>
                <w:color w:val="auto"/>
              </w:rPr>
            </w:pPr>
            <w:r>
              <w:rPr>
                <w:rFonts w:ascii="Arial" w:cs="Arial" w:eastAsia="Arial" w:hAnsi="Arial"/>
                <w:sz w:val="20"/>
                <w:szCs w:val="20"/>
                <w:color w:val="auto"/>
              </w:rPr>
              <w:t>(f)</w:t>
            </w: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spacing w:after="0"/>
              <w:rPr>
                <w:sz w:val="20"/>
                <w:szCs w:val="20"/>
                <w:color w:val="auto"/>
              </w:rPr>
            </w:pPr>
            <w:r>
              <w:rPr>
                <w:rFonts w:ascii="Arial" w:cs="Arial" w:eastAsia="Arial" w:hAnsi="Arial"/>
                <w:sz w:val="20"/>
                <w:szCs w:val="20"/>
                <w:color w:val="auto"/>
              </w:rPr>
              <w:t>Gains on sales of facilities</w:t>
            </w:r>
          </w:p>
        </w:tc>
        <w:tc>
          <w:tcPr>
            <w:tcW w:w="1120" w:type="dxa"/>
            <w:vAlign w:val="bottom"/>
          </w:tcPr>
          <w:p>
            <w:pPr>
              <w:jc w:val="right"/>
              <w:spacing w:after="0"/>
              <w:rPr>
                <w:sz w:val="20"/>
                <w:szCs w:val="20"/>
                <w:color w:val="auto"/>
              </w:rPr>
            </w:pPr>
            <w:r>
              <w:rPr>
                <w:rFonts w:ascii="Arial" w:cs="Arial" w:eastAsia="Arial" w:hAnsi="Arial"/>
                <w:sz w:val="20"/>
                <w:szCs w:val="20"/>
                <w:color w:val="auto"/>
              </w:rPr>
              <w:t>2,034</w:t>
            </w:r>
          </w:p>
        </w:tc>
        <w:tc>
          <w:tcPr>
            <w:tcW w:w="8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2,254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Operating income (loss)</w:t>
            </w:r>
          </w:p>
        </w:tc>
        <w:tc>
          <w:tcPr>
            <w:tcW w:w="1120" w:type="dxa"/>
            <w:vAlign w:val="bottom"/>
          </w:tcPr>
          <w:p>
            <w:pPr>
              <w:jc w:val="right"/>
              <w:spacing w:after="0"/>
              <w:rPr>
                <w:sz w:val="20"/>
                <w:szCs w:val="20"/>
                <w:color w:val="auto"/>
              </w:rPr>
            </w:pPr>
            <w:r>
              <w:rPr>
                <w:rFonts w:ascii="Arial" w:cs="Arial" w:eastAsia="Arial" w:hAnsi="Arial"/>
                <w:sz w:val="20"/>
                <w:szCs w:val="20"/>
                <w:color w:val="auto"/>
              </w:rPr>
              <w:t>(12,495)</w:t>
            </w: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(205,853)</w:t>
            </w: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22,968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41,833</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58,674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900" w:type="dxa"/>
            <w:vAlign w:val="bottom"/>
            <w:gridSpan w:val="2"/>
          </w:tcPr>
          <w:p>
            <w:pPr>
              <w:spacing w:after="0"/>
              <w:rPr>
                <w:sz w:val="20"/>
                <w:szCs w:val="20"/>
                <w:color w:val="auto"/>
              </w:rPr>
            </w:pPr>
            <w:r>
              <w:rPr>
                <w:rFonts w:ascii="Arial" w:cs="Arial" w:eastAsia="Arial" w:hAnsi="Arial"/>
                <w:sz w:val="20"/>
                <w:szCs w:val="20"/>
                <w:color w:val="auto"/>
              </w:rPr>
              <w:t>Other income (expense):</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Interest expense</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(22,401)</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(11,878)</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(5,928)</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(11,916)</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(10,885)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Investment and other income</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40"/>
              <w:spacing w:after="0"/>
              <w:rPr>
                <w:sz w:val="20"/>
                <w:szCs w:val="20"/>
                <w:color w:val="auto"/>
              </w:rPr>
            </w:pPr>
            <w:r>
              <w:rPr>
                <w:rFonts w:ascii="Arial" w:cs="Arial" w:eastAsia="Arial" w:hAnsi="Arial"/>
                <w:sz w:val="20"/>
                <w:szCs w:val="20"/>
                <w:color w:val="auto"/>
              </w:rPr>
              <w:t>(expense), net</w:t>
            </w:r>
          </w:p>
        </w:tc>
        <w:tc>
          <w:tcPr>
            <w:tcW w:w="1120" w:type="dxa"/>
            <w:vAlign w:val="bottom"/>
          </w:tcPr>
          <w:p>
            <w:pPr>
              <w:jc w:val="right"/>
              <w:spacing w:after="0"/>
              <w:rPr>
                <w:sz w:val="20"/>
                <w:szCs w:val="20"/>
                <w:color w:val="auto"/>
              </w:rPr>
            </w:pPr>
            <w:r>
              <w:rPr>
                <w:rFonts w:ascii="Arial" w:cs="Arial" w:eastAsia="Arial" w:hAnsi="Arial"/>
                <w:sz w:val="20"/>
                <w:szCs w:val="20"/>
                <w:color w:val="auto"/>
              </w:rPr>
              <w:t>(2,208)</w:t>
            </w:r>
          </w:p>
        </w:tc>
        <w:tc>
          <w:tcPr>
            <w:tcW w:w="800" w:type="dxa"/>
            <w:vAlign w:val="bottom"/>
          </w:tcPr>
          <w:p>
            <w:pPr>
              <w:ind w:left="20"/>
              <w:spacing w:after="0"/>
              <w:rPr>
                <w:sz w:val="20"/>
                <w:szCs w:val="20"/>
                <w:color w:val="auto"/>
              </w:rPr>
            </w:pPr>
            <w:r>
              <w:rPr>
                <w:rFonts w:ascii="Arial" w:cs="Arial" w:eastAsia="Arial" w:hAnsi="Arial"/>
                <w:sz w:val="20"/>
                <w:szCs w:val="20"/>
                <w:color w:val="auto"/>
              </w:rPr>
              <w:t>(c)</w:t>
            </w:r>
          </w:p>
        </w:tc>
        <w:tc>
          <w:tcPr>
            <w:tcW w:w="1120" w:type="dxa"/>
            <w:vAlign w:val="bottom"/>
          </w:tcPr>
          <w:p>
            <w:pPr>
              <w:jc w:val="right"/>
              <w:spacing w:after="0"/>
              <w:rPr>
                <w:sz w:val="20"/>
                <w:szCs w:val="20"/>
                <w:color w:val="auto"/>
              </w:rPr>
            </w:pPr>
            <w:r>
              <w:rPr>
                <w:rFonts w:ascii="Arial" w:cs="Arial" w:eastAsia="Arial" w:hAnsi="Arial"/>
                <w:sz w:val="20"/>
                <w:szCs w:val="20"/>
                <w:color w:val="auto"/>
              </w:rPr>
              <w:t>5,562</w:t>
            </w: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6,844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15,469</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7,556</w:t>
            </w:r>
          </w:p>
        </w:tc>
        <w:tc>
          <w:tcPr>
            <w:tcW w:w="280" w:type="dxa"/>
            <w:vAlign w:val="bottom"/>
          </w:tcPr>
          <w:p>
            <w:pPr>
              <w:ind w:left="20"/>
              <w:spacing w:after="0"/>
              <w:rPr>
                <w:sz w:val="20"/>
                <w:szCs w:val="20"/>
                <w:color w:val="auto"/>
              </w:rPr>
            </w:pPr>
            <w:r>
              <w:rPr>
                <w:rFonts w:ascii="Arial" w:cs="Arial" w:eastAsia="Arial" w:hAnsi="Arial"/>
                <w:sz w:val="20"/>
                <w:szCs w:val="20"/>
                <w:color w:val="auto"/>
                <w:w w:val="97"/>
              </w:rPr>
              <w:t>(h)</w:t>
            </w:r>
          </w:p>
        </w:tc>
        <w:tc>
          <w:tcPr>
            <w:tcW w:w="0" w:type="dxa"/>
            <w:vAlign w:val="bottom"/>
          </w:tcPr>
          <w:p>
            <w:pPr>
              <w:spacing w:after="0"/>
              <w:rPr>
                <w:sz w:val="1"/>
                <w:szCs w:val="1"/>
                <w:color w:val="auto"/>
              </w:rPr>
            </w:pPr>
          </w:p>
        </w:tc>
      </w:tr>
      <w:tr>
        <w:trPr>
          <w:trHeight w:val="90"/>
        </w:trPr>
        <w:tc>
          <w:tcPr>
            <w:tcW w:w="2900" w:type="dxa"/>
            <w:vAlign w:val="bottom"/>
            <w:gridSpan w:val="2"/>
            <w:vMerge w:val="restart"/>
          </w:tcPr>
          <w:p>
            <w:pPr>
              <w:ind w:left="100"/>
              <w:spacing w:after="0"/>
              <w:rPr>
                <w:sz w:val="20"/>
                <w:szCs w:val="20"/>
                <w:color w:val="auto"/>
              </w:rPr>
            </w:pPr>
            <w:r>
              <w:rPr>
                <w:rFonts w:ascii="Arial" w:cs="Arial" w:eastAsia="Arial" w:hAnsi="Arial"/>
                <w:sz w:val="20"/>
                <w:szCs w:val="20"/>
                <w:color w:val="auto"/>
                <w:w w:val="97"/>
              </w:rPr>
              <w:t>Income (loss) before income tax</w:t>
            </w:r>
          </w:p>
        </w:tc>
        <w:tc>
          <w:tcPr>
            <w:tcW w:w="1120" w:type="dxa"/>
            <w:vAlign w:val="bottom"/>
            <w:tcBorders>
              <w:bottom w:val="single" w:sz="8" w:color="336699"/>
            </w:tcBorders>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9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benefit (provision) and minority</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ind w:left="240"/>
              <w:spacing w:after="0" w:line="225" w:lineRule="exact"/>
              <w:rPr>
                <w:sz w:val="20"/>
                <w:szCs w:val="20"/>
                <w:color w:val="auto"/>
              </w:rPr>
            </w:pPr>
            <w:r>
              <w:rPr>
                <w:rFonts w:ascii="Arial" w:cs="Arial" w:eastAsia="Arial" w:hAnsi="Arial"/>
                <w:sz w:val="20"/>
                <w:szCs w:val="20"/>
                <w:color w:val="auto"/>
              </w:rPr>
              <w:t>interest</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(37,104)</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(212,169)</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23,884</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45,386</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55,345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spacing w:after="0" w:line="225" w:lineRule="exact"/>
              <w:rPr>
                <w:sz w:val="20"/>
                <w:szCs w:val="20"/>
                <w:color w:val="auto"/>
              </w:rPr>
            </w:pPr>
            <w:r>
              <w:rPr>
                <w:rFonts w:ascii="Arial" w:cs="Arial" w:eastAsia="Arial" w:hAnsi="Arial"/>
                <w:sz w:val="20"/>
                <w:szCs w:val="20"/>
                <w:color w:val="auto"/>
              </w:rPr>
              <w:t>Income tax benefit (provision)</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(4,323)</w:t>
            </w:r>
          </w:p>
        </w:tc>
        <w:tc>
          <w:tcPr>
            <w:tcW w:w="800" w:type="dxa"/>
            <w:vAlign w:val="bottom"/>
          </w:tcPr>
          <w:p>
            <w:pPr>
              <w:spacing w:after="0"/>
              <w:rPr>
                <w:sz w:val="19"/>
                <w:szCs w:val="19"/>
                <w:color w:val="auto"/>
              </w:rPr>
            </w:pP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2,778</w:t>
            </w:r>
          </w:p>
        </w:tc>
        <w:tc>
          <w:tcPr>
            <w:tcW w:w="78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Arial" w:cs="Arial" w:eastAsia="Arial" w:hAnsi="Arial"/>
                <w:sz w:val="20"/>
                <w:szCs w:val="20"/>
                <w:color w:val="auto"/>
              </w:rPr>
              <w:t>3,178</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(10,462)</w:t>
            </w:r>
          </w:p>
        </w:tc>
        <w:tc>
          <w:tcPr>
            <w:tcW w:w="260" w:type="dxa"/>
            <w:vAlign w:val="bottom"/>
          </w:tcPr>
          <w:p>
            <w:pPr>
              <w:spacing w:after="0"/>
              <w:rPr>
                <w:sz w:val="19"/>
                <w:szCs w:val="19"/>
                <w:color w:val="auto"/>
              </w:rPr>
            </w:pP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(10,058)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00" w:type="dxa"/>
            <w:vAlign w:val="bottom"/>
            <w:gridSpan w:val="2"/>
          </w:tcPr>
          <w:p>
            <w:pPr>
              <w:spacing w:after="0" w:line="225" w:lineRule="exact"/>
              <w:rPr>
                <w:sz w:val="20"/>
                <w:szCs w:val="20"/>
                <w:color w:val="auto"/>
              </w:rPr>
            </w:pPr>
            <w:r>
              <w:rPr>
                <w:rFonts w:ascii="Arial" w:cs="Arial" w:eastAsia="Arial" w:hAnsi="Arial"/>
                <w:sz w:val="20"/>
                <w:szCs w:val="20"/>
                <w:color w:val="auto"/>
              </w:rPr>
              <w:t>Minority interest in income of</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consolidated subsidiaries</w:t>
            </w:r>
          </w:p>
        </w:tc>
        <w:tc>
          <w:tcPr>
            <w:tcW w:w="1120" w:type="dxa"/>
            <w:vAlign w:val="bottom"/>
          </w:tcPr>
          <w:p>
            <w:pPr>
              <w:jc w:val="right"/>
              <w:spacing w:after="0"/>
              <w:rPr>
                <w:sz w:val="20"/>
                <w:szCs w:val="20"/>
                <w:color w:val="auto"/>
              </w:rPr>
            </w:pPr>
            <w:r>
              <w:rPr>
                <w:rFonts w:ascii="Arial" w:cs="Arial" w:eastAsia="Arial" w:hAnsi="Arial"/>
                <w:sz w:val="20"/>
                <w:szCs w:val="20"/>
                <w:color w:val="auto"/>
              </w:rPr>
              <w:t>(483)</w:t>
            </w:r>
          </w:p>
        </w:tc>
        <w:tc>
          <w:tcPr>
            <w:tcW w:w="8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(1,374)</w:t>
            </w: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(2,539)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(5,592)</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(6,634)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900" w:type="dxa"/>
            <w:vAlign w:val="bottom"/>
            <w:gridSpan w:val="2"/>
          </w:tcPr>
          <w:p>
            <w:pPr>
              <w:spacing w:after="0"/>
              <w:rPr>
                <w:sz w:val="20"/>
                <w:szCs w:val="20"/>
                <w:color w:val="auto"/>
              </w:rPr>
            </w:pPr>
            <w:r>
              <w:rPr>
                <w:rFonts w:ascii="Arial" w:cs="Arial" w:eastAsia="Arial" w:hAnsi="Arial"/>
                <w:sz w:val="20"/>
                <w:szCs w:val="20"/>
                <w:color w:val="auto"/>
              </w:rPr>
              <w:t>Net income (loss)</w:t>
            </w:r>
          </w:p>
        </w:tc>
        <w:tc>
          <w:tcPr>
            <w:tcW w:w="1120" w:type="dxa"/>
            <w:vAlign w:val="bottom"/>
          </w:tcPr>
          <w:p>
            <w:pPr>
              <w:jc w:val="right"/>
              <w:spacing w:after="0"/>
              <w:rPr>
                <w:sz w:val="20"/>
                <w:szCs w:val="20"/>
                <w:color w:val="auto"/>
              </w:rPr>
            </w:pPr>
            <w:r>
              <w:rPr>
                <w:rFonts w:ascii="Arial" w:cs="Arial" w:eastAsia="Arial" w:hAnsi="Arial"/>
                <w:sz w:val="20"/>
                <w:szCs w:val="20"/>
                <w:color w:val="auto"/>
              </w:rPr>
              <w:t>$(41,910)</w:t>
            </w:r>
          </w:p>
        </w:tc>
        <w:tc>
          <w:tcPr>
            <w:tcW w:w="800" w:type="dxa"/>
            <w:vAlign w:val="bottom"/>
          </w:tcPr>
          <w:p>
            <w:pPr>
              <w:ind w:left="20"/>
              <w:spacing w:after="0"/>
              <w:rPr>
                <w:sz w:val="20"/>
                <w:szCs w:val="20"/>
                <w:color w:val="auto"/>
              </w:rPr>
            </w:pPr>
            <w:r>
              <w:rPr>
                <w:rFonts w:ascii="Arial" w:cs="Arial" w:eastAsia="Arial" w:hAnsi="Arial"/>
                <w:sz w:val="20"/>
                <w:szCs w:val="20"/>
                <w:color w:val="auto"/>
                <w:w w:val="91"/>
              </w:rPr>
              <w:t>(a) (b) (c)</w:t>
            </w:r>
          </w:p>
        </w:tc>
        <w:tc>
          <w:tcPr>
            <w:tcW w:w="1120" w:type="dxa"/>
            <w:vAlign w:val="bottom"/>
          </w:tcPr>
          <w:p>
            <w:pPr>
              <w:jc w:val="right"/>
              <w:spacing w:after="0"/>
              <w:rPr>
                <w:sz w:val="20"/>
                <w:szCs w:val="20"/>
                <w:color w:val="auto"/>
              </w:rPr>
            </w:pPr>
            <w:r>
              <w:rPr>
                <w:rFonts w:ascii="Arial" w:cs="Arial" w:eastAsia="Arial" w:hAnsi="Arial"/>
                <w:sz w:val="20"/>
                <w:szCs w:val="20"/>
                <w:color w:val="auto"/>
              </w:rPr>
              <w:t>$(210,765)</w:t>
            </w:r>
          </w:p>
        </w:tc>
        <w:tc>
          <w:tcPr>
            <w:tcW w:w="780" w:type="dxa"/>
            <w:vAlign w:val="bottom"/>
          </w:tcPr>
          <w:p>
            <w:pPr>
              <w:ind w:left="20"/>
              <w:spacing w:after="0"/>
              <w:rPr>
                <w:sz w:val="20"/>
                <w:szCs w:val="20"/>
                <w:color w:val="auto"/>
              </w:rPr>
            </w:pPr>
            <w:r>
              <w:rPr>
                <w:rFonts w:ascii="Arial" w:cs="Arial" w:eastAsia="Arial" w:hAnsi="Arial"/>
                <w:sz w:val="20"/>
                <w:szCs w:val="20"/>
                <w:color w:val="auto"/>
                <w:w w:val="93"/>
              </w:rPr>
              <w:t>(d) (e) (f)</w:t>
            </w:r>
          </w:p>
        </w:tc>
        <w:tc>
          <w:tcPr>
            <w:tcW w:w="1040" w:type="dxa"/>
            <w:vAlign w:val="bottom"/>
          </w:tcPr>
          <w:p>
            <w:pPr>
              <w:jc w:val="right"/>
              <w:spacing w:after="0"/>
              <w:rPr>
                <w:sz w:val="20"/>
                <w:szCs w:val="20"/>
                <w:color w:val="auto"/>
              </w:rPr>
            </w:pPr>
            <w:r>
              <w:rPr>
                <w:rFonts w:ascii="Arial" w:cs="Arial" w:eastAsia="Arial" w:hAnsi="Arial"/>
                <w:sz w:val="20"/>
                <w:szCs w:val="20"/>
                <w:color w:val="auto"/>
              </w:rPr>
              <w:t>$24,523</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$29,332</w:t>
            </w:r>
          </w:p>
        </w:tc>
        <w:tc>
          <w:tcPr>
            <w:tcW w:w="260" w:type="dxa"/>
            <w:vAlign w:val="bottom"/>
          </w:tcPr>
          <w:p>
            <w:pPr>
              <w:jc w:val="right"/>
              <w:spacing w:after="0"/>
              <w:rPr>
                <w:sz w:val="20"/>
                <w:szCs w:val="20"/>
                <w:color w:val="auto"/>
              </w:rPr>
            </w:pPr>
            <w:r>
              <w:rPr>
                <w:rFonts w:ascii="Arial" w:cs="Arial" w:eastAsia="Arial" w:hAnsi="Arial"/>
                <w:sz w:val="20"/>
                <w:szCs w:val="20"/>
                <w:color w:val="auto"/>
                <w:w w:val="97"/>
              </w:rPr>
              <w:t>(g)</w:t>
            </w:r>
          </w:p>
        </w:tc>
        <w:tc>
          <w:tcPr>
            <w:tcW w:w="1020" w:type="dxa"/>
            <w:vAlign w:val="bottom"/>
          </w:tcPr>
          <w:p>
            <w:pPr>
              <w:jc w:val="right"/>
              <w:spacing w:after="0"/>
              <w:rPr>
                <w:sz w:val="20"/>
                <w:szCs w:val="20"/>
                <w:color w:val="auto"/>
              </w:rPr>
            </w:pPr>
            <w:r>
              <w:rPr>
                <w:rFonts w:ascii="Arial" w:cs="Arial" w:eastAsia="Arial" w:hAnsi="Arial"/>
                <w:sz w:val="20"/>
                <w:szCs w:val="20"/>
                <w:color w:val="auto"/>
              </w:rPr>
              <w:t>$38,653</w:t>
            </w:r>
          </w:p>
        </w:tc>
        <w:tc>
          <w:tcPr>
            <w:tcW w:w="280" w:type="dxa"/>
            <w:vAlign w:val="bottom"/>
          </w:tcPr>
          <w:p>
            <w:pPr>
              <w:ind w:left="20"/>
              <w:spacing w:after="0"/>
              <w:rPr>
                <w:sz w:val="20"/>
                <w:szCs w:val="20"/>
                <w:color w:val="auto"/>
              </w:rPr>
            </w:pPr>
            <w:r>
              <w:rPr>
                <w:rFonts w:ascii="Arial" w:cs="Arial" w:eastAsia="Arial" w:hAnsi="Arial"/>
                <w:sz w:val="20"/>
                <w:szCs w:val="20"/>
                <w:color w:val="auto"/>
                <w:w w:val="97"/>
              </w:rPr>
              <w:t>(h)</w:t>
            </w: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5"/>
        </w:trPr>
        <w:tc>
          <w:tcPr>
            <w:tcW w:w="2900" w:type="dxa"/>
            <w:vAlign w:val="bottom"/>
            <w:gridSpan w:val="2"/>
          </w:tcPr>
          <w:p>
            <w:pPr>
              <w:spacing w:after="0"/>
              <w:rPr>
                <w:sz w:val="20"/>
                <w:szCs w:val="20"/>
                <w:color w:val="auto"/>
              </w:rPr>
            </w:pPr>
            <w:r>
              <w:rPr>
                <w:rFonts w:ascii="Arial" w:cs="Arial" w:eastAsia="Arial" w:hAnsi="Arial"/>
                <w:sz w:val="20"/>
                <w:szCs w:val="20"/>
                <w:color w:val="auto"/>
              </w:rPr>
              <w:t>Earnings (loss) per share:</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Basic</w:t>
            </w:r>
          </w:p>
        </w:tc>
        <w:tc>
          <w:tcPr>
            <w:tcW w:w="1120" w:type="dxa"/>
            <w:vAlign w:val="bottom"/>
          </w:tcPr>
          <w:p>
            <w:pPr>
              <w:jc w:val="right"/>
              <w:spacing w:after="0"/>
              <w:rPr>
                <w:sz w:val="20"/>
                <w:szCs w:val="20"/>
                <w:color w:val="auto"/>
              </w:rPr>
            </w:pPr>
            <w:r>
              <w:rPr>
                <w:rFonts w:ascii="Arial" w:cs="Arial" w:eastAsia="Arial" w:hAnsi="Arial"/>
                <w:sz w:val="20"/>
                <w:szCs w:val="20"/>
                <w:color w:val="auto"/>
              </w:rPr>
              <w:t>$(0.97)</w:t>
            </w:r>
          </w:p>
        </w:tc>
        <w:tc>
          <w:tcPr>
            <w:tcW w:w="800" w:type="dxa"/>
            <w:vAlign w:val="bottom"/>
          </w:tcPr>
          <w:p>
            <w:pPr>
              <w:ind w:left="20"/>
              <w:spacing w:after="0"/>
              <w:rPr>
                <w:sz w:val="20"/>
                <w:szCs w:val="20"/>
                <w:color w:val="auto"/>
              </w:rPr>
            </w:pPr>
            <w:r>
              <w:rPr>
                <w:rFonts w:ascii="Arial" w:cs="Arial" w:eastAsia="Arial" w:hAnsi="Arial"/>
                <w:sz w:val="20"/>
                <w:szCs w:val="20"/>
                <w:color w:val="auto"/>
                <w:w w:val="91"/>
              </w:rPr>
              <w:t>(a) (b) (c)</w:t>
            </w:r>
          </w:p>
        </w:tc>
        <w:tc>
          <w:tcPr>
            <w:tcW w:w="1120" w:type="dxa"/>
            <w:vAlign w:val="bottom"/>
          </w:tcPr>
          <w:p>
            <w:pPr>
              <w:jc w:val="right"/>
              <w:spacing w:after="0"/>
              <w:rPr>
                <w:sz w:val="20"/>
                <w:szCs w:val="20"/>
                <w:color w:val="auto"/>
              </w:rPr>
            </w:pPr>
            <w:r>
              <w:rPr>
                <w:rFonts w:ascii="Arial" w:cs="Arial" w:eastAsia="Arial" w:hAnsi="Arial"/>
                <w:sz w:val="20"/>
                <w:szCs w:val="20"/>
                <w:color w:val="auto"/>
              </w:rPr>
              <w:t>$(5.06)</w:t>
            </w:r>
          </w:p>
        </w:tc>
        <w:tc>
          <w:tcPr>
            <w:tcW w:w="780" w:type="dxa"/>
            <w:vAlign w:val="bottom"/>
          </w:tcPr>
          <w:p>
            <w:pPr>
              <w:ind w:left="20"/>
              <w:spacing w:after="0"/>
              <w:rPr>
                <w:sz w:val="20"/>
                <w:szCs w:val="20"/>
                <w:color w:val="auto"/>
              </w:rPr>
            </w:pPr>
            <w:r>
              <w:rPr>
                <w:rFonts w:ascii="Arial" w:cs="Arial" w:eastAsia="Arial" w:hAnsi="Arial"/>
                <w:sz w:val="20"/>
                <w:szCs w:val="20"/>
                <w:color w:val="auto"/>
                <w:w w:val="93"/>
              </w:rPr>
              <w:t>(d) (e) (f)</w:t>
            </w:r>
          </w:p>
        </w:tc>
        <w:tc>
          <w:tcPr>
            <w:tcW w:w="1040" w:type="dxa"/>
            <w:vAlign w:val="bottom"/>
          </w:tcPr>
          <w:p>
            <w:pPr>
              <w:jc w:val="right"/>
              <w:spacing w:after="0"/>
              <w:rPr>
                <w:sz w:val="20"/>
                <w:szCs w:val="20"/>
                <w:color w:val="auto"/>
              </w:rPr>
            </w:pPr>
            <w:r>
              <w:rPr>
                <w:rFonts w:ascii="Arial" w:cs="Arial" w:eastAsia="Arial" w:hAnsi="Arial"/>
                <w:sz w:val="20"/>
                <w:szCs w:val="20"/>
                <w:color w:val="auto"/>
              </w:rPr>
              <w:t>$0.59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$0.71</w:t>
            </w:r>
          </w:p>
        </w:tc>
        <w:tc>
          <w:tcPr>
            <w:tcW w:w="260" w:type="dxa"/>
            <w:vAlign w:val="bottom"/>
          </w:tcPr>
          <w:p>
            <w:pPr>
              <w:jc w:val="right"/>
              <w:spacing w:after="0"/>
              <w:rPr>
                <w:sz w:val="20"/>
                <w:szCs w:val="20"/>
                <w:color w:val="auto"/>
              </w:rPr>
            </w:pPr>
            <w:r>
              <w:rPr>
                <w:rFonts w:ascii="Arial" w:cs="Arial" w:eastAsia="Arial" w:hAnsi="Arial"/>
                <w:sz w:val="20"/>
                <w:szCs w:val="20"/>
                <w:color w:val="auto"/>
                <w:w w:val="97"/>
              </w:rPr>
              <w:t>(g)</w:t>
            </w:r>
          </w:p>
        </w:tc>
        <w:tc>
          <w:tcPr>
            <w:tcW w:w="1020" w:type="dxa"/>
            <w:vAlign w:val="bottom"/>
          </w:tcPr>
          <w:p>
            <w:pPr>
              <w:jc w:val="right"/>
              <w:spacing w:after="0"/>
              <w:rPr>
                <w:sz w:val="20"/>
                <w:szCs w:val="20"/>
                <w:color w:val="auto"/>
              </w:rPr>
            </w:pPr>
            <w:r>
              <w:rPr>
                <w:rFonts w:ascii="Arial" w:cs="Arial" w:eastAsia="Arial" w:hAnsi="Arial"/>
                <w:sz w:val="20"/>
                <w:szCs w:val="20"/>
                <w:color w:val="auto"/>
              </w:rPr>
              <w:t>$1.09</w:t>
            </w:r>
          </w:p>
        </w:tc>
        <w:tc>
          <w:tcPr>
            <w:tcW w:w="280" w:type="dxa"/>
            <w:vAlign w:val="bottom"/>
          </w:tcPr>
          <w:p>
            <w:pPr>
              <w:ind w:left="20"/>
              <w:spacing w:after="0"/>
              <w:rPr>
                <w:sz w:val="20"/>
                <w:szCs w:val="20"/>
                <w:color w:val="auto"/>
              </w:rPr>
            </w:pPr>
            <w:r>
              <w:rPr>
                <w:rFonts w:ascii="Arial" w:cs="Arial" w:eastAsia="Arial" w:hAnsi="Arial"/>
                <w:sz w:val="20"/>
                <w:szCs w:val="20"/>
                <w:color w:val="auto"/>
                <w:w w:val="97"/>
              </w:rPr>
              <w:t>(h)</w:t>
            </w: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Diluted</w:t>
            </w:r>
          </w:p>
        </w:tc>
        <w:tc>
          <w:tcPr>
            <w:tcW w:w="1120" w:type="dxa"/>
            <w:vAlign w:val="bottom"/>
          </w:tcPr>
          <w:p>
            <w:pPr>
              <w:jc w:val="right"/>
              <w:spacing w:after="0"/>
              <w:rPr>
                <w:sz w:val="20"/>
                <w:szCs w:val="20"/>
                <w:color w:val="auto"/>
              </w:rPr>
            </w:pPr>
            <w:r>
              <w:rPr>
                <w:rFonts w:ascii="Arial" w:cs="Arial" w:eastAsia="Arial" w:hAnsi="Arial"/>
                <w:sz w:val="20"/>
                <w:szCs w:val="20"/>
                <w:color w:val="auto"/>
              </w:rPr>
              <w:t>$(0.97)</w:t>
            </w:r>
          </w:p>
        </w:tc>
        <w:tc>
          <w:tcPr>
            <w:tcW w:w="800" w:type="dxa"/>
            <w:vAlign w:val="bottom"/>
          </w:tcPr>
          <w:p>
            <w:pPr>
              <w:ind w:left="20"/>
              <w:spacing w:after="0"/>
              <w:rPr>
                <w:sz w:val="20"/>
                <w:szCs w:val="20"/>
                <w:color w:val="auto"/>
              </w:rPr>
            </w:pPr>
            <w:r>
              <w:rPr>
                <w:rFonts w:ascii="Arial" w:cs="Arial" w:eastAsia="Arial" w:hAnsi="Arial"/>
                <w:sz w:val="20"/>
                <w:szCs w:val="20"/>
                <w:color w:val="auto"/>
                <w:w w:val="91"/>
              </w:rPr>
              <w:t>(a) (b) (c)</w:t>
            </w:r>
          </w:p>
        </w:tc>
        <w:tc>
          <w:tcPr>
            <w:tcW w:w="1120" w:type="dxa"/>
            <w:vAlign w:val="bottom"/>
          </w:tcPr>
          <w:p>
            <w:pPr>
              <w:jc w:val="right"/>
              <w:spacing w:after="0"/>
              <w:rPr>
                <w:sz w:val="20"/>
                <w:szCs w:val="20"/>
                <w:color w:val="auto"/>
              </w:rPr>
            </w:pPr>
            <w:r>
              <w:rPr>
                <w:rFonts w:ascii="Arial" w:cs="Arial" w:eastAsia="Arial" w:hAnsi="Arial"/>
                <w:sz w:val="20"/>
                <w:szCs w:val="20"/>
                <w:color w:val="auto"/>
              </w:rPr>
              <w:t>$(5.06)</w:t>
            </w:r>
          </w:p>
        </w:tc>
        <w:tc>
          <w:tcPr>
            <w:tcW w:w="780" w:type="dxa"/>
            <w:vAlign w:val="bottom"/>
          </w:tcPr>
          <w:p>
            <w:pPr>
              <w:ind w:left="20"/>
              <w:spacing w:after="0"/>
              <w:rPr>
                <w:sz w:val="20"/>
                <w:szCs w:val="20"/>
                <w:color w:val="auto"/>
              </w:rPr>
            </w:pPr>
            <w:r>
              <w:rPr>
                <w:rFonts w:ascii="Arial" w:cs="Arial" w:eastAsia="Arial" w:hAnsi="Arial"/>
                <w:sz w:val="20"/>
                <w:szCs w:val="20"/>
                <w:color w:val="auto"/>
                <w:w w:val="93"/>
              </w:rPr>
              <w:t>(d) (e) (f)</w:t>
            </w:r>
          </w:p>
        </w:tc>
        <w:tc>
          <w:tcPr>
            <w:tcW w:w="1040" w:type="dxa"/>
            <w:vAlign w:val="bottom"/>
          </w:tcPr>
          <w:p>
            <w:pPr>
              <w:jc w:val="right"/>
              <w:spacing w:after="0"/>
              <w:rPr>
                <w:sz w:val="20"/>
                <w:szCs w:val="20"/>
                <w:color w:val="auto"/>
              </w:rPr>
            </w:pPr>
            <w:r>
              <w:rPr>
                <w:rFonts w:ascii="Arial" w:cs="Arial" w:eastAsia="Arial" w:hAnsi="Arial"/>
                <w:sz w:val="20"/>
                <w:szCs w:val="20"/>
                <w:color w:val="auto"/>
              </w:rPr>
              <w:t>$0.56</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$0.66</w:t>
            </w:r>
          </w:p>
        </w:tc>
        <w:tc>
          <w:tcPr>
            <w:tcW w:w="260" w:type="dxa"/>
            <w:vAlign w:val="bottom"/>
          </w:tcPr>
          <w:p>
            <w:pPr>
              <w:jc w:val="right"/>
              <w:spacing w:after="0"/>
              <w:rPr>
                <w:sz w:val="20"/>
                <w:szCs w:val="20"/>
                <w:color w:val="auto"/>
              </w:rPr>
            </w:pPr>
            <w:r>
              <w:rPr>
                <w:rFonts w:ascii="Arial" w:cs="Arial" w:eastAsia="Arial" w:hAnsi="Arial"/>
                <w:sz w:val="20"/>
                <w:szCs w:val="20"/>
                <w:color w:val="auto"/>
                <w:w w:val="97"/>
              </w:rPr>
              <w:t>(g)</w:t>
            </w:r>
          </w:p>
        </w:tc>
        <w:tc>
          <w:tcPr>
            <w:tcW w:w="1020" w:type="dxa"/>
            <w:vAlign w:val="bottom"/>
          </w:tcPr>
          <w:p>
            <w:pPr>
              <w:jc w:val="right"/>
              <w:spacing w:after="0"/>
              <w:rPr>
                <w:sz w:val="20"/>
                <w:szCs w:val="20"/>
                <w:color w:val="auto"/>
              </w:rPr>
            </w:pPr>
            <w:r>
              <w:rPr>
                <w:rFonts w:ascii="Arial" w:cs="Arial" w:eastAsia="Arial" w:hAnsi="Arial"/>
                <w:sz w:val="20"/>
                <w:szCs w:val="20"/>
                <w:color w:val="auto"/>
              </w:rPr>
              <w:t>$0.95</w:t>
            </w:r>
          </w:p>
        </w:tc>
        <w:tc>
          <w:tcPr>
            <w:tcW w:w="280" w:type="dxa"/>
            <w:vAlign w:val="bottom"/>
          </w:tcPr>
          <w:p>
            <w:pPr>
              <w:ind w:left="20"/>
              <w:spacing w:after="0"/>
              <w:rPr>
                <w:sz w:val="20"/>
                <w:szCs w:val="20"/>
                <w:color w:val="auto"/>
              </w:rPr>
            </w:pPr>
            <w:r>
              <w:rPr>
                <w:rFonts w:ascii="Arial" w:cs="Arial" w:eastAsia="Arial" w:hAnsi="Arial"/>
                <w:sz w:val="20"/>
                <w:szCs w:val="20"/>
                <w:color w:val="auto"/>
                <w:w w:val="97"/>
              </w:rPr>
              <w:t>(h)</w:t>
            </w: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900" w:type="dxa"/>
            <w:vAlign w:val="bottom"/>
            <w:gridSpan w:val="2"/>
          </w:tcPr>
          <w:p>
            <w:pPr>
              <w:spacing w:after="0"/>
              <w:rPr>
                <w:sz w:val="20"/>
                <w:szCs w:val="20"/>
                <w:color w:val="auto"/>
              </w:rPr>
            </w:pPr>
            <w:r>
              <w:rPr>
                <w:rFonts w:ascii="Arial" w:cs="Arial" w:eastAsia="Arial" w:hAnsi="Arial"/>
                <w:sz w:val="20"/>
                <w:szCs w:val="20"/>
                <w:color w:val="auto"/>
              </w:rPr>
              <w:t>Weighted average number of</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common shares outstanding:</w:t>
            </w: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9"/>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Basic</w:t>
            </w:r>
          </w:p>
        </w:tc>
        <w:tc>
          <w:tcPr>
            <w:tcW w:w="1120" w:type="dxa"/>
            <w:vAlign w:val="bottom"/>
          </w:tcPr>
          <w:p>
            <w:pPr>
              <w:jc w:val="right"/>
              <w:spacing w:after="0"/>
              <w:rPr>
                <w:sz w:val="20"/>
                <w:szCs w:val="20"/>
                <w:color w:val="auto"/>
              </w:rPr>
            </w:pPr>
            <w:r>
              <w:rPr>
                <w:rFonts w:ascii="Arial" w:cs="Arial" w:eastAsia="Arial" w:hAnsi="Arial"/>
                <w:sz w:val="20"/>
                <w:szCs w:val="20"/>
                <w:color w:val="auto"/>
              </w:rPr>
              <w:t>43,210</w:t>
            </w: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41,658</w:t>
            </w: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41,539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41,369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35,519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900" w:type="dxa"/>
            <w:vAlign w:val="bottom"/>
            <w:gridSpan w:val="2"/>
          </w:tcPr>
          <w:p>
            <w:pPr>
              <w:ind w:left="100"/>
              <w:spacing w:after="0"/>
              <w:rPr>
                <w:sz w:val="20"/>
                <w:szCs w:val="20"/>
                <w:color w:val="auto"/>
              </w:rPr>
            </w:pPr>
            <w:r>
              <w:rPr>
                <w:rFonts w:ascii="Arial" w:cs="Arial" w:eastAsia="Arial" w:hAnsi="Arial"/>
                <w:sz w:val="20"/>
                <w:szCs w:val="20"/>
                <w:color w:val="auto"/>
              </w:rPr>
              <w:t>Diluted</w:t>
            </w:r>
          </w:p>
        </w:tc>
        <w:tc>
          <w:tcPr>
            <w:tcW w:w="1120" w:type="dxa"/>
            <w:vAlign w:val="bottom"/>
          </w:tcPr>
          <w:p>
            <w:pPr>
              <w:jc w:val="right"/>
              <w:spacing w:after="0"/>
              <w:rPr>
                <w:sz w:val="20"/>
                <w:szCs w:val="20"/>
                <w:color w:val="auto"/>
              </w:rPr>
            </w:pPr>
            <w:r>
              <w:rPr>
                <w:rFonts w:ascii="Arial" w:cs="Arial" w:eastAsia="Arial" w:hAnsi="Arial"/>
                <w:sz w:val="20"/>
                <w:szCs w:val="20"/>
                <w:color w:val="auto"/>
              </w:rPr>
              <w:t>43,210</w:t>
            </w:r>
          </w:p>
        </w:tc>
        <w:tc>
          <w:tcPr>
            <w:tcW w:w="8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41,658</w:t>
            </w:r>
          </w:p>
        </w:tc>
        <w:tc>
          <w:tcPr>
            <w:tcW w:w="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51,282</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51,072</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45,256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-2053590</wp:posOffset>
            </wp:positionV>
            <wp:extent cx="1270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-2053590</wp:posOffset>
            </wp:positionV>
            <wp:extent cx="1270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-2053590</wp:posOffset>
            </wp:positionV>
            <wp:extent cx="1270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-2053590</wp:posOffset>
            </wp:positionV>
            <wp:extent cx="1270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-2053590</wp:posOffset>
            </wp:positionV>
            <wp:extent cx="1270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-2053590</wp:posOffset>
            </wp:positionV>
            <wp:extent cx="1270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-2053590</wp:posOffset>
            </wp:positionV>
            <wp:extent cx="1270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-2053590</wp:posOffset>
            </wp:positionV>
            <wp:extent cx="1270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-2053590</wp:posOffset>
            </wp:positionV>
            <wp:extent cx="1270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-2053590</wp:posOffset>
            </wp:positionV>
            <wp:extent cx="1270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-1333500</wp:posOffset>
            </wp:positionV>
            <wp:extent cx="1270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-1333500</wp:posOffset>
            </wp:positionV>
            <wp:extent cx="12700"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-1333500</wp:posOffset>
            </wp:positionV>
            <wp:extent cx="1270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-1333500</wp:posOffset>
            </wp:positionV>
            <wp:extent cx="1270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-1333500</wp:posOffset>
            </wp:positionV>
            <wp:extent cx="1270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-1333500</wp:posOffset>
            </wp:positionV>
            <wp:extent cx="1270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-1333500</wp:posOffset>
            </wp:positionV>
            <wp:extent cx="12700"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-1333500</wp:posOffset>
            </wp:positionV>
            <wp:extent cx="12700"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-1333500</wp:posOffset>
            </wp:positionV>
            <wp:extent cx="12700"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-1333500</wp:posOffset>
            </wp:positionV>
            <wp:extent cx="12700"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-1040765</wp:posOffset>
            </wp:positionV>
            <wp:extent cx="12700"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-1040765</wp:posOffset>
            </wp:positionV>
            <wp:extent cx="12700"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-1040765</wp:posOffset>
            </wp:positionV>
            <wp:extent cx="12700" cy="28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-1040765</wp:posOffset>
            </wp:positionV>
            <wp:extent cx="12700"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-1040765</wp:posOffset>
            </wp:positionV>
            <wp:extent cx="12700" cy="28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-1040765</wp:posOffset>
            </wp:positionV>
            <wp:extent cx="12700"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-1040765</wp:posOffset>
            </wp:positionV>
            <wp:extent cx="12700"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-1040765</wp:posOffset>
            </wp:positionV>
            <wp:extent cx="12700" cy="28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-1040765</wp:posOffset>
            </wp:positionV>
            <wp:extent cx="1270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-1040765</wp:posOffset>
            </wp:positionV>
            <wp:extent cx="1270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-320675</wp:posOffset>
            </wp:positionV>
            <wp:extent cx="12700"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-320675</wp:posOffset>
            </wp:positionV>
            <wp:extent cx="12700"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-320675</wp:posOffset>
            </wp:positionV>
            <wp:extent cx="12700"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-320675</wp:posOffset>
            </wp:positionV>
            <wp:extent cx="1270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-320675</wp:posOffset>
            </wp:positionV>
            <wp:extent cx="1270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-320675</wp:posOffset>
            </wp:positionV>
            <wp:extent cx="1270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-320675</wp:posOffset>
            </wp:positionV>
            <wp:extent cx="12700"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-320675</wp:posOffset>
            </wp:positionV>
            <wp:extent cx="1270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-320675</wp:posOffset>
            </wp:positionV>
            <wp:extent cx="1270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-320675</wp:posOffset>
            </wp:positionV>
            <wp:extent cx="12700"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-27940</wp:posOffset>
            </wp:positionV>
            <wp:extent cx="1270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-27940</wp:posOffset>
            </wp:positionV>
            <wp:extent cx="12700"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-27940</wp:posOffset>
            </wp:positionV>
            <wp:extent cx="12700"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-27940</wp:posOffset>
            </wp:positionV>
            <wp:extent cx="1270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-27940</wp:posOffset>
            </wp:positionV>
            <wp:extent cx="12700"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-27940</wp:posOffset>
            </wp:positionV>
            <wp:extent cx="12700" cy="28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-27940</wp:posOffset>
            </wp:positionV>
            <wp:extent cx="12700" cy="28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-27940</wp:posOffset>
            </wp:positionV>
            <wp:extent cx="1270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-27940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-27940</wp:posOffset>
            </wp:positionV>
            <wp:extent cx="1270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280"/>
          </w:cols>
          <w:pgMar w:left="240" w:top="544" w:right="379" w:bottom="439"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29869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96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00"/>
              <w:spacing w:after="0"/>
              <w:rPr>
                <w:sz w:val="20"/>
                <w:szCs w:val="20"/>
                <w:color w:val="auto"/>
              </w:rPr>
            </w:pPr>
            <w:r>
              <w:rPr>
                <w:rFonts w:ascii="Arial" w:cs="Arial" w:eastAsia="Arial" w:hAnsi="Arial"/>
                <w:sz w:val="20"/>
                <w:szCs w:val="20"/>
                <w:b w:val="1"/>
                <w:bCs w:val="1"/>
                <w:color w:val="auto"/>
              </w:rPr>
              <w:t>As of</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68"/>
        </w:trPr>
        <w:tc>
          <w:tcPr>
            <w:tcW w:w="28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304"/>
        </w:trPr>
        <w:tc>
          <w:tcPr>
            <w:tcW w:w="2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8"/>
              </w:rPr>
              <w:t>November 1,</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28,</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29,</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30,</w:t>
            </w:r>
          </w:p>
        </w:tc>
      </w:tr>
      <w:tr>
        <w:trPr>
          <w:trHeight w:val="260"/>
        </w:trPr>
        <w:tc>
          <w:tcPr>
            <w:tcW w:w="2860" w:type="dxa"/>
            <w:vAlign w:val="bottom"/>
          </w:tcPr>
          <w:p>
            <w:pPr>
              <w:spacing w:after="0"/>
              <w:rPr>
                <w:sz w:val="22"/>
                <w:szCs w:val="22"/>
                <w:color w:val="auto"/>
              </w:rPr>
            </w:pPr>
          </w:p>
        </w:tc>
        <w:tc>
          <w:tcPr>
            <w:tcW w:w="1120" w:type="dxa"/>
            <w:vAlign w:val="bottom"/>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124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2008</w:t>
            </w:r>
          </w:p>
        </w:tc>
        <w:tc>
          <w:tcPr>
            <w:tcW w:w="11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2007</w:t>
            </w:r>
          </w:p>
        </w:tc>
        <w:tc>
          <w:tcPr>
            <w:tcW w:w="11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2006</w:t>
            </w:r>
          </w:p>
        </w:tc>
        <w:tc>
          <w:tcPr>
            <w:tcW w:w="11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2005</w:t>
            </w:r>
          </w:p>
        </w:tc>
      </w:tr>
      <w:tr>
        <w:trPr>
          <w:trHeight w:val="90"/>
        </w:trPr>
        <w:tc>
          <w:tcPr>
            <w:tcW w:w="286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534"/>
        </w:trPr>
        <w:tc>
          <w:tcPr>
            <w:tcW w:w="2860" w:type="dxa"/>
            <w:vAlign w:val="bottom"/>
          </w:tcPr>
          <w:p>
            <w:pPr>
              <w:spacing w:after="0"/>
              <w:rPr>
                <w:sz w:val="20"/>
                <w:szCs w:val="20"/>
                <w:color w:val="auto"/>
              </w:rPr>
            </w:pPr>
            <w:r>
              <w:rPr>
                <w:rFonts w:ascii="Arial" w:cs="Arial" w:eastAsia="Arial" w:hAnsi="Arial"/>
                <w:sz w:val="20"/>
                <w:szCs w:val="20"/>
                <w:color w:val="auto"/>
              </w:rPr>
              <w:t>Working capital</w:t>
            </w:r>
          </w:p>
        </w:tc>
        <w:tc>
          <w:tcPr>
            <w:tcW w:w="1120" w:type="dxa"/>
            <w:vAlign w:val="bottom"/>
          </w:tcPr>
          <w:p>
            <w:pPr>
              <w:jc w:val="right"/>
              <w:spacing w:after="0"/>
              <w:rPr>
                <w:sz w:val="20"/>
                <w:szCs w:val="20"/>
                <w:color w:val="auto"/>
              </w:rPr>
            </w:pPr>
            <w:r>
              <w:rPr>
                <w:rFonts w:ascii="Arial" w:cs="Arial" w:eastAsia="Arial" w:hAnsi="Arial"/>
                <w:sz w:val="20"/>
                <w:szCs w:val="20"/>
                <w:color w:val="auto"/>
              </w:rPr>
              <w:t>$ 89,542</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$ 66,419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  96,606</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$ 127,691</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$300,557</w:t>
            </w:r>
          </w:p>
        </w:tc>
      </w:tr>
      <w:tr>
        <w:trPr>
          <w:trHeight w:val="224"/>
        </w:trPr>
        <w:tc>
          <w:tcPr>
            <w:tcW w:w="2860" w:type="dxa"/>
            <w:vAlign w:val="bottom"/>
          </w:tcPr>
          <w:p>
            <w:pPr>
              <w:spacing w:after="0" w:line="225" w:lineRule="exact"/>
              <w:rPr>
                <w:sz w:val="20"/>
                <w:szCs w:val="20"/>
                <w:color w:val="auto"/>
              </w:rPr>
            </w:pPr>
            <w:r>
              <w:rPr>
                <w:rFonts w:ascii="Arial" w:cs="Arial" w:eastAsia="Arial" w:hAnsi="Arial"/>
                <w:sz w:val="20"/>
                <w:szCs w:val="20"/>
                <w:color w:val="auto"/>
                <w:w w:val="92"/>
              </w:rPr>
              <w:t>Property, plant and equipment, net</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347,889</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436,528</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531,578</w:t>
            </w:r>
          </w:p>
        </w:tc>
        <w:tc>
          <w:tcPr>
            <w:tcW w:w="11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443,637</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412,429</w:t>
            </w:r>
          </w:p>
        </w:tc>
      </w:tr>
      <w:tr>
        <w:trPr>
          <w:trHeight w:val="224"/>
        </w:trPr>
        <w:tc>
          <w:tcPr>
            <w:tcW w:w="2860" w:type="dxa"/>
            <w:vAlign w:val="bottom"/>
          </w:tcPr>
          <w:p>
            <w:pPr>
              <w:spacing w:after="0" w:line="225" w:lineRule="exact"/>
              <w:rPr>
                <w:sz w:val="20"/>
                <w:szCs w:val="20"/>
                <w:color w:val="auto"/>
              </w:rPr>
            </w:pPr>
            <w:r>
              <w:rPr>
                <w:rFonts w:ascii="Arial" w:cs="Arial" w:eastAsia="Arial" w:hAnsi="Arial"/>
                <w:sz w:val="20"/>
                <w:szCs w:val="20"/>
                <w:color w:val="auto"/>
              </w:rPr>
              <w:t>Total assets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663,656</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758,007</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1,059,780</w:t>
            </w:r>
          </w:p>
        </w:tc>
        <w:tc>
          <w:tcPr>
            <w:tcW w:w="11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1,045,683</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945,729</w:t>
            </w:r>
          </w:p>
        </w:tc>
      </w:tr>
      <w:tr>
        <w:trPr>
          <w:trHeight w:val="224"/>
        </w:trPr>
        <w:tc>
          <w:tcPr>
            <w:tcW w:w="2860" w:type="dxa"/>
            <w:vAlign w:val="bottom"/>
          </w:tcPr>
          <w:p>
            <w:pPr>
              <w:spacing w:after="0" w:line="225" w:lineRule="exact"/>
              <w:rPr>
                <w:sz w:val="20"/>
                <w:szCs w:val="20"/>
                <w:color w:val="auto"/>
              </w:rPr>
            </w:pPr>
            <w:r>
              <w:rPr>
                <w:rFonts w:ascii="Arial" w:cs="Arial" w:eastAsia="Arial" w:hAnsi="Arial"/>
                <w:sz w:val="20"/>
                <w:szCs w:val="20"/>
                <w:color w:val="auto"/>
              </w:rPr>
              <w:t>Long-term debt</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112,137</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202,979</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191,253</w:t>
            </w:r>
          </w:p>
        </w:tc>
        <w:tc>
          <w:tcPr>
            <w:tcW w:w="11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170,288</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238,949</w:t>
            </w:r>
          </w:p>
        </w:tc>
      </w:tr>
      <w:tr>
        <w:trPr>
          <w:trHeight w:val="254"/>
        </w:trPr>
        <w:tc>
          <w:tcPr>
            <w:tcW w:w="2860" w:type="dxa"/>
            <w:vAlign w:val="bottom"/>
          </w:tcPr>
          <w:p>
            <w:pPr>
              <w:spacing w:after="0"/>
              <w:rPr>
                <w:sz w:val="20"/>
                <w:szCs w:val="20"/>
                <w:color w:val="auto"/>
              </w:rPr>
            </w:pPr>
            <w:r>
              <w:rPr>
                <w:rFonts w:ascii="Arial" w:cs="Arial" w:eastAsia="Arial" w:hAnsi="Arial"/>
                <w:sz w:val="20"/>
                <w:szCs w:val="20"/>
                <w:color w:val="auto"/>
              </w:rPr>
              <w:t>Shareholders' equity</w:t>
            </w:r>
          </w:p>
        </w:tc>
        <w:tc>
          <w:tcPr>
            <w:tcW w:w="1120" w:type="dxa"/>
            <w:vAlign w:val="bottom"/>
          </w:tcPr>
          <w:p>
            <w:pPr>
              <w:jc w:val="right"/>
              <w:spacing w:after="0"/>
              <w:rPr>
                <w:sz w:val="20"/>
                <w:szCs w:val="20"/>
                <w:color w:val="auto"/>
              </w:rPr>
            </w:pPr>
            <w:r>
              <w:rPr>
                <w:rFonts w:ascii="Arial" w:cs="Arial" w:eastAsia="Arial" w:hAnsi="Arial"/>
                <w:sz w:val="20"/>
                <w:szCs w:val="20"/>
                <w:color w:val="auto"/>
              </w:rPr>
              <w:t>399,755</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382,782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654,284</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614,282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561,875</w:t>
            </w:r>
          </w:p>
        </w:tc>
      </w:tr>
    </w:tbl>
    <w:p>
      <w:pPr>
        <w:spacing w:after="0" w:line="200" w:lineRule="exact"/>
        <w:rPr>
          <w:sz w:val="20"/>
          <w:szCs w:val="20"/>
          <w:color w:val="auto"/>
        </w:rPr>
      </w:pPr>
    </w:p>
    <w:p>
      <w:pPr>
        <w:spacing w:after="0" w:line="394" w:lineRule="exact"/>
        <w:rPr>
          <w:sz w:val="20"/>
          <w:szCs w:val="20"/>
          <w:color w:val="auto"/>
        </w:rPr>
      </w:pPr>
    </w:p>
    <w:p>
      <w:pPr>
        <w:ind w:left="380" w:right="2640" w:hanging="380"/>
        <w:spacing w:after="0" w:line="31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$13.6 million ($12.9 million net of tax) in connection with the closures of the Company's Shanghai, China, and Manchester, U.K. manufacturing facilities.</w:t>
      </w:r>
    </w:p>
    <w:p>
      <w:pPr>
        <w:spacing w:after="0" w:line="131" w:lineRule="exact"/>
        <w:rPr>
          <w:rFonts w:ascii="Arial" w:cs="Arial" w:eastAsia="Arial" w:hAnsi="Arial"/>
          <w:sz w:val="18"/>
          <w:szCs w:val="18"/>
          <w:color w:val="auto"/>
        </w:rPr>
      </w:pPr>
    </w:p>
    <w:p>
      <w:pPr>
        <w:ind w:left="380" w:right="2560" w:hanging="380"/>
        <w:spacing w:after="0" w:line="258"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impairment charge of $1.5 million ($1.1 million net of tax) related to the Company's Manchester, U.K. manufacturing facility.</w:t>
      </w:r>
    </w:p>
    <w:p>
      <w:pPr>
        <w:spacing w:after="0" w:line="178" w:lineRule="exact"/>
        <w:rPr>
          <w:rFonts w:ascii="Arial" w:cs="Arial" w:eastAsia="Arial" w:hAnsi="Arial"/>
          <w:sz w:val="20"/>
          <w:szCs w:val="20"/>
          <w:color w:val="auto"/>
        </w:rPr>
      </w:pPr>
    </w:p>
    <w:p>
      <w:pPr>
        <w:ind w:left="380" w:right="2640" w:hanging="380"/>
        <w:spacing w:after="0" w:line="258"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non-cash mark-to-market charge of $0.3 million net of tax in connection with warrants issued to purchase the Company's common stock.</w:t>
      </w:r>
    </w:p>
    <w:p>
      <w:pPr>
        <w:spacing w:after="0" w:line="178" w:lineRule="exact"/>
        <w:rPr>
          <w:rFonts w:ascii="Arial" w:cs="Arial" w:eastAsia="Arial" w:hAnsi="Arial"/>
          <w:sz w:val="20"/>
          <w:szCs w:val="20"/>
          <w:color w:val="auto"/>
        </w:rPr>
      </w:pPr>
    </w:p>
    <w:p>
      <w:pPr>
        <w:ind w:left="380" w:right="2840" w:hanging="380"/>
        <w:spacing w:after="0" w:line="258"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$0.5 million ($0.4 million net of tax) in connection with the closure of the Company's Manchester, U.K. manufacturing facility.</w:t>
      </w:r>
    </w:p>
    <w:p>
      <w:pPr>
        <w:spacing w:after="0" w:line="178" w:lineRule="exact"/>
        <w:rPr>
          <w:rFonts w:ascii="Arial" w:cs="Arial" w:eastAsia="Arial" w:hAnsi="Arial"/>
          <w:sz w:val="20"/>
          <w:szCs w:val="20"/>
          <w:color w:val="auto"/>
        </w:rPr>
      </w:pPr>
    </w:p>
    <w:p>
      <w:pPr>
        <w:ind w:left="380" w:right="2540" w:hanging="380"/>
        <w:spacing w:after="0" w:line="258"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impairment charge of $66.9 million ($60.9 million net of tax) for certain long-lived assets in Asia and Europe.</w:t>
      </w:r>
    </w:p>
    <w:p>
      <w:pPr>
        <w:spacing w:after="0" w:line="178" w:lineRule="exact"/>
        <w:rPr>
          <w:rFonts w:ascii="Arial" w:cs="Arial" w:eastAsia="Arial" w:hAnsi="Arial"/>
          <w:sz w:val="20"/>
          <w:szCs w:val="20"/>
          <w:color w:val="auto"/>
        </w:rPr>
      </w:pPr>
    </w:p>
    <w:p>
      <w:pPr>
        <w:ind w:left="380" w:hanging="380"/>
        <w:spacing w:after="0"/>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impairment of goodwill charge of $138.5 million ($137.3 million net of tax).</w:t>
      </w:r>
    </w:p>
    <w:p>
      <w:pPr>
        <w:spacing w:after="0" w:line="218" w:lineRule="exact"/>
        <w:rPr>
          <w:rFonts w:ascii="Arial" w:cs="Arial" w:eastAsia="Arial" w:hAnsi="Arial"/>
          <w:sz w:val="20"/>
          <w:szCs w:val="20"/>
          <w:color w:val="auto"/>
        </w:rPr>
      </w:pPr>
    </w:p>
    <w:p>
      <w:pPr>
        <w:ind w:left="380" w:right="2580" w:hanging="380"/>
        <w:spacing w:after="0" w:line="285" w:lineRule="auto"/>
        <w:tabs>
          <w:tab w:leader="none" w:pos="38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Includes consolidation and restructuring charges of $15.6 million net of tax in connection with the closure of the Company's Austin, Texas manufacturing and research and development facility.</w:t>
      </w:r>
    </w:p>
    <w:p>
      <w:pPr>
        <w:spacing w:after="0" w:line="154" w:lineRule="exact"/>
        <w:rPr>
          <w:rFonts w:ascii="Arial" w:cs="Arial" w:eastAsia="Arial" w:hAnsi="Arial"/>
          <w:sz w:val="19"/>
          <w:szCs w:val="19"/>
          <w:color w:val="auto"/>
        </w:rPr>
      </w:pPr>
    </w:p>
    <w:p>
      <w:pPr>
        <w:ind w:left="380" w:right="2860" w:hanging="380"/>
        <w:spacing w:after="0" w:line="258"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Includes early extinguishment charge of $1.7 million in connection with the early redemption of $64.4 million of the Company's 4.75% convertible notes.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auto"/>
        </w:rPr>
        <w:t>AND RESULTS OF OPERATIONS</w:t>
      </w:r>
    </w:p>
    <w:p>
      <w:pPr>
        <w:spacing w:after="0" w:line="172" w:lineRule="exact"/>
        <w:rPr>
          <w:sz w:val="20"/>
          <w:szCs w:val="20"/>
          <w:color w:val="auto"/>
        </w:rPr>
      </w:pPr>
    </w:p>
    <w:p>
      <w:pPr>
        <w:ind w:right="2740"/>
        <w:spacing w:after="0" w:line="445" w:lineRule="auto"/>
        <w:rPr>
          <w:sz w:val="20"/>
          <w:szCs w:val="20"/>
          <w:color w:val="auto"/>
        </w:rPr>
      </w:pPr>
      <w:r>
        <w:rPr>
          <w:rFonts w:ascii="Arial" w:cs="Arial" w:eastAsia="Arial" w:hAnsi="Arial"/>
          <w:sz w:val="20"/>
          <w:szCs w:val="20"/>
          <w:b w:val="1"/>
          <w:bCs w:val="1"/>
          <w:color w:val="auto"/>
        </w:rPr>
        <w:t>Results of Operations for the Years Ended November 1, 2009, November 2, 2008 and October 28, 2007 Overview</w:t>
      </w:r>
    </w:p>
    <w:p>
      <w:pPr>
        <w:spacing w:after="0" w:line="1" w:lineRule="exact"/>
        <w:rPr>
          <w:sz w:val="20"/>
          <w:szCs w:val="20"/>
          <w:color w:val="auto"/>
        </w:rPr>
      </w:pPr>
    </w:p>
    <w:p>
      <w:pPr>
        <w:ind w:firstLine="246"/>
        <w:spacing w:after="0" w:line="263" w:lineRule="auto"/>
        <w:rPr>
          <w:sz w:val="20"/>
          <w:szCs w:val="20"/>
          <w:color w:val="auto"/>
        </w:rPr>
      </w:pPr>
      <w:r>
        <w:rPr>
          <w:rFonts w:ascii="Arial" w:cs="Arial" w:eastAsia="Arial" w:hAnsi="Arial"/>
          <w:sz w:val="18"/>
          <w:szCs w:val="18"/>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 The Company's 2009 operating results were also negatively impacted by the global recession, which could also impact the Company's 2010 operating results.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968" w:right="239" w:bottom="0" w:gutter="0" w:footer="0" w:header="0"/>
          <w:type w:val="continuous"/>
        </w:sectPr>
      </w:pPr>
    </w:p>
    <w:bookmarkStart w:id="13" w:name="page14"/>
    <w:bookmarkEnd w:id="13"/>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690"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28575"/>
                    </a:xfrm>
                    <a:prstGeom prst="rect">
                      <a:avLst/>
                    </a:prstGeom>
                    <a:noFill/>
                  </pic:spPr>
                </pic:pic>
              </a:graphicData>
            </a:graphic>
          </wp:anchor>
        </w:drawing>
      </w:r>
    </w:p>
    <w:p>
      <w:pPr>
        <w:ind w:right="60" w:firstLine="246"/>
        <w:spacing w:after="0" w:line="267" w:lineRule="auto"/>
        <w:rPr>
          <w:sz w:val="20"/>
          <w:szCs w:val="20"/>
          <w:color w:val="auto"/>
        </w:rPr>
      </w:pPr>
      <w:r>
        <w:rPr>
          <w:rFonts w:ascii="Arial" w:cs="Arial" w:eastAsia="Arial" w:hAnsi="Arial"/>
          <w:sz w:val="18"/>
          <w:szCs w:val="18"/>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based upon achieving its goals of being a service and technology leader, an efficient solutions supplier, and a company able to continually reinvest in its global infrastructure.</w:t>
      </w:r>
    </w:p>
    <w:p>
      <w:pPr>
        <w:spacing w:after="0" w:line="152" w:lineRule="exact"/>
        <w:rPr>
          <w:sz w:val="20"/>
          <w:szCs w:val="20"/>
          <w:color w:val="auto"/>
        </w:rPr>
      </w:pPr>
    </w:p>
    <w:p>
      <w:pPr>
        <w:ind w:right="180" w:firstLine="246"/>
        <w:spacing w:after="0" w:line="242" w:lineRule="auto"/>
        <w:rPr>
          <w:sz w:val="20"/>
          <w:szCs w:val="20"/>
          <w:color w:val="auto"/>
        </w:rPr>
      </w:pPr>
      <w:r>
        <w:rPr>
          <w:rFonts w:ascii="Arial" w:cs="Arial" w:eastAsia="Arial" w:hAnsi="Arial"/>
          <w:sz w:val="20"/>
          <w:szCs w:val="20"/>
          <w:color w:val="auto"/>
        </w:rPr>
        <w:t>The effects of the worsening global economy and the tightening credit market are also making it increasingly difficult for the Company to obtain external sources of financing to fund its operations. The Company faces challenges in the current and near term that require it to continue to make significant improvements in its competitiveness. The Company continues to evaluate financing alternatives, delay capital expenditures and evaluate further cost reduction initiatives.</w:t>
      </w:r>
    </w:p>
    <w:p>
      <w:pPr>
        <w:spacing w:after="0" w:line="169" w:lineRule="exact"/>
        <w:rPr>
          <w:sz w:val="20"/>
          <w:szCs w:val="20"/>
          <w:color w:val="auto"/>
        </w:rPr>
      </w:pPr>
    </w:p>
    <w:p>
      <w:pPr>
        <w:ind w:right="440" w:firstLine="246"/>
        <w:spacing w:after="0" w:line="278" w:lineRule="auto"/>
        <w:rPr>
          <w:sz w:val="20"/>
          <w:szCs w:val="20"/>
          <w:color w:val="auto"/>
        </w:rPr>
      </w:pPr>
      <w:r>
        <w:rPr>
          <w:rFonts w:ascii="Arial" w:cs="Arial" w:eastAsia="Arial" w:hAnsi="Arial"/>
          <w:sz w:val="18"/>
          <w:szCs w:val="18"/>
          <w:color w:val="auto"/>
        </w:rPr>
        <w:t>The Company is focused on improving its competitiveness by advancing its technology and reducing costs. In addition, the Company increased its high-end manufacturing capability in 2008 with the commencement of production at its nanofab facility ("U.S. nanoFab") in Boise, Idaho. In order to lower its operating costs and increase its manufacturing efficiencies, the Company ceased the manufacture of photomasks at its facility in Manchester, U.K., in January 2009 and at its facility in Shanghai, China, in July 2009.</w:t>
      </w:r>
    </w:p>
    <w:p>
      <w:pPr>
        <w:spacing w:after="0" w:line="138" w:lineRule="exact"/>
        <w:rPr>
          <w:sz w:val="20"/>
          <w:szCs w:val="20"/>
          <w:color w:val="auto"/>
        </w:rPr>
      </w:pPr>
    </w:p>
    <w:p>
      <w:pPr>
        <w:ind w:right="120" w:firstLine="238"/>
        <w:spacing w:after="0" w:line="254" w:lineRule="auto"/>
        <w:rPr>
          <w:sz w:val="20"/>
          <w:szCs w:val="20"/>
          <w:color w:val="auto"/>
        </w:rPr>
      </w:pPr>
      <w:r>
        <w:rPr>
          <w:rFonts w:ascii="Arial" w:cs="Arial" w:eastAsia="Arial" w:hAnsi="Arial"/>
          <w:sz w:val="19"/>
          <w:szCs w:val="19"/>
          <w:color w:val="auto"/>
        </w:rPr>
        <w:t>As of December 2009, state-of-the-art production for semiconductor masks is considered to be 45 nanometer and lower for ICs, and Generation 8 and above process technologies for FPDs, while 65 nanometer is currently in volume production. Currently, however, 90 nanometer and above geometries and Generation 7 and below process technologies for FPDs constitute the majority of designs being fabricated in volume today. The Company expects 65 nanometer designs to continue to move to wafer fabrication throughout fiscal 2010, and believes it is well positioned to service an increasing volume of this business through investments in manufacturing processes and technology in the global regions where its customers are located.</w:t>
      </w:r>
    </w:p>
    <w:p>
      <w:pPr>
        <w:spacing w:after="0" w:line="158" w:lineRule="exact"/>
        <w:rPr>
          <w:sz w:val="20"/>
          <w:szCs w:val="20"/>
          <w:color w:val="auto"/>
        </w:rPr>
      </w:pPr>
    </w:p>
    <w:p>
      <w:pPr>
        <w:ind w:firstLine="246"/>
        <w:spacing w:after="0" w:line="264" w:lineRule="auto"/>
        <w:rPr>
          <w:sz w:val="20"/>
          <w:szCs w:val="20"/>
          <w:color w:val="auto"/>
        </w:rPr>
      </w:pPr>
      <w:r>
        <w:rPr>
          <w:rFonts w:ascii="Arial" w:cs="Arial" w:eastAsia="Arial" w:hAnsi="Arial"/>
          <w:sz w:val="18"/>
          <w:szCs w:val="18"/>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methods of semiconductor manufacturing (which could affect the type or quantity of photomasks utilized), such as changes in semiconductor demand that favor field-programmable gate arrays and other semiconductor designs that replace application-specific ICs. Furthermore, increased market acceptance of alternative methods of transferring circuit designs onto semiconductor wafers, such as direct-write lithography, could reduce or eliminate the need for photomasks. As of the end of fiscal 2009, direct-write lithography has not been proven to be a commercially viable alternative to photomasks, as it is considered too slow for high volume semiconductor wafer production, and the Company has not experienced a significant loss of revenue as a result of alternative semiconductor design methodologies. However, should direct-write or any other alternative methods of transferring IC designs to semiconductor wafers be done without the use of photomasks, the Company's business and results of operations would be materially, adversely affected. If the Company is unable to anticipate, respond to, or utilize these or other changing technologies due to resource, technological or other constraints, its business and results of operations could be materially adversely affected.</w:t>
      </w:r>
    </w:p>
    <w:p>
      <w:pPr>
        <w:spacing w:after="0" w:line="153" w:lineRule="exact"/>
        <w:rPr>
          <w:sz w:val="20"/>
          <w:szCs w:val="20"/>
          <w:color w:val="auto"/>
        </w:rPr>
      </w:pPr>
    </w:p>
    <w:p>
      <w:pPr>
        <w:ind w:right="40" w:firstLine="249"/>
        <w:spacing w:after="0" w:line="238" w:lineRule="auto"/>
        <w:rPr>
          <w:sz w:val="20"/>
          <w:szCs w:val="20"/>
          <w:color w:val="auto"/>
        </w:rPr>
      </w:pPr>
      <w:r>
        <w:rPr>
          <w:rFonts w:ascii="Arial" w:cs="Arial" w:eastAsia="Arial" w:hAnsi="Arial"/>
          <w:sz w:val="20"/>
          <w:szCs w:val="20"/>
          <w:color w:val="auto"/>
        </w:rPr>
        <w:t>Both revenues and costs have been affected by the increased demand for high-end technology photomasks that require more advanced manufacturing capabilities but generally command higher average selling prices ("ASPs"). The Company's capital expenditure payments for new facilities and equipment aggregated approximately $234 million for the three fiscal years ended November 1, 2009, resulting in significant increases in operating expenses. While the Company intends to continue to make the required investments to support the technological demands of its customers and position itself for future growth, its level of investment, when compared to recent years, decreased significantly in fiscal 2009, and the Company expects that its level of capital expenditures will continue at this reduced level for the next several years.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246"/>
        <w:spacing w:after="0" w:line="239" w:lineRule="auto"/>
        <w:rPr>
          <w:sz w:val="20"/>
          <w:szCs w:val="20"/>
          <w:color w:val="auto"/>
        </w:rPr>
      </w:pPr>
      <w:r>
        <w:rPr>
          <w:rFonts w:ascii="Arial" w:cs="Arial" w:eastAsia="Arial" w:hAnsi="Arial"/>
          <w:sz w:val="20"/>
          <w:szCs w:val="20"/>
          <w:color w:val="auto"/>
        </w:rPr>
        <w:t>The manufacture of photomasks for use in fabricating ICs and other related products built using comparable photomask-based process technologies has been, and continues to be, capital intensive due to the need to maintain a technology-based infrastructure. The Company's integrated global manufacturing network, which consists of nine manufacturing sites, and its employees represent a significant portion of its fixed operating cost base. Should sales volumes decrease based upon the flow of design releases from the Company's customers, the Company may have excess or underutilized production capacity that could significantly impact operating margins, or result in write-offs from asset impairments.</w:t>
      </w:r>
    </w:p>
    <w:p>
      <w:pPr>
        <w:spacing w:after="0" w:line="171" w:lineRule="exact"/>
        <w:rPr>
          <w:sz w:val="20"/>
          <w:szCs w:val="20"/>
          <w:color w:val="auto"/>
        </w:rPr>
      </w:pPr>
    </w:p>
    <w:p>
      <w:pPr>
        <w:ind w:right="160" w:firstLine="246"/>
        <w:spacing w:after="0" w:line="242" w:lineRule="auto"/>
        <w:rPr>
          <w:sz w:val="20"/>
          <w:szCs w:val="20"/>
          <w:color w:val="auto"/>
        </w:rPr>
      </w:pPr>
      <w:r>
        <w:rPr>
          <w:rFonts w:ascii="Arial" w:cs="Arial" w:eastAsia="Arial" w:hAnsi="Arial"/>
          <w:sz w:val="20"/>
          <w:szCs w:val="20"/>
          <w:color w:val="auto"/>
        </w:rPr>
        <w:t>The vast majority of photomask units produced for the semiconductor industry employ geometries of 90 nanometers or larger for ICs, and Generation 7 technologies or lower for FPDs. At these geometries, the Company can produce full lines of photomasks and there is no significant technology employed by the Company's competitors that is not available to the Company. Semiconductor fabrication also occurs below 90 nanometer for ICs, and Generation 8 and above for FPDs.</w:t>
      </w:r>
    </w:p>
    <w:p>
      <w:pPr>
        <w:spacing w:after="0" w:line="169" w:lineRule="exact"/>
        <w:rPr>
          <w:sz w:val="20"/>
          <w:szCs w:val="20"/>
          <w:color w:val="auto"/>
        </w:rPr>
      </w:pPr>
    </w:p>
    <w:p>
      <w:pPr>
        <w:ind w:right="20" w:firstLine="249"/>
        <w:spacing w:after="0" w:line="287" w:lineRule="auto"/>
        <w:rPr>
          <w:sz w:val="20"/>
          <w:szCs w:val="20"/>
          <w:color w:val="auto"/>
        </w:rPr>
      </w:pPr>
      <w:r>
        <w:rPr>
          <w:rFonts w:ascii="Arial" w:cs="Arial" w:eastAsia="Arial" w:hAnsi="Arial"/>
          <w:sz w:val="18"/>
          <w:szCs w:val="18"/>
          <w:color w:val="auto"/>
        </w:rPr>
        <w:t>In September 2009 the Company issued approximately 11.1 million shares of its common stock at a price of $4.15 per share. Gross proceeds from the offering were $46.0 million which were reduced by underwriting commissions and other expenses to yield net proceeds of approximately $43.1 million. The net proceeds from the offering were used to reduce outstanding amounts under the Company's credit facility.</w:t>
      </w:r>
    </w:p>
    <w:p>
      <w:pPr>
        <w:spacing w:after="0" w:line="130" w:lineRule="exact"/>
        <w:rPr>
          <w:sz w:val="20"/>
          <w:szCs w:val="20"/>
          <w:color w:val="auto"/>
        </w:rPr>
      </w:pPr>
    </w:p>
    <w:p>
      <w:pPr>
        <w:ind w:right="200" w:firstLine="238"/>
        <w:spacing w:after="0" w:line="314" w:lineRule="auto"/>
        <w:rPr>
          <w:sz w:val="20"/>
          <w:szCs w:val="20"/>
          <w:color w:val="auto"/>
        </w:rPr>
      </w:pPr>
      <w:r>
        <w:rPr>
          <w:rFonts w:ascii="Arial" w:cs="Arial" w:eastAsia="Arial" w:hAnsi="Arial"/>
          <w:sz w:val="18"/>
          <w:szCs w:val="18"/>
          <w:color w:val="auto"/>
        </w:rPr>
        <w:t>Also in September 2009 the Company issued $57.5 million aggregate principal amount of 5.5% convertible senior notes which mature on October 1, 2014. Note holders may convert each $1,000 principal amount of notes to 196.7052 shares of stock (equivalent to an initial</w:t>
      </w:r>
    </w:p>
    <w:p>
      <w:pPr>
        <w:sectPr>
          <w:pgSz w:w="11900" w:h="16940" w:orient="portrait"/>
          <w:cols w:equalWidth="0" w:num="1">
            <w:col w:w="11420"/>
          </w:cols>
          <w:pgMar w:left="240" w:top="768" w:right="239" w:bottom="0" w:gutter="0" w:footer="0" w:header="0"/>
        </w:sectPr>
      </w:pPr>
    </w:p>
    <w:bookmarkStart w:id="14" w:name="page15"/>
    <w:bookmarkEnd w:id="14"/>
    <w:p>
      <w:pPr>
        <w:ind w:right="20"/>
        <w:spacing w:after="0" w:line="266" w:lineRule="auto"/>
        <w:rPr>
          <w:sz w:val="20"/>
          <w:szCs w:val="20"/>
          <w:color w:val="auto"/>
        </w:rPr>
      </w:pPr>
      <w:r>
        <w:rPr>
          <w:rFonts w:ascii="Arial" w:cs="Arial" w:eastAsia="Arial" w:hAnsi="Arial"/>
          <w:sz w:val="18"/>
          <w:szCs w:val="18"/>
          <w:color w:val="auto"/>
        </w:rPr>
        <w:t>conversion price of approximately $5.08 per share of common stock) on or before September 30, 2014. The conversion rate may be increased in the event of a make-whole fundamental change (as defined in the prospectus supplement filed by the Company on September 11, 2009) and the Company may not redeem the notes prior to their stated maturity date. The net proceeds of the offering were approximately $54.9 million, which were used to reduce outstanding amounts under the Company's credit facility. Concurrent with the issuance of the 5.5% convertible senior notes, the Company issued warrants to Intel Capital Corporation to purchase a total of 750,000 shares of the Company's common stock, 500,000 of which were at an exercise price of $4.15 per share and 250,000 at an exercise price of $5.08 per share. The warrants expire on September 10, 2014, and were issued to Intel Capital Corporation, an affiliate of Intel Corporation, in consideration for an agreement between the Company and Intel Corporation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described above.</w:t>
      </w:r>
    </w:p>
    <w:p>
      <w:pPr>
        <w:spacing w:after="0" w:line="149" w:lineRule="exact"/>
        <w:rPr>
          <w:sz w:val="20"/>
          <w:szCs w:val="20"/>
          <w:color w:val="auto"/>
        </w:rPr>
      </w:pPr>
    </w:p>
    <w:p>
      <w:pPr>
        <w:jc w:val="both"/>
        <w:ind w:right="240" w:firstLine="249"/>
        <w:spacing w:after="0" w:line="266" w:lineRule="auto"/>
        <w:rPr>
          <w:sz w:val="20"/>
          <w:szCs w:val="20"/>
          <w:color w:val="auto"/>
        </w:rPr>
      </w:pPr>
      <w:r>
        <w:rPr>
          <w:rFonts w:ascii="Arial" w:cs="Arial" w:eastAsia="Arial" w:hAnsi="Arial"/>
          <w:sz w:val="18"/>
          <w:szCs w:val="18"/>
          <w:color w:val="auto"/>
        </w:rPr>
        <w:t>In the third quarter of 2009 the Company ceased the manufacture of photomasks at its Shanghai, China facility. Through the end of fiscal 2009, the Company recorded total restructuring charges related to this action of $10.2 million, including $9.9 million related to asset write-downs, primarily for the Shanghai manufacturing facility whose fair value was determined by management using a market approach.</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Approximately seventy-five employees were affected by this action. The total after-tax restructuring charge is expected to range between $11 million to $13 million through its completion in fiscal 2010.</w:t>
      </w:r>
    </w:p>
    <w:p>
      <w:pPr>
        <w:spacing w:after="0" w:line="168" w:lineRule="exact"/>
        <w:rPr>
          <w:sz w:val="20"/>
          <w:szCs w:val="20"/>
          <w:color w:val="auto"/>
        </w:rPr>
      </w:pPr>
    </w:p>
    <w:p>
      <w:pPr>
        <w:ind w:right="100" w:firstLine="249"/>
        <w:spacing w:after="0" w:line="246" w:lineRule="auto"/>
        <w:rPr>
          <w:sz w:val="20"/>
          <w:szCs w:val="20"/>
          <w:color w:val="auto"/>
        </w:rPr>
      </w:pPr>
      <w:r>
        <w:rPr>
          <w:rFonts w:ascii="Arial" w:cs="Arial" w:eastAsia="Arial" w:hAnsi="Arial"/>
          <w:sz w:val="20"/>
          <w:szCs w:val="20"/>
          <w:color w:val="auto"/>
        </w:rPr>
        <w:t>In the first quarter of 2009 the Company ceased the manufacture of photomasks at its Manchester, U.K. facility and in connection therewith, restructuring charges (primarily for termination costs and asset write-downs) of $3.3 million ($2.7 million net of tax) were incurred in fiscal 2009. Approximately eighty-five employees were affected by this action.</w:t>
      </w:r>
    </w:p>
    <w:p>
      <w:pPr>
        <w:spacing w:after="0" w:line="165" w:lineRule="exact"/>
        <w:rPr>
          <w:sz w:val="20"/>
          <w:szCs w:val="20"/>
          <w:color w:val="auto"/>
        </w:rPr>
      </w:pPr>
    </w:p>
    <w:p>
      <w:pPr>
        <w:ind w:right="80" w:firstLine="249"/>
        <w:spacing w:after="0" w:line="258" w:lineRule="auto"/>
        <w:rPr>
          <w:sz w:val="20"/>
          <w:szCs w:val="20"/>
          <w:color w:val="auto"/>
        </w:rPr>
      </w:pPr>
      <w:r>
        <w:rPr>
          <w:rFonts w:ascii="Arial" w:cs="Arial" w:eastAsia="Arial" w:hAnsi="Arial"/>
          <w:sz w:val="20"/>
          <w:szCs w:val="20"/>
          <w:color w:val="auto"/>
        </w:rPr>
        <w:t>In the third quarter of fiscal 2008, the Company recorded impairment charges of $66.9 million for certain of its long-lived assets and wrote off all $138.5 million of its goodwill (see Note 13 to the consolidated financial statements).</w:t>
      </w:r>
    </w:p>
    <w:p>
      <w:pPr>
        <w:spacing w:after="0" w:line="154" w:lineRule="exact"/>
        <w:rPr>
          <w:sz w:val="20"/>
          <w:szCs w:val="20"/>
          <w:color w:val="auto"/>
        </w:rPr>
      </w:pPr>
    </w:p>
    <w:p>
      <w:pPr>
        <w:ind w:firstLine="249"/>
        <w:spacing w:after="0" w:line="237" w:lineRule="auto"/>
        <w:rPr>
          <w:sz w:val="20"/>
          <w:szCs w:val="20"/>
          <w:color w:val="auto"/>
        </w:rPr>
      </w:pPr>
      <w:r>
        <w:rPr>
          <w:rFonts w:ascii="Arial" w:cs="Arial" w:eastAsia="Arial" w:hAnsi="Arial"/>
          <w:sz w:val="20"/>
          <w:szCs w:val="20"/>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Technologies, Inc.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on December 31, 2012. For the additional two years of the new lease term, the lease will be accounted for as an operating lease. The U. S. nanoFab began production in the second quarter of 2008 and, through the end of fiscal 2009, the Company's total capital investment in the facility was approximately $157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following table represents selected operating information expressed as a percentage of net sales: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b w:val="1"/>
                <w:bCs w:val="1"/>
                <w:color w:val="auto"/>
                <w:w w:val="89"/>
              </w:rPr>
              <w:t>Year Ended</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w w:val="86"/>
              </w:rPr>
              <w:t>November 1,</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124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2008</w:t>
            </w:r>
          </w:p>
        </w:tc>
        <w:tc>
          <w:tcPr>
            <w:tcW w:w="11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4"/>
        </w:trPr>
        <w:tc>
          <w:tcPr>
            <w:tcW w:w="400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1100" w:type="dxa"/>
            <w:vAlign w:val="bottom"/>
          </w:tcPr>
          <w:p>
            <w:pPr>
              <w:jc w:val="right"/>
              <w:spacing w:after="0"/>
              <w:rPr>
                <w:sz w:val="20"/>
                <w:szCs w:val="20"/>
                <w:color w:val="auto"/>
              </w:rPr>
            </w:pPr>
            <w:r>
              <w:rPr>
                <w:rFonts w:ascii="Arial" w:cs="Arial" w:eastAsia="Arial" w:hAnsi="Arial"/>
                <w:sz w:val="20"/>
                <w:szCs w:val="20"/>
                <w:color w:val="auto"/>
              </w:rPr>
              <w:t>100.0%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100.0%</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00" w:type="dxa"/>
            <w:vAlign w:val="bottom"/>
            <w:gridSpan w:val="2"/>
          </w:tcPr>
          <w:p>
            <w:pPr>
              <w:spacing w:after="0"/>
              <w:rPr>
                <w:sz w:val="20"/>
                <w:szCs w:val="20"/>
                <w:color w:val="auto"/>
              </w:rPr>
            </w:pPr>
            <w:r>
              <w:rPr>
                <w:rFonts w:ascii="Arial" w:cs="Arial" w:eastAsia="Arial" w:hAnsi="Arial"/>
                <w:sz w:val="20"/>
                <w:szCs w:val="20"/>
                <w:color w:val="auto"/>
              </w:rPr>
              <w:t>Cost of sales</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(84.2)</w:t>
            </w: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(82.8)</w:t>
            </w: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(76.4)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000" w:type="dxa"/>
            <w:vAlign w:val="bottom"/>
            <w:gridSpan w:val="2"/>
          </w:tcPr>
          <w:p>
            <w:pPr>
              <w:spacing w:after="0"/>
              <w:rPr>
                <w:sz w:val="20"/>
                <w:szCs w:val="20"/>
                <w:color w:val="auto"/>
              </w:rPr>
            </w:pPr>
            <w:r>
              <w:rPr>
                <w:rFonts w:ascii="Arial" w:cs="Arial" w:eastAsia="Arial" w:hAnsi="Arial"/>
                <w:sz w:val="20"/>
                <w:szCs w:val="20"/>
                <w:color w:val="auto"/>
              </w:rPr>
              <w:t>Gross margin</w:t>
            </w:r>
          </w:p>
        </w:tc>
        <w:tc>
          <w:tcPr>
            <w:tcW w:w="1100" w:type="dxa"/>
            <w:vAlign w:val="bottom"/>
          </w:tcPr>
          <w:p>
            <w:pPr>
              <w:jc w:val="right"/>
              <w:ind w:right="120"/>
              <w:spacing w:after="0"/>
              <w:rPr>
                <w:sz w:val="20"/>
                <w:szCs w:val="20"/>
                <w:color w:val="auto"/>
              </w:rPr>
            </w:pPr>
            <w:r>
              <w:rPr>
                <w:rFonts w:ascii="Arial" w:cs="Arial" w:eastAsia="Arial" w:hAnsi="Arial"/>
                <w:sz w:val="20"/>
                <w:szCs w:val="20"/>
                <w:color w:val="auto"/>
              </w:rPr>
              <w:t>15.8</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17.2</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Selling, general and administrative expenses</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(11.4)</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(13.1)</w:t>
            </w:r>
          </w:p>
        </w:tc>
        <w:tc>
          <w:tcPr>
            <w:tcW w:w="11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Research and development expenses</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(4.3)</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(4.1)</w:t>
            </w:r>
          </w:p>
        </w:tc>
        <w:tc>
          <w:tcPr>
            <w:tcW w:w="11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w w:val="93"/>
              </w:rPr>
              <w:t>Consolidation, restructuring and related charges</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(3.8)</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(0.1)</w:t>
            </w:r>
          </w:p>
        </w:tc>
        <w:tc>
          <w:tcPr>
            <w:tcW w:w="11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Impairment of long-lived assets</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(0.4)</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(15.8)</w:t>
            </w:r>
          </w:p>
        </w:tc>
        <w:tc>
          <w:tcPr>
            <w:tcW w:w="11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Impairment of goodwill</w:t>
            </w:r>
          </w:p>
        </w:tc>
        <w:tc>
          <w:tcPr>
            <w:tcW w:w="1100" w:type="dxa"/>
            <w:vAlign w:val="bottom"/>
          </w:tcPr>
          <w:p>
            <w:pPr>
              <w:jc w:val="right"/>
              <w:ind w:right="120"/>
              <w:spacing w:after="0" w:line="225"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(32.8)</w:t>
            </w:r>
          </w:p>
        </w:tc>
        <w:tc>
          <w:tcPr>
            <w:tcW w:w="11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00" w:type="dxa"/>
            <w:vAlign w:val="bottom"/>
            <w:gridSpan w:val="2"/>
          </w:tcPr>
          <w:p>
            <w:pPr>
              <w:spacing w:after="0"/>
              <w:rPr>
                <w:sz w:val="20"/>
                <w:szCs w:val="20"/>
                <w:color w:val="auto"/>
              </w:rPr>
            </w:pPr>
            <w:r>
              <w:rPr>
                <w:rFonts w:ascii="Arial" w:cs="Arial" w:eastAsia="Arial" w:hAnsi="Arial"/>
                <w:sz w:val="20"/>
                <w:szCs w:val="20"/>
                <w:color w:val="auto"/>
              </w:rPr>
              <w:t>Gains on sales of facilities</w:t>
            </w:r>
          </w:p>
        </w:tc>
        <w:tc>
          <w:tcPr>
            <w:tcW w:w="1100" w:type="dxa"/>
            <w:vAlign w:val="bottom"/>
          </w:tcPr>
          <w:p>
            <w:pPr>
              <w:jc w:val="right"/>
              <w:ind w:right="120"/>
              <w:spacing w:after="0"/>
              <w:rPr>
                <w:sz w:val="20"/>
                <w:szCs w:val="20"/>
                <w:color w:val="auto"/>
              </w:rPr>
            </w:pPr>
            <w:r>
              <w:rPr>
                <w:rFonts w:ascii="Arial" w:cs="Arial" w:eastAsia="Arial" w:hAnsi="Arial"/>
                <w:sz w:val="20"/>
                <w:szCs w:val="20"/>
                <w:color w:val="auto"/>
              </w:rPr>
              <w:t>0.6</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000" w:type="dxa"/>
            <w:vAlign w:val="bottom"/>
            <w:gridSpan w:val="2"/>
          </w:tcPr>
          <w:p>
            <w:pPr>
              <w:spacing w:after="0"/>
              <w:rPr>
                <w:sz w:val="20"/>
                <w:szCs w:val="20"/>
                <w:color w:val="auto"/>
              </w:rPr>
            </w:pPr>
            <w:r>
              <w:rPr>
                <w:rFonts w:ascii="Arial" w:cs="Arial" w:eastAsia="Arial" w:hAnsi="Arial"/>
                <w:sz w:val="20"/>
                <w:szCs w:val="20"/>
                <w:color w:val="auto"/>
              </w:rPr>
              <w:t>Operating income (loss)</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(3.5)</w:t>
            </w: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(48.7)</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Interest expense</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(6.2)</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(2.8)</w:t>
            </w:r>
          </w:p>
        </w:tc>
        <w:tc>
          <w:tcPr>
            <w:tcW w:w="11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00" w:type="dxa"/>
            <w:vAlign w:val="bottom"/>
            <w:gridSpan w:val="2"/>
          </w:tcPr>
          <w:p>
            <w:pPr>
              <w:spacing w:after="0"/>
              <w:rPr>
                <w:sz w:val="20"/>
                <w:szCs w:val="20"/>
                <w:color w:val="auto"/>
              </w:rPr>
            </w:pPr>
            <w:r>
              <w:rPr>
                <w:rFonts w:ascii="Arial" w:cs="Arial" w:eastAsia="Arial" w:hAnsi="Arial"/>
                <w:sz w:val="20"/>
                <w:szCs w:val="20"/>
                <w:color w:val="auto"/>
              </w:rPr>
              <w:t>Investment and other income (expense), net</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(0.6)</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1.3</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000" w:type="dxa"/>
            <w:vAlign w:val="bottom"/>
            <w:gridSpan w:val="2"/>
            <w:vMerge w:val="restart"/>
          </w:tcPr>
          <w:p>
            <w:pPr>
              <w:spacing w:after="0"/>
              <w:rPr>
                <w:sz w:val="20"/>
                <w:szCs w:val="20"/>
                <w:color w:val="auto"/>
              </w:rPr>
            </w:pPr>
            <w:r>
              <w:rPr>
                <w:rFonts w:ascii="Arial" w:cs="Arial" w:eastAsia="Arial" w:hAnsi="Arial"/>
                <w:sz w:val="20"/>
                <w:szCs w:val="20"/>
                <w:color w:val="auto"/>
              </w:rPr>
              <w:t>Income (loss) before income tax benefit</w:t>
            </w: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0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ind w:left="40"/>
              <w:spacing w:after="0" w:line="225" w:lineRule="exact"/>
              <w:rPr>
                <w:sz w:val="20"/>
                <w:szCs w:val="20"/>
                <w:color w:val="auto"/>
              </w:rPr>
            </w:pPr>
            <w:r>
              <w:rPr>
                <w:rFonts w:ascii="Arial" w:cs="Arial" w:eastAsia="Arial" w:hAnsi="Arial"/>
                <w:sz w:val="20"/>
                <w:szCs w:val="20"/>
                <w:color w:val="auto"/>
              </w:rPr>
              <w:t>(provision) and minority interest</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(10.3)</w:t>
            </w:r>
          </w:p>
        </w:tc>
        <w:tc>
          <w:tcPr>
            <w:tcW w:w="12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(50.2)</w:t>
            </w:r>
          </w:p>
        </w:tc>
        <w:tc>
          <w:tcPr>
            <w:tcW w:w="11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line="225" w:lineRule="exact"/>
              <w:rPr>
                <w:sz w:val="20"/>
                <w:szCs w:val="20"/>
                <w:color w:val="auto"/>
              </w:rPr>
            </w:pPr>
            <w:r>
              <w:rPr>
                <w:rFonts w:ascii="Arial" w:cs="Arial" w:eastAsia="Arial" w:hAnsi="Arial"/>
                <w:sz w:val="20"/>
                <w:szCs w:val="20"/>
                <w:color w:val="auto"/>
              </w:rPr>
              <w:t>Income tax benefit (provision)</w:t>
            </w:r>
          </w:p>
        </w:tc>
        <w:tc>
          <w:tcPr>
            <w:tcW w:w="1100" w:type="dxa"/>
            <w:vAlign w:val="bottom"/>
          </w:tcPr>
          <w:p>
            <w:pPr>
              <w:jc w:val="right"/>
              <w:ind w:right="80"/>
              <w:spacing w:after="0" w:line="225" w:lineRule="exact"/>
              <w:rPr>
                <w:sz w:val="20"/>
                <w:szCs w:val="20"/>
                <w:color w:val="auto"/>
              </w:rPr>
            </w:pPr>
            <w:r>
              <w:rPr>
                <w:rFonts w:ascii="Arial" w:cs="Arial" w:eastAsia="Arial" w:hAnsi="Arial"/>
                <w:sz w:val="20"/>
                <w:szCs w:val="20"/>
                <w:color w:val="auto"/>
              </w:rPr>
              <w:t>(1.2)</w:t>
            </w:r>
          </w:p>
        </w:tc>
        <w:tc>
          <w:tcPr>
            <w:tcW w:w="12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0.6</w:t>
            </w:r>
          </w:p>
        </w:tc>
        <w:tc>
          <w:tcPr>
            <w:tcW w:w="1140" w:type="dxa"/>
            <w:vAlign w:val="bottom"/>
            <w:gridSpan w:val="2"/>
          </w:tcPr>
          <w:p>
            <w:pPr>
              <w:jc w:val="right"/>
              <w:ind w:right="120"/>
              <w:spacing w:after="0" w:line="225" w:lineRule="exact"/>
              <w:rPr>
                <w:sz w:val="20"/>
                <w:szCs w:val="20"/>
                <w:color w:val="auto"/>
              </w:rPr>
            </w:pPr>
            <w:r>
              <w:rPr>
                <w:rFonts w:ascii="Arial" w:cs="Arial" w:eastAsia="Arial" w:hAnsi="Arial"/>
                <w:sz w:val="20"/>
                <w:szCs w:val="20"/>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00" w:type="dxa"/>
            <w:vAlign w:val="bottom"/>
            <w:gridSpan w:val="2"/>
          </w:tcPr>
          <w:p>
            <w:pPr>
              <w:spacing w:after="0"/>
              <w:rPr>
                <w:sz w:val="20"/>
                <w:szCs w:val="20"/>
                <w:color w:val="auto"/>
              </w:rPr>
            </w:pPr>
            <w:r>
              <w:rPr>
                <w:rFonts w:ascii="Arial" w:cs="Arial" w:eastAsia="Arial" w:hAnsi="Arial"/>
                <w:sz w:val="20"/>
                <w:szCs w:val="20"/>
                <w:color w:val="auto"/>
              </w:rPr>
              <w:t>Minority interest</w:t>
            </w: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(0.1)</w:t>
            </w: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(0.3)</w:t>
            </w: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4000" w:type="dxa"/>
            <w:vAlign w:val="bottom"/>
            <w:gridSpan w:val="2"/>
          </w:tcPr>
          <w:p>
            <w:pPr>
              <w:spacing w:after="0"/>
              <w:rPr>
                <w:sz w:val="20"/>
                <w:szCs w:val="20"/>
                <w:color w:val="auto"/>
              </w:rPr>
            </w:pPr>
            <w:r>
              <w:rPr>
                <w:rFonts w:ascii="Arial" w:cs="Arial" w:eastAsia="Arial" w:hAnsi="Arial"/>
                <w:sz w:val="20"/>
                <w:szCs w:val="20"/>
                <w:color w:val="auto"/>
              </w:rPr>
              <w:t>Net income (loss)</w:t>
            </w:r>
          </w:p>
        </w:tc>
        <w:tc>
          <w:tcPr>
            <w:tcW w:w="1100" w:type="dxa"/>
            <w:vAlign w:val="bottom"/>
          </w:tcPr>
          <w:p>
            <w:pPr>
              <w:jc w:val="right"/>
              <w:spacing w:after="0"/>
              <w:rPr>
                <w:sz w:val="20"/>
                <w:szCs w:val="20"/>
                <w:color w:val="auto"/>
              </w:rPr>
            </w:pPr>
            <w:r>
              <w:rPr>
                <w:rFonts w:ascii="Arial" w:cs="Arial" w:eastAsia="Arial" w:hAnsi="Arial"/>
                <w:sz w:val="20"/>
                <w:szCs w:val="20"/>
                <w:color w:val="auto"/>
              </w:rPr>
              <w:t>(11.6)%</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(49.9)%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-27940</wp:posOffset>
            </wp:positionV>
            <wp:extent cx="12700" cy="28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-27940</wp:posOffset>
            </wp:positionV>
            <wp:extent cx="1270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-27940</wp:posOffset>
            </wp:positionV>
            <wp:extent cx="12700" cy="28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-27940</wp:posOffset>
            </wp:positionV>
            <wp:extent cx="12700"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-27940</wp:posOffset>
            </wp:positionV>
            <wp:extent cx="12700"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-27940</wp:posOffset>
            </wp:positionV>
            <wp:extent cx="1270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20"/>
          </w:cols>
          <w:pgMar w:left="240" w:top="120" w:right="239" w:bottom="290" w:gutter="0" w:footer="0" w:header="0"/>
        </w:sectPr>
      </w:pPr>
    </w:p>
    <w:bookmarkStart w:id="15" w:name="page16"/>
    <w:bookmarkEnd w:id="15"/>
    <w:p>
      <w:pPr>
        <w:ind w:right="20" w:firstLine="249"/>
        <w:spacing w:after="0" w:line="259" w:lineRule="auto"/>
        <w:rPr>
          <w:sz w:val="20"/>
          <w:szCs w:val="20"/>
          <w:color w:val="auto"/>
        </w:rPr>
      </w:pPr>
      <w:r>
        <w:rPr>
          <w:rFonts w:ascii="Arial" w:cs="Arial" w:eastAsia="Arial" w:hAnsi="Arial"/>
          <w:sz w:val="20"/>
          <w:szCs w:val="20"/>
          <w:color w:val="auto"/>
        </w:rPr>
        <w:t>Note:All the following tabular comparisons, unless otherwise indicated, are for the fiscal years ended November 1, 2009 (2009), November 2, 2008 (2008) and October 28, 2007 (2007),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300" w:type="dxa"/>
            <w:vAlign w:val="bottom"/>
          </w:tcPr>
          <w:p>
            <w:pPr>
              <w:spacing w:after="0"/>
              <w:rPr>
                <w:sz w:val="20"/>
                <w:szCs w:val="20"/>
                <w:color w:val="auto"/>
              </w:rPr>
            </w:pPr>
            <w:r>
              <w:rPr>
                <w:rFonts w:ascii="Arial" w:cs="Arial" w:eastAsia="Arial" w:hAnsi="Arial"/>
                <w:sz w:val="20"/>
                <w:szCs w:val="20"/>
                <w:b w:val="1"/>
                <w:bCs w:val="1"/>
                <w:i w:val="1"/>
                <w:iCs w:val="1"/>
                <w:color w:val="auto"/>
              </w:rPr>
              <w:t>Net Sales</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24"/>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20"/>
                <w:szCs w:val="20"/>
                <w:b w:val="1"/>
                <w:bCs w:val="1"/>
                <w:color w:val="auto"/>
                <w:w w:val="91"/>
              </w:rPr>
              <w:t>Percent Change</w:t>
            </w:r>
          </w:p>
        </w:tc>
      </w:tr>
      <w:tr>
        <w:trPr>
          <w:trHeight w:val="90"/>
        </w:trPr>
        <w:tc>
          <w:tcPr>
            <w:tcW w:w="1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304"/>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0"/>
                <w:szCs w:val="20"/>
                <w:b w:val="1"/>
                <w:bCs w:val="1"/>
                <w:color w:val="auto"/>
                <w:w w:val="92"/>
              </w:rPr>
              <w:t>2008 to</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w w:val="86"/>
              </w:rPr>
              <w:t>2007 to</w:t>
            </w:r>
          </w:p>
        </w:tc>
      </w:tr>
      <w:tr>
        <w:trPr>
          <w:trHeight w:val="260"/>
        </w:trPr>
        <w:tc>
          <w:tcPr>
            <w:tcW w:w="1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w w:val="98"/>
              </w:rPr>
              <w:t>2009</w:t>
            </w:r>
          </w:p>
        </w:tc>
        <w:tc>
          <w:tcPr>
            <w:tcW w:w="70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2008</w:t>
            </w:r>
          </w:p>
        </w:tc>
        <w:tc>
          <w:tcPr>
            <w:tcW w:w="700" w:type="dxa"/>
            <w:vAlign w:val="bottom"/>
            <w:gridSpan w:val="4"/>
          </w:tcPr>
          <w:p>
            <w:pPr>
              <w:jc w:val="right"/>
              <w:ind w:right="100"/>
              <w:spacing w:after="0"/>
              <w:rPr>
                <w:sz w:val="20"/>
                <w:szCs w:val="20"/>
                <w:color w:val="auto"/>
              </w:rPr>
            </w:pPr>
            <w:r>
              <w:rPr>
                <w:rFonts w:ascii="Arial" w:cs="Arial" w:eastAsia="Arial" w:hAnsi="Arial"/>
                <w:sz w:val="20"/>
                <w:szCs w:val="20"/>
                <w:b w:val="1"/>
                <w:bCs w:val="1"/>
                <w:color w:val="auto"/>
              </w:rPr>
              <w:t>2007</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2009</w:t>
            </w: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2008</w:t>
            </w:r>
          </w:p>
        </w:tc>
      </w:tr>
      <w:tr>
        <w:trPr>
          <w:trHeight w:val="90"/>
        </w:trPr>
        <w:tc>
          <w:tcPr>
            <w:tcW w:w="13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534"/>
        </w:trPr>
        <w:tc>
          <w:tcPr>
            <w:tcW w:w="1300" w:type="dxa"/>
            <w:vAlign w:val="bottom"/>
          </w:tcPr>
          <w:p>
            <w:pPr>
              <w:spacing w:after="0"/>
              <w:rPr>
                <w:sz w:val="20"/>
                <w:szCs w:val="20"/>
                <w:color w:val="auto"/>
              </w:rPr>
            </w:pPr>
            <w:r>
              <w:rPr>
                <w:rFonts w:ascii="Arial" w:cs="Arial" w:eastAsia="Arial" w:hAnsi="Arial"/>
                <w:sz w:val="20"/>
                <w:szCs w:val="20"/>
                <w:color w:val="auto"/>
              </w:rPr>
              <w:t>IC</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$272.9</w:t>
            </w: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$314.9</w:t>
            </w:r>
          </w:p>
        </w:tc>
        <w:tc>
          <w:tcPr>
            <w:tcW w:w="700" w:type="dxa"/>
            <w:vAlign w:val="bottom"/>
            <w:gridSpan w:val="4"/>
          </w:tcPr>
          <w:p>
            <w:pPr>
              <w:jc w:val="right"/>
              <w:ind w:right="20"/>
              <w:spacing w:after="0"/>
              <w:rPr>
                <w:sz w:val="20"/>
                <w:szCs w:val="20"/>
                <w:color w:val="auto"/>
              </w:rPr>
            </w:pPr>
            <w:r>
              <w:rPr>
                <w:rFonts w:ascii="Arial" w:cs="Arial" w:eastAsia="Arial" w:hAnsi="Arial"/>
                <w:sz w:val="20"/>
                <w:szCs w:val="20"/>
                <w:color w:val="auto"/>
              </w:rPr>
              <w:t>$339.4</w:t>
            </w: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20"/>
                <w:szCs w:val="20"/>
                <w:color w:val="auto"/>
                <w:w w:val="94"/>
              </w:rPr>
              <w:t>(13.3)%</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(7.2)%</w:t>
            </w:r>
          </w:p>
        </w:tc>
      </w:tr>
      <w:tr>
        <w:trPr>
          <w:trHeight w:val="254"/>
        </w:trPr>
        <w:tc>
          <w:tcPr>
            <w:tcW w:w="1300" w:type="dxa"/>
            <w:vAlign w:val="bottom"/>
          </w:tcPr>
          <w:p>
            <w:pPr>
              <w:spacing w:after="0"/>
              <w:rPr>
                <w:sz w:val="20"/>
                <w:szCs w:val="20"/>
                <w:color w:val="auto"/>
              </w:rPr>
            </w:pPr>
            <w:r>
              <w:rPr>
                <w:rFonts w:ascii="Arial" w:cs="Arial" w:eastAsia="Arial" w:hAnsi="Arial"/>
                <w:sz w:val="20"/>
                <w:szCs w:val="20"/>
                <w:color w:val="auto"/>
              </w:rPr>
              <w:t>FPD</w:t>
            </w:r>
          </w:p>
        </w:tc>
        <w:tc>
          <w:tcPr>
            <w:tcW w:w="560" w:type="dxa"/>
            <w:vAlign w:val="bottom"/>
          </w:tcPr>
          <w:p>
            <w:pPr>
              <w:jc w:val="right"/>
              <w:spacing w:after="0"/>
              <w:rPr>
                <w:sz w:val="20"/>
                <w:szCs w:val="20"/>
                <w:color w:val="auto"/>
              </w:rPr>
            </w:pPr>
            <w:r>
              <w:rPr>
                <w:rFonts w:ascii="Arial" w:cs="Arial" w:eastAsia="Arial" w:hAnsi="Arial"/>
                <w:sz w:val="20"/>
                <w:szCs w:val="20"/>
                <w:color w:val="auto"/>
              </w:rPr>
              <w:t>88.5</w:t>
            </w: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107.6</w:t>
            </w:r>
          </w:p>
        </w:tc>
        <w:tc>
          <w:tcPr>
            <w:tcW w:w="700" w:type="dxa"/>
            <w:vAlign w:val="bottom"/>
            <w:gridSpan w:val="4"/>
          </w:tcPr>
          <w:p>
            <w:pPr>
              <w:jc w:val="right"/>
              <w:ind w:right="20"/>
              <w:spacing w:after="0"/>
              <w:rPr>
                <w:sz w:val="20"/>
                <w:szCs w:val="20"/>
                <w:color w:val="auto"/>
              </w:rPr>
            </w:pPr>
            <w:r>
              <w:rPr>
                <w:rFonts w:ascii="Arial" w:cs="Arial" w:eastAsia="Arial" w:hAnsi="Arial"/>
                <w:sz w:val="20"/>
                <w:szCs w:val="20"/>
                <w:color w:val="auto"/>
              </w:rPr>
              <w:t>82.1</w:t>
            </w:r>
          </w:p>
        </w:tc>
        <w:tc>
          <w:tcPr>
            <w:tcW w:w="120" w:type="dxa"/>
            <w:vAlign w:val="bottom"/>
          </w:tcPr>
          <w:p>
            <w:pPr>
              <w:spacing w:after="0"/>
              <w:rPr>
                <w:sz w:val="22"/>
                <w:szCs w:val="22"/>
                <w:color w:val="auto"/>
              </w:rPr>
            </w:pPr>
          </w:p>
        </w:tc>
        <w:tc>
          <w:tcPr>
            <w:tcW w:w="680" w:type="dxa"/>
            <w:vAlign w:val="bottom"/>
          </w:tcPr>
          <w:p>
            <w:pPr>
              <w:ind w:left="20"/>
              <w:spacing w:after="0"/>
              <w:rPr>
                <w:sz w:val="20"/>
                <w:szCs w:val="20"/>
                <w:color w:val="auto"/>
              </w:rPr>
            </w:pPr>
            <w:r>
              <w:rPr>
                <w:rFonts w:ascii="Arial" w:cs="Arial" w:eastAsia="Arial" w:hAnsi="Arial"/>
                <w:sz w:val="20"/>
                <w:szCs w:val="20"/>
                <w:color w:val="auto"/>
              </w:rPr>
              <w:t>(17.8)</w:t>
            </w: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31.1</w:t>
            </w:r>
          </w:p>
        </w:tc>
      </w:tr>
      <w:tr>
        <w:trPr>
          <w:trHeight w:val="90"/>
        </w:trPr>
        <w:tc>
          <w:tcPr>
            <w:tcW w:w="1300" w:type="dxa"/>
            <w:vAlign w:val="bottom"/>
          </w:tcPr>
          <w:p>
            <w:pPr>
              <w:spacing w:after="0"/>
              <w:rPr>
                <w:sz w:val="7"/>
                <w:szCs w:val="7"/>
                <w:color w:val="auto"/>
              </w:rPr>
            </w:pPr>
          </w:p>
        </w:tc>
        <w:tc>
          <w:tcPr>
            <w:tcW w:w="5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r>
      <w:tr>
        <w:trPr>
          <w:trHeight w:val="339"/>
        </w:trPr>
        <w:tc>
          <w:tcPr>
            <w:tcW w:w="1300" w:type="dxa"/>
            <w:vAlign w:val="bottom"/>
          </w:tcPr>
          <w:p>
            <w:pPr>
              <w:spacing w:after="0"/>
              <w:rPr>
                <w:sz w:val="20"/>
                <w:szCs w:val="20"/>
                <w:color w:val="auto"/>
              </w:rPr>
            </w:pPr>
            <w:r>
              <w:rPr>
                <w:rFonts w:ascii="Arial" w:cs="Arial" w:eastAsia="Arial" w:hAnsi="Arial"/>
                <w:sz w:val="20"/>
                <w:szCs w:val="20"/>
                <w:color w:val="auto"/>
                <w:w w:val="98"/>
              </w:rPr>
              <w:t>Total net sales</w:t>
            </w:r>
          </w:p>
        </w:tc>
        <w:tc>
          <w:tcPr>
            <w:tcW w:w="560" w:type="dxa"/>
            <w:vAlign w:val="bottom"/>
          </w:tcPr>
          <w:p>
            <w:pPr>
              <w:jc w:val="right"/>
              <w:spacing w:after="0"/>
              <w:rPr>
                <w:sz w:val="20"/>
                <w:szCs w:val="20"/>
                <w:color w:val="auto"/>
              </w:rPr>
            </w:pPr>
            <w:r>
              <w:rPr>
                <w:rFonts w:ascii="Arial" w:cs="Arial" w:eastAsia="Arial" w:hAnsi="Arial"/>
                <w:sz w:val="20"/>
                <w:szCs w:val="20"/>
                <w:color w:val="auto"/>
                <w:w w:val="84"/>
              </w:rPr>
              <w:t>$361.4</w:t>
            </w: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$422.5</w:t>
            </w:r>
          </w:p>
        </w:tc>
        <w:tc>
          <w:tcPr>
            <w:tcW w:w="700" w:type="dxa"/>
            <w:vAlign w:val="bottom"/>
            <w:gridSpan w:val="4"/>
          </w:tcPr>
          <w:p>
            <w:pPr>
              <w:jc w:val="right"/>
              <w:ind w:right="20"/>
              <w:spacing w:after="0"/>
              <w:rPr>
                <w:sz w:val="20"/>
                <w:szCs w:val="20"/>
                <w:color w:val="auto"/>
              </w:rPr>
            </w:pPr>
            <w:r>
              <w:rPr>
                <w:rFonts w:ascii="Arial" w:cs="Arial" w:eastAsia="Arial" w:hAnsi="Arial"/>
                <w:sz w:val="20"/>
                <w:szCs w:val="20"/>
                <w:color w:val="auto"/>
              </w:rPr>
              <w:t>$421.5</w:t>
            </w: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20"/>
                <w:szCs w:val="20"/>
                <w:color w:val="auto"/>
                <w:w w:val="94"/>
              </w:rPr>
              <w:t>(14.5)%</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0.3 %</w:t>
            </w:r>
          </w:p>
        </w:tc>
      </w:tr>
      <w:tr>
        <w:trPr>
          <w:trHeight w:val="111"/>
        </w:trPr>
        <w:tc>
          <w:tcPr>
            <w:tcW w:w="1300" w:type="dxa"/>
            <w:vAlign w:val="bottom"/>
          </w:tcPr>
          <w:p>
            <w:pPr>
              <w:spacing w:after="0"/>
              <w:rPr>
                <w:sz w:val="9"/>
                <w:szCs w:val="9"/>
                <w:color w:val="auto"/>
              </w:rPr>
            </w:pPr>
          </w:p>
        </w:tc>
        <w:tc>
          <w:tcPr>
            <w:tcW w:w="5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56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-27940</wp:posOffset>
            </wp:positionV>
            <wp:extent cx="1270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-27940</wp:posOffset>
            </wp:positionV>
            <wp:extent cx="12700"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-27940</wp:posOffset>
            </wp:positionV>
            <wp:extent cx="12700" cy="28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-27940</wp:posOffset>
            </wp:positionV>
            <wp:extent cx="1270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-27940</wp:posOffset>
            </wp:positionV>
            <wp:extent cx="1270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-27940</wp:posOffset>
            </wp:positionV>
            <wp:extent cx="12700" cy="28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-27940</wp:posOffset>
            </wp:positionV>
            <wp:extent cx="12700" cy="28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-27940</wp:posOffset>
            </wp:positionV>
            <wp:extent cx="1270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-27940</wp:posOffset>
            </wp:positionV>
            <wp:extent cx="12700"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-27940</wp:posOffset>
            </wp:positionV>
            <wp:extent cx="1270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firstLine="249"/>
        <w:spacing w:after="0" w:line="266" w:lineRule="auto"/>
        <w:rPr>
          <w:sz w:val="20"/>
          <w:szCs w:val="20"/>
          <w:color w:val="auto"/>
        </w:rPr>
      </w:pPr>
      <w:r>
        <w:rPr>
          <w:rFonts w:ascii="Arial" w:cs="Arial" w:eastAsia="Arial" w:hAnsi="Arial"/>
          <w:sz w:val="18"/>
          <w:szCs w:val="18"/>
          <w:color w:val="auto"/>
        </w:rPr>
        <w:t>Net sales for 2009 decreased 14.5% to $361.4 million as compared to $422.5 million for 2008. The decrease was primarily associated with the global recession which led to reduced demand for IC and FPD photomasks. Accordingly, sales of IC photomasks decreased by $42.0 million, primarily related to decreases in both units and ASPs for mainstream photomasks, and FPD photomasks decreased by $19.1 million, primarily related to decreased sales of high-end FPD photomasks. High-end photomask applications, which typically have higher ASPs, include photomask sets for IC products using 65 nanometer and below technologies and for FPD products using G7 and above technologies.During 2009, sales of high-end photomasks totaled $77 million as compared to $92 million in 2008. Total sales of high-end FPD photomasks decreased by $22.0 million, while sales of high-end IC photomasks increased by $7.0 million. By geographic area, net sales in 2009 as compared to 2008 decreased by $36.1 million or 13.9% in Asia, increased by $3.0 million or 3.1% in North America, and decreased by $28.0 million or 42.3% in Europe. As a percent of total sales in 2009, sales were 62% in Asia, 28% in North America and 10% in Europe.</w:t>
      </w:r>
    </w:p>
    <w:p>
      <w:pPr>
        <w:spacing w:after="0" w:line="154" w:lineRule="exact"/>
        <w:rPr>
          <w:sz w:val="20"/>
          <w:szCs w:val="20"/>
          <w:color w:val="auto"/>
        </w:rPr>
      </w:pPr>
    </w:p>
    <w:p>
      <w:pPr>
        <w:ind w:firstLine="249"/>
        <w:spacing w:after="0" w:line="254" w:lineRule="auto"/>
        <w:rPr>
          <w:sz w:val="20"/>
          <w:szCs w:val="20"/>
          <w:color w:val="auto"/>
        </w:rPr>
      </w:pPr>
      <w:r>
        <w:rPr>
          <w:rFonts w:ascii="Arial" w:cs="Arial" w:eastAsia="Arial" w:hAnsi="Arial"/>
          <w:sz w:val="19"/>
          <w:szCs w:val="19"/>
          <w:color w:val="auto"/>
        </w:rPr>
        <w:t>Net sales for 2008 increased 0.3% to $422.5 million as compared to $421.5 million for 2007. The increase is related to increased sales of FPD photomasks of $25.5 million, primarily related to increased sales of high-end FPD photomasks; substantially offset by reduced sales of IC photomasks of $24.5 million associated with decreased units and ASPs for mainstream photomasks.During 2008, sales of high-end photomasks totaled $92 million. By geographic area, net sales in 2008 as compared to 2007 increased by $16.5 million or 6.8% in Asia, decreased by $10.4 million or 9.7% in North America, and decreased by $5.0 million or 7.0% in Europe. As a percent of total sales in 2008, sales were 61% in Asia, 23% in North America and 16% in Europe.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Margin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b w:val="1"/>
                <w:bCs w:val="1"/>
                <w:color w:val="auto"/>
                <w:w w:val="90"/>
              </w:rPr>
              <w:t>Percent Change</w:t>
            </w:r>
          </w:p>
        </w:tc>
      </w:tr>
      <w:tr>
        <w:trPr>
          <w:trHeight w:val="90"/>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304"/>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w w:val="89"/>
              </w:rPr>
              <w:t>2008 to</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w w:val="89"/>
              </w:rPr>
              <w:t>2007 to</w:t>
            </w:r>
          </w:p>
        </w:tc>
      </w:tr>
      <w:tr>
        <w:trPr>
          <w:trHeight w:val="260"/>
        </w:trPr>
        <w:tc>
          <w:tcPr>
            <w:tcW w:w="1360" w:type="dxa"/>
            <w:vAlign w:val="bottom"/>
          </w:tcPr>
          <w:p>
            <w:pPr>
              <w:spacing w:after="0"/>
              <w:rPr>
                <w:sz w:val="22"/>
                <w:szCs w:val="22"/>
                <w:color w:val="auto"/>
              </w:rPr>
            </w:pPr>
          </w:p>
        </w:tc>
        <w:tc>
          <w:tcPr>
            <w:tcW w:w="700" w:type="dxa"/>
            <w:vAlign w:val="bottom"/>
            <w:gridSpan w:val="2"/>
          </w:tcPr>
          <w:p>
            <w:pPr>
              <w:ind w:left="180"/>
              <w:spacing w:after="0"/>
              <w:rPr>
                <w:sz w:val="20"/>
                <w:szCs w:val="20"/>
                <w:color w:val="auto"/>
              </w:rPr>
            </w:pPr>
            <w:r>
              <w:rPr>
                <w:rFonts w:ascii="Arial" w:cs="Arial" w:eastAsia="Arial" w:hAnsi="Arial"/>
                <w:sz w:val="20"/>
                <w:szCs w:val="20"/>
                <w:b w:val="1"/>
                <w:bCs w:val="1"/>
                <w:color w:val="auto"/>
              </w:rPr>
              <w:t>2009</w:t>
            </w:r>
          </w:p>
        </w:tc>
        <w:tc>
          <w:tcPr>
            <w:tcW w:w="760" w:type="dxa"/>
            <w:vAlign w:val="bottom"/>
            <w:gridSpan w:val="2"/>
          </w:tcPr>
          <w:p>
            <w:pPr>
              <w:ind w:left="240"/>
              <w:spacing w:after="0"/>
              <w:rPr>
                <w:sz w:val="20"/>
                <w:szCs w:val="20"/>
                <w:color w:val="auto"/>
              </w:rPr>
            </w:pPr>
            <w:r>
              <w:rPr>
                <w:rFonts w:ascii="Arial" w:cs="Arial" w:eastAsia="Arial" w:hAnsi="Arial"/>
                <w:sz w:val="20"/>
                <w:szCs w:val="20"/>
                <w:b w:val="1"/>
                <w:bCs w:val="1"/>
                <w:color w:val="auto"/>
              </w:rPr>
              <w:t>2008</w:t>
            </w:r>
          </w:p>
        </w:tc>
        <w:tc>
          <w:tcPr>
            <w:tcW w:w="740" w:type="dxa"/>
            <w:vAlign w:val="bottom"/>
            <w:gridSpan w:val="2"/>
          </w:tcPr>
          <w:p>
            <w:pPr>
              <w:ind w:left="220"/>
              <w:spacing w:after="0"/>
              <w:rPr>
                <w:sz w:val="20"/>
                <w:szCs w:val="20"/>
                <w:color w:val="auto"/>
              </w:rPr>
            </w:pPr>
            <w:r>
              <w:rPr>
                <w:rFonts w:ascii="Arial" w:cs="Arial" w:eastAsia="Arial" w:hAnsi="Arial"/>
                <w:sz w:val="20"/>
                <w:szCs w:val="20"/>
                <w:b w:val="1"/>
                <w:bCs w:val="1"/>
                <w:color w:val="auto"/>
              </w:rPr>
              <w:t>2007</w:t>
            </w:r>
          </w:p>
        </w:tc>
        <w:tc>
          <w:tcPr>
            <w:tcW w:w="120" w:type="dxa"/>
            <w:vAlign w:val="bottom"/>
          </w:tcPr>
          <w:p>
            <w:pPr>
              <w:spacing w:after="0"/>
              <w:rPr>
                <w:sz w:val="22"/>
                <w:szCs w:val="22"/>
                <w:color w:val="auto"/>
              </w:rPr>
            </w:pPr>
          </w:p>
        </w:tc>
        <w:tc>
          <w:tcPr>
            <w:tcW w:w="680" w:type="dxa"/>
            <w:vAlign w:val="bottom"/>
          </w:tcPr>
          <w:p>
            <w:pPr>
              <w:jc w:val="right"/>
              <w:ind w:right="40"/>
              <w:spacing w:after="0"/>
              <w:rPr>
                <w:sz w:val="20"/>
                <w:szCs w:val="20"/>
                <w:color w:val="auto"/>
              </w:rPr>
            </w:pPr>
            <w:r>
              <w:rPr>
                <w:rFonts w:ascii="Arial" w:cs="Arial" w:eastAsia="Arial" w:hAnsi="Arial"/>
                <w:sz w:val="20"/>
                <w:szCs w:val="20"/>
                <w:b w:val="1"/>
                <w:bCs w:val="1"/>
                <w:color w:val="auto"/>
              </w:rPr>
              <w:t>2009</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2008</w:t>
            </w:r>
          </w:p>
        </w:tc>
      </w:tr>
      <w:tr>
        <w:trPr>
          <w:trHeight w:val="90"/>
        </w:trPr>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534"/>
        </w:trPr>
        <w:tc>
          <w:tcPr>
            <w:tcW w:w="1360" w:type="dxa"/>
            <w:vAlign w:val="bottom"/>
          </w:tcPr>
          <w:p>
            <w:pPr>
              <w:spacing w:after="0"/>
              <w:rPr>
                <w:sz w:val="20"/>
                <w:szCs w:val="20"/>
                <w:color w:val="auto"/>
              </w:rPr>
            </w:pPr>
            <w:r>
              <w:rPr>
                <w:rFonts w:ascii="Arial" w:cs="Arial" w:eastAsia="Arial" w:hAnsi="Arial"/>
                <w:sz w:val="20"/>
                <w:szCs w:val="20"/>
                <w:color w:val="auto"/>
              </w:rPr>
              <w:t>Gross margin</w:t>
            </w:r>
          </w:p>
        </w:tc>
        <w:tc>
          <w:tcPr>
            <w:tcW w:w="700" w:type="dxa"/>
            <w:vAlign w:val="bottom"/>
            <w:gridSpan w:val="2"/>
          </w:tcPr>
          <w:p>
            <w:pPr>
              <w:jc w:val="right"/>
              <w:ind w:right="160"/>
              <w:spacing w:after="0"/>
              <w:rPr>
                <w:sz w:val="20"/>
                <w:szCs w:val="20"/>
                <w:color w:val="auto"/>
              </w:rPr>
            </w:pPr>
            <w:r>
              <w:rPr>
                <w:rFonts w:ascii="Arial" w:cs="Arial" w:eastAsia="Arial" w:hAnsi="Arial"/>
                <w:sz w:val="20"/>
                <w:szCs w:val="20"/>
                <w:color w:val="auto"/>
              </w:rPr>
              <w:t>$57.1</w:t>
            </w:r>
          </w:p>
        </w:tc>
        <w:tc>
          <w:tcPr>
            <w:tcW w:w="760" w:type="dxa"/>
            <w:vAlign w:val="bottom"/>
            <w:gridSpan w:val="2"/>
          </w:tcPr>
          <w:p>
            <w:pPr>
              <w:jc w:val="right"/>
              <w:ind w:right="180"/>
              <w:spacing w:after="0"/>
              <w:rPr>
                <w:sz w:val="20"/>
                <w:szCs w:val="20"/>
                <w:color w:val="auto"/>
              </w:rPr>
            </w:pPr>
            <w:r>
              <w:rPr>
                <w:rFonts w:ascii="Arial" w:cs="Arial" w:eastAsia="Arial" w:hAnsi="Arial"/>
                <w:sz w:val="20"/>
                <w:szCs w:val="20"/>
                <w:color w:val="auto"/>
              </w:rPr>
              <w:t>$72.7</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$99.5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1"/>
              </w:rPr>
              <w:t>(21.5)%</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(26.9)%</w:t>
            </w:r>
          </w:p>
        </w:tc>
      </w:tr>
      <w:tr>
        <w:trPr>
          <w:trHeight w:val="254"/>
        </w:trPr>
        <w:tc>
          <w:tcPr>
            <w:tcW w:w="1360" w:type="dxa"/>
            <w:vAlign w:val="bottom"/>
          </w:tcPr>
          <w:p>
            <w:pPr>
              <w:spacing w:after="0"/>
              <w:rPr>
                <w:sz w:val="20"/>
                <w:szCs w:val="20"/>
                <w:color w:val="auto"/>
              </w:rPr>
            </w:pPr>
            <w:r>
              <w:rPr>
                <w:rFonts w:ascii="Arial" w:cs="Arial" w:eastAsia="Arial" w:hAnsi="Arial"/>
                <w:sz w:val="20"/>
                <w:szCs w:val="20"/>
                <w:color w:val="auto"/>
                <w:w w:val="93"/>
              </w:rPr>
              <w:t>Gross margin %</w:t>
            </w:r>
          </w:p>
        </w:tc>
        <w:tc>
          <w:tcPr>
            <w:tcW w:w="700" w:type="dxa"/>
            <w:vAlign w:val="bottom"/>
            <w:gridSpan w:val="2"/>
          </w:tcPr>
          <w:p>
            <w:pPr>
              <w:ind w:left="160"/>
              <w:spacing w:after="0"/>
              <w:rPr>
                <w:sz w:val="20"/>
                <w:szCs w:val="20"/>
                <w:color w:val="auto"/>
              </w:rPr>
            </w:pPr>
            <w:r>
              <w:rPr>
                <w:rFonts w:ascii="Arial" w:cs="Arial" w:eastAsia="Arial" w:hAnsi="Arial"/>
                <w:sz w:val="20"/>
                <w:szCs w:val="20"/>
                <w:color w:val="auto"/>
                <w:w w:val="91"/>
              </w:rPr>
              <w:t>15.8%</w:t>
            </w:r>
          </w:p>
        </w:tc>
        <w:tc>
          <w:tcPr>
            <w:tcW w:w="760" w:type="dxa"/>
            <w:vAlign w:val="bottom"/>
            <w:gridSpan w:val="2"/>
          </w:tcPr>
          <w:p>
            <w:pPr>
              <w:ind w:left="220"/>
              <w:spacing w:after="0"/>
              <w:rPr>
                <w:sz w:val="20"/>
                <w:szCs w:val="20"/>
                <w:color w:val="auto"/>
              </w:rPr>
            </w:pPr>
            <w:r>
              <w:rPr>
                <w:rFonts w:ascii="Arial" w:cs="Arial" w:eastAsia="Arial" w:hAnsi="Arial"/>
                <w:sz w:val="20"/>
                <w:szCs w:val="20"/>
                <w:color w:val="auto"/>
                <w:w w:val="91"/>
              </w:rPr>
              <w:t>17.2%</w:t>
            </w:r>
          </w:p>
        </w:tc>
        <w:tc>
          <w:tcPr>
            <w:tcW w:w="740" w:type="dxa"/>
            <w:vAlign w:val="bottom"/>
            <w:gridSpan w:val="2"/>
          </w:tcPr>
          <w:p>
            <w:pPr>
              <w:ind w:left="200"/>
              <w:spacing w:after="0"/>
              <w:rPr>
                <w:sz w:val="20"/>
                <w:szCs w:val="20"/>
                <w:color w:val="auto"/>
              </w:rPr>
            </w:pPr>
            <w:r>
              <w:rPr>
                <w:rFonts w:ascii="Arial" w:cs="Arial" w:eastAsia="Arial" w:hAnsi="Arial"/>
                <w:sz w:val="20"/>
                <w:szCs w:val="20"/>
                <w:color w:val="auto"/>
                <w:w w:val="91"/>
              </w:rPr>
              <w:t>23.6%</w:t>
            </w:r>
          </w:p>
        </w:tc>
        <w:tc>
          <w:tcPr>
            <w:tcW w:w="120" w:type="dxa"/>
            <w:vAlign w:val="bottom"/>
          </w:tcPr>
          <w:p>
            <w:pPr>
              <w:spacing w:after="0"/>
              <w:rPr>
                <w:sz w:val="22"/>
                <w:szCs w:val="22"/>
                <w:color w:val="auto"/>
              </w:rPr>
            </w:pPr>
          </w:p>
        </w:tc>
        <w:tc>
          <w:tcPr>
            <w:tcW w:w="6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r>
    </w:tbl>
    <w:p>
      <w:pPr>
        <w:spacing w:after="0" w:line="394" w:lineRule="exact"/>
        <w:rPr>
          <w:sz w:val="20"/>
          <w:szCs w:val="20"/>
          <w:color w:val="auto"/>
        </w:rPr>
      </w:pPr>
    </w:p>
    <w:p>
      <w:pPr>
        <w:jc w:val="both"/>
        <w:ind w:right="260" w:firstLine="249"/>
        <w:spacing w:after="0" w:line="246" w:lineRule="auto"/>
        <w:rPr>
          <w:sz w:val="20"/>
          <w:szCs w:val="20"/>
          <w:color w:val="auto"/>
        </w:rPr>
      </w:pPr>
      <w:r>
        <w:rPr>
          <w:rFonts w:ascii="Arial" w:cs="Arial" w:eastAsia="Arial" w:hAnsi="Arial"/>
          <w:sz w:val="20"/>
          <w:szCs w:val="20"/>
          <w:color w:val="auto"/>
        </w:rPr>
        <w:t>Gross margin percentage decreased to 15.8% in 2009 from 17.2% in 2008, primarily as a result of a year-over-year decrease in net sales. The Company operates in a high fixed cost environment and, to the extent that the Company's revenues and utilization increase or decrease, gross margin will be positively or negatively impacted.</w:t>
      </w:r>
    </w:p>
    <w:p>
      <w:pPr>
        <w:spacing w:after="0" w:line="165" w:lineRule="exact"/>
        <w:rPr>
          <w:sz w:val="20"/>
          <w:szCs w:val="20"/>
          <w:color w:val="auto"/>
        </w:rPr>
      </w:pPr>
    </w:p>
    <w:p>
      <w:pPr>
        <w:ind w:firstLine="249"/>
        <w:spacing w:after="0" w:line="242" w:lineRule="auto"/>
        <w:rPr>
          <w:sz w:val="20"/>
          <w:szCs w:val="20"/>
          <w:color w:val="auto"/>
        </w:rPr>
      </w:pPr>
      <w:r>
        <w:rPr>
          <w:rFonts w:ascii="Arial" w:cs="Arial" w:eastAsia="Arial" w:hAnsi="Arial"/>
          <w:sz w:val="20"/>
          <w:szCs w:val="20"/>
          <w:color w:val="auto"/>
        </w:rPr>
        <w:t>Gross margin percentage decreased to 17.2% in 2008 from 23.6% in 2007 primarily due to costs relating to the Company's increased manufacturing base, including costs associated with the U.S. nanoFab which commenced operations in the second fiscal quarter of 2008, and reduced ASPs for IC photomasks, principally mainstream. The decreased gross margin was partially mitigated by increased high-end revenues, primarily for FPD photomasks.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20"/>
                <w:szCs w:val="20"/>
                <w:b w:val="1"/>
                <w:bCs w:val="1"/>
                <w:color w:val="auto"/>
                <w:w w:val="91"/>
              </w:rPr>
              <w:t>Percent Change</w:t>
            </w:r>
          </w:p>
        </w:tc>
      </w:tr>
      <w:tr>
        <w:trPr>
          <w:trHeight w:val="90"/>
        </w:trPr>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304"/>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0"/>
                <w:szCs w:val="20"/>
                <w:b w:val="1"/>
                <w:bCs w:val="1"/>
                <w:color w:val="auto"/>
                <w:w w:val="92"/>
              </w:rPr>
              <w:t>2008 to</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auto"/>
                <w:w w:val="89"/>
              </w:rPr>
              <w:t>2007 to</w:t>
            </w:r>
          </w:p>
        </w:tc>
      </w:tr>
      <w:tr>
        <w:trPr>
          <w:trHeight w:val="260"/>
        </w:trPr>
        <w:tc>
          <w:tcPr>
            <w:tcW w:w="1380" w:type="dxa"/>
            <w:vAlign w:val="bottom"/>
          </w:tcPr>
          <w:p>
            <w:pPr>
              <w:spacing w:after="0"/>
              <w:rPr>
                <w:sz w:val="22"/>
                <w:szCs w:val="22"/>
                <w:color w:val="auto"/>
              </w:rPr>
            </w:pPr>
          </w:p>
        </w:tc>
        <w:tc>
          <w:tcPr>
            <w:tcW w:w="680" w:type="dxa"/>
            <w:vAlign w:val="bottom"/>
            <w:gridSpan w:val="2"/>
          </w:tcPr>
          <w:p>
            <w:pPr>
              <w:ind w:left="160"/>
              <w:spacing w:after="0"/>
              <w:rPr>
                <w:sz w:val="20"/>
                <w:szCs w:val="20"/>
                <w:color w:val="auto"/>
              </w:rPr>
            </w:pPr>
            <w:r>
              <w:rPr>
                <w:rFonts w:ascii="Arial" w:cs="Arial" w:eastAsia="Arial" w:hAnsi="Arial"/>
                <w:sz w:val="20"/>
                <w:szCs w:val="20"/>
                <w:b w:val="1"/>
                <w:bCs w:val="1"/>
                <w:color w:val="auto"/>
              </w:rPr>
              <w:t>2009</w:t>
            </w:r>
          </w:p>
        </w:tc>
        <w:tc>
          <w:tcPr>
            <w:tcW w:w="760" w:type="dxa"/>
            <w:vAlign w:val="bottom"/>
            <w:gridSpan w:val="2"/>
          </w:tcPr>
          <w:p>
            <w:pPr>
              <w:ind w:left="240"/>
              <w:spacing w:after="0"/>
              <w:rPr>
                <w:sz w:val="20"/>
                <w:szCs w:val="20"/>
                <w:color w:val="auto"/>
              </w:rPr>
            </w:pPr>
            <w:r>
              <w:rPr>
                <w:rFonts w:ascii="Arial" w:cs="Arial" w:eastAsia="Arial" w:hAnsi="Arial"/>
                <w:sz w:val="20"/>
                <w:szCs w:val="20"/>
                <w:b w:val="1"/>
                <w:bCs w:val="1"/>
                <w:color w:val="auto"/>
              </w:rPr>
              <w:t>2008</w:t>
            </w:r>
          </w:p>
        </w:tc>
        <w:tc>
          <w:tcPr>
            <w:tcW w:w="740" w:type="dxa"/>
            <w:vAlign w:val="bottom"/>
            <w:gridSpan w:val="2"/>
          </w:tcPr>
          <w:p>
            <w:pPr>
              <w:ind w:left="220"/>
              <w:spacing w:after="0"/>
              <w:rPr>
                <w:sz w:val="20"/>
                <w:szCs w:val="20"/>
                <w:color w:val="auto"/>
              </w:rPr>
            </w:pPr>
            <w:r>
              <w:rPr>
                <w:rFonts w:ascii="Arial" w:cs="Arial" w:eastAsia="Arial" w:hAnsi="Arial"/>
                <w:sz w:val="20"/>
                <w:szCs w:val="20"/>
                <w:b w:val="1"/>
                <w:bCs w:val="1"/>
                <w:color w:val="auto"/>
              </w:rPr>
              <w:t>2007</w:t>
            </w:r>
          </w:p>
        </w:tc>
        <w:tc>
          <w:tcPr>
            <w:tcW w:w="120" w:type="dxa"/>
            <w:vAlign w:val="bottom"/>
          </w:tcPr>
          <w:p>
            <w:pPr>
              <w:spacing w:after="0"/>
              <w:rPr>
                <w:sz w:val="22"/>
                <w:szCs w:val="22"/>
                <w:color w:val="auto"/>
              </w:rPr>
            </w:pPr>
          </w:p>
        </w:tc>
        <w:tc>
          <w:tcPr>
            <w:tcW w:w="680" w:type="dxa"/>
            <w:vAlign w:val="bottom"/>
          </w:tcPr>
          <w:p>
            <w:pPr>
              <w:jc w:val="right"/>
              <w:ind w:right="40"/>
              <w:spacing w:after="0"/>
              <w:rPr>
                <w:sz w:val="20"/>
                <w:szCs w:val="20"/>
                <w:color w:val="auto"/>
              </w:rPr>
            </w:pPr>
            <w:r>
              <w:rPr>
                <w:rFonts w:ascii="Arial" w:cs="Arial" w:eastAsia="Arial" w:hAnsi="Arial"/>
                <w:sz w:val="20"/>
                <w:szCs w:val="20"/>
                <w:b w:val="1"/>
                <w:bCs w:val="1"/>
                <w:color w:val="auto"/>
              </w:rPr>
              <w:t>2009</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2008</w:t>
            </w:r>
          </w:p>
        </w:tc>
      </w:tr>
      <w:tr>
        <w:trPr>
          <w:trHeight w:val="90"/>
        </w:trPr>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534"/>
        </w:trPr>
        <w:tc>
          <w:tcPr>
            <w:tcW w:w="1380" w:type="dxa"/>
            <w:vAlign w:val="bottom"/>
          </w:tcPr>
          <w:p>
            <w:pPr>
              <w:spacing w:after="0"/>
              <w:rPr>
                <w:sz w:val="20"/>
                <w:szCs w:val="20"/>
                <w:color w:val="auto"/>
              </w:rPr>
            </w:pPr>
            <w:r>
              <w:rPr>
                <w:rFonts w:ascii="Arial" w:cs="Arial" w:eastAsia="Arial" w:hAnsi="Arial"/>
                <w:sz w:val="20"/>
                <w:szCs w:val="20"/>
                <w:color w:val="auto"/>
                <w:w w:val="95"/>
              </w:rPr>
              <w:t>S,G&amp;A expense</w:t>
            </w:r>
          </w:p>
        </w:tc>
        <w:tc>
          <w:tcPr>
            <w:tcW w:w="680" w:type="dxa"/>
            <w:vAlign w:val="bottom"/>
            <w:gridSpan w:val="2"/>
          </w:tcPr>
          <w:p>
            <w:pPr>
              <w:jc w:val="right"/>
              <w:ind w:right="160"/>
              <w:spacing w:after="0"/>
              <w:rPr>
                <w:sz w:val="20"/>
                <w:szCs w:val="20"/>
                <w:color w:val="auto"/>
              </w:rPr>
            </w:pPr>
            <w:r>
              <w:rPr>
                <w:rFonts w:ascii="Arial" w:cs="Arial" w:eastAsia="Arial" w:hAnsi="Arial"/>
                <w:sz w:val="20"/>
                <w:szCs w:val="20"/>
                <w:color w:val="auto"/>
                <w:w w:val="99"/>
              </w:rPr>
              <w:t>$41.2</w:t>
            </w:r>
          </w:p>
        </w:tc>
        <w:tc>
          <w:tcPr>
            <w:tcW w:w="760" w:type="dxa"/>
            <w:vAlign w:val="bottom"/>
            <w:gridSpan w:val="2"/>
          </w:tcPr>
          <w:p>
            <w:pPr>
              <w:jc w:val="right"/>
              <w:ind w:right="180"/>
              <w:spacing w:after="0"/>
              <w:rPr>
                <w:sz w:val="20"/>
                <w:szCs w:val="20"/>
                <w:color w:val="auto"/>
              </w:rPr>
            </w:pPr>
            <w:r>
              <w:rPr>
                <w:rFonts w:ascii="Arial" w:cs="Arial" w:eastAsia="Arial" w:hAnsi="Arial"/>
                <w:sz w:val="20"/>
                <w:szCs w:val="20"/>
                <w:color w:val="auto"/>
              </w:rPr>
              <w:t>$55.2</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$61.5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1"/>
              </w:rPr>
              <w:t>(25.4)%</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(10.3)%</w:t>
            </w:r>
          </w:p>
        </w:tc>
      </w:tr>
      <w:tr>
        <w:trPr>
          <w:trHeight w:val="254"/>
        </w:trPr>
        <w:tc>
          <w:tcPr>
            <w:tcW w:w="1380" w:type="dxa"/>
            <w:vAlign w:val="bottom"/>
          </w:tcPr>
          <w:p>
            <w:pPr>
              <w:spacing w:after="0"/>
              <w:rPr>
                <w:sz w:val="20"/>
                <w:szCs w:val="20"/>
                <w:color w:val="auto"/>
              </w:rPr>
            </w:pPr>
            <w:r>
              <w:rPr>
                <w:rFonts w:ascii="Arial" w:cs="Arial" w:eastAsia="Arial" w:hAnsi="Arial"/>
                <w:sz w:val="20"/>
                <w:szCs w:val="20"/>
                <w:color w:val="auto"/>
              </w:rPr>
              <w:t>% of net sales</w:t>
            </w:r>
          </w:p>
        </w:tc>
        <w:tc>
          <w:tcPr>
            <w:tcW w:w="680" w:type="dxa"/>
            <w:vAlign w:val="bottom"/>
            <w:gridSpan w:val="2"/>
          </w:tcPr>
          <w:p>
            <w:pPr>
              <w:ind w:left="160"/>
              <w:spacing w:after="0"/>
              <w:rPr>
                <w:sz w:val="20"/>
                <w:szCs w:val="20"/>
                <w:color w:val="auto"/>
              </w:rPr>
            </w:pPr>
            <w:r>
              <w:rPr>
                <w:rFonts w:ascii="Arial" w:cs="Arial" w:eastAsia="Arial" w:hAnsi="Arial"/>
                <w:sz w:val="20"/>
                <w:szCs w:val="20"/>
                <w:color w:val="auto"/>
                <w:w w:val="88"/>
              </w:rPr>
              <w:t>11.4%</w:t>
            </w:r>
          </w:p>
        </w:tc>
        <w:tc>
          <w:tcPr>
            <w:tcW w:w="760" w:type="dxa"/>
            <w:vAlign w:val="bottom"/>
            <w:gridSpan w:val="2"/>
          </w:tcPr>
          <w:p>
            <w:pPr>
              <w:ind w:left="220"/>
              <w:spacing w:after="0"/>
              <w:rPr>
                <w:sz w:val="20"/>
                <w:szCs w:val="20"/>
                <w:color w:val="auto"/>
              </w:rPr>
            </w:pPr>
            <w:r>
              <w:rPr>
                <w:rFonts w:ascii="Arial" w:cs="Arial" w:eastAsia="Arial" w:hAnsi="Arial"/>
                <w:sz w:val="20"/>
                <w:szCs w:val="20"/>
                <w:color w:val="auto"/>
                <w:w w:val="91"/>
              </w:rPr>
              <w:t>13.1%</w:t>
            </w:r>
          </w:p>
        </w:tc>
        <w:tc>
          <w:tcPr>
            <w:tcW w:w="740" w:type="dxa"/>
            <w:vAlign w:val="bottom"/>
            <w:gridSpan w:val="2"/>
          </w:tcPr>
          <w:p>
            <w:pPr>
              <w:ind w:left="200"/>
              <w:spacing w:after="0"/>
              <w:rPr>
                <w:sz w:val="20"/>
                <w:szCs w:val="20"/>
                <w:color w:val="auto"/>
              </w:rPr>
            </w:pPr>
            <w:r>
              <w:rPr>
                <w:rFonts w:ascii="Arial" w:cs="Arial" w:eastAsia="Arial" w:hAnsi="Arial"/>
                <w:sz w:val="20"/>
                <w:szCs w:val="20"/>
                <w:color w:val="auto"/>
                <w:w w:val="91"/>
              </w:rPr>
              <w:t>14.6%</w:t>
            </w:r>
          </w:p>
        </w:tc>
        <w:tc>
          <w:tcPr>
            <w:tcW w:w="120" w:type="dxa"/>
            <w:vAlign w:val="bottom"/>
          </w:tcPr>
          <w:p>
            <w:pPr>
              <w:spacing w:after="0"/>
              <w:rPr>
                <w:sz w:val="22"/>
                <w:szCs w:val="22"/>
                <w:color w:val="auto"/>
              </w:rPr>
            </w:pPr>
          </w:p>
        </w:tc>
        <w:tc>
          <w:tcPr>
            <w:tcW w:w="6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11420"/>
          </w:cols>
          <w:pgMar w:left="240" w:top="120" w:right="239" w:bottom="59" w:gutter="0" w:footer="0" w:header="0"/>
        </w:sectPr>
      </w:pPr>
    </w:p>
    <w:bookmarkStart w:id="16" w:name="page17"/>
    <w:bookmarkEnd w:id="16"/>
    <w:p>
      <w:pPr>
        <w:spacing w:after="0" w:line="29" w:lineRule="exact"/>
        <w:rPr>
          <w:sz w:val="20"/>
          <w:szCs w:val="20"/>
          <w:color w:val="auto"/>
        </w:rPr>
      </w:pPr>
    </w:p>
    <w:p>
      <w:pPr>
        <w:ind w:right="40" w:firstLine="249"/>
        <w:spacing w:after="0" w:line="287" w:lineRule="auto"/>
        <w:rPr>
          <w:sz w:val="20"/>
          <w:szCs w:val="20"/>
          <w:color w:val="auto"/>
        </w:rPr>
      </w:pPr>
      <w:r>
        <w:rPr>
          <w:rFonts w:ascii="Arial" w:cs="Arial" w:eastAsia="Arial" w:hAnsi="Arial"/>
          <w:sz w:val="18"/>
          <w:szCs w:val="18"/>
          <w:color w:val="auto"/>
        </w:rPr>
        <w:t>Selling, general and administrative expenses decreased by $14.0 million to $41.2 million in 2009, compared with $55.2 million in 2008. The decrease was primarily related to reduced compensation costs (due in part, to reduced employee head count), cost reduction programs and to certain U.S. nanoFab costs reported in selling, general and administrative expenses (prior to its commencing production in Q2-08).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80" w:firstLine="249"/>
        <w:spacing w:after="0" w:line="265" w:lineRule="auto"/>
        <w:rPr>
          <w:sz w:val="20"/>
          <w:szCs w:val="20"/>
          <w:color w:val="auto"/>
        </w:rPr>
      </w:pPr>
      <w:r>
        <w:rPr>
          <w:rFonts w:ascii="Arial" w:cs="Arial" w:eastAsia="Arial" w:hAnsi="Arial"/>
          <w:sz w:val="19"/>
          <w:szCs w:val="19"/>
          <w:color w:val="auto"/>
        </w:rPr>
        <w:t>Selling, general and administrative expenses decreased by $6.3 million or 10.3% to $55.2 million in 2008, as compared to $61.5 million in 2007. The decrease was related to certain U.S. nanoFab costs reported in costs of sales since production commenced in the second quarter of fiscal 2008, and reduced compensation expense, due in part to reduced headcount and cost reduction programs.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ind w:left="40"/>
              <w:spacing w:after="0"/>
              <w:rPr>
                <w:sz w:val="20"/>
                <w:szCs w:val="20"/>
                <w:color w:val="auto"/>
              </w:rPr>
            </w:pPr>
            <w:r>
              <w:rPr>
                <w:rFonts w:ascii="Arial" w:cs="Arial" w:eastAsia="Arial" w:hAnsi="Arial"/>
                <w:sz w:val="20"/>
                <w:szCs w:val="20"/>
                <w:b w:val="1"/>
                <w:bCs w:val="1"/>
                <w:color w:val="auto"/>
                <w:w w:val="91"/>
              </w:rPr>
              <w:t>Percent Change</w:t>
            </w:r>
          </w:p>
        </w:tc>
      </w:tr>
      <w:tr>
        <w:trPr>
          <w:trHeight w:val="90"/>
        </w:trPr>
        <w:tc>
          <w:tcPr>
            <w:tcW w:w="1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304"/>
        </w:trPr>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0"/>
                <w:szCs w:val="20"/>
                <w:b w:val="1"/>
                <w:bCs w:val="1"/>
                <w:color w:val="auto"/>
                <w:w w:val="92"/>
              </w:rPr>
              <w:t>2008 to</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w w:val="86"/>
              </w:rPr>
              <w:t>2007 to</w:t>
            </w:r>
          </w:p>
        </w:tc>
      </w:tr>
      <w:tr>
        <w:trPr>
          <w:trHeight w:val="260"/>
        </w:trPr>
        <w:tc>
          <w:tcPr>
            <w:tcW w:w="128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20"/>
                <w:szCs w:val="20"/>
                <w:b w:val="1"/>
                <w:bCs w:val="1"/>
                <w:color w:val="auto"/>
              </w:rPr>
              <w:t>2009</w:t>
            </w:r>
          </w:p>
        </w:tc>
        <w:tc>
          <w:tcPr>
            <w:tcW w:w="7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2008</w:t>
            </w:r>
          </w:p>
        </w:tc>
        <w:tc>
          <w:tcPr>
            <w:tcW w:w="7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2007</w:t>
            </w:r>
          </w:p>
        </w:tc>
        <w:tc>
          <w:tcPr>
            <w:tcW w:w="120" w:type="dxa"/>
            <w:vAlign w:val="bottom"/>
          </w:tcPr>
          <w:p>
            <w:pPr>
              <w:spacing w:after="0"/>
              <w:rPr>
                <w:sz w:val="22"/>
                <w:szCs w:val="22"/>
                <w:color w:val="auto"/>
              </w:rPr>
            </w:pPr>
          </w:p>
        </w:tc>
        <w:tc>
          <w:tcPr>
            <w:tcW w:w="680" w:type="dxa"/>
            <w:vAlign w:val="bottom"/>
          </w:tcPr>
          <w:p>
            <w:pPr>
              <w:jc w:val="right"/>
              <w:ind w:right="40"/>
              <w:spacing w:after="0"/>
              <w:rPr>
                <w:sz w:val="20"/>
                <w:szCs w:val="20"/>
                <w:color w:val="auto"/>
              </w:rPr>
            </w:pPr>
            <w:r>
              <w:rPr>
                <w:rFonts w:ascii="Arial" w:cs="Arial" w:eastAsia="Arial" w:hAnsi="Arial"/>
                <w:sz w:val="20"/>
                <w:szCs w:val="20"/>
                <w:b w:val="1"/>
                <w:bCs w:val="1"/>
                <w:color w:val="auto"/>
              </w:rPr>
              <w:t>2009</w:t>
            </w: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2008</w:t>
            </w:r>
          </w:p>
        </w:tc>
      </w:tr>
      <w:tr>
        <w:trPr>
          <w:trHeight w:val="90"/>
        </w:trPr>
        <w:tc>
          <w:tcPr>
            <w:tcW w:w="128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534"/>
        </w:trPr>
        <w:tc>
          <w:tcPr>
            <w:tcW w:w="1280" w:type="dxa"/>
            <w:vAlign w:val="bottom"/>
          </w:tcPr>
          <w:p>
            <w:pPr>
              <w:spacing w:after="0"/>
              <w:rPr>
                <w:sz w:val="20"/>
                <w:szCs w:val="20"/>
                <w:color w:val="auto"/>
              </w:rPr>
            </w:pPr>
            <w:r>
              <w:rPr>
                <w:rFonts w:ascii="Arial" w:cs="Arial" w:eastAsia="Arial" w:hAnsi="Arial"/>
                <w:sz w:val="20"/>
                <w:szCs w:val="20"/>
                <w:color w:val="auto"/>
              </w:rPr>
              <w:t>R&amp;D expense</w:t>
            </w:r>
          </w:p>
        </w:tc>
        <w:tc>
          <w:tcPr>
            <w:tcW w:w="620" w:type="dxa"/>
            <w:vAlign w:val="bottom"/>
          </w:tcPr>
          <w:p>
            <w:pPr>
              <w:jc w:val="right"/>
              <w:ind w:right="60"/>
              <w:spacing w:after="0"/>
              <w:rPr>
                <w:sz w:val="20"/>
                <w:szCs w:val="20"/>
                <w:color w:val="auto"/>
              </w:rPr>
            </w:pPr>
            <w:r>
              <w:rPr>
                <w:rFonts w:ascii="Arial" w:cs="Arial" w:eastAsia="Arial" w:hAnsi="Arial"/>
                <w:sz w:val="20"/>
                <w:szCs w:val="20"/>
                <w:color w:val="auto"/>
                <w:w w:val="87"/>
              </w:rPr>
              <w:t>$15.4</w:t>
            </w:r>
          </w:p>
        </w:tc>
        <w:tc>
          <w:tcPr>
            <w:tcW w:w="760" w:type="dxa"/>
            <w:vAlign w:val="bottom"/>
            <w:gridSpan w:val="2"/>
          </w:tcPr>
          <w:p>
            <w:pPr>
              <w:jc w:val="right"/>
              <w:ind w:right="180"/>
              <w:spacing w:after="0"/>
              <w:rPr>
                <w:sz w:val="20"/>
                <w:szCs w:val="20"/>
                <w:color w:val="auto"/>
              </w:rPr>
            </w:pPr>
            <w:r>
              <w:rPr>
                <w:rFonts w:ascii="Arial" w:cs="Arial" w:eastAsia="Arial" w:hAnsi="Arial"/>
                <w:sz w:val="20"/>
                <w:szCs w:val="20"/>
                <w:color w:val="auto"/>
              </w:rPr>
              <w:t>$17.5</w:t>
            </w:r>
          </w:p>
        </w:tc>
        <w:tc>
          <w:tcPr>
            <w:tcW w:w="740" w:type="dxa"/>
            <w:vAlign w:val="bottom"/>
            <w:gridSpan w:val="2"/>
          </w:tcPr>
          <w:p>
            <w:pPr>
              <w:jc w:val="right"/>
              <w:ind w:right="180"/>
              <w:spacing w:after="0"/>
              <w:rPr>
                <w:sz w:val="20"/>
                <w:szCs w:val="20"/>
                <w:color w:val="auto"/>
              </w:rPr>
            </w:pPr>
            <w:r>
              <w:rPr>
                <w:rFonts w:ascii="Arial" w:cs="Arial" w:eastAsia="Arial" w:hAnsi="Arial"/>
                <w:sz w:val="20"/>
                <w:szCs w:val="20"/>
                <w:color w:val="auto"/>
              </w:rPr>
              <w:t>$17.3</w:t>
            </w:r>
          </w:p>
        </w:tc>
        <w:tc>
          <w:tcPr>
            <w:tcW w:w="1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20"/>
                <w:szCs w:val="20"/>
                <w:color w:val="auto"/>
                <w:w w:val="91"/>
              </w:rPr>
              <w:t>(11.7)%</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54"/>
        </w:trPr>
        <w:tc>
          <w:tcPr>
            <w:tcW w:w="1280" w:type="dxa"/>
            <w:vAlign w:val="bottom"/>
          </w:tcPr>
          <w:p>
            <w:pPr>
              <w:spacing w:after="0"/>
              <w:rPr>
                <w:sz w:val="20"/>
                <w:szCs w:val="20"/>
                <w:color w:val="auto"/>
              </w:rPr>
            </w:pPr>
            <w:r>
              <w:rPr>
                <w:rFonts w:ascii="Arial" w:cs="Arial" w:eastAsia="Arial" w:hAnsi="Arial"/>
                <w:sz w:val="20"/>
                <w:szCs w:val="20"/>
                <w:color w:val="auto"/>
              </w:rPr>
              <w:t>% of net sales</w:t>
            </w:r>
          </w:p>
        </w:tc>
        <w:tc>
          <w:tcPr>
            <w:tcW w:w="620" w:type="dxa"/>
            <w:vAlign w:val="bottom"/>
          </w:tcPr>
          <w:p>
            <w:pPr>
              <w:jc w:val="right"/>
              <w:spacing w:after="0"/>
              <w:rPr>
                <w:sz w:val="20"/>
                <w:szCs w:val="20"/>
                <w:color w:val="auto"/>
              </w:rPr>
            </w:pPr>
            <w:r>
              <w:rPr>
                <w:rFonts w:ascii="Arial" w:cs="Arial" w:eastAsia="Arial" w:hAnsi="Arial"/>
                <w:sz w:val="20"/>
                <w:szCs w:val="20"/>
                <w:color w:val="auto"/>
              </w:rPr>
              <w:t>4.3%</w:t>
            </w:r>
          </w:p>
        </w:tc>
        <w:tc>
          <w:tcPr>
            <w:tcW w:w="760" w:type="dxa"/>
            <w:vAlign w:val="bottom"/>
            <w:gridSpan w:val="2"/>
          </w:tcPr>
          <w:p>
            <w:pPr>
              <w:jc w:val="right"/>
              <w:ind w:right="40"/>
              <w:spacing w:after="0"/>
              <w:rPr>
                <w:sz w:val="20"/>
                <w:szCs w:val="20"/>
                <w:color w:val="auto"/>
              </w:rPr>
            </w:pPr>
            <w:r>
              <w:rPr>
                <w:rFonts w:ascii="Arial" w:cs="Arial" w:eastAsia="Arial" w:hAnsi="Arial"/>
                <w:sz w:val="20"/>
                <w:szCs w:val="20"/>
                <w:color w:val="auto"/>
              </w:rPr>
              <w:t>4.1%</w:t>
            </w: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2"/>
                <w:szCs w:val="22"/>
                <w:color w:val="auto"/>
              </w:rPr>
            </w:pPr>
          </w:p>
        </w:tc>
        <w:tc>
          <w:tcPr>
            <w:tcW w:w="6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394" w:lineRule="exact"/>
        <w:rPr>
          <w:sz w:val="20"/>
          <w:szCs w:val="20"/>
          <w:color w:val="auto"/>
        </w:rPr>
      </w:pPr>
    </w:p>
    <w:p>
      <w:pPr>
        <w:ind w:right="160" w:firstLine="249"/>
        <w:spacing w:after="0" w:line="242" w:lineRule="auto"/>
        <w:rPr>
          <w:sz w:val="20"/>
          <w:szCs w:val="20"/>
          <w:color w:val="auto"/>
        </w:rPr>
      </w:pPr>
      <w:r>
        <w:rPr>
          <w:rFonts w:ascii="Arial" w:cs="Arial" w:eastAsia="Arial" w:hAnsi="Arial"/>
          <w:sz w:val="20"/>
          <w:szCs w:val="20"/>
          <w:color w:val="auto"/>
        </w:rPr>
        <w:t>Research and development expenditures consist primarily of global development efforts of high-end process technologies for advanced sub-wavelength reticle solutions for IC and FPD technologies. Research and development expenses decreased in 2009 as compared to 2008 primarily due to reduced advanced development activity, principally in Asia, as a result of a downturn in the semiconductor industry in fiscal 2009.</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Consolidation, Restructuring and Related Charges</w:t>
      </w:r>
    </w:p>
    <w:p>
      <w:pPr>
        <w:spacing w:after="0" w:line="194" w:lineRule="exact"/>
        <w:rPr>
          <w:sz w:val="20"/>
          <w:szCs w:val="20"/>
          <w:color w:val="auto"/>
        </w:rPr>
      </w:pPr>
    </w:p>
    <w:p>
      <w:pPr>
        <w:ind w:right="140" w:firstLine="249"/>
        <w:spacing w:after="0"/>
        <w:rPr>
          <w:sz w:val="20"/>
          <w:szCs w:val="20"/>
          <w:color w:val="auto"/>
        </w:rPr>
      </w:pPr>
      <w:r>
        <w:rPr>
          <w:rFonts w:ascii="Arial" w:cs="Arial" w:eastAsia="Arial" w:hAnsi="Arial"/>
          <w:sz w:val="20"/>
          <w:szCs w:val="20"/>
          <w:color w:val="auto"/>
        </w:rPr>
        <w:t>In the third quarter of fiscal 2009, the Company ceased the manufacture of photomasks at its Shanghai, China facility. In connection with this restructuring, the Company recorded a total restructure charge of $10.2 million in fiscal 2009, primarily comprised of impairments of the facility and manufacturing equipment. Approximately 75 employees are expected to be affected by this restructuring. The Company expects the total after tax cost of this restructure to range between $11 million to $13 million through its completion in fiscal 2010. The Company is currently in negotiations to sell its Shanghai, China facility.</w:t>
      </w:r>
    </w:p>
    <w:p>
      <w:pPr>
        <w:spacing w:after="0" w:line="171" w:lineRule="exact"/>
        <w:rPr>
          <w:sz w:val="20"/>
          <w:szCs w:val="20"/>
          <w:color w:val="auto"/>
        </w:rPr>
      </w:pPr>
    </w:p>
    <w:p>
      <w:pPr>
        <w:ind w:right="20" w:firstLine="249"/>
        <w:spacing w:after="0"/>
        <w:rPr>
          <w:sz w:val="20"/>
          <w:szCs w:val="20"/>
          <w:color w:val="auto"/>
        </w:rPr>
      </w:pPr>
      <w:r>
        <w:rPr>
          <w:rFonts w:ascii="Arial" w:cs="Arial" w:eastAsia="Arial" w:hAnsi="Arial"/>
          <w:sz w:val="20"/>
          <w:szCs w:val="20"/>
          <w:color w:val="auto"/>
        </w:rPr>
        <w:t>In the first quarter of fiscal 2009, the Company ceased the manufacture of photomasks at its Manchester, U.K. facility. This initiative began with the recording of a $0.5 million charge for the impairment of certain long-lived assets at the facility in the fourth quarter of fiscal 2008, and includes additional charges of $3.3 million incurred in fiscal 2009, primarily for employee termination costs and asset write-downs. Approximately 85 employees were affected by this plan. The total after tax cost of this restructure, which was completed in fiscal 2009, was $3.0 million.</w:t>
      </w:r>
    </w:p>
    <w:p>
      <w:pPr>
        <w:spacing w:after="0" w:line="171" w:lineRule="exact"/>
        <w:rPr>
          <w:sz w:val="20"/>
          <w:szCs w:val="20"/>
          <w:color w:val="auto"/>
        </w:rPr>
      </w:pPr>
    </w:p>
    <w:p>
      <w:pPr>
        <w:ind w:firstLine="246"/>
        <w:spacing w:after="0" w:line="242" w:lineRule="auto"/>
        <w:rPr>
          <w:sz w:val="20"/>
          <w:szCs w:val="20"/>
          <w:color w:val="auto"/>
        </w:rPr>
      </w:pPr>
      <w:r>
        <w:rPr>
          <w:rFonts w:ascii="Arial" w:cs="Arial" w:eastAsia="Arial" w:hAnsi="Arial"/>
          <w:sz w:val="20"/>
          <w:szCs w:val="20"/>
          <w:color w:val="auto"/>
        </w:rPr>
        <w:t>The Company continues to assess its global manufacturing strategy as its sales volume is dependent upon customer requirements which have become more concentrated in Asia and to a lesser extent in the U.S. This ongoing assessment could result, in the future, in facilities closures, asset redeployment, workforce reductions, and the addition of increased manufacturing facilities, all of which would be predicated by market conditions and customer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194" w:lineRule="exact"/>
        <w:rPr>
          <w:sz w:val="20"/>
          <w:szCs w:val="20"/>
          <w:color w:val="auto"/>
        </w:rPr>
      </w:pPr>
    </w:p>
    <w:p>
      <w:pPr>
        <w:ind w:right="660" w:firstLine="249"/>
        <w:spacing w:after="0" w:line="314" w:lineRule="auto"/>
        <w:rPr>
          <w:sz w:val="20"/>
          <w:szCs w:val="20"/>
          <w:color w:val="auto"/>
        </w:rPr>
      </w:pPr>
      <w:r>
        <w:rPr>
          <w:rFonts w:ascii="Arial" w:cs="Arial" w:eastAsia="Arial" w:hAnsi="Arial"/>
          <w:sz w:val="18"/>
          <w:szCs w:val="18"/>
          <w:color w:val="auto"/>
        </w:rPr>
        <w:t>In the second quarter of fiscal 2009, the Company recorded an impairment charge of $1.5 million to reduce the carrying value of its Manchester, U.K. facility to its estimated fair value, which was determined by management using a market approach.</w:t>
      </w:r>
    </w:p>
    <w:p>
      <w:pPr>
        <w:spacing w:after="0" w:line="106" w:lineRule="exact"/>
        <w:rPr>
          <w:sz w:val="20"/>
          <w:szCs w:val="20"/>
          <w:color w:val="auto"/>
        </w:rPr>
      </w:pPr>
    </w:p>
    <w:p>
      <w:pPr>
        <w:ind w:right="120" w:firstLine="238"/>
        <w:spacing w:after="0" w:line="242" w:lineRule="auto"/>
        <w:rPr>
          <w:sz w:val="20"/>
          <w:szCs w:val="20"/>
          <w:color w:val="auto"/>
        </w:rPr>
      </w:pPr>
      <w:r>
        <w:rPr>
          <w:rFonts w:ascii="Arial" w:cs="Arial" w:eastAsia="Arial" w:hAnsi="Arial"/>
          <w:sz w:val="20"/>
          <w:szCs w:val="20"/>
          <w:color w:val="auto"/>
        </w:rPr>
        <w:t>As a result of the Company's projected undiscounted future cash flows related to certain of its asset groups (located in Europe and Asia) being less than the carrying value of those assets, the Company recorded an impairment charge of $66.9 million in the third quarter of fiscal 2008. The carrying value of the assets determined to be impaired were reduced to their fair values, determined based upon market conditions, the income approach which utilized cash flow projections,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Goodwill</w:t>
      </w:r>
    </w:p>
    <w:p>
      <w:pPr>
        <w:spacing w:after="0" w:line="194" w:lineRule="exact"/>
        <w:rPr>
          <w:sz w:val="20"/>
          <w:szCs w:val="20"/>
          <w:color w:val="auto"/>
        </w:rPr>
      </w:pPr>
    </w:p>
    <w:p>
      <w:pPr>
        <w:ind w:right="80" w:firstLine="246"/>
        <w:spacing w:after="0" w:line="273" w:lineRule="auto"/>
        <w:rPr>
          <w:sz w:val="20"/>
          <w:szCs w:val="20"/>
          <w:color w:val="auto"/>
        </w:rPr>
      </w:pPr>
      <w:r>
        <w:rPr>
          <w:rFonts w:ascii="Arial" w:cs="Arial" w:eastAsia="Arial" w:hAnsi="Arial"/>
          <w:sz w:val="18"/>
          <w:szCs w:val="18"/>
          <w:color w:val="auto"/>
        </w:rPr>
        <w:t>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Due to the decrease in its market capitalization and quarterly net losses incurred through the third quarter of fiscal 2008, management tested the Company's goodwill for impairment. The results of the test indicated that there would be no remaining implied value attributable to the Company's goodwill and, accordingly, the Company wrote off all $138.5 million of its goodwill in fiscal 2008.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68" w:orient="portrait"/>
          <w:cols w:equalWidth="0" w:num="1">
            <w:col w:w="11400"/>
          </w:cols>
          <w:pgMar w:left="240" w:top="34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on Sales of Facilities</w:t>
      </w:r>
    </w:p>
    <w:p>
      <w:pPr>
        <w:sectPr>
          <w:pgSz w:w="11900" w:h="16868" w:orient="portrait"/>
          <w:cols w:equalWidth="0" w:num="1">
            <w:col w:w="11400"/>
          </w:cols>
          <w:pgMar w:left="240" w:top="345" w:right="259" w:bottom="0" w:gutter="0" w:footer="0" w:header="0"/>
          <w:type w:val="continuous"/>
        </w:sectPr>
      </w:pPr>
    </w:p>
    <w:bookmarkStart w:id="17" w:name="page18"/>
    <w:bookmarkEnd w:id="17"/>
    <w:p>
      <w:pPr>
        <w:jc w:val="both"/>
        <w:ind w:firstLine="249"/>
        <w:spacing w:after="0" w:line="246" w:lineRule="auto"/>
        <w:rPr>
          <w:sz w:val="20"/>
          <w:szCs w:val="20"/>
          <w:color w:val="auto"/>
        </w:rPr>
      </w:pPr>
      <w:r>
        <w:rPr>
          <w:rFonts w:ascii="Arial" w:cs="Arial" w:eastAsia="Arial" w:hAnsi="Arial"/>
          <w:sz w:val="20"/>
          <w:szCs w:val="20"/>
          <w:color w:val="auto"/>
        </w:rPr>
        <w:t>In September 2009, the Company sold its Manchester, U.K. manufacturing facility for $4.3 million and realized a gain of $2.0 million ($1.5 million net of tax). In January 2007, the Company sold its Austin, Texas manufacturing and research and development facility for $5.0 million and realized a gain of $2.3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40" w:type="dxa"/>
            <w:vAlign w:val="bottom"/>
          </w:tcPr>
          <w:p>
            <w:pPr>
              <w:spacing w:after="0"/>
              <w:rPr>
                <w:sz w:val="20"/>
                <w:szCs w:val="20"/>
                <w:color w:val="auto"/>
              </w:rPr>
            </w:pPr>
            <w:r>
              <w:rPr>
                <w:rFonts w:ascii="Arial" w:cs="Arial" w:eastAsia="Arial" w:hAnsi="Arial"/>
                <w:sz w:val="20"/>
                <w:szCs w:val="20"/>
                <w:b w:val="1"/>
                <w:bCs w:val="1"/>
                <w:i w:val="1"/>
                <w:iCs w:val="1"/>
                <w:color w:val="auto"/>
              </w:rPr>
              <w:t>Other Income (Expense)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424"/>
        </w:trPr>
        <w:tc>
          <w:tcPr>
            <w:tcW w:w="3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auto"/>
              </w:rPr>
              <w:t>2009</w:t>
            </w:r>
          </w:p>
        </w:tc>
        <w:tc>
          <w:tcPr>
            <w:tcW w:w="740" w:type="dxa"/>
            <w:vAlign w:val="bottom"/>
            <w:gridSpan w:val="3"/>
          </w:tcPr>
          <w:p>
            <w:pPr>
              <w:jc w:val="right"/>
              <w:ind w:right="120"/>
              <w:spacing w:after="0"/>
              <w:rPr>
                <w:sz w:val="20"/>
                <w:szCs w:val="20"/>
                <w:color w:val="auto"/>
              </w:rPr>
            </w:pPr>
            <w:r>
              <w:rPr>
                <w:rFonts w:ascii="Arial" w:cs="Arial" w:eastAsia="Arial" w:hAnsi="Arial"/>
                <w:sz w:val="20"/>
                <w:szCs w:val="20"/>
                <w:b w:val="1"/>
                <w:bCs w:val="1"/>
                <w:color w:val="auto"/>
              </w:rPr>
              <w:t>2008</w:t>
            </w:r>
          </w:p>
        </w:tc>
        <w:tc>
          <w:tcPr>
            <w:tcW w:w="6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2007</w:t>
            </w:r>
          </w:p>
        </w:tc>
      </w:tr>
      <w:tr>
        <w:trPr>
          <w:trHeight w:val="90"/>
        </w:trPr>
        <w:tc>
          <w:tcPr>
            <w:tcW w:w="364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r>
      <w:tr>
        <w:trPr>
          <w:trHeight w:val="534"/>
        </w:trPr>
        <w:tc>
          <w:tcPr>
            <w:tcW w:w="3640" w:type="dxa"/>
            <w:vAlign w:val="bottom"/>
          </w:tcPr>
          <w:p>
            <w:pPr>
              <w:spacing w:after="0"/>
              <w:rPr>
                <w:sz w:val="20"/>
                <w:szCs w:val="20"/>
                <w:color w:val="auto"/>
              </w:rPr>
            </w:pPr>
            <w:r>
              <w:rPr>
                <w:rFonts w:ascii="Arial" w:cs="Arial" w:eastAsia="Arial" w:hAnsi="Arial"/>
                <w:sz w:val="20"/>
                <w:szCs w:val="20"/>
                <w:color w:val="auto"/>
              </w:rPr>
              <w:t>Interest expense</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$(22.4)</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$(11.9)</w:t>
            </w:r>
          </w:p>
        </w:tc>
        <w:tc>
          <w:tcPr>
            <w:tcW w:w="640" w:type="dxa"/>
            <w:vAlign w:val="bottom"/>
            <w:gridSpan w:val="2"/>
          </w:tcPr>
          <w:p>
            <w:pPr>
              <w:jc w:val="right"/>
              <w:ind w:right="20"/>
              <w:spacing w:after="0"/>
              <w:rPr>
                <w:sz w:val="20"/>
                <w:szCs w:val="20"/>
                <w:color w:val="auto"/>
              </w:rPr>
            </w:pPr>
            <w:r>
              <w:rPr>
                <w:rFonts w:ascii="Arial" w:cs="Arial" w:eastAsia="Arial" w:hAnsi="Arial"/>
                <w:sz w:val="20"/>
                <w:szCs w:val="20"/>
                <w:color w:val="auto"/>
              </w:rPr>
              <w:t>$(5.9)</w:t>
            </w:r>
          </w:p>
        </w:tc>
      </w:tr>
      <w:tr>
        <w:trPr>
          <w:trHeight w:val="254"/>
        </w:trPr>
        <w:tc>
          <w:tcPr>
            <w:tcW w:w="3640" w:type="dxa"/>
            <w:vAlign w:val="bottom"/>
          </w:tcPr>
          <w:p>
            <w:pPr>
              <w:spacing w:after="0"/>
              <w:rPr>
                <w:sz w:val="20"/>
                <w:szCs w:val="20"/>
                <w:color w:val="auto"/>
              </w:rPr>
            </w:pPr>
            <w:r>
              <w:rPr>
                <w:rFonts w:ascii="Arial" w:cs="Arial" w:eastAsia="Arial" w:hAnsi="Arial"/>
                <w:sz w:val="20"/>
                <w:szCs w:val="20"/>
                <w:color w:val="auto"/>
                <w:w w:val="92"/>
              </w:rPr>
              <w:t>Investment and other income (expense), net</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740" w:type="dxa"/>
            <w:vAlign w:val="bottom"/>
            <w:gridSpan w:val="3"/>
          </w:tcPr>
          <w:p>
            <w:pPr>
              <w:jc w:val="right"/>
              <w:ind w:right="60"/>
              <w:spacing w:after="0"/>
              <w:rPr>
                <w:sz w:val="20"/>
                <w:szCs w:val="20"/>
                <w:color w:val="auto"/>
              </w:rPr>
            </w:pPr>
            <w:r>
              <w:rPr>
                <w:rFonts w:ascii="Arial" w:cs="Arial" w:eastAsia="Arial" w:hAnsi="Arial"/>
                <w:sz w:val="20"/>
                <w:szCs w:val="20"/>
                <w:color w:val="auto"/>
              </w:rPr>
              <w:t>5.6</w:t>
            </w:r>
          </w:p>
        </w:tc>
        <w:tc>
          <w:tcPr>
            <w:tcW w:w="640" w:type="dxa"/>
            <w:vAlign w:val="bottom"/>
            <w:gridSpan w:val="2"/>
          </w:tcPr>
          <w:p>
            <w:pPr>
              <w:jc w:val="right"/>
              <w:ind w:right="80"/>
              <w:spacing w:after="0"/>
              <w:rPr>
                <w:sz w:val="20"/>
                <w:szCs w:val="20"/>
                <w:color w:val="auto"/>
              </w:rPr>
            </w:pPr>
            <w:r>
              <w:rPr>
                <w:rFonts w:ascii="Arial" w:cs="Arial" w:eastAsia="Arial" w:hAnsi="Arial"/>
                <w:sz w:val="20"/>
                <w:szCs w:val="20"/>
                <w:color w:val="auto"/>
              </w:rPr>
              <w:t>6.8</w:t>
            </w:r>
          </w:p>
        </w:tc>
      </w:tr>
      <w:tr>
        <w:trPr>
          <w:trHeight w:val="90"/>
        </w:trPr>
        <w:tc>
          <w:tcPr>
            <w:tcW w:w="364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bottom w:val="single" w:sz="8" w:color="336699"/>
            </w:tcBorders>
          </w:tcPr>
          <w:p>
            <w:pPr>
              <w:spacing w:after="0"/>
              <w:rPr>
                <w:sz w:val="7"/>
                <w:szCs w:val="7"/>
                <w:color w:val="auto"/>
              </w:rPr>
            </w:pPr>
          </w:p>
        </w:tc>
      </w:tr>
      <w:tr>
        <w:trPr>
          <w:trHeight w:val="339"/>
        </w:trPr>
        <w:tc>
          <w:tcPr>
            <w:tcW w:w="3640" w:type="dxa"/>
            <w:vAlign w:val="bottom"/>
          </w:tcPr>
          <w:p>
            <w:pPr>
              <w:spacing w:after="0"/>
              <w:rPr>
                <w:sz w:val="20"/>
                <w:szCs w:val="20"/>
                <w:color w:val="auto"/>
              </w:rPr>
            </w:pPr>
            <w:r>
              <w:rPr>
                <w:rFonts w:ascii="Arial" w:cs="Arial" w:eastAsia="Arial" w:hAnsi="Arial"/>
                <w:sz w:val="20"/>
                <w:szCs w:val="20"/>
                <w:color w:val="auto"/>
              </w:rPr>
              <w:t>Total other income (expense)</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$(24.6)</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 (6.3)</w:t>
            </w:r>
          </w:p>
        </w:tc>
        <w:tc>
          <w:tcPr>
            <w:tcW w:w="640" w:type="dxa"/>
            <w:vAlign w:val="bottom"/>
            <w:gridSpan w:val="2"/>
          </w:tcPr>
          <w:p>
            <w:pPr>
              <w:jc w:val="right"/>
              <w:ind w:right="80"/>
              <w:spacing w:after="0"/>
              <w:rPr>
                <w:sz w:val="20"/>
                <w:szCs w:val="20"/>
                <w:color w:val="auto"/>
              </w:rPr>
            </w:pPr>
            <w:r>
              <w:rPr>
                <w:rFonts w:ascii="Arial" w:cs="Arial" w:eastAsia="Arial" w:hAnsi="Arial"/>
                <w:sz w:val="20"/>
                <w:szCs w:val="20"/>
                <w:color w:val="auto"/>
              </w:rPr>
              <w:t>$ 0.9</w:t>
            </w:r>
          </w:p>
        </w:tc>
      </w:tr>
      <w:tr>
        <w:trPr>
          <w:trHeight w:val="111"/>
        </w:trPr>
        <w:tc>
          <w:tcPr>
            <w:tcW w:w="3640" w:type="dxa"/>
            <w:vAlign w:val="bottom"/>
          </w:tcPr>
          <w:p>
            <w:pPr>
              <w:spacing w:after="0"/>
              <w:rPr>
                <w:sz w:val="9"/>
                <w:szCs w:val="9"/>
                <w:color w:val="auto"/>
              </w:rPr>
            </w:pPr>
          </w:p>
        </w:tc>
        <w:tc>
          <w:tcPr>
            <w:tcW w:w="60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-27940</wp:posOffset>
            </wp:positionV>
            <wp:extent cx="12700"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-27940</wp:posOffset>
            </wp:positionV>
            <wp:extent cx="1270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-27940</wp:posOffset>
            </wp:positionV>
            <wp:extent cx="1270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-27940</wp:posOffset>
            </wp:positionV>
            <wp:extent cx="12700" cy="28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-27940</wp:posOffset>
            </wp:positionV>
            <wp:extent cx="1270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3242310</wp:posOffset>
            </wp:positionH>
            <wp:positionV relativeFrom="paragraph">
              <wp:posOffset>-27940</wp:posOffset>
            </wp:positionV>
            <wp:extent cx="12700"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20" w:firstLine="249"/>
        <w:spacing w:after="0" w:line="256" w:lineRule="auto"/>
        <w:rPr>
          <w:sz w:val="20"/>
          <w:szCs w:val="20"/>
          <w:color w:val="auto"/>
        </w:rPr>
      </w:pPr>
      <w:r>
        <w:rPr>
          <w:rFonts w:ascii="Arial" w:cs="Arial" w:eastAsia="Arial" w:hAnsi="Arial"/>
          <w:sz w:val="19"/>
          <w:szCs w:val="19"/>
          <w:color w:val="auto"/>
        </w:rPr>
        <w:t>Interest expense increased in 2009 as compared to 2008 due to increased interest rates associated with increased borrowings on the Company's revolving credit facility coupled with higher interest rates and fees associated with bank amendments in fiscal 2009. The outstanding balance of the Company's variable rate debt was reduced substantially during the quarter ended November 1, 2009 with net proceeds from its common stock and convertible debt offerings. Investment and other income (expense), net decreased in 2009 as compared to 2008, primarily due to less favorable foreign currency transaction results.</w:t>
      </w:r>
    </w:p>
    <w:p>
      <w:pPr>
        <w:spacing w:after="0" w:line="156" w:lineRule="exact"/>
        <w:rPr>
          <w:sz w:val="20"/>
          <w:szCs w:val="20"/>
          <w:color w:val="auto"/>
        </w:rPr>
      </w:pPr>
    </w:p>
    <w:p>
      <w:pPr>
        <w:ind w:right="140" w:firstLine="249"/>
        <w:spacing w:after="0" w:line="265" w:lineRule="auto"/>
        <w:rPr>
          <w:sz w:val="20"/>
          <w:szCs w:val="20"/>
          <w:color w:val="auto"/>
        </w:rPr>
      </w:pPr>
      <w:r>
        <w:rPr>
          <w:rFonts w:ascii="Arial" w:cs="Arial" w:eastAsia="Arial" w:hAnsi="Arial"/>
          <w:sz w:val="19"/>
          <w:szCs w:val="19"/>
          <w:color w:val="auto"/>
        </w:rPr>
        <w:t>Interest expense increased in 2008 as compared to 2007, primarily as a result of increased interest rates and increased outstanding debt balances. Investment and other income, net decreased in 2008 as compared to 2007, primarily due to reduced interest income associated with lower cash and investment balances, which were offset by increased foreign currency gains.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 (Provision)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0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b w:val="1"/>
                <w:bCs w:val="1"/>
                <w:color w:val="auto"/>
              </w:rPr>
              <w:t>2009</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2008</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2007</w:t>
            </w:r>
          </w:p>
        </w:tc>
      </w:tr>
      <w:tr>
        <w:trPr>
          <w:trHeight w:val="90"/>
        </w:trPr>
        <w:tc>
          <w:tcPr>
            <w:tcW w:w="26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563"/>
        </w:trPr>
        <w:tc>
          <w:tcPr>
            <w:tcW w:w="2600" w:type="dxa"/>
            <w:vAlign w:val="bottom"/>
          </w:tcPr>
          <w:p>
            <w:pPr>
              <w:spacing w:after="0"/>
              <w:rPr>
                <w:sz w:val="20"/>
                <w:szCs w:val="20"/>
                <w:color w:val="auto"/>
              </w:rPr>
            </w:pPr>
            <w:r>
              <w:rPr>
                <w:rFonts w:ascii="Arial" w:cs="Arial" w:eastAsia="Arial" w:hAnsi="Arial"/>
                <w:sz w:val="20"/>
                <w:szCs w:val="20"/>
                <w:color w:val="auto"/>
                <w:w w:val="98"/>
              </w:rPr>
              <w:t>Income tax (provision) benefit</w:t>
            </w:r>
          </w:p>
        </w:tc>
        <w:tc>
          <w:tcPr>
            <w:tcW w:w="660" w:type="dxa"/>
            <w:vAlign w:val="bottom"/>
          </w:tcPr>
          <w:p>
            <w:pPr>
              <w:jc w:val="right"/>
              <w:ind w:right="60"/>
              <w:spacing w:after="0"/>
              <w:rPr>
                <w:sz w:val="20"/>
                <w:szCs w:val="20"/>
                <w:color w:val="auto"/>
              </w:rPr>
            </w:pPr>
            <w:r>
              <w:rPr>
                <w:rFonts w:ascii="Arial" w:cs="Arial" w:eastAsia="Arial" w:hAnsi="Arial"/>
                <w:sz w:val="20"/>
                <w:szCs w:val="20"/>
                <w:color w:val="auto"/>
                <w:w w:val="91"/>
              </w:rPr>
              <w:t>$(4.3)</w:t>
            </w:r>
          </w:p>
        </w:tc>
        <w:tc>
          <w:tcPr>
            <w:tcW w:w="660" w:type="dxa"/>
            <w:vAlign w:val="bottom"/>
            <w:gridSpan w:val="2"/>
          </w:tcPr>
          <w:p>
            <w:pPr>
              <w:jc w:val="right"/>
              <w:ind w:right="180"/>
              <w:spacing w:after="0"/>
              <w:rPr>
                <w:sz w:val="20"/>
                <w:szCs w:val="20"/>
                <w:color w:val="auto"/>
              </w:rPr>
            </w:pPr>
            <w:r>
              <w:rPr>
                <w:rFonts w:ascii="Arial" w:cs="Arial" w:eastAsia="Arial" w:hAnsi="Arial"/>
                <w:sz w:val="20"/>
                <w:szCs w:val="20"/>
                <w:color w:val="auto"/>
              </w:rPr>
              <w:t>$2.8</w:t>
            </w:r>
          </w:p>
        </w:tc>
        <w:tc>
          <w:tcPr>
            <w:tcW w:w="660" w:type="dxa"/>
            <w:vAlign w:val="bottom"/>
            <w:gridSpan w:val="2"/>
          </w:tcPr>
          <w:p>
            <w:pPr>
              <w:ind w:left="140"/>
              <w:spacing w:after="0"/>
              <w:rPr>
                <w:sz w:val="20"/>
                <w:szCs w:val="20"/>
                <w:color w:val="auto"/>
              </w:rPr>
            </w:pPr>
            <w:r>
              <w:rPr>
                <w:rFonts w:ascii="Arial" w:cs="Arial" w:eastAsia="Arial" w:hAnsi="Arial"/>
                <w:sz w:val="20"/>
                <w:szCs w:val="20"/>
                <w:color w:val="auto"/>
              </w:rPr>
              <w:t>$3.2</w:t>
            </w:r>
          </w:p>
        </w:tc>
      </w:tr>
      <w:tr>
        <w:trPr>
          <w:trHeight w:val="449"/>
        </w:trPr>
        <w:tc>
          <w:tcPr>
            <w:tcW w:w="2600" w:type="dxa"/>
            <w:vAlign w:val="bottom"/>
          </w:tcPr>
          <w:p>
            <w:pPr>
              <w:spacing w:after="0"/>
              <w:rPr>
                <w:sz w:val="20"/>
                <w:szCs w:val="20"/>
                <w:color w:val="auto"/>
              </w:rPr>
            </w:pPr>
            <w:r>
              <w:rPr>
                <w:rFonts w:ascii="Arial" w:cs="Arial" w:eastAsia="Arial" w:hAnsi="Arial"/>
                <w:sz w:val="20"/>
                <w:szCs w:val="20"/>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20"/>
                <w:szCs w:val="20"/>
                <w:color w:val="auto"/>
                <w:w w:val="88"/>
              </w:rPr>
              <w:t>(11.7)%</w:t>
            </w:r>
          </w:p>
        </w:tc>
        <w:tc>
          <w:tcPr>
            <w:tcW w:w="660" w:type="dxa"/>
            <w:vAlign w:val="bottom"/>
            <w:gridSpan w:val="2"/>
          </w:tcPr>
          <w:p>
            <w:pPr>
              <w:jc w:val="right"/>
              <w:ind w:right="40"/>
              <w:spacing w:after="0"/>
              <w:rPr>
                <w:sz w:val="20"/>
                <w:szCs w:val="20"/>
                <w:color w:val="auto"/>
              </w:rPr>
            </w:pPr>
            <w:r>
              <w:rPr>
                <w:rFonts w:ascii="Arial" w:cs="Arial" w:eastAsia="Arial" w:hAnsi="Arial"/>
                <w:sz w:val="20"/>
                <w:szCs w:val="20"/>
                <w:color w:val="auto"/>
              </w:rPr>
              <w:t>1.3%</w:t>
            </w:r>
          </w:p>
        </w:tc>
        <w:tc>
          <w:tcPr>
            <w:tcW w:w="660" w:type="dxa"/>
            <w:vAlign w:val="bottom"/>
            <w:gridSpan w:val="2"/>
          </w:tcPr>
          <w:p>
            <w:pPr>
              <w:ind w:left="120"/>
              <w:spacing w:after="0"/>
              <w:rPr>
                <w:sz w:val="20"/>
                <w:szCs w:val="20"/>
                <w:color w:val="auto"/>
              </w:rPr>
            </w:pPr>
            <w:r>
              <w:rPr>
                <w:rFonts w:ascii="Arial" w:cs="Arial" w:eastAsia="Arial" w:hAnsi="Arial"/>
                <w:sz w:val="20"/>
                <w:szCs w:val="20"/>
                <w:color w:val="auto"/>
                <w:w w:val="91"/>
              </w:rPr>
              <w:t>13.3%</w:t>
            </w:r>
          </w:p>
        </w:tc>
      </w:tr>
    </w:tbl>
    <w:p>
      <w:pPr>
        <w:spacing w:after="0" w:line="394" w:lineRule="exact"/>
        <w:rPr>
          <w:sz w:val="20"/>
          <w:szCs w:val="20"/>
          <w:color w:val="auto"/>
        </w:rPr>
      </w:pPr>
    </w:p>
    <w:p>
      <w:pPr>
        <w:ind w:right="400" w:firstLine="246"/>
        <w:spacing w:after="0" w:line="242" w:lineRule="auto"/>
        <w:rPr>
          <w:sz w:val="20"/>
          <w:szCs w:val="20"/>
          <w:color w:val="auto"/>
        </w:rPr>
      </w:pPr>
      <w:r>
        <w:rPr>
          <w:rFonts w:ascii="Arial" w:cs="Arial" w:eastAsia="Arial" w:hAnsi="Arial"/>
          <w:sz w:val="20"/>
          <w:szCs w:val="20"/>
          <w:color w:val="auto"/>
        </w:rPr>
        <w:t>The income tax provision for the fiscal year ended November 1, 2009 was $4.3 million or 11.7% of the loss before income taxes. The income tax (provision) benefit differs from the amount that would result from applying the federal statutory income tax rate of 35% to the Company's loss before income taxes primarily due to the Company's inability to realize a full income tax benefit in jurisdictions where valuation allowances were recorded.</w:t>
      </w:r>
    </w:p>
    <w:p>
      <w:pPr>
        <w:spacing w:after="0" w:line="169" w:lineRule="exact"/>
        <w:rPr>
          <w:sz w:val="20"/>
          <w:szCs w:val="20"/>
          <w:color w:val="auto"/>
        </w:rPr>
      </w:pPr>
    </w:p>
    <w:p>
      <w:pPr>
        <w:jc w:val="both"/>
        <w:ind w:right="80" w:firstLine="249"/>
        <w:spacing w:after="0" w:line="265" w:lineRule="auto"/>
        <w:rPr>
          <w:sz w:val="20"/>
          <w:szCs w:val="20"/>
          <w:color w:val="auto"/>
        </w:rPr>
      </w:pPr>
      <w:r>
        <w:rPr>
          <w:rFonts w:ascii="Arial" w:cs="Arial" w:eastAsia="Arial" w:hAnsi="Arial"/>
          <w:sz w:val="19"/>
          <w:szCs w:val="19"/>
          <w:color w:val="auto"/>
        </w:rPr>
        <w:t>In Korea, various investment tax credits have been utilized to reduce the Company's effective income tax rate. The Company's tax returns are subject to periodic examination by the tax authorities in the various jurisdictions in which it operates. The Company regularly assesses the potential outcomes of ongoing and future examinations and has provided accruals for tax contingencies.</w:t>
      </w:r>
    </w:p>
    <w:p>
      <w:pPr>
        <w:spacing w:after="0" w:line="149" w:lineRule="exact"/>
        <w:rPr>
          <w:sz w:val="20"/>
          <w:szCs w:val="20"/>
          <w:color w:val="auto"/>
        </w:rPr>
      </w:pPr>
    </w:p>
    <w:p>
      <w:pPr>
        <w:ind w:right="660" w:firstLine="246"/>
        <w:spacing w:after="0" w:line="314" w:lineRule="auto"/>
        <w:rPr>
          <w:sz w:val="20"/>
          <w:szCs w:val="20"/>
          <w:color w:val="auto"/>
        </w:rPr>
      </w:pPr>
      <w:r>
        <w:rPr>
          <w:rFonts w:ascii="Arial" w:cs="Arial" w:eastAsia="Arial" w:hAnsi="Arial"/>
          <w:sz w:val="18"/>
          <w:szCs w:val="18"/>
          <w:color w:val="auto"/>
        </w:rPr>
        <w:t>The Company evaluates the recoverability of deferred tax assets from future taxable income and establishes valuation allowances if recovery is deemed not likely. The valuation allowance increased $6.6 million and $8.8 million in fiscal 2009 and 2008, respectively.</w:t>
      </w:r>
    </w:p>
    <w:p>
      <w:pPr>
        <w:spacing w:after="0" w:line="106" w:lineRule="exact"/>
        <w:rPr>
          <w:sz w:val="20"/>
          <w:szCs w:val="20"/>
          <w:color w:val="auto"/>
        </w:rPr>
      </w:pPr>
    </w:p>
    <w:p>
      <w:pPr>
        <w:ind w:right="40" w:firstLine="249"/>
        <w:spacing w:after="0" w:line="239" w:lineRule="auto"/>
        <w:rPr>
          <w:sz w:val="20"/>
          <w:szCs w:val="20"/>
          <w:color w:val="auto"/>
        </w:rPr>
      </w:pPr>
      <w:r>
        <w:rPr>
          <w:rFonts w:ascii="Arial" w:cs="Arial" w:eastAsia="Arial" w:hAnsi="Arial"/>
          <w:sz w:val="20"/>
          <w:szCs w:val="20"/>
          <w:color w:val="auto"/>
        </w:rPr>
        <w:t>PKLT, the Company's FPD manufacturing facility in Taiwan, is accorded a tax holiday which expires in December 2012. In addition, the Company has been accorded a tax holiday in China which is expected to expire in 2011. The availability of these tax holidays did not have a significant impact on the Company's decision to increase its Asian presence which was in response to fundamental changes taking place in the semiconductor industry that the Company serves. These tax holidays had no dollar or per share effect on the 2009, 2008 or 2007 fiscal years. As semiconductor fabrication has migrated to Asia, in large part from the United States, the Company has followed, in order to avoid a severe loss of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Minority Interest in Consolidated Subsidiaries</w:t>
      </w:r>
    </w:p>
    <w:p>
      <w:pPr>
        <w:spacing w:after="0" w:line="200" w:lineRule="exact"/>
        <w:rPr>
          <w:sz w:val="20"/>
          <w:szCs w:val="20"/>
          <w:color w:val="auto"/>
        </w:rPr>
      </w:pPr>
    </w:p>
    <w:p>
      <w:pPr>
        <w:ind w:right="100" w:firstLine="249"/>
        <w:spacing w:after="0"/>
        <w:rPr>
          <w:sz w:val="20"/>
          <w:szCs w:val="20"/>
          <w:color w:val="auto"/>
        </w:rPr>
      </w:pPr>
      <w:r>
        <w:rPr>
          <w:rFonts w:ascii="Arial" w:cs="Arial" w:eastAsia="Arial" w:hAnsi="Arial"/>
          <w:sz w:val="20"/>
          <w:szCs w:val="20"/>
          <w:color w:val="auto"/>
        </w:rPr>
        <w:t>Minority interest in consolidated subsidiaries, which represents the minority interest in earnings (losses) principally related to the Company's non-wholly owned subsidiary in Taiwan was $0.5 million in fiscal year 2009 as compared to $1.4 million in fiscal year 2008. The Company's ownership in its subsidiary in Taiwan was 58% at November 1, 2009 and November 2, 2008. The decrease in minority interest expense is primarily due to decreased net income of the Company's non-wholly owned subsidiary in Taiwan. The Company's ownership in its subsidiary in Korea was 99.7% at November 1, 2009 and November 2, 2008.</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88"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November 1,</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1"/>
              </w:rPr>
              <w:t>November 2,</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b w:val="1"/>
                <w:bCs w:val="1"/>
                <w:color w:val="auto"/>
                <w:w w:val="90"/>
              </w:rPr>
              <w:t>October 28,</w:t>
            </w:r>
          </w:p>
        </w:tc>
      </w:tr>
      <w:tr>
        <w:trPr>
          <w:trHeight w:val="260"/>
        </w:trPr>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2009</w:t>
            </w:r>
          </w:p>
        </w:tc>
        <w:tc>
          <w:tcPr>
            <w:tcW w:w="1400" w:type="dxa"/>
            <w:vAlign w:val="bottom"/>
            <w:gridSpan w:val="2"/>
          </w:tcPr>
          <w:p>
            <w:pPr>
              <w:jc w:val="center"/>
              <w:ind w:left="20"/>
              <w:spacing w:after="0"/>
              <w:rPr>
                <w:sz w:val="20"/>
                <w:szCs w:val="20"/>
                <w:color w:val="auto"/>
              </w:rPr>
            </w:pPr>
            <w:r>
              <w:rPr>
                <w:rFonts w:ascii="Arial" w:cs="Arial" w:eastAsia="Arial" w:hAnsi="Arial"/>
                <w:sz w:val="20"/>
                <w:szCs w:val="20"/>
                <w:b w:val="1"/>
                <w:bCs w:val="1"/>
                <w:color w:val="auto"/>
                <w:w w:val="89"/>
              </w:rPr>
              <w:t>2008</w:t>
            </w:r>
          </w:p>
        </w:tc>
        <w:tc>
          <w:tcPr>
            <w:tcW w:w="13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2007</w:t>
            </w:r>
          </w:p>
        </w:tc>
      </w:tr>
      <w:tr>
        <w:trPr>
          <w:trHeight w:val="90"/>
        </w:trPr>
        <w:tc>
          <w:tcPr>
            <w:tcW w:w="1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339"/>
        </w:trPr>
        <w:tc>
          <w:tcPr>
            <w:tcW w:w="1260" w:type="dxa"/>
            <w:vAlign w:val="bottom"/>
          </w:tcPr>
          <w:p>
            <w:pPr>
              <w:jc w:val="center"/>
              <w:spacing w:after="0"/>
              <w:rPr>
                <w:sz w:val="20"/>
                <w:szCs w:val="20"/>
                <w:color w:val="auto"/>
              </w:rPr>
            </w:pPr>
            <w:r>
              <w:rPr>
                <w:rFonts w:ascii="Arial" w:cs="Arial" w:eastAsia="Arial" w:hAnsi="Arial"/>
                <w:sz w:val="20"/>
                <w:szCs w:val="20"/>
                <w:i w:val="1"/>
                <w:iCs w:val="1"/>
                <w:color w:val="auto"/>
                <w:w w:val="96"/>
              </w:rPr>
              <w:t>(in millions)</w:t>
            </w: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0"/>
                <w:szCs w:val="20"/>
                <w:i w:val="1"/>
                <w:iCs w:val="1"/>
                <w:color w:val="auto"/>
                <w:w w:val="96"/>
              </w:rPr>
              <w:t>(in millions)</w:t>
            </w: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0"/>
                <w:szCs w:val="20"/>
                <w:i w:val="1"/>
                <w:iCs w:val="1"/>
                <w:color w:val="auto"/>
                <w:w w:val="96"/>
              </w:rPr>
              <w:t>(in millions)</w:t>
            </w:r>
          </w:p>
        </w:tc>
      </w:tr>
    </w:tbl>
    <w:p>
      <w:pPr>
        <w:sectPr>
          <w:pgSz w:w="11900" w:h="16838" w:orient="portrait"/>
          <w:cols w:equalWidth="0" w:num="1">
            <w:col w:w="11400"/>
          </w:cols>
          <w:pgMar w:left="240" w:top="120" w:right="259" w:bottom="0" w:gutter="0" w:footer="0" w:header="0"/>
        </w:sectPr>
      </w:pPr>
    </w:p>
    <w:bookmarkStart w:id="18" w:name="page19"/>
    <w:bookmarkEnd w:id="18"/>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1260" w:type="dxa"/>
            <w:vAlign w:val="bottom"/>
          </w:tcPr>
          <w:p>
            <w:pPr>
              <w:jc w:val="right"/>
              <w:spacing w:after="0"/>
              <w:rPr>
                <w:sz w:val="20"/>
                <w:szCs w:val="20"/>
                <w:color w:val="auto"/>
              </w:rPr>
            </w:pPr>
            <w:r>
              <w:rPr>
                <w:rFonts w:ascii="Arial" w:cs="Arial" w:eastAsia="Arial" w:hAnsi="Arial"/>
                <w:sz w:val="20"/>
                <w:szCs w:val="20"/>
                <w:color w:val="auto"/>
              </w:rPr>
              <w:t>$ 88.5</w:t>
            </w:r>
          </w:p>
        </w:tc>
        <w:tc>
          <w:tcPr>
            <w:tcW w:w="1400" w:type="dxa"/>
            <w:vAlign w:val="bottom"/>
            <w:gridSpan w:val="2"/>
          </w:tcPr>
          <w:p>
            <w:pPr>
              <w:jc w:val="right"/>
              <w:ind w:right="80"/>
              <w:spacing w:after="0"/>
              <w:rPr>
                <w:sz w:val="20"/>
                <w:szCs w:val="20"/>
                <w:color w:val="auto"/>
              </w:rPr>
            </w:pPr>
            <w:r>
              <w:rPr>
                <w:rFonts w:ascii="Arial" w:cs="Arial" w:eastAsia="Arial" w:hAnsi="Arial"/>
                <w:sz w:val="20"/>
                <w:szCs w:val="20"/>
                <w:color w:val="auto"/>
              </w:rPr>
              <w:t>$ 83.8</w:t>
            </w:r>
          </w:p>
        </w:tc>
        <w:tc>
          <w:tcPr>
            <w:tcW w:w="1300" w:type="dxa"/>
            <w:vAlign w:val="bottom"/>
            <w:gridSpan w:val="3"/>
          </w:tcPr>
          <w:p>
            <w:pPr>
              <w:jc w:val="right"/>
              <w:ind w:right="80"/>
              <w:spacing w:after="0"/>
              <w:rPr>
                <w:sz w:val="20"/>
                <w:szCs w:val="20"/>
                <w:color w:val="auto"/>
              </w:rPr>
            </w:pPr>
            <w:r>
              <w:rPr>
                <w:rFonts w:ascii="Arial" w:cs="Arial" w:eastAsia="Arial" w:hAnsi="Arial"/>
                <w:sz w:val="20"/>
                <w:szCs w:val="20"/>
                <w:color w:val="auto"/>
              </w:rPr>
              <w:t>$146.0</w:t>
            </w:r>
          </w:p>
        </w:tc>
      </w:tr>
      <w:tr>
        <w:trPr>
          <w:trHeight w:val="254"/>
        </w:trPr>
        <w:tc>
          <w:tcPr>
            <w:tcW w:w="3840" w:type="dxa"/>
            <w:vAlign w:val="bottom"/>
          </w:tcPr>
          <w:p>
            <w:pPr>
              <w:spacing w:after="0"/>
              <w:rPr>
                <w:sz w:val="20"/>
                <w:szCs w:val="20"/>
                <w:color w:val="auto"/>
              </w:rPr>
            </w:pPr>
            <w:r>
              <w:rPr>
                <w:rFonts w:ascii="Arial" w:cs="Arial" w:eastAsia="Arial" w:hAnsi="Arial"/>
                <w:sz w:val="20"/>
                <w:szCs w:val="20"/>
                <w:color w:val="auto"/>
              </w:rPr>
              <w:t>Short-term investments</w:t>
            </w:r>
          </w:p>
        </w:tc>
        <w:tc>
          <w:tcPr>
            <w:tcW w:w="1260" w:type="dxa"/>
            <w:vAlign w:val="bottom"/>
          </w:tcPr>
          <w:p>
            <w:pPr>
              <w:jc w:val="right"/>
              <w:spacing w:after="0"/>
              <w:rPr>
                <w:sz w:val="20"/>
                <w:szCs w:val="20"/>
                <w:color w:val="auto"/>
              </w:rPr>
            </w:pPr>
            <w:r>
              <w:rPr>
                <w:rFonts w:ascii="Arial" w:cs="Arial" w:eastAsia="Arial" w:hAnsi="Arial"/>
                <w:sz w:val="20"/>
                <w:szCs w:val="20"/>
                <w:color w:val="auto"/>
              </w:rPr>
              <w:t>0.2</w:t>
            </w:r>
          </w:p>
        </w:tc>
        <w:tc>
          <w:tcPr>
            <w:tcW w:w="1400" w:type="dxa"/>
            <w:vAlign w:val="bottom"/>
            <w:gridSpan w:val="2"/>
          </w:tcPr>
          <w:p>
            <w:pPr>
              <w:jc w:val="right"/>
              <w:ind w:right="80"/>
              <w:spacing w:after="0"/>
              <w:rPr>
                <w:sz w:val="20"/>
                <w:szCs w:val="20"/>
                <w:color w:val="auto"/>
              </w:rPr>
            </w:pPr>
            <w:r>
              <w:rPr>
                <w:rFonts w:ascii="Arial" w:cs="Arial" w:eastAsia="Arial" w:hAnsi="Arial"/>
                <w:sz w:val="20"/>
                <w:szCs w:val="20"/>
                <w:color w:val="auto"/>
              </w:rPr>
              <w:t>1.3</w:t>
            </w:r>
          </w:p>
        </w:tc>
        <w:tc>
          <w:tcPr>
            <w:tcW w:w="1300" w:type="dxa"/>
            <w:vAlign w:val="bottom"/>
            <w:gridSpan w:val="3"/>
          </w:tcPr>
          <w:p>
            <w:pPr>
              <w:jc w:val="right"/>
              <w:ind w:right="80"/>
              <w:spacing w:after="0"/>
              <w:rPr>
                <w:sz w:val="20"/>
                <w:szCs w:val="20"/>
                <w:color w:val="auto"/>
              </w:rPr>
            </w:pPr>
            <w:r>
              <w:rPr>
                <w:rFonts w:ascii="Arial" w:cs="Arial" w:eastAsia="Arial" w:hAnsi="Arial"/>
                <w:sz w:val="20"/>
                <w:szCs w:val="20"/>
                <w:color w:val="auto"/>
              </w:rPr>
              <w:t>5.7</w:t>
            </w:r>
          </w:p>
        </w:tc>
      </w:tr>
      <w:tr>
        <w:trPr>
          <w:trHeight w:val="90"/>
        </w:trPr>
        <w:tc>
          <w:tcPr>
            <w:tcW w:w="3840" w:type="dxa"/>
            <w:vAlign w:val="bottom"/>
          </w:tcPr>
          <w:p>
            <w:pPr>
              <w:spacing w:after="0"/>
              <w:rPr>
                <w:sz w:val="7"/>
                <w:szCs w:val="7"/>
                <w:color w:val="auto"/>
              </w:rPr>
            </w:pPr>
          </w:p>
        </w:tc>
        <w:tc>
          <w:tcPr>
            <w:tcW w:w="126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336699"/>
            </w:tcBorders>
          </w:tcPr>
          <w:p>
            <w:pPr>
              <w:spacing w:after="0"/>
              <w:rPr>
                <w:sz w:val="7"/>
                <w:szCs w:val="7"/>
                <w:color w:val="auto"/>
              </w:rPr>
            </w:pPr>
          </w:p>
        </w:tc>
      </w:tr>
      <w:tr>
        <w:trPr>
          <w:trHeight w:val="339"/>
        </w:trPr>
        <w:tc>
          <w:tcPr>
            <w:tcW w:w="3840" w:type="dxa"/>
            <w:vAlign w:val="bottom"/>
          </w:tcPr>
          <w:p>
            <w:pPr>
              <w:spacing w:after="0"/>
              <w:rPr>
                <w:sz w:val="20"/>
                <w:szCs w:val="20"/>
                <w:color w:val="auto"/>
              </w:rPr>
            </w:pPr>
            <w:r>
              <w:rPr>
                <w:rFonts w:ascii="Arial" w:cs="Arial" w:eastAsia="Arial" w:hAnsi="Arial"/>
                <w:sz w:val="20"/>
                <w:szCs w:val="20"/>
                <w:color w:val="auto"/>
              </w:rPr>
              <w:t>Total</w:t>
            </w:r>
          </w:p>
        </w:tc>
        <w:tc>
          <w:tcPr>
            <w:tcW w:w="1260" w:type="dxa"/>
            <w:vAlign w:val="bottom"/>
          </w:tcPr>
          <w:p>
            <w:pPr>
              <w:jc w:val="right"/>
              <w:spacing w:after="0"/>
              <w:rPr>
                <w:sz w:val="20"/>
                <w:szCs w:val="20"/>
                <w:color w:val="auto"/>
              </w:rPr>
            </w:pPr>
            <w:r>
              <w:rPr>
                <w:rFonts w:ascii="Arial" w:cs="Arial" w:eastAsia="Arial" w:hAnsi="Arial"/>
                <w:sz w:val="20"/>
                <w:szCs w:val="20"/>
                <w:color w:val="auto"/>
              </w:rPr>
              <w:t>$ 88.7</w:t>
            </w:r>
          </w:p>
        </w:tc>
        <w:tc>
          <w:tcPr>
            <w:tcW w:w="1400" w:type="dxa"/>
            <w:vAlign w:val="bottom"/>
            <w:gridSpan w:val="2"/>
          </w:tcPr>
          <w:p>
            <w:pPr>
              <w:jc w:val="right"/>
              <w:ind w:right="80"/>
              <w:spacing w:after="0"/>
              <w:rPr>
                <w:sz w:val="20"/>
                <w:szCs w:val="20"/>
                <w:color w:val="auto"/>
              </w:rPr>
            </w:pPr>
            <w:r>
              <w:rPr>
                <w:rFonts w:ascii="Arial" w:cs="Arial" w:eastAsia="Arial" w:hAnsi="Arial"/>
                <w:sz w:val="20"/>
                <w:szCs w:val="20"/>
                <w:color w:val="auto"/>
              </w:rPr>
              <w:t>$ 85.1</w:t>
            </w:r>
          </w:p>
        </w:tc>
        <w:tc>
          <w:tcPr>
            <w:tcW w:w="1300" w:type="dxa"/>
            <w:vAlign w:val="bottom"/>
            <w:gridSpan w:val="3"/>
          </w:tcPr>
          <w:p>
            <w:pPr>
              <w:jc w:val="right"/>
              <w:ind w:right="80"/>
              <w:spacing w:after="0"/>
              <w:rPr>
                <w:sz w:val="20"/>
                <w:szCs w:val="20"/>
                <w:color w:val="auto"/>
              </w:rPr>
            </w:pPr>
            <w:r>
              <w:rPr>
                <w:rFonts w:ascii="Arial" w:cs="Arial" w:eastAsia="Arial" w:hAnsi="Arial"/>
                <w:sz w:val="20"/>
                <w:szCs w:val="20"/>
                <w:color w:val="auto"/>
              </w:rPr>
              <w:t>$151.7</w:t>
            </w:r>
          </w:p>
        </w:tc>
      </w:tr>
      <w:tr>
        <w:trPr>
          <w:trHeight w:val="111"/>
        </w:trPr>
        <w:tc>
          <w:tcPr>
            <w:tcW w:w="384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bottom w:val="single" w:sz="8" w:color="336699"/>
            </w:tcBorders>
            <w:gridSpan w:val="2"/>
          </w:tcPr>
          <w:p>
            <w:pPr>
              <w:spacing w:after="0"/>
              <w:rPr>
                <w:sz w:val="9"/>
                <w:szCs w:val="9"/>
                <w:color w:val="auto"/>
              </w:rPr>
            </w:pPr>
          </w:p>
        </w:tc>
      </w:tr>
      <w:tr>
        <w:trPr>
          <w:trHeight w:val="555"/>
        </w:trPr>
        <w:tc>
          <w:tcPr>
            <w:tcW w:w="3840" w:type="dxa"/>
            <w:vAlign w:val="bottom"/>
          </w:tcPr>
          <w:p>
            <w:pPr>
              <w:spacing w:after="0"/>
              <w:rPr>
                <w:sz w:val="20"/>
                <w:szCs w:val="20"/>
                <w:color w:val="auto"/>
              </w:rPr>
            </w:pPr>
            <w:r>
              <w:rPr>
                <w:rFonts w:ascii="Arial" w:cs="Arial" w:eastAsia="Arial" w:hAnsi="Arial"/>
                <w:sz w:val="20"/>
                <w:szCs w:val="20"/>
                <w:color w:val="auto"/>
              </w:rPr>
              <w:t>Net cash provided by operating activities</w:t>
            </w:r>
          </w:p>
        </w:tc>
        <w:tc>
          <w:tcPr>
            <w:tcW w:w="1260" w:type="dxa"/>
            <w:vAlign w:val="bottom"/>
          </w:tcPr>
          <w:p>
            <w:pPr>
              <w:jc w:val="right"/>
              <w:spacing w:after="0"/>
              <w:rPr>
                <w:sz w:val="20"/>
                <w:szCs w:val="20"/>
                <w:color w:val="auto"/>
              </w:rPr>
            </w:pPr>
            <w:r>
              <w:rPr>
                <w:rFonts w:ascii="Arial" w:cs="Arial" w:eastAsia="Arial" w:hAnsi="Arial"/>
                <w:sz w:val="20"/>
                <w:szCs w:val="20"/>
                <w:color w:val="auto"/>
              </w:rPr>
              <w:t>$ 68.1</w:t>
            </w:r>
          </w:p>
        </w:tc>
        <w:tc>
          <w:tcPr>
            <w:tcW w:w="1400" w:type="dxa"/>
            <w:vAlign w:val="bottom"/>
            <w:gridSpan w:val="2"/>
          </w:tcPr>
          <w:p>
            <w:pPr>
              <w:jc w:val="right"/>
              <w:ind w:right="80"/>
              <w:spacing w:after="0"/>
              <w:rPr>
                <w:sz w:val="20"/>
                <w:szCs w:val="20"/>
                <w:color w:val="auto"/>
              </w:rPr>
            </w:pPr>
            <w:r>
              <w:rPr>
                <w:rFonts w:ascii="Arial" w:cs="Arial" w:eastAsia="Arial" w:hAnsi="Arial"/>
                <w:sz w:val="20"/>
                <w:szCs w:val="20"/>
                <w:color w:val="auto"/>
              </w:rPr>
              <w:t>$ 92.1</w:t>
            </w:r>
          </w:p>
        </w:tc>
        <w:tc>
          <w:tcPr>
            <w:tcW w:w="1300" w:type="dxa"/>
            <w:vAlign w:val="bottom"/>
            <w:gridSpan w:val="3"/>
          </w:tcPr>
          <w:p>
            <w:pPr>
              <w:jc w:val="right"/>
              <w:ind w:right="80"/>
              <w:spacing w:after="0"/>
              <w:rPr>
                <w:sz w:val="20"/>
                <w:szCs w:val="20"/>
                <w:color w:val="auto"/>
              </w:rPr>
            </w:pPr>
            <w:r>
              <w:rPr>
                <w:rFonts w:ascii="Arial" w:cs="Arial" w:eastAsia="Arial" w:hAnsi="Arial"/>
                <w:sz w:val="20"/>
                <w:szCs w:val="20"/>
                <w:color w:val="auto"/>
              </w:rPr>
              <w:t>$134.7</w:t>
            </w:r>
          </w:p>
        </w:tc>
      </w:tr>
      <w:tr>
        <w:trPr>
          <w:trHeight w:val="449"/>
        </w:trPr>
        <w:tc>
          <w:tcPr>
            <w:tcW w:w="384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1260" w:type="dxa"/>
            <w:vAlign w:val="bottom"/>
          </w:tcPr>
          <w:p>
            <w:pPr>
              <w:jc w:val="right"/>
              <w:spacing w:after="0"/>
              <w:rPr>
                <w:sz w:val="20"/>
                <w:szCs w:val="20"/>
                <w:color w:val="auto"/>
              </w:rPr>
            </w:pPr>
            <w:r>
              <w:rPr>
                <w:rFonts w:ascii="Arial" w:cs="Arial" w:eastAsia="Arial" w:hAnsi="Arial"/>
                <w:sz w:val="20"/>
                <w:szCs w:val="20"/>
                <w:color w:val="auto"/>
              </w:rPr>
              <w:t>$(24.7)</w:t>
            </w: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$(99.2)</w:t>
            </w:r>
          </w:p>
        </w:tc>
        <w:tc>
          <w:tcPr>
            <w:tcW w:w="1300" w:type="dxa"/>
            <w:vAlign w:val="bottom"/>
            <w:gridSpan w:val="3"/>
          </w:tcPr>
          <w:p>
            <w:pPr>
              <w:jc w:val="right"/>
              <w:ind w:right="20"/>
              <w:spacing w:after="0"/>
              <w:rPr>
                <w:sz w:val="20"/>
                <w:szCs w:val="20"/>
                <w:color w:val="auto"/>
              </w:rPr>
            </w:pPr>
            <w:r>
              <w:rPr>
                <w:rFonts w:ascii="Arial" w:cs="Arial" w:eastAsia="Arial" w:hAnsi="Arial"/>
                <w:sz w:val="20"/>
                <w:szCs w:val="20"/>
                <w:color w:val="auto"/>
              </w:rPr>
              <w:t>$(29.7)</w:t>
            </w:r>
          </w:p>
        </w:tc>
      </w:tr>
      <w:tr>
        <w:trPr>
          <w:trHeight w:val="449"/>
        </w:trPr>
        <w:tc>
          <w:tcPr>
            <w:tcW w:w="384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1260" w:type="dxa"/>
            <w:vAlign w:val="bottom"/>
          </w:tcPr>
          <w:p>
            <w:pPr>
              <w:jc w:val="right"/>
              <w:spacing w:after="0"/>
              <w:rPr>
                <w:sz w:val="20"/>
                <w:szCs w:val="20"/>
                <w:color w:val="auto"/>
              </w:rPr>
            </w:pPr>
            <w:r>
              <w:rPr>
                <w:rFonts w:ascii="Arial" w:cs="Arial" w:eastAsia="Arial" w:hAnsi="Arial"/>
                <w:sz w:val="20"/>
                <w:szCs w:val="20"/>
                <w:color w:val="auto"/>
              </w:rPr>
              <w:t>$(40.5)</w:t>
            </w: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$(47.7)</w:t>
            </w:r>
          </w:p>
        </w:tc>
        <w:tc>
          <w:tcPr>
            <w:tcW w:w="1300" w:type="dxa"/>
            <w:vAlign w:val="bottom"/>
            <w:gridSpan w:val="3"/>
          </w:tcPr>
          <w:p>
            <w:pPr>
              <w:jc w:val="right"/>
              <w:ind w:right="20"/>
              <w:spacing w:after="0"/>
              <w:rPr>
                <w:sz w:val="20"/>
                <w:szCs w:val="20"/>
                <w:color w:val="auto"/>
              </w:rPr>
            </w:pPr>
            <w:r>
              <w:rPr>
                <w:rFonts w:ascii="Arial" w:cs="Arial" w:eastAsia="Arial" w:hAnsi="Arial"/>
                <w:sz w:val="20"/>
                <w:szCs w:val="20"/>
                <w:color w:val="auto"/>
              </w:rPr>
              <w:t>$(89.8)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-949960</wp:posOffset>
            </wp:positionV>
            <wp:extent cx="1270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-949960</wp:posOffset>
            </wp:positionV>
            <wp:extent cx="12700"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-949960</wp:posOffset>
            </wp:positionV>
            <wp:extent cx="1270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-949960</wp:posOffset>
            </wp:positionV>
            <wp:extent cx="12700" cy="28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-949960</wp:posOffset>
            </wp:positionV>
            <wp:extent cx="12700"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-949960</wp:posOffset>
            </wp:positionV>
            <wp:extent cx="1270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200" w:firstLine="238"/>
        <w:spacing w:after="0" w:line="258" w:lineRule="auto"/>
        <w:rPr>
          <w:sz w:val="20"/>
          <w:szCs w:val="20"/>
          <w:color w:val="auto"/>
        </w:rPr>
      </w:pPr>
      <w:r>
        <w:rPr>
          <w:rFonts w:ascii="Arial" w:cs="Arial" w:eastAsia="Arial" w:hAnsi="Arial"/>
          <w:sz w:val="20"/>
          <w:szCs w:val="20"/>
          <w:color w:val="auto"/>
        </w:rPr>
        <w:t>As of November 1, 2009 the Company had cash, cash equivalents and short-term investments of $88.7 million compared to $85.1 million as of November 2, 2008.</w:t>
      </w:r>
    </w:p>
    <w:p>
      <w:pPr>
        <w:spacing w:after="0" w:line="154" w:lineRule="exact"/>
        <w:rPr>
          <w:sz w:val="20"/>
          <w:szCs w:val="20"/>
          <w:color w:val="auto"/>
        </w:rPr>
      </w:pPr>
    </w:p>
    <w:p>
      <w:pPr>
        <w:jc w:val="both"/>
        <w:ind w:right="80" w:firstLine="299"/>
        <w:spacing w:after="0" w:line="246" w:lineRule="auto"/>
        <w:rPr>
          <w:sz w:val="20"/>
          <w:szCs w:val="20"/>
          <w:color w:val="auto"/>
        </w:rPr>
      </w:pPr>
      <w:r>
        <w:rPr>
          <w:rFonts w:ascii="Arial" w:cs="Arial" w:eastAsia="Arial" w:hAnsi="Arial"/>
          <w:sz w:val="20"/>
          <w:szCs w:val="20"/>
          <w:color w:val="auto"/>
        </w:rPr>
        <w:t>The Company's working capital increased $23.1 million to $89.5 million at the end of fiscal 2009, as compared to $66.4 million at the end of fiscal 2008. The increase was primarily related to decreases in accounts payable resulting from reductions in obligations for accrued capital expenditures, and for a decrease in the current portion of long-term borrowings.</w:t>
      </w:r>
    </w:p>
    <w:p>
      <w:pPr>
        <w:spacing w:after="0" w:line="165" w:lineRule="exact"/>
        <w:rPr>
          <w:sz w:val="20"/>
          <w:szCs w:val="20"/>
          <w:color w:val="auto"/>
        </w:rPr>
      </w:pPr>
    </w:p>
    <w:p>
      <w:pPr>
        <w:ind w:right="80" w:firstLine="299"/>
        <w:spacing w:after="0" w:line="242" w:lineRule="auto"/>
        <w:rPr>
          <w:sz w:val="20"/>
          <w:szCs w:val="20"/>
          <w:color w:val="auto"/>
        </w:rPr>
      </w:pPr>
      <w:r>
        <w:rPr>
          <w:rFonts w:ascii="Arial" w:cs="Arial" w:eastAsia="Arial" w:hAnsi="Arial"/>
          <w:sz w:val="20"/>
          <w:szCs w:val="20"/>
          <w:color w:val="auto"/>
        </w:rPr>
        <w:t>Cash provided by operating activities was $68.1 million for fiscal 2009, as compared to $92.1 million for fiscal 2008. This decrease was primarily due to increased losses as a result of reduced sales. Cash provided by operating activities was $92.1 million for fiscal 2008, as compared to $134.7 million for fiscal 2007. This decrease was primarily due to a net loss incurred in fiscal 2008 as compared to net income in fiscal 2007, and lower year-over-year accounts payable and accrued liability balances.</w:t>
      </w:r>
    </w:p>
    <w:p>
      <w:pPr>
        <w:spacing w:after="0" w:line="169" w:lineRule="exact"/>
        <w:rPr>
          <w:sz w:val="20"/>
          <w:szCs w:val="20"/>
          <w:color w:val="auto"/>
        </w:rPr>
      </w:pPr>
    </w:p>
    <w:p>
      <w:pPr>
        <w:ind w:right="20" w:firstLine="249"/>
        <w:spacing w:after="0" w:line="238" w:lineRule="auto"/>
        <w:rPr>
          <w:sz w:val="20"/>
          <w:szCs w:val="20"/>
          <w:color w:val="auto"/>
        </w:rPr>
      </w:pPr>
      <w:r>
        <w:rPr>
          <w:rFonts w:ascii="Arial" w:cs="Arial" w:eastAsia="Arial" w:hAnsi="Arial"/>
          <w:sz w:val="20"/>
          <w:szCs w:val="20"/>
          <w:color w:val="auto"/>
        </w:rPr>
        <w:t>Cash used in investing activities in fiscal 2009 decreased to $24.7 million, as compared to $99.2 million in 2008, primarily due to capital expenditures decreasing year-over-year by $70.1 million. Capital expenditures were higher in fiscal 2008 primarily relating to equipment for the U.S. nanoFab which began production in 2008. Capital expenditures for the 2009, 2008, and 2007 fiscal years were $35.0 million, $105.1 million and $94.1 million, respectively. The Company expects capital expenditure payments for fiscal 2010 to be approximately $45 million to $55 million, primarily related to investment in high-end IC manufacturing capability. Cash used in investing activities in fiscal 2008 increased to $99.2 million, as compared to $29.7 million in 2007, primarily due to a year-over-year decrease in proceeds from the sale of short-term investments of $62.5 million.</w:t>
      </w:r>
    </w:p>
    <w:p>
      <w:pPr>
        <w:spacing w:after="0" w:line="173" w:lineRule="exact"/>
        <w:rPr>
          <w:sz w:val="20"/>
          <w:szCs w:val="20"/>
          <w:color w:val="auto"/>
        </w:rPr>
      </w:pPr>
    </w:p>
    <w:p>
      <w:pPr>
        <w:ind w:right="220" w:firstLine="249"/>
        <w:spacing w:after="0" w:line="238" w:lineRule="auto"/>
        <w:rPr>
          <w:sz w:val="20"/>
          <w:szCs w:val="20"/>
          <w:color w:val="auto"/>
        </w:rPr>
      </w:pPr>
      <w:r>
        <w:rPr>
          <w:rFonts w:ascii="Arial" w:cs="Arial" w:eastAsia="Arial" w:hAnsi="Arial"/>
          <w:sz w:val="20"/>
          <w:szCs w:val="20"/>
          <w:color w:val="auto"/>
        </w:rPr>
        <w:t>Cash used in financing activities was $40.5 million in fiscal 2009, a decrease of $7.2 million as compared to $47.7 million in fiscal 2008, and is primarily comprised of $133.7 million in net repayments of long-term borrowings. These repayments were primarily made with $98 million in net proceeds from convertible debt and common stock offerings, with cash generated by operations of $18 million and proceeds from the sale of the Manchester facility of $4.3 million. Cash used in financing activities in 2008 was primarily related to the Company's redemptions of its $150.0 million outstanding 2.25% convertible subordinated notes on April 15, 2008, offset in part by $122.5 million net borrowings on its revolver. The decrease in cash used in financing activities in 2009 was primarily attributable to the decrease in the Company's payments to Micron.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249"/>
        <w:spacing w:after="0" w:line="269" w:lineRule="auto"/>
        <w:rPr>
          <w:sz w:val="20"/>
          <w:szCs w:val="20"/>
          <w:color w:val="auto"/>
        </w:rPr>
      </w:pPr>
      <w:r>
        <w:rPr>
          <w:rFonts w:ascii="Arial" w:cs="Arial" w:eastAsia="Arial" w:hAnsi="Arial"/>
          <w:sz w:val="18"/>
          <w:szCs w:val="18"/>
          <w:color w:val="auto"/>
        </w:rPr>
        <w:t>On June 6, 2007, the Company and a group of financial institutions entered into a credit agreement, which allows for borrowings under various currencies. In 2008 and 2009 the credit agreement was amended and on May 15, 2009 the maturity date of the agreement was changed from July 30, 2010 to January 31, 2011 and the aggregate commitment was amended and reduced to $130 million. Per the credit agreement, the bank debt repayments primarily from the net proceeds of the convertible debt and common stock offerings, further reduced the aggregate commitment and as of November 1, 2009 the aggregate commitment was $50 million. On January 31, 2010 the aggregate commitment will be further reduced to $34 million. Amounts borrowed under the credit agreement are secured by substantially all of the Company's assets located in the United States as well as stock held by the Company of certain of its subsidiaries.</w:t>
      </w:r>
    </w:p>
    <w:p>
      <w:pPr>
        <w:spacing w:after="0" w:line="146" w:lineRule="exact"/>
        <w:rPr>
          <w:sz w:val="20"/>
          <w:szCs w:val="20"/>
          <w:color w:val="auto"/>
        </w:rPr>
      </w:pPr>
    </w:p>
    <w:p>
      <w:pPr>
        <w:ind w:firstLine="246"/>
        <w:spacing w:after="0" w:line="249" w:lineRule="auto"/>
        <w:rPr>
          <w:sz w:val="20"/>
          <w:szCs w:val="20"/>
          <w:color w:val="auto"/>
        </w:rPr>
      </w:pPr>
      <w:r>
        <w:rPr>
          <w:rFonts w:ascii="Arial" w:cs="Arial" w:eastAsia="Arial" w:hAnsi="Arial"/>
          <w:sz w:val="19"/>
          <w:szCs w:val="19"/>
          <w:color w:val="auto"/>
        </w:rPr>
        <w:t>The cash interest rate on the outstanding debt balance is the greater of LIBOR or two percent, plus a spread, as defined. Fourth quarter 2009 payment-in-kind (PIK) interest, which accrues on the outstanding debt balance, is one percent and increases fifty basis points per quarter to a maximum of two and one-half percent. The PIK interest can be paid during the term of the credit facility or at maturity. In addition, the Company entered into a warrant agreement with its lenders for five percent (2.1 million shares) of its common stock. Forty percent of the warrants were exercisable upon issuance, with twenty percent increments exercisable after October 31, 2009, April 30, 2010, and October 31, 2010 at an exercise price of $0.01 per share. Approximately 67,000 warrants were exercised since the warrants were issued. Provisions which allow the Company to cancel up to sixty percent of the outstanding warrants by early payment of defined amounts of the amended credit facility were effectuated during the fourth fiscal quarter of 2009 and, as of the end of fiscal 2009, 0.8 million of these warrants remained outstanding and exercisable. The warrant agreement also includes a net cash settleable put provision exercisable starting in May 2012 and a call provision exercisable starting in May 2013, both of which are exercisable only if the Company's common stock is not traded on a national exchange or if its credit facility, which matures on January 31, 2011, is not paid in full by another financing facility (new credit facility, debt and/or equity securities, or capital contributions) or with other funds. As a result of the aforementioned net cash settleable put provisions, the warrants were recorded as a liability (included in other liabilities) during the quarter ended August 2, 2009 and are subsequently being reported at their fair value.</w:t>
      </w:r>
    </w:p>
    <w:p>
      <w:pPr>
        <w:spacing w:after="0" w:line="167" w:lineRule="exact"/>
        <w:rPr>
          <w:sz w:val="20"/>
          <w:szCs w:val="20"/>
          <w:color w:val="auto"/>
        </w:rPr>
      </w:pPr>
    </w:p>
    <w:p>
      <w:pPr>
        <w:ind w:firstLine="249"/>
        <w:spacing w:after="0" w:line="273" w:lineRule="auto"/>
        <w:rPr>
          <w:sz w:val="20"/>
          <w:szCs w:val="20"/>
          <w:color w:val="auto"/>
        </w:rPr>
      </w:pPr>
      <w:r>
        <w:rPr>
          <w:rFonts w:ascii="Arial" w:cs="Arial" w:eastAsia="Arial" w:hAnsi="Arial"/>
          <w:sz w:val="18"/>
          <w:szCs w:val="18"/>
          <w:color w:val="auto"/>
        </w:rPr>
        <w:t>In conjunction with the credit facility discussed above, the Company also entered into a term loan agreement in the U.S. dated June 8, 2009 with an aggregate commitment of $27.2 million. The term loan has the same interest rate terms, maturity date and covenants as the credit facility discussed above. In June 2009, the Company borrowed $27.2 million under the term loan and used the proceeds of this facility to repay the remaining outstanding balances of its foreign loans in China. Under the terms of the term loan agreement, $9.1 million is due on January 31, 2010 and the remaining balance is due by January 31, 2011. It is the Company's intention to pay the $9.1 million due on January 31, 2010</w:t>
      </w:r>
    </w:p>
    <w:p>
      <w:pPr>
        <w:sectPr>
          <w:pgSz w:w="11900" w:h="16940" w:orient="portrait"/>
          <w:cols w:equalWidth="0" w:num="1">
            <w:col w:w="11420"/>
          </w:cols>
          <w:pgMar w:left="240" w:top="115" w:right="239" w:bottom="0" w:gutter="0" w:footer="0" w:header="0"/>
        </w:sectPr>
      </w:pPr>
    </w:p>
    <w:bookmarkStart w:id="19" w:name="page20"/>
    <w:bookmarkEnd w:id="19"/>
    <w:p>
      <w:pPr>
        <w:ind w:right="120"/>
        <w:spacing w:after="0" w:line="259" w:lineRule="auto"/>
        <w:rPr>
          <w:sz w:val="20"/>
          <w:szCs w:val="20"/>
          <w:color w:val="auto"/>
        </w:rPr>
      </w:pPr>
      <w:r>
        <w:rPr>
          <w:rFonts w:ascii="Arial" w:cs="Arial" w:eastAsia="Arial" w:hAnsi="Arial"/>
          <w:sz w:val="20"/>
          <w:szCs w:val="20"/>
          <w:color w:val="auto"/>
        </w:rPr>
        <w:t>by utilizing funds available under its credit facility and, therefore, the Company has classified the $9.1 million as a long-term borrowing as of November 1, 2009.</w:t>
      </w:r>
    </w:p>
    <w:p>
      <w:pPr>
        <w:spacing w:after="0" w:line="153" w:lineRule="exact"/>
        <w:rPr>
          <w:sz w:val="20"/>
          <w:szCs w:val="20"/>
          <w:color w:val="auto"/>
        </w:rPr>
      </w:pPr>
    </w:p>
    <w:p>
      <w:pPr>
        <w:ind w:right="20" w:firstLine="246"/>
        <w:spacing w:after="0" w:line="239" w:lineRule="auto"/>
        <w:rPr>
          <w:sz w:val="20"/>
          <w:szCs w:val="20"/>
          <w:color w:val="auto"/>
        </w:rPr>
      </w:pPr>
      <w:r>
        <w:rPr>
          <w:rFonts w:ascii="Arial" w:cs="Arial" w:eastAsia="Arial" w:hAnsi="Arial"/>
          <w:sz w:val="20"/>
          <w:szCs w:val="20"/>
          <w:color w:val="auto"/>
        </w:rPr>
        <w:t>The credit facility's financial covenants include, among other items as defined: a Senior Leverage Ratio, Total Leverage Ratio, Minimum Fixed Charge Ratio, Maximum Capital Expenditures limitation, and a six-month minimum EBITDA covenant. Cash received as a result of certain defined events is required to be used to pay down the outstanding loan balance and reduce the available commitment of the credit facility by the same amount. In addition, the credit facility requires Minimum Unrestricted Cash Balances, as defined, at the end of each quarter. Should the Company default on any of its long-term borrowings, a cross default would occur on its other long-term borrowings, unless amended or waived.</w:t>
      </w:r>
    </w:p>
    <w:p>
      <w:pPr>
        <w:spacing w:after="0" w:line="171" w:lineRule="exact"/>
        <w:rPr>
          <w:sz w:val="20"/>
          <w:szCs w:val="20"/>
          <w:color w:val="auto"/>
        </w:rPr>
      </w:pPr>
    </w:p>
    <w:p>
      <w:pPr>
        <w:ind w:right="20" w:firstLine="249"/>
        <w:spacing w:after="0" w:line="250" w:lineRule="auto"/>
        <w:rPr>
          <w:sz w:val="20"/>
          <w:szCs w:val="20"/>
          <w:color w:val="auto"/>
        </w:rPr>
      </w:pPr>
      <w:r>
        <w:rPr>
          <w:rFonts w:ascii="Arial" w:cs="Arial" w:eastAsia="Arial" w:hAnsi="Arial"/>
          <w:sz w:val="19"/>
          <w:szCs w:val="19"/>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or before September 30, 2014. The conversion rate may be increased in the event of a make-whole fundamental change (as defined in the prospectus supplement) and the Company may not redeem the notes prior to their stated maturity date. The net proceeds of the offering were approximately $54.9 million, which were used to reduce outstanding amounts under the Company's credit facility. Concurrent with the issuance of the 5.5% convertible senior notes, on September 11, 2009 the Company also sold, through a public offering, approximately 11.1 million shares of its common stock at a price of $4.15 per share. Gross proceeds from the offering were $46.0 million which were reduced by underwriting commissions and other expenses to yield net proceeds of approximately $43.1 million. The net proceeds from the offering were used to reduce outstanding amounts under the Company's credit facility.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249"/>
        <w:spacing w:after="0" w:line="256" w:lineRule="auto"/>
        <w:rPr>
          <w:sz w:val="20"/>
          <w:szCs w:val="20"/>
          <w:color w:val="auto"/>
        </w:rPr>
      </w:pPr>
      <w:r>
        <w:rPr>
          <w:rFonts w:ascii="Arial" w:cs="Arial" w:eastAsia="Arial" w:hAnsi="Arial"/>
          <w:sz w:val="19"/>
          <w:szCs w:val="19"/>
          <w:color w:val="auto"/>
        </w:rPr>
        <w:t>Net proceeds of the Company's 5.5% convertible debt and common stock offerings of approximately $98 million, cash from operations and proceeds from the sale of the Manchester, U.K. facility of $4.3 million were used to reduce the amount of borrowings under the credit facility from $122.5 million to its November 1, 2009 balance of $2.6 million, which included the above mentioned PIK interest. As of November 1, 2009, the Company's available credit under its credit facility was $50.0 million of which $2.6 million was borrowed and $47.4 million was unused and available. All borrowings under the credit facility are due on January 31, 2011.</w:t>
      </w:r>
    </w:p>
    <w:p>
      <w:pPr>
        <w:spacing w:after="0" w:line="156" w:lineRule="exact"/>
        <w:rPr>
          <w:sz w:val="20"/>
          <w:szCs w:val="20"/>
          <w:color w:val="auto"/>
        </w:rPr>
      </w:pPr>
    </w:p>
    <w:p>
      <w:pPr>
        <w:jc w:val="both"/>
        <w:ind w:firstLine="249"/>
        <w:spacing w:after="0" w:line="246" w:lineRule="auto"/>
        <w:rPr>
          <w:sz w:val="20"/>
          <w:szCs w:val="20"/>
          <w:color w:val="auto"/>
        </w:rPr>
      </w:pPr>
      <w:r>
        <w:rPr>
          <w:rFonts w:ascii="Arial" w:cs="Arial" w:eastAsia="Arial" w:hAnsi="Arial"/>
          <w:sz w:val="20"/>
          <w:szCs w:val="20"/>
          <w:color w:val="auto"/>
        </w:rPr>
        <w:t>On May 19, 2009, the Company entered into a new lease agreement with Micron (the lessor) for the U.S. nanoFab. Under the provisions of the new lease agreement, quarterly lease payments were reduced and, as compared to the prior lease agreement, resulted in cash savings for the Company of approximately $6.5 million in fiscal 2009.</w:t>
      </w:r>
    </w:p>
    <w:p>
      <w:pPr>
        <w:spacing w:after="0" w:line="165" w:lineRule="exact"/>
        <w:rPr>
          <w:sz w:val="20"/>
          <w:szCs w:val="20"/>
          <w:color w:val="auto"/>
        </w:rPr>
      </w:pPr>
    </w:p>
    <w:p>
      <w:pPr>
        <w:ind w:right="60" w:firstLine="246"/>
        <w:spacing w:after="0" w:line="267" w:lineRule="auto"/>
        <w:rPr>
          <w:sz w:val="20"/>
          <w:szCs w:val="20"/>
          <w:color w:val="auto"/>
        </w:rPr>
      </w:pPr>
      <w:r>
        <w:rPr>
          <w:rFonts w:ascii="Arial" w:cs="Arial" w:eastAsia="Arial" w:hAnsi="Arial"/>
          <w:sz w:val="18"/>
          <w:szCs w:val="18"/>
          <w:color w:val="auto"/>
        </w:rPr>
        <w:t>The Company's liquidity is highly dependent on its sales volume, cash conversion cycle, and the timing of its capital expenditures, as it operates in a high fixed cost environment. Depending on conditions in the IC semiconductor and FPD market,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is evaluating alternatives to increase its capital, delaying capital expenditures and evaluating further cost reduction initiatives. However, the Company cannot assure that additional sources of financing would be available to it on commercially favorable terms should its capital requirements exceed cash available from operations and existing cash, and cash available under its credit facility.</w:t>
      </w:r>
    </w:p>
    <w:p>
      <w:pPr>
        <w:spacing w:after="0" w:line="152" w:lineRule="exact"/>
        <w:rPr>
          <w:sz w:val="20"/>
          <w:szCs w:val="20"/>
          <w:color w:val="auto"/>
        </w:rPr>
      </w:pPr>
    </w:p>
    <w:p>
      <w:pPr>
        <w:ind w:right="100" w:firstLine="238"/>
        <w:spacing w:after="0" w:line="246" w:lineRule="auto"/>
        <w:rPr>
          <w:sz w:val="20"/>
          <w:szCs w:val="20"/>
          <w:color w:val="auto"/>
        </w:rPr>
      </w:pPr>
      <w:r>
        <w:rPr>
          <w:rFonts w:ascii="Arial" w:cs="Arial" w:eastAsia="Arial" w:hAnsi="Arial"/>
          <w:sz w:val="20"/>
          <w:szCs w:val="20"/>
          <w:color w:val="auto"/>
        </w:rPr>
        <w:t>At November 1, 2009, the Company had outstanding purchase commitments of approximately $42.0 million, which include approximately $35.0 million related to capital expenditures, primarily for investment in high-end IC manufacturing capability. The Company intends to use its working capital and cash generated from operations to finance its capital expenditures.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Requirements</w:t>
      </w:r>
    </w:p>
    <w:p>
      <w:pPr>
        <w:spacing w:after="0" w:line="200" w:lineRule="exact"/>
        <w:rPr>
          <w:sz w:val="20"/>
          <w:szCs w:val="20"/>
          <w:color w:val="auto"/>
        </w:rPr>
      </w:pPr>
    </w:p>
    <w:p>
      <w:pPr>
        <w:ind w:right="140" w:firstLine="246"/>
        <w:spacing w:after="0" w:line="254" w:lineRule="auto"/>
        <w:rPr>
          <w:sz w:val="20"/>
          <w:szCs w:val="20"/>
          <w:color w:val="auto"/>
        </w:rPr>
      </w:pPr>
      <w:r>
        <w:rPr>
          <w:rFonts w:ascii="Arial" w:cs="Arial" w:eastAsia="Arial" w:hAnsi="Arial"/>
          <w:sz w:val="19"/>
          <w:szCs w:val="19"/>
          <w:color w:val="auto"/>
        </w:rPr>
        <w:t>The Company's cash requirements in fiscal 2010 will be primarily to fund operations, including capital spending and debt service. The Company believes that its cash on hand, cash generated from operations and amounts available under its credit facility will be sufficient to meet its cash requirements for the next 12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its cash available from operations, existing cash, and cash available under its credit facility.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Cash Obligations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following table quantifies the Company's future contractual obligations as of November 1, 2009:</w:t>
      </w:r>
    </w:p>
    <w:p>
      <w:pPr>
        <w:spacing w:after="0" w:line="18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75565</wp:posOffset>
            </wp:positionV>
            <wp:extent cx="244538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45385" cy="7620"/>
                    </a:xfrm>
                    <a:prstGeom prst="rect">
                      <a:avLst/>
                    </a:prstGeom>
                    <a:noFill/>
                  </pic:spPr>
                </pic:pic>
              </a:graphicData>
            </a:graphic>
          </wp:anchor>
        </w:drawing>
      </w:r>
    </w:p>
    <w:p>
      <w:pPr>
        <w:spacing w:after="0" w:line="193"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83"/>
              </w:rPr>
              <w:t>Less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6"/>
              </w:rPr>
              <w:t>More</w:t>
            </w:r>
          </w:p>
        </w:tc>
      </w:tr>
      <w:tr>
        <w:trPr>
          <w:trHeight w:val="224"/>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6"/>
              </w:rPr>
              <w:t>Than</w:t>
            </w:r>
          </w:p>
        </w:tc>
        <w:tc>
          <w:tcPr>
            <w:tcW w:w="720" w:type="dxa"/>
            <w:vAlign w:val="bottom"/>
            <w:gridSpan w:val="2"/>
          </w:tcPr>
          <w:p>
            <w:pPr>
              <w:jc w:val="right"/>
              <w:ind w:right="20"/>
              <w:spacing w:after="0" w:line="225" w:lineRule="exact"/>
              <w:rPr>
                <w:sz w:val="20"/>
                <w:szCs w:val="20"/>
                <w:color w:val="auto"/>
              </w:rPr>
            </w:pPr>
            <w:r>
              <w:rPr>
                <w:rFonts w:ascii="Arial" w:cs="Arial" w:eastAsia="Arial" w:hAnsi="Arial"/>
                <w:sz w:val="20"/>
                <w:szCs w:val="20"/>
                <w:b w:val="1"/>
                <w:bCs w:val="1"/>
                <w:color w:val="auto"/>
              </w:rPr>
              <w:t>1 - 3</w:t>
            </w:r>
          </w:p>
        </w:tc>
        <w:tc>
          <w:tcPr>
            <w:tcW w:w="740" w:type="dxa"/>
            <w:vAlign w:val="bottom"/>
            <w:gridSpan w:val="2"/>
          </w:tcPr>
          <w:p>
            <w:pPr>
              <w:jc w:val="right"/>
              <w:ind w:right="20"/>
              <w:spacing w:after="0" w:line="225" w:lineRule="exact"/>
              <w:rPr>
                <w:sz w:val="20"/>
                <w:szCs w:val="20"/>
                <w:color w:val="auto"/>
              </w:rPr>
            </w:pPr>
            <w:r>
              <w:rPr>
                <w:rFonts w:ascii="Arial" w:cs="Arial" w:eastAsia="Arial" w:hAnsi="Arial"/>
                <w:sz w:val="20"/>
                <w:szCs w:val="20"/>
                <w:b w:val="1"/>
                <w:bCs w:val="1"/>
                <w:color w:val="auto"/>
              </w:rPr>
              <w:t>3 - 5</w:t>
            </w:r>
          </w:p>
        </w:tc>
        <w:tc>
          <w:tcPr>
            <w:tcW w:w="160" w:type="dxa"/>
            <w:vAlign w:val="bottom"/>
          </w:tcPr>
          <w:p>
            <w:pPr>
              <w:spacing w:after="0"/>
              <w:rPr>
                <w:sz w:val="19"/>
                <w:szCs w:val="19"/>
                <w:color w:val="auto"/>
              </w:rPr>
            </w:pPr>
          </w:p>
        </w:tc>
        <w:tc>
          <w:tcPr>
            <w:tcW w:w="78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6"/>
              </w:rPr>
              <w:t>Than</w:t>
            </w:r>
          </w:p>
        </w:tc>
      </w:tr>
      <w:tr>
        <w:trPr>
          <w:trHeight w:val="260"/>
        </w:trPr>
        <w:tc>
          <w:tcPr>
            <w:tcW w:w="1460" w:type="dxa"/>
            <w:vAlign w:val="bottom"/>
            <w:gridSpan w:val="3"/>
          </w:tcPr>
          <w:p>
            <w:pPr>
              <w:ind w:left="100"/>
              <w:spacing w:after="0"/>
              <w:rPr>
                <w:sz w:val="20"/>
                <w:szCs w:val="20"/>
                <w:color w:val="auto"/>
              </w:rPr>
            </w:pPr>
            <w:r>
              <w:rPr>
                <w:rFonts w:ascii="Arial" w:cs="Arial" w:eastAsia="Arial" w:hAnsi="Arial"/>
                <w:sz w:val="20"/>
                <w:szCs w:val="20"/>
                <w:b w:val="1"/>
                <w:bCs w:val="1"/>
                <w:color w:val="auto"/>
              </w:rPr>
              <w:t>Total   1 Year</w:t>
            </w:r>
          </w:p>
        </w:tc>
        <w:tc>
          <w:tcPr>
            <w:tcW w:w="1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8"/>
              </w:rPr>
              <w:t>Years</w:t>
            </w:r>
          </w:p>
        </w:tc>
        <w:tc>
          <w:tcPr>
            <w:tcW w:w="1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w w:val="88"/>
              </w:rPr>
              <w:t>Years</w:t>
            </w:r>
          </w:p>
        </w:tc>
        <w:tc>
          <w:tcPr>
            <w:tcW w:w="16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7"/>
              </w:rPr>
              <w:t>5 Years</w:t>
            </w:r>
          </w:p>
        </w:tc>
      </w:tr>
      <w:tr>
        <w:trPr>
          <w:trHeight w:val="90"/>
        </w:trPr>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0" w:gutter="0" w:footer="0" w:header="0"/>
        </w:sectPr>
      </w:pPr>
    </w:p>
    <w:p>
      <w:pPr>
        <w:spacing w:after="0" w:line="117" w:lineRule="exact"/>
        <w:rPr>
          <w:sz w:val="20"/>
          <w:szCs w:val="20"/>
          <w:color w:val="auto"/>
        </w:rPr>
      </w:pPr>
    </w:p>
    <w:p>
      <w:pPr>
        <w:spacing w:after="0"/>
        <w:tabs>
          <w:tab w:leader="none" w:pos="3540" w:val="left"/>
          <w:tab w:leader="none" w:pos="4460" w:val="left"/>
          <w:tab w:leader="none" w:pos="4760" w:val="left"/>
          <w:tab w:leader="none" w:pos="5120" w:val="left"/>
          <w:tab w:leader="none" w:pos="5840" w:val="left"/>
          <w:tab w:leader="none" w:pos="6920" w:val="left"/>
        </w:tabs>
        <w:rPr>
          <w:sz w:val="20"/>
          <w:szCs w:val="20"/>
          <w:color w:val="auto"/>
        </w:rPr>
      </w:pPr>
      <w:r>
        <w:rPr>
          <w:rFonts w:ascii="Arial" w:cs="Arial" w:eastAsia="Arial" w:hAnsi="Arial"/>
          <w:sz w:val="20"/>
          <w:szCs w:val="20"/>
          <w:color w:val="auto"/>
        </w:rPr>
        <w:t>Long-term borrowings</w:t>
      </w:r>
      <w:r>
        <w:rPr>
          <w:sz w:val="20"/>
          <w:szCs w:val="20"/>
          <w:color w:val="auto"/>
        </w:rPr>
        <w:tab/>
      </w:r>
      <w:r>
        <w:rPr>
          <w:rFonts w:ascii="Arial" w:cs="Arial" w:eastAsia="Arial" w:hAnsi="Arial"/>
          <w:sz w:val="20"/>
          <w:szCs w:val="20"/>
          <w:color w:val="auto"/>
        </w:rPr>
        <w:t>$ 87.3</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$29.8</w:t>
        <w:tab/>
        <w:t>$57.5</w:t>
      </w:r>
      <w:r>
        <w:rPr>
          <w:sz w:val="20"/>
          <w:szCs w:val="20"/>
          <w:color w:val="auto"/>
        </w:rPr>
        <w:tab/>
      </w:r>
      <w:r>
        <w:rPr>
          <w:rFonts w:ascii="Arial" w:cs="Arial" w:eastAsia="Arial" w:hAnsi="Arial"/>
          <w:sz w:val="20"/>
          <w:szCs w:val="20"/>
          <w:color w:val="auto"/>
        </w:rPr>
        <w:t>$  -</w:t>
      </w:r>
    </w:p>
    <w:p>
      <w:pPr>
        <w:sectPr>
          <w:pgSz w:w="11900" w:h="16838" w:orient="portrait"/>
          <w:cols w:equalWidth="0" w:num="1">
            <w:col w:w="11420"/>
          </w:cols>
          <w:pgMar w:left="240" w:top="120"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54"/>
        </w:trPr>
        <w:tc>
          <w:tcPr>
            <w:tcW w:w="3420" w:type="dxa"/>
            <w:vAlign w:val="bottom"/>
          </w:tcPr>
          <w:p>
            <w:pPr>
              <w:spacing w:after="0"/>
              <w:rPr>
                <w:sz w:val="20"/>
                <w:szCs w:val="20"/>
                <w:color w:val="auto"/>
              </w:rPr>
            </w:pPr>
            <w:r>
              <w:rPr>
                <w:rFonts w:ascii="Arial" w:cs="Arial" w:eastAsia="Arial" w:hAnsi="Arial"/>
                <w:sz w:val="20"/>
                <w:szCs w:val="20"/>
                <w:color w:val="auto"/>
              </w:rPr>
              <w:t>Operating leases</w:t>
            </w:r>
          </w:p>
        </w:tc>
        <w:tc>
          <w:tcPr>
            <w:tcW w:w="660" w:type="dxa"/>
            <w:vAlign w:val="bottom"/>
          </w:tcPr>
          <w:p>
            <w:pPr>
              <w:jc w:val="right"/>
              <w:spacing w:after="0"/>
              <w:rPr>
                <w:sz w:val="20"/>
                <w:szCs w:val="20"/>
                <w:color w:val="auto"/>
              </w:rPr>
            </w:pPr>
            <w:r>
              <w:rPr>
                <w:rFonts w:ascii="Arial" w:cs="Arial" w:eastAsia="Arial" w:hAnsi="Arial"/>
                <w:sz w:val="20"/>
                <w:szCs w:val="20"/>
                <w:color w:val="auto"/>
              </w:rPr>
              <w:t>23.9</w:t>
            </w:r>
          </w:p>
        </w:tc>
        <w:tc>
          <w:tcPr>
            <w:tcW w:w="800" w:type="dxa"/>
            <w:vAlign w:val="bottom"/>
            <w:gridSpan w:val="3"/>
          </w:tcPr>
          <w:p>
            <w:pPr>
              <w:jc w:val="right"/>
              <w:ind w:right="40"/>
              <w:spacing w:after="0"/>
              <w:rPr>
                <w:sz w:val="20"/>
                <w:szCs w:val="20"/>
                <w:color w:val="auto"/>
              </w:rPr>
            </w:pPr>
            <w:r>
              <w:rPr>
                <w:rFonts w:ascii="Arial" w:cs="Arial" w:eastAsia="Arial" w:hAnsi="Arial"/>
                <w:sz w:val="20"/>
                <w:szCs w:val="20"/>
                <w:color w:val="auto"/>
              </w:rPr>
              <w:t>2.2</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3.2</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15.5</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auto"/>
              </w:rPr>
              <w:t>3.0</w:t>
            </w:r>
          </w:p>
        </w:tc>
      </w:tr>
      <w:tr>
        <w:trPr>
          <w:trHeight w:val="449"/>
        </w:trPr>
        <w:tc>
          <w:tcPr>
            <w:tcW w:w="3420" w:type="dxa"/>
            <w:vAlign w:val="bottom"/>
          </w:tcPr>
          <w:p>
            <w:pPr>
              <w:spacing w:after="0"/>
              <w:rPr>
                <w:sz w:val="20"/>
                <w:szCs w:val="20"/>
                <w:color w:val="auto"/>
              </w:rPr>
            </w:pPr>
            <w:r>
              <w:rPr>
                <w:rFonts w:ascii="Arial" w:cs="Arial" w:eastAsia="Arial" w:hAnsi="Arial"/>
                <w:sz w:val="20"/>
                <w:szCs w:val="20"/>
                <w:color w:val="auto"/>
              </w:rPr>
              <w:t>Capital leases</w:t>
            </w:r>
          </w:p>
        </w:tc>
        <w:tc>
          <w:tcPr>
            <w:tcW w:w="660" w:type="dxa"/>
            <w:vAlign w:val="bottom"/>
          </w:tcPr>
          <w:p>
            <w:pPr>
              <w:jc w:val="right"/>
              <w:spacing w:after="0"/>
              <w:rPr>
                <w:sz w:val="20"/>
                <w:szCs w:val="20"/>
                <w:color w:val="auto"/>
              </w:rPr>
            </w:pPr>
            <w:r>
              <w:rPr>
                <w:rFonts w:ascii="Arial" w:cs="Arial" w:eastAsia="Arial" w:hAnsi="Arial"/>
                <w:sz w:val="20"/>
                <w:szCs w:val="20"/>
                <w:color w:val="auto"/>
              </w:rPr>
              <w:t>35.2</w:t>
            </w:r>
          </w:p>
        </w:tc>
        <w:tc>
          <w:tcPr>
            <w:tcW w:w="800" w:type="dxa"/>
            <w:vAlign w:val="bottom"/>
            <w:gridSpan w:val="3"/>
          </w:tcPr>
          <w:p>
            <w:pPr>
              <w:jc w:val="right"/>
              <w:ind w:right="40"/>
              <w:spacing w:after="0"/>
              <w:rPr>
                <w:sz w:val="20"/>
                <w:szCs w:val="20"/>
                <w:color w:val="auto"/>
              </w:rPr>
            </w:pPr>
            <w:r>
              <w:rPr>
                <w:rFonts w:ascii="Arial" w:cs="Arial" w:eastAsia="Arial" w:hAnsi="Arial"/>
                <w:sz w:val="20"/>
                <w:szCs w:val="20"/>
                <w:color w:val="auto"/>
              </w:rPr>
              <w:t>10.3</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22.6</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2.3</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r>
      <w:tr>
        <w:trPr>
          <w:trHeight w:val="449"/>
        </w:trPr>
        <w:tc>
          <w:tcPr>
            <w:tcW w:w="3420" w:type="dxa"/>
            <w:vAlign w:val="bottom"/>
          </w:tcPr>
          <w:p>
            <w:pPr>
              <w:spacing w:after="0"/>
              <w:rPr>
                <w:sz w:val="20"/>
                <w:szCs w:val="20"/>
                <w:color w:val="auto"/>
              </w:rPr>
            </w:pPr>
            <w:r>
              <w:rPr>
                <w:rFonts w:ascii="Arial" w:cs="Arial" w:eastAsia="Arial" w:hAnsi="Arial"/>
                <w:sz w:val="20"/>
                <w:szCs w:val="20"/>
                <w:color w:val="auto"/>
              </w:rPr>
              <w:t>Unconditional purchase obligations</w:t>
            </w:r>
          </w:p>
        </w:tc>
        <w:tc>
          <w:tcPr>
            <w:tcW w:w="660" w:type="dxa"/>
            <w:vAlign w:val="bottom"/>
          </w:tcPr>
          <w:p>
            <w:pPr>
              <w:jc w:val="right"/>
              <w:spacing w:after="0"/>
              <w:rPr>
                <w:sz w:val="20"/>
                <w:szCs w:val="20"/>
                <w:color w:val="auto"/>
              </w:rPr>
            </w:pPr>
            <w:r>
              <w:rPr>
                <w:rFonts w:ascii="Arial" w:cs="Arial" w:eastAsia="Arial" w:hAnsi="Arial"/>
                <w:sz w:val="20"/>
                <w:szCs w:val="20"/>
                <w:color w:val="auto"/>
              </w:rPr>
              <w:t>42.0</w:t>
            </w:r>
          </w:p>
        </w:tc>
        <w:tc>
          <w:tcPr>
            <w:tcW w:w="800" w:type="dxa"/>
            <w:vAlign w:val="bottom"/>
            <w:gridSpan w:val="3"/>
          </w:tcPr>
          <w:p>
            <w:pPr>
              <w:jc w:val="right"/>
              <w:ind w:right="40"/>
              <w:spacing w:after="0"/>
              <w:rPr>
                <w:sz w:val="20"/>
                <w:szCs w:val="20"/>
                <w:color w:val="auto"/>
              </w:rPr>
            </w:pPr>
            <w:r>
              <w:rPr>
                <w:rFonts w:ascii="Arial" w:cs="Arial" w:eastAsia="Arial" w:hAnsi="Arial"/>
                <w:sz w:val="20"/>
                <w:szCs w:val="20"/>
                <w:color w:val="auto"/>
              </w:rPr>
              <w:t>40.2</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1.8</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r>
      <w:tr>
        <w:trPr>
          <w:trHeight w:val="449"/>
        </w:trPr>
        <w:tc>
          <w:tcPr>
            <w:tcW w:w="3420" w:type="dxa"/>
            <w:vAlign w:val="bottom"/>
          </w:tcPr>
          <w:p>
            <w:pPr>
              <w:spacing w:after="0"/>
              <w:rPr>
                <w:sz w:val="20"/>
                <w:szCs w:val="20"/>
                <w:color w:val="auto"/>
              </w:rPr>
            </w:pPr>
            <w:r>
              <w:rPr>
                <w:rFonts w:ascii="Arial" w:cs="Arial" w:eastAsia="Arial" w:hAnsi="Arial"/>
                <w:sz w:val="20"/>
                <w:szCs w:val="20"/>
                <w:color w:val="auto"/>
              </w:rPr>
              <w:t>Interest</w:t>
            </w:r>
          </w:p>
        </w:tc>
        <w:tc>
          <w:tcPr>
            <w:tcW w:w="660" w:type="dxa"/>
            <w:vAlign w:val="bottom"/>
          </w:tcPr>
          <w:p>
            <w:pPr>
              <w:jc w:val="right"/>
              <w:spacing w:after="0"/>
              <w:rPr>
                <w:sz w:val="20"/>
                <w:szCs w:val="20"/>
                <w:color w:val="auto"/>
              </w:rPr>
            </w:pPr>
            <w:r>
              <w:rPr>
                <w:rFonts w:ascii="Arial" w:cs="Arial" w:eastAsia="Arial" w:hAnsi="Arial"/>
                <w:sz w:val="20"/>
                <w:szCs w:val="20"/>
                <w:color w:val="auto"/>
              </w:rPr>
              <w:t>24.2</w:t>
            </w:r>
          </w:p>
        </w:tc>
        <w:tc>
          <w:tcPr>
            <w:tcW w:w="800" w:type="dxa"/>
            <w:vAlign w:val="bottom"/>
            <w:gridSpan w:val="3"/>
          </w:tcPr>
          <w:p>
            <w:pPr>
              <w:jc w:val="right"/>
              <w:ind w:right="40"/>
              <w:spacing w:after="0"/>
              <w:rPr>
                <w:sz w:val="20"/>
                <w:szCs w:val="20"/>
                <w:color w:val="auto"/>
              </w:rPr>
            </w:pPr>
            <w:r>
              <w:rPr>
                <w:rFonts w:ascii="Arial" w:cs="Arial" w:eastAsia="Arial" w:hAnsi="Arial"/>
                <w:sz w:val="20"/>
                <w:szCs w:val="20"/>
                <w:color w:val="auto"/>
              </w:rPr>
              <w:t>8.7</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9.4</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6.1</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r>
      <w:tr>
        <w:trPr>
          <w:trHeight w:val="90"/>
        </w:trPr>
        <w:tc>
          <w:tcPr>
            <w:tcW w:w="342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336699"/>
            </w:tcBorders>
          </w:tcPr>
          <w:p>
            <w:pPr>
              <w:spacing w:after="0"/>
              <w:rPr>
                <w:sz w:val="7"/>
                <w:szCs w:val="7"/>
                <w:color w:val="auto"/>
              </w:rPr>
            </w:pPr>
          </w:p>
        </w:tc>
      </w:tr>
      <w:tr>
        <w:trPr>
          <w:trHeight w:val="339"/>
        </w:trPr>
        <w:tc>
          <w:tcPr>
            <w:tcW w:w="3420" w:type="dxa"/>
            <w:vAlign w:val="bottom"/>
          </w:tcPr>
          <w:p>
            <w:pPr>
              <w:spacing w:after="0"/>
              <w:rPr>
                <w:sz w:val="20"/>
                <w:szCs w:val="20"/>
                <w:color w:val="auto"/>
              </w:rPr>
            </w:pPr>
            <w:r>
              <w:rPr>
                <w:rFonts w:ascii="Arial" w:cs="Arial" w:eastAsia="Arial" w:hAnsi="Arial"/>
                <w:sz w:val="20"/>
                <w:szCs w:val="20"/>
                <w:color w:val="auto"/>
              </w:rPr>
              <w:t>Total</w:t>
            </w:r>
          </w:p>
        </w:tc>
        <w:tc>
          <w:tcPr>
            <w:tcW w:w="660" w:type="dxa"/>
            <w:vAlign w:val="bottom"/>
          </w:tcPr>
          <w:p>
            <w:pPr>
              <w:jc w:val="right"/>
              <w:spacing w:after="0"/>
              <w:rPr>
                <w:sz w:val="20"/>
                <w:szCs w:val="20"/>
                <w:color w:val="auto"/>
              </w:rPr>
            </w:pPr>
            <w:r>
              <w:rPr>
                <w:rFonts w:ascii="Arial" w:cs="Arial" w:eastAsia="Arial" w:hAnsi="Arial"/>
                <w:sz w:val="20"/>
                <w:szCs w:val="20"/>
                <w:color w:val="auto"/>
              </w:rPr>
              <w:t>$212.6</w:t>
            </w:r>
          </w:p>
        </w:tc>
        <w:tc>
          <w:tcPr>
            <w:tcW w:w="800" w:type="dxa"/>
            <w:vAlign w:val="bottom"/>
            <w:gridSpan w:val="3"/>
          </w:tcPr>
          <w:p>
            <w:pPr>
              <w:jc w:val="right"/>
              <w:ind w:right="40"/>
              <w:spacing w:after="0"/>
              <w:rPr>
                <w:sz w:val="20"/>
                <w:szCs w:val="20"/>
                <w:color w:val="auto"/>
              </w:rPr>
            </w:pPr>
            <w:r>
              <w:rPr>
                <w:rFonts w:ascii="Arial" w:cs="Arial" w:eastAsia="Arial" w:hAnsi="Arial"/>
                <w:sz w:val="20"/>
                <w:szCs w:val="20"/>
                <w:color w:val="auto"/>
              </w:rPr>
              <w:t>$61.4</w:t>
            </w: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$66.8</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$81.4</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auto"/>
              </w:rPr>
              <w:t>$3.0</w:t>
            </w:r>
          </w:p>
        </w:tc>
      </w:tr>
      <w:tr>
        <w:trPr>
          <w:trHeight w:val="111"/>
        </w:trPr>
        <w:tc>
          <w:tcPr>
            <w:tcW w:w="3420" w:type="dxa"/>
            <w:vAlign w:val="bottom"/>
          </w:tcPr>
          <w:p>
            <w:pPr>
              <w:spacing w:after="0"/>
              <w:rPr>
                <w:sz w:val="9"/>
                <w:szCs w:val="9"/>
                <w:color w:val="auto"/>
              </w:rPr>
            </w:pPr>
          </w:p>
        </w:tc>
        <w:tc>
          <w:tcPr>
            <w:tcW w:w="66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66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78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-27940</wp:posOffset>
            </wp:positionV>
            <wp:extent cx="1270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-27940</wp:posOffset>
            </wp:positionV>
            <wp:extent cx="12700"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-27940</wp:posOffset>
            </wp:positionV>
            <wp:extent cx="12700"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-27940</wp:posOffset>
            </wp:positionV>
            <wp:extent cx="1270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-27940</wp:posOffset>
            </wp:positionV>
            <wp:extent cx="12700"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-27940</wp:posOffset>
            </wp:positionV>
            <wp:extent cx="12700" cy="28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-27940</wp:posOffset>
            </wp:positionV>
            <wp:extent cx="12700"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-27940</wp:posOffset>
            </wp:positionV>
            <wp:extent cx="12700" cy="28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-27940</wp:posOffset>
            </wp:positionV>
            <wp:extent cx="12700"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-27940</wp:posOffset>
            </wp:positionV>
            <wp:extent cx="12700" cy="28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firstLine="238"/>
        <w:spacing w:after="0" w:line="246" w:lineRule="auto"/>
        <w:rPr>
          <w:sz w:val="20"/>
          <w:szCs w:val="20"/>
          <w:color w:val="auto"/>
        </w:rPr>
      </w:pPr>
      <w:r>
        <w:rPr>
          <w:rFonts w:ascii="Arial" w:cs="Arial" w:eastAsia="Arial" w:hAnsi="Arial"/>
          <w:sz w:val="20"/>
          <w:szCs w:val="20"/>
          <w:color w:val="auto"/>
        </w:rPr>
        <w:t>As of November 1, 2009, the Company had recorded an accrual for tax contingencies of $2.0 million which was not included in the above table due to the high degree of uncertainty regarding the timing of future payments relating to such liabilities, and it was not practical to determine a reasonably reliable estimate of the amount and period when such liabilities might be paid.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00" w:lineRule="exact"/>
        <w:rPr>
          <w:sz w:val="20"/>
          <w:szCs w:val="20"/>
          <w:color w:val="auto"/>
        </w:rPr>
      </w:pPr>
    </w:p>
    <w:p>
      <w:pPr>
        <w:ind w:right="220" w:firstLine="299"/>
        <w:spacing w:after="0" w:line="242" w:lineRule="auto"/>
        <w:rPr>
          <w:sz w:val="20"/>
          <w:szCs w:val="20"/>
          <w:color w:val="auto"/>
        </w:rPr>
      </w:pPr>
      <w:r>
        <w:rPr>
          <w:rFonts w:ascii="Arial" w:cs="Arial" w:eastAsia="Arial" w:hAnsi="Arial"/>
          <w:sz w:val="20"/>
          <w:szCs w:val="20"/>
          <w:color w:val="auto"/>
        </w:rPr>
        <w:t>Under the Operating Agreement relating to the MP Mask joint venture, through May 5, 2010, the Company may be required to make additional capital contributions to the joint venture of up to a maximum amount as defined in the Operating Agreement. Through the end of fiscal year 2009, the Company has contributed $6.1 million to the joint venture, and has received two distributions from the joint venture totaling $10.0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00" w:lineRule="exact"/>
        <w:rPr>
          <w:sz w:val="20"/>
          <w:szCs w:val="20"/>
          <w:color w:val="auto"/>
        </w:rPr>
      </w:pPr>
    </w:p>
    <w:p>
      <w:pPr>
        <w:ind w:right="140" w:firstLine="246"/>
        <w:spacing w:after="0" w:line="259" w:lineRule="auto"/>
        <w:rPr>
          <w:sz w:val="20"/>
          <w:szCs w:val="20"/>
          <w:color w:val="auto"/>
        </w:rPr>
      </w:pPr>
      <w:r>
        <w:rPr>
          <w:rFonts w:ascii="Arial" w:cs="Arial" w:eastAsia="Arial" w:hAnsi="Arial"/>
          <w:sz w:val="19"/>
          <w:szCs w:val="19"/>
          <w:color w:val="auto"/>
        </w:rPr>
        <w:t>Total stock-based compensation expense for the year ended November 1, 2009 was $2.1 million, as compared to $2.6 million for the year ended November 2, 2008, substantially all of which is in selling, general and administrative expenses. No compensation cost was capitalized as part of inventory, and no income tax benefit has been recorded. As of November 1, 2009, total unrecognized compensation cost of $3.0 million is expected to be recognized over a weighted-average amortization period of 3.0 years.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200" w:lineRule="exact"/>
        <w:rPr>
          <w:sz w:val="20"/>
          <w:szCs w:val="20"/>
          <w:color w:val="auto"/>
        </w:rPr>
      </w:pPr>
    </w:p>
    <w:p>
      <w:pPr>
        <w:ind w:right="60" w:firstLine="238"/>
        <w:spacing w:after="0"/>
        <w:rPr>
          <w:sz w:val="20"/>
          <w:szCs w:val="20"/>
          <w:color w:val="auto"/>
        </w:rPr>
      </w:pPr>
      <w:r>
        <w:rPr>
          <w:rFonts w:ascii="Arial" w:cs="Arial" w:eastAsia="Arial" w:hAnsi="Arial"/>
          <w:sz w:val="20"/>
          <w:szCs w:val="20"/>
          <w:color w:val="auto"/>
        </w:rPr>
        <w:t>A majority of the Company's revenue growth has come from, and is expected to continue to come from, the Asian region as customers increase their use of manufacturing foundries located outside of North America and Europe. Additional revenue growth is also anticipated from North America and Europe as a result of utilizing technology licensed under the Company's technology license with Micron. The Company's Korean and Taiwanese operations are non-wholly owned subsidiaries; therefore a portion of earnings generated at each location is allocated to the minority shareholders.</w:t>
      </w:r>
    </w:p>
    <w:p>
      <w:pPr>
        <w:spacing w:after="0" w:line="171" w:lineRule="exact"/>
        <w:rPr>
          <w:sz w:val="20"/>
          <w:szCs w:val="20"/>
          <w:color w:val="auto"/>
        </w:rPr>
      </w:pPr>
    </w:p>
    <w:p>
      <w:pPr>
        <w:ind w:right="280" w:firstLine="246"/>
        <w:spacing w:after="0" w:line="242" w:lineRule="auto"/>
        <w:rPr>
          <w:sz w:val="20"/>
          <w:szCs w:val="20"/>
          <w:color w:val="auto"/>
        </w:rPr>
      </w:pPr>
      <w:r>
        <w:rPr>
          <w:rFonts w:ascii="Arial" w:cs="Arial" w:eastAsia="Arial" w:hAnsi="Arial"/>
          <w:sz w:val="20"/>
          <w:szCs w:val="20"/>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246"/>
        <w:spacing w:after="0" w:line="246" w:lineRule="auto"/>
        <w:rPr>
          <w:sz w:val="20"/>
          <w:szCs w:val="20"/>
          <w:color w:val="auto"/>
        </w:rPr>
      </w:pPr>
      <w:r>
        <w:rPr>
          <w:rFonts w:ascii="Arial" w:cs="Arial" w:eastAsia="Arial" w:hAnsi="Arial"/>
          <w:sz w:val="20"/>
          <w:szCs w:val="20"/>
          <w:color w:val="auto"/>
        </w:rPr>
        <w:t>The Company's future results of operations and the other forward-looking statements contained in this filing involve a number of risks and uncertainties. While various risks and uncertainties have been discussed, a number of other factors could cause actual results to differ materially from the Company's expectations.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Application of Critical Accounting Procedures</w:t>
      </w:r>
    </w:p>
    <w:p>
      <w:pPr>
        <w:spacing w:after="0" w:line="200" w:lineRule="exact"/>
        <w:rPr>
          <w:sz w:val="20"/>
          <w:szCs w:val="20"/>
          <w:color w:val="auto"/>
        </w:rPr>
      </w:pPr>
    </w:p>
    <w:p>
      <w:pPr>
        <w:ind w:right="240" w:firstLine="299"/>
        <w:spacing w:after="0" w:line="287" w:lineRule="auto"/>
        <w:rPr>
          <w:sz w:val="20"/>
          <w:szCs w:val="20"/>
          <w:color w:val="auto"/>
        </w:rPr>
      </w:pPr>
      <w:r>
        <w:rPr>
          <w:rFonts w:ascii="Arial" w:cs="Arial" w:eastAsia="Arial" w:hAnsi="Arial"/>
          <w:sz w:val="18"/>
          <w:szCs w:val="18"/>
          <w:color w:val="auto"/>
        </w:rPr>
        <w:t>The Company's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Estimates and Assumptions</w:t>
      </w:r>
    </w:p>
    <w:p>
      <w:pPr>
        <w:spacing w:after="0" w:line="194" w:lineRule="exact"/>
        <w:rPr>
          <w:sz w:val="20"/>
          <w:szCs w:val="20"/>
          <w:color w:val="auto"/>
        </w:rPr>
      </w:pPr>
    </w:p>
    <w:p>
      <w:pPr>
        <w:ind w:firstLine="246"/>
        <w:spacing w:after="0" w:line="251"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Significant accounting estimates include those used in the testing of long-lived assets for potential impairment, and those used in developing income tax provisions, allowances for uncollectible accounts receivable, inventory valuation allowances, restructuring reserves and valuation models.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Financial Instruments</w:t>
      </w:r>
    </w:p>
    <w:p>
      <w:pPr>
        <w:sectPr>
          <w:pgSz w:w="11900" w:h="16838" w:orient="portrait"/>
          <w:cols w:equalWidth="0" w:num="1">
            <w:col w:w="11360"/>
          </w:cols>
          <w:pgMar w:left="240" w:top="345" w:right="299" w:bottom="182" w:gutter="0" w:footer="0" w:header="0"/>
        </w:sectPr>
      </w:pPr>
    </w:p>
    <w:bookmarkStart w:id="21" w:name="page22"/>
    <w:bookmarkEnd w:id="21"/>
    <w:p>
      <w:pPr>
        <w:ind w:right="60" w:firstLine="246"/>
        <w:spacing w:after="0" w:line="242" w:lineRule="auto"/>
        <w:rPr>
          <w:sz w:val="20"/>
          <w:szCs w:val="20"/>
          <w:color w:val="auto"/>
        </w:rPr>
      </w:pPr>
      <w:r>
        <w:rPr>
          <w:rFonts w:ascii="Arial" w:cs="Arial" w:eastAsia="Arial" w:hAnsi="Arial"/>
          <w:sz w:val="20"/>
          <w:szCs w:val="20"/>
          <w:color w:val="auto"/>
        </w:rPr>
        <w:t>The fair values of the Company's short-term and long-term investments and its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Derivative Instruments and Hedging Activities</w:t>
      </w:r>
    </w:p>
    <w:p>
      <w:pPr>
        <w:spacing w:after="0" w:line="194" w:lineRule="exact"/>
        <w:rPr>
          <w:sz w:val="20"/>
          <w:szCs w:val="20"/>
          <w:color w:val="auto"/>
        </w:rPr>
      </w:pPr>
    </w:p>
    <w:p>
      <w:pPr>
        <w:ind w:firstLine="246"/>
        <w:spacing w:after="0" w:line="266" w:lineRule="auto"/>
        <w:rPr>
          <w:sz w:val="20"/>
          <w:szCs w:val="20"/>
          <w:color w:val="auto"/>
        </w:rPr>
      </w:pPr>
      <w:r>
        <w:rPr>
          <w:rFonts w:ascii="Arial" w:cs="Arial" w:eastAsia="Arial" w:hAnsi="Arial"/>
          <w:sz w:val="18"/>
          <w:szCs w:val="18"/>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reported in the consolidated statements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of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and Equipment</w:t>
      </w:r>
    </w:p>
    <w:p>
      <w:pPr>
        <w:spacing w:after="0" w:line="194" w:lineRule="exact"/>
        <w:rPr>
          <w:sz w:val="20"/>
          <w:szCs w:val="20"/>
          <w:color w:val="auto"/>
        </w:rPr>
      </w:pPr>
    </w:p>
    <w:p>
      <w:pPr>
        <w:ind w:right="80" w:firstLine="249"/>
        <w:spacing w:after="0" w:line="278"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38" w:lineRule="exact"/>
        <w:rPr>
          <w:sz w:val="20"/>
          <w:szCs w:val="20"/>
          <w:color w:val="auto"/>
        </w:rPr>
      </w:pPr>
    </w:p>
    <w:p>
      <w:pPr>
        <w:ind w:right="220" w:firstLine="249"/>
        <w:spacing w:after="0" w:line="246" w:lineRule="auto"/>
        <w:rPr>
          <w:sz w:val="20"/>
          <w:szCs w:val="20"/>
          <w:color w:val="auto"/>
        </w:rPr>
      </w:pPr>
      <w:r>
        <w:rPr>
          <w:rFonts w:ascii="Arial" w:cs="Arial" w:eastAsia="Arial" w:hAnsi="Arial"/>
          <w:sz w:val="20"/>
          <w:szCs w:val="20"/>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 may not be recoverable.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Other Intangible Assets</w:t>
      </w:r>
    </w:p>
    <w:p>
      <w:pPr>
        <w:spacing w:after="0" w:line="194" w:lineRule="exact"/>
        <w:rPr>
          <w:sz w:val="20"/>
          <w:szCs w:val="20"/>
          <w:color w:val="auto"/>
        </w:rPr>
      </w:pPr>
    </w:p>
    <w:p>
      <w:pPr>
        <w:ind w:right="100" w:firstLine="249"/>
        <w:spacing w:after="0" w:line="254" w:lineRule="auto"/>
        <w:rPr>
          <w:sz w:val="20"/>
          <w:szCs w:val="20"/>
          <w:color w:val="auto"/>
        </w:rPr>
      </w:pPr>
      <w:r>
        <w:rPr>
          <w:rFonts w:ascii="Arial" w:cs="Arial" w:eastAsia="Arial" w:hAnsi="Arial"/>
          <w:sz w:val="19"/>
          <w:szCs w:val="19"/>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more fairly represents the utilization of the assets. The future economic benefit of the carrying values of intangible assets that are subject to amortization are tested for recoverability whenever events or changes in circumstances indicate the carrying value of an intangible asset may not be recoverable based on undiscounted cash flows or market factors, and an impairment loss would be recorded in the period so determined.</w:t>
      </w:r>
    </w:p>
    <w:p>
      <w:pPr>
        <w:spacing w:after="0" w:line="158" w:lineRule="exact"/>
        <w:rPr>
          <w:sz w:val="20"/>
          <w:szCs w:val="20"/>
          <w:color w:val="auto"/>
        </w:rPr>
      </w:pPr>
    </w:p>
    <w:p>
      <w:pPr>
        <w:ind w:firstLine="246"/>
        <w:spacing w:after="0" w:line="266" w:lineRule="auto"/>
        <w:rPr>
          <w:sz w:val="20"/>
          <w:szCs w:val="20"/>
          <w:color w:val="auto"/>
        </w:rPr>
      </w:pPr>
      <w:r>
        <w:rPr>
          <w:rFonts w:ascii="Arial" w:cs="Arial" w:eastAsia="Arial" w:hAnsi="Arial"/>
          <w:sz w:val="18"/>
          <w:szCs w:val="18"/>
          <w:color w:val="auto"/>
        </w:rPr>
        <w:t>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For purposes of testing impairment, the Company is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54" w:lineRule="exact"/>
        <w:rPr>
          <w:sz w:val="20"/>
          <w:szCs w:val="20"/>
          <w:color w:val="auto"/>
        </w:rPr>
      </w:pPr>
    </w:p>
    <w:p>
      <w:pPr>
        <w:ind w:right="120" w:firstLine="249"/>
        <w:spacing w:after="0" w:line="442" w:lineRule="auto"/>
        <w:rPr>
          <w:sz w:val="20"/>
          <w:szCs w:val="20"/>
          <w:color w:val="auto"/>
        </w:rPr>
      </w:pPr>
      <w:r>
        <w:rPr>
          <w:rFonts w:ascii="Arial" w:cs="Arial" w:eastAsia="Arial" w:hAnsi="Arial"/>
          <w:sz w:val="20"/>
          <w:szCs w:val="20"/>
          <w:color w:val="auto"/>
        </w:rPr>
        <w:t xml:space="preserve">In connection with the Company's latest test, the Company wrote off all of its $138.5 million of goodwill in its third fiscal quarter of 2008. </w:t>
      </w:r>
      <w:r>
        <w:rPr>
          <w:rFonts w:ascii="Arial" w:cs="Arial" w:eastAsia="Arial" w:hAnsi="Arial"/>
          <w:sz w:val="20"/>
          <w:szCs w:val="20"/>
          <w:i w:val="1"/>
          <w:iCs w:val="1"/>
          <w:color w:val="auto"/>
        </w:rPr>
        <w:t>Impairment of Long-Lived Assets</w:t>
      </w:r>
    </w:p>
    <w:p>
      <w:pPr>
        <w:ind w:right="60" w:firstLine="249"/>
        <w:spacing w:after="0" w:line="27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assets.</w:t>
      </w:r>
    </w:p>
    <w:p>
      <w:pPr>
        <w:spacing w:after="0" w:line="138" w:lineRule="exact"/>
        <w:rPr>
          <w:sz w:val="20"/>
          <w:szCs w:val="20"/>
          <w:color w:val="auto"/>
        </w:rPr>
      </w:pPr>
    </w:p>
    <w:p>
      <w:pPr>
        <w:ind w:right="360" w:firstLine="246"/>
        <w:spacing w:after="0" w:line="258" w:lineRule="auto"/>
        <w:rPr>
          <w:sz w:val="20"/>
          <w:szCs w:val="20"/>
          <w:color w:val="auto"/>
        </w:rPr>
      </w:pPr>
      <w:r>
        <w:rPr>
          <w:rFonts w:ascii="Arial" w:cs="Arial" w:eastAsia="Arial" w:hAnsi="Arial"/>
          <w:sz w:val="20"/>
          <w:szCs w:val="20"/>
          <w:color w:val="auto"/>
        </w:rPr>
        <w:t>The carrying values of the assets determined to be impaired are reduced to their estimated fair values. Fair values of the impaired assets would generally be determined using a market or income approach.</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Joint Venture</w:t>
      </w:r>
    </w:p>
    <w:p>
      <w:pPr>
        <w:spacing w:after="0" w:line="194" w:lineRule="exact"/>
        <w:rPr>
          <w:sz w:val="20"/>
          <w:szCs w:val="20"/>
          <w:color w:val="auto"/>
        </w:rPr>
      </w:pPr>
    </w:p>
    <w:p>
      <w:pPr>
        <w:jc w:val="both"/>
        <w:ind w:right="220" w:firstLine="249"/>
        <w:spacing w:after="0" w:line="278" w:lineRule="auto"/>
        <w:rPr>
          <w:sz w:val="20"/>
          <w:szCs w:val="20"/>
          <w:color w:val="auto"/>
        </w:rPr>
      </w:pPr>
      <w:r>
        <w:rPr>
          <w:rFonts w:ascii="Arial" w:cs="Arial" w:eastAsia="Arial" w:hAnsi="Arial"/>
          <w:sz w:val="18"/>
          <w:szCs w:val="18"/>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decline in the value of such an investment below its carrying amount is determined to be other than temporary. In judging "other than temporary," the Company would consider the length of time and extent to which the fair value of the investment has been less than the</w:t>
      </w:r>
    </w:p>
    <w:p>
      <w:pPr>
        <w:sectPr>
          <w:pgSz w:w="11900" w:h="16838" w:orient="portrait"/>
          <w:cols w:equalWidth="0" w:num="1">
            <w:col w:w="11420"/>
          </w:cols>
          <w:pgMar w:left="240" w:top="120" w:right="239" w:bottom="0" w:gutter="0" w:footer="0" w:header="0"/>
        </w:sectPr>
      </w:pPr>
    </w:p>
    <w:bookmarkStart w:id="22" w:name="page23"/>
    <w:bookmarkEnd w:id="22"/>
    <w:p>
      <w:pPr>
        <w:ind w:right="40"/>
        <w:spacing w:after="0" w:line="259" w:lineRule="auto"/>
        <w:rPr>
          <w:sz w:val="20"/>
          <w:szCs w:val="20"/>
          <w:color w:val="auto"/>
        </w:rPr>
      </w:pPr>
      <w:r>
        <w:rPr>
          <w:rFonts w:ascii="Arial" w:cs="Arial" w:eastAsia="Arial" w:hAnsi="Arial"/>
          <w:sz w:val="20"/>
          <w:szCs w:val="20"/>
          <w:color w:val="auto"/>
        </w:rPr>
        <w:t>carrying amount of the investment, the near-term and longer-term operating and financial prospects of the investee, and the Company's longer-term intent of retaining the investment in the investee.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94" w:lineRule="exact"/>
        <w:rPr>
          <w:sz w:val="20"/>
          <w:szCs w:val="20"/>
          <w:color w:val="auto"/>
        </w:rPr>
      </w:pPr>
    </w:p>
    <w:p>
      <w:pPr>
        <w:ind w:firstLine="246"/>
        <w:spacing w:after="0" w:line="242" w:lineRule="auto"/>
        <w:rPr>
          <w:sz w:val="20"/>
          <w:szCs w:val="20"/>
          <w:color w:val="auto"/>
        </w:rPr>
      </w:pPr>
      <w:r>
        <w:rPr>
          <w:rFonts w:ascii="Arial" w:cs="Arial" w:eastAsia="Arial" w:hAnsi="Arial"/>
          <w:sz w:val="20"/>
          <w:szCs w:val="20"/>
          <w:color w:val="auto"/>
        </w:rPr>
        <w:t>The income tax (provision) benefit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by considering future market growth, forecasted operations, future taxable income, and the amounts of earnings in the tax jurisdictions in which it operates.</w:t>
      </w:r>
    </w:p>
    <w:p>
      <w:pPr>
        <w:spacing w:after="0" w:line="154" w:lineRule="exact"/>
        <w:rPr>
          <w:sz w:val="20"/>
          <w:szCs w:val="20"/>
          <w:color w:val="auto"/>
        </w:rPr>
      </w:pPr>
    </w:p>
    <w:p>
      <w:pPr>
        <w:ind w:right="20" w:firstLine="246"/>
        <w:spacing w:after="0" w:line="267" w:lineRule="auto"/>
        <w:rPr>
          <w:sz w:val="20"/>
          <w:szCs w:val="20"/>
          <w:color w:val="auto"/>
        </w:rPr>
      </w:pPr>
      <w:r>
        <w:rPr>
          <w:rFonts w:ascii="Arial" w:cs="Arial" w:eastAsia="Arial" w:hAnsi="Arial"/>
          <w:sz w:val="18"/>
          <w:szCs w:val="18"/>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more likely than not. Accordingly, income taxes in the consolidated statements of operations are impacted by changes in the valuation allowance. Significant management estimates and judgment are required in determining any valuation allowance recorded against net deferred tax assets. The Company accounts for uncertain tax positions by recording a liability for unrecognized tax benefits resulting from uncertain tax positions taken, or expected to be taken, in its tax returns.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194" w:lineRule="exact"/>
        <w:rPr>
          <w:sz w:val="20"/>
          <w:szCs w:val="20"/>
          <w:color w:val="auto"/>
        </w:rPr>
      </w:pPr>
    </w:p>
    <w:p>
      <w:pPr>
        <w:ind w:right="320" w:firstLine="246"/>
        <w:spacing w:after="0" w:line="265" w:lineRule="auto"/>
        <w:rPr>
          <w:sz w:val="20"/>
          <w:szCs w:val="20"/>
          <w:color w:val="auto"/>
        </w:rPr>
      </w:pPr>
      <w:r>
        <w:rPr>
          <w:rFonts w:ascii="Arial" w:cs="Arial" w:eastAsia="Arial" w:hAnsi="Arial"/>
          <w:sz w:val="19"/>
          <w:szCs w:val="19"/>
          <w:color w:val="auto"/>
        </w:rPr>
        <w:t>The Company recognizes revenue when there is persuasive evidence that an arrangement exists, delivery has occurred, the sales price is fixed or determinable, and collectibility is reasonably assured. The Company uses judgment when estimating the effect on revenue of discounts and product warranty obligations, both of which are accrued when the related revenue is recognized.</w:t>
      </w:r>
    </w:p>
    <w:p>
      <w:pPr>
        <w:spacing w:after="0" w:line="149" w:lineRule="exact"/>
        <w:rPr>
          <w:sz w:val="20"/>
          <w:szCs w:val="20"/>
          <w:color w:val="auto"/>
        </w:rPr>
      </w:pPr>
    </w:p>
    <w:p>
      <w:pPr>
        <w:ind w:right="60" w:firstLine="249"/>
        <w:spacing w:after="0" w:line="270"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48" w:lineRule="exact"/>
        <w:rPr>
          <w:sz w:val="20"/>
          <w:szCs w:val="20"/>
          <w:color w:val="auto"/>
        </w:rPr>
      </w:pPr>
    </w:p>
    <w:p>
      <w:pPr>
        <w:ind w:right="520" w:firstLine="249"/>
        <w:spacing w:after="0" w:line="258" w:lineRule="auto"/>
        <w:rPr>
          <w:sz w:val="20"/>
          <w:szCs w:val="20"/>
          <w:color w:val="auto"/>
        </w:rPr>
      </w:pPr>
      <w:r>
        <w:rPr>
          <w:rFonts w:ascii="Arial" w:cs="Arial" w:eastAsia="Arial" w:hAnsi="Arial"/>
          <w:sz w:val="20"/>
          <w:szCs w:val="20"/>
          <w:u w:val="single" w:color="auto"/>
          <w:color w:val="auto"/>
        </w:rPr>
        <w:t>Sales Taxes</w:t>
      </w:r>
      <w:r>
        <w:rPr>
          <w:rFonts w:ascii="Arial" w:cs="Arial" w:eastAsia="Arial" w:hAnsi="Arial"/>
          <w:sz w:val="20"/>
          <w:szCs w:val="20"/>
          <w:color w:val="auto"/>
        </w:rPr>
        <w:t xml:space="preserve"> - The Company presents it revenues in the consolidated statements of operations net of sales taxes, if any (excluded from revenues).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w:t>
      </w:r>
    </w:p>
    <w:p>
      <w:pPr>
        <w:spacing w:after="0" w:line="194" w:lineRule="exact"/>
        <w:rPr>
          <w:sz w:val="20"/>
          <w:szCs w:val="20"/>
          <w:color w:val="auto"/>
        </w:rPr>
      </w:pPr>
    </w:p>
    <w:p>
      <w:pPr>
        <w:ind w:firstLine="246"/>
        <w:spacing w:after="0" w:line="265" w:lineRule="auto"/>
        <w:rPr>
          <w:sz w:val="20"/>
          <w:szCs w:val="20"/>
          <w:color w:val="auto"/>
        </w:rPr>
      </w:pPr>
      <w:r>
        <w:rPr>
          <w:rFonts w:ascii="Arial" w:cs="Arial" w:eastAsia="Arial" w:hAnsi="Arial"/>
          <w:sz w:val="18"/>
          <w:szCs w:val="18"/>
          <w:color w:val="auto"/>
        </w:rPr>
        <w:t>The Company adopted Statement of Financial Accounting Standards (SFAS) No. 123(R) "Share-Based Payment" (primarily codified under Financial Accounting Standards Board (FASB) Accounting Standards Codification (ASC 718)) on October 31, 2005, using the modified prospective method. Subsequently, compensation expense is recognized in the Company's consolidated statements of operations over the service period that the awards are expected to vest. The Company recognizes expense for all stock-based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vesting date represented a separate award. Stock-based compensation expense includes the estimated effects of forfeitures, which will be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The Company adopted the alternative transition method provided in FASB Staff Position No. 123(R)-3 for calculating the tax effects of share-based compensation. Determining the appropriate option pricing model and calculating the grant date fair value of stock-based awards requires considerable judgment, including estimating stock price volatility and the expected term of options granted.</w:t>
      </w:r>
    </w:p>
    <w:p>
      <w:pPr>
        <w:spacing w:after="0" w:line="149" w:lineRule="exact"/>
        <w:rPr>
          <w:sz w:val="20"/>
          <w:szCs w:val="20"/>
          <w:color w:val="auto"/>
        </w:rPr>
      </w:pPr>
    </w:p>
    <w:p>
      <w:pPr>
        <w:ind w:right="160" w:firstLine="246"/>
        <w:spacing w:after="0" w:line="246" w:lineRule="auto"/>
        <w:rPr>
          <w:sz w:val="20"/>
          <w:szCs w:val="20"/>
          <w:color w:val="auto"/>
        </w:rPr>
      </w:pPr>
      <w:r>
        <w:rPr>
          <w:rFonts w:ascii="Arial" w:cs="Arial" w:eastAsia="Arial" w:hAnsi="Arial"/>
          <w:sz w:val="20"/>
          <w:szCs w:val="20"/>
          <w:color w:val="auto"/>
        </w:rPr>
        <w:t>The Company uses the Black-Scholes option valuation model to value employee stock options. The Company estimates stock price volatility based on daily averages of its historical volatility over a term approximately equal to the grant's estimated option life. The expected term of options and forfeiture rate assumptions are derived from historical data.</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 of New Accounting Standards</w:t>
      </w:r>
    </w:p>
    <w:p>
      <w:pPr>
        <w:spacing w:after="0" w:line="200" w:lineRule="exact"/>
        <w:rPr>
          <w:sz w:val="20"/>
          <w:szCs w:val="20"/>
          <w:color w:val="auto"/>
        </w:rPr>
      </w:pPr>
    </w:p>
    <w:p>
      <w:pPr>
        <w:ind w:right="260" w:firstLine="249"/>
        <w:spacing w:after="0" w:line="258" w:lineRule="auto"/>
        <w:rPr>
          <w:sz w:val="20"/>
          <w:szCs w:val="20"/>
          <w:color w:val="auto"/>
        </w:rPr>
      </w:pPr>
      <w:r>
        <w:rPr>
          <w:rFonts w:ascii="Arial" w:cs="Arial" w:eastAsia="Arial" w:hAnsi="Arial"/>
          <w:sz w:val="20"/>
          <w:szCs w:val="20"/>
          <w:color w:val="auto"/>
        </w:rPr>
        <w:t>In September 2009, the FASB issued Accounting Standards Update (ASU) No. 2009-13 which provides amended guidance for multiple-deliverable revenue arrangements. ASU No. 2009-13 changes the criteria for separating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consideration in multiple-deliverable arrangements by establishing a selling price hierarchy for determining the selling price of a deliverable. Under ASU No. 2009-13, the selling price for each deliverable in a multiple-deliverable arrangement will, in order of preference and when available, be based on vendor specific objective evidence, third party evidence, or estimated selling price. ASU No. 2009-13 prescribes that</w:t>
      </w:r>
    </w:p>
    <w:p>
      <w:pPr>
        <w:sectPr>
          <w:pgSz w:w="11900" w:h="16838" w:orient="portrait"/>
          <w:cols w:equalWidth="0" w:num="1">
            <w:col w:w="11420"/>
          </w:cols>
          <w:pgMar w:left="240" w:top="120" w:right="239" w:bottom="0" w:gutter="0" w:footer="0" w:header="0"/>
        </w:sectPr>
      </w:pPr>
    </w:p>
    <w:bookmarkStart w:id="23" w:name="page24"/>
    <w:bookmarkEnd w:id="23"/>
    <w:p>
      <w:pPr>
        <w:spacing w:after="0" w:line="254" w:lineRule="auto"/>
        <w:rPr>
          <w:sz w:val="20"/>
          <w:szCs w:val="20"/>
          <w:color w:val="auto"/>
        </w:rPr>
      </w:pPr>
      <w:r>
        <w:rPr>
          <w:rFonts w:ascii="Arial" w:cs="Arial" w:eastAsia="Arial" w:hAnsi="Arial"/>
          <w:sz w:val="19"/>
          <w:szCs w:val="19"/>
          <w:color w:val="auto"/>
        </w:rPr>
        <w:t>estimated selling price be determined in a manner that is consistent with that used to determine the price to sell the deliverable on a stand alone basis, and eliminates the residual method of allocation and requires that arrangement consideration be allocated at the inception of the arrangement to all deliverables using the relative selling price method. ASU No. 2009-13 also significantly expands the disclosures related to multiple-deliverable arrangements, and is effective prospectively for revenue arrangements entered into or materially modified in fiscal years beginning on or after June 2010 with early adoption permitted. The Company does not expect that the adoption of ASU No. 2009-13 will have a material impact on its consolidated financial statements.</w:t>
      </w:r>
    </w:p>
    <w:p>
      <w:pPr>
        <w:spacing w:after="0" w:line="159" w:lineRule="exact"/>
        <w:rPr>
          <w:sz w:val="20"/>
          <w:szCs w:val="20"/>
          <w:color w:val="auto"/>
        </w:rPr>
      </w:pPr>
    </w:p>
    <w:p>
      <w:pPr>
        <w:ind w:right="80" w:firstLine="249"/>
        <w:spacing w:after="0"/>
        <w:rPr>
          <w:sz w:val="20"/>
          <w:szCs w:val="20"/>
          <w:color w:val="auto"/>
        </w:rPr>
      </w:pPr>
      <w:r>
        <w:rPr>
          <w:rFonts w:ascii="Arial" w:cs="Arial" w:eastAsia="Arial" w:hAnsi="Arial"/>
          <w:sz w:val="20"/>
          <w:szCs w:val="20"/>
          <w:color w:val="auto"/>
        </w:rPr>
        <w:t>In August 2009, the FASB issued ASU No. 2009-05 which provides amended guidance for the fair value measurement of liabilities. ASU No.2009-05 clarifies, among other things, that in circumstances in which a quoted market price in an active market for the identical liability is not available, a reporting entity is required to measure fair value using valuation techniques specified in the ASU. ASU No. 2009-05 was adopted by the Company on November 2, 2009. The adoption of ASU No. 2009-05 did not have a material impact on the Company's consolidated financial statements.</w:t>
      </w:r>
    </w:p>
    <w:p>
      <w:pPr>
        <w:spacing w:after="0" w:line="171" w:lineRule="exact"/>
        <w:rPr>
          <w:sz w:val="20"/>
          <w:szCs w:val="20"/>
          <w:color w:val="auto"/>
        </w:rPr>
      </w:pPr>
    </w:p>
    <w:p>
      <w:pPr>
        <w:ind w:right="80" w:firstLine="249"/>
        <w:spacing w:after="0" w:line="266" w:lineRule="auto"/>
        <w:rPr>
          <w:sz w:val="20"/>
          <w:szCs w:val="20"/>
          <w:color w:val="auto"/>
        </w:rPr>
      </w:pPr>
      <w:r>
        <w:rPr>
          <w:rFonts w:ascii="Arial" w:cs="Arial" w:eastAsia="Arial" w:hAnsi="Arial"/>
          <w:sz w:val="18"/>
          <w:szCs w:val="18"/>
          <w:color w:val="auto"/>
        </w:rPr>
        <w:t>In June 2009 the FASB issued SFAS No. 168, "The FASB Accounting Standards Codification and the Hierarchy of Generally Accepted Accounting Principles - a replacement of FASB Statement No. 162" (primarily codified under ASC 105). With limited "grandfathered" exceptions, SFAS No. 168 establishes the FASB Accounting Standards Codification, along with rules and interpretative releases of the Securities and Exchange Commission, as being the sources of authoritative U.S. generally accepted accounting principles (GAAP) recognized by the FASB to be applied to SEC registrants. SFAS No. 168 also superseded SFAS No. 162 "The Hierarchy of Generally Accepted Accounting Principles" as all of the contents of the FASB Accounting Standards Codification carries the same level of authority, thereby modifying the hierarchy of GAAP to include only two levels: authoritative and non-authoritative. SFAS No. 168 is effective for financial statements issued for interim and annual periods ended after September 15, 2009. The Company adopted this guidance during the three month period ended November 1, 2009 and its adoption did not materially impact its consolidated financial statements.</w:t>
      </w:r>
    </w:p>
    <w:p>
      <w:pPr>
        <w:spacing w:after="0" w:line="154" w:lineRule="exact"/>
        <w:rPr>
          <w:sz w:val="20"/>
          <w:szCs w:val="20"/>
          <w:color w:val="auto"/>
        </w:rPr>
      </w:pPr>
    </w:p>
    <w:p>
      <w:pPr>
        <w:ind w:right="20" w:firstLine="249"/>
        <w:spacing w:after="0" w:line="266" w:lineRule="auto"/>
        <w:rPr>
          <w:sz w:val="20"/>
          <w:szCs w:val="20"/>
          <w:color w:val="auto"/>
        </w:rPr>
      </w:pPr>
      <w:r>
        <w:rPr>
          <w:rFonts w:ascii="Arial" w:cs="Arial" w:eastAsia="Arial" w:hAnsi="Arial"/>
          <w:sz w:val="18"/>
          <w:szCs w:val="18"/>
          <w:color w:val="auto"/>
        </w:rPr>
        <w:t>In June 2009 the FASB issued SFAS No. 167, Amendments to FASB Interpretation No. 46(R) (primarily codified under ASC 810). SFAS No. 167 amends Interpretation 46(R) to require an enterprise to perform an analysis to determine whether its variable interest or interests give it a controlling financial interest in a variable interest entity. This analysis is to identify the primary beneficiary of the variable interest entity as being the enterprise that has certain characteristics described in SFAS No. 167. SFAS No. 167, in addition to other requirements, requires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SFAS No. 167 is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154" w:lineRule="exact"/>
        <w:rPr>
          <w:sz w:val="20"/>
          <w:szCs w:val="20"/>
          <w:color w:val="auto"/>
        </w:rPr>
      </w:pPr>
    </w:p>
    <w:p>
      <w:pPr>
        <w:ind w:firstLine="249"/>
        <w:spacing w:after="0" w:line="270" w:lineRule="auto"/>
        <w:rPr>
          <w:sz w:val="20"/>
          <w:szCs w:val="20"/>
          <w:color w:val="auto"/>
        </w:rPr>
      </w:pPr>
      <w:r>
        <w:rPr>
          <w:rFonts w:ascii="Arial" w:cs="Arial" w:eastAsia="Arial" w:hAnsi="Arial"/>
          <w:sz w:val="18"/>
          <w:szCs w:val="18"/>
          <w:color w:val="auto"/>
        </w:rPr>
        <w:t>In May 2008, the FASB issued FSP No. APB 14-1, "Accounting for Convertible Debt Instruments That May Be Settled in Cash upon Conversion (Including Partial Cash Settlement) (codified under ASC 470)."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adopted this guidance on November 2, 2009. Its adoption had no effect on the Company's consolidated financial statements.</w:t>
      </w:r>
    </w:p>
    <w:p>
      <w:pPr>
        <w:spacing w:after="0" w:line="148" w:lineRule="exact"/>
        <w:rPr>
          <w:sz w:val="20"/>
          <w:szCs w:val="20"/>
          <w:color w:val="auto"/>
        </w:rPr>
      </w:pPr>
    </w:p>
    <w:p>
      <w:pPr>
        <w:ind w:right="20" w:firstLine="249"/>
        <w:spacing w:after="0" w:line="254" w:lineRule="auto"/>
        <w:rPr>
          <w:sz w:val="20"/>
          <w:szCs w:val="20"/>
          <w:color w:val="auto"/>
        </w:rPr>
      </w:pPr>
      <w:r>
        <w:rPr>
          <w:rFonts w:ascii="Arial" w:cs="Arial" w:eastAsia="Arial" w:hAnsi="Arial"/>
          <w:sz w:val="19"/>
          <w:szCs w:val="19"/>
          <w:color w:val="auto"/>
        </w:rPr>
        <w:t>In February 2008, the FASB issued FSP No. 157-2 "Effective Date of FASB Statement No.157" (codified under ASC 820), which delayed the effective date of FASB Statement No. 157 "Fair Value Measurements" for nonfinancial assets and nonfinancial liabilities, except for items that are recognized or disclosed at fair value in the financial statements on a recurring basis (at least annually). The Company elected to defer the application of SFAS No. 157 to any nonfinancial assets and nonfinancial liabilities to which it would apply. The deferral expires in the Company's first fiscal quarter of 2010, when the Company will adopt the deferred provisions of this guidance. The adoption of this guidance is not expected to have a material effect on the Company's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firstLine="299"/>
        <w:spacing w:after="0" w:line="278"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Accounting Research Bulletin No. 51" (codified under ASC 810). SFAS No. 160 establishes accounting and reporting standards for the noncontrolling interest in a subsidiary and for the deconsolidation of a subsidiary. The Company adopted this guidance on November 2, 2009. Its adoption resulted in the reclassification of its $49.9 million of minority interest in the consolidated balance sheet to equity.</w:t>
      </w:r>
    </w:p>
    <w:p>
      <w:pPr>
        <w:spacing w:after="0" w:line="138" w:lineRule="exact"/>
        <w:rPr>
          <w:sz w:val="20"/>
          <w:szCs w:val="20"/>
          <w:color w:val="auto"/>
        </w:rPr>
      </w:pPr>
    </w:p>
    <w:p>
      <w:pPr>
        <w:ind w:right="20" w:firstLine="249"/>
        <w:spacing w:after="0" w:line="269" w:lineRule="auto"/>
        <w:rPr>
          <w:sz w:val="20"/>
          <w:szCs w:val="20"/>
          <w:color w:val="auto"/>
        </w:rPr>
      </w:pPr>
      <w:r>
        <w:rPr>
          <w:rFonts w:ascii="Arial" w:cs="Arial" w:eastAsia="Arial" w:hAnsi="Arial"/>
          <w:sz w:val="18"/>
          <w:szCs w:val="18"/>
          <w:color w:val="auto"/>
        </w:rPr>
        <w:t>In December 2007, the FASB issued SFAS No. 141(R), "Business Combinations" (codified under ASC 805).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The Company adopted this guidance on November 2, 2009. Its adoption had no effect on its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00" w:lineRule="exact"/>
        <w:rPr>
          <w:sz w:val="20"/>
          <w:szCs w:val="20"/>
          <w:color w:val="auto"/>
        </w:rPr>
      </w:pPr>
    </w:p>
    <w:p>
      <w:pPr>
        <w:ind w:firstLine="246"/>
        <w:spacing w:after="0" w:line="287" w:lineRule="auto"/>
        <w:rPr>
          <w:sz w:val="20"/>
          <w:szCs w:val="20"/>
          <w:color w:val="auto"/>
        </w:rPr>
      </w:pPr>
      <w:r>
        <w:rPr>
          <w:rFonts w:ascii="Arial" w:cs="Arial" w:eastAsia="Arial" w:hAnsi="Arial"/>
          <w:sz w:val="17"/>
          <w:szCs w:val="17"/>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w:t>
      </w:r>
    </w:p>
    <w:p>
      <w:pPr>
        <w:sectPr>
          <w:pgSz w:w="11900" w:h="16838" w:orient="portrait"/>
          <w:cols w:equalWidth="0" w:num="1">
            <w:col w:w="11420"/>
          </w:cols>
          <w:pgMar w:left="240" w:top="120" w:right="239" w:bottom="0" w:gutter="0" w:footer="0" w:header="0"/>
        </w:sectPr>
      </w:pPr>
    </w:p>
    <w:bookmarkStart w:id="24" w:name="page25"/>
    <w:bookmarkEnd w:id="24"/>
    <w:p>
      <w:pPr>
        <w:ind w:right="680"/>
        <w:spacing w:after="0" w:line="259" w:lineRule="auto"/>
        <w:rPr>
          <w:sz w:val="20"/>
          <w:szCs w:val="20"/>
          <w:color w:val="auto"/>
        </w:rPr>
      </w:pPr>
      <w:r>
        <w:rPr>
          <w:rFonts w:ascii="Arial" w:cs="Arial" w:eastAsia="Arial" w:hAnsi="Arial"/>
          <w:sz w:val="20"/>
          <w:szCs w:val="20"/>
          <w:color w:val="auto"/>
        </w:rPr>
        <w:t>variability of future cash flows caused by movements in foreign currency exchange and interest rates. The Company documents its risk management strategy and hedge effectiveness at the inception of, and during the term of each hedge.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00" w:lineRule="exact"/>
        <w:rPr>
          <w:sz w:val="20"/>
          <w:szCs w:val="20"/>
          <w:color w:val="auto"/>
        </w:rPr>
      </w:pPr>
    </w:p>
    <w:p>
      <w:pPr>
        <w:ind w:right="120" w:firstLine="246"/>
        <w:spacing w:after="0" w:line="278"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and retained earnings. The functional currencies of the Company's Asian subsidiaries are the Korean won, New Taiwan dollar, Singapore dollar and the Chinese renminbi. The functional currencies of the Company's European subsidiaries are the British pound, the euro.</w:t>
      </w:r>
    </w:p>
    <w:p>
      <w:pPr>
        <w:spacing w:after="0" w:line="138" w:lineRule="exact"/>
        <w:rPr>
          <w:sz w:val="20"/>
          <w:szCs w:val="20"/>
          <w:color w:val="auto"/>
        </w:rPr>
      </w:pPr>
    </w:p>
    <w:p>
      <w:pPr>
        <w:ind w:right="40" w:firstLine="246"/>
        <w:spacing w:after="0" w:line="254" w:lineRule="auto"/>
        <w:rPr>
          <w:sz w:val="20"/>
          <w:szCs w:val="20"/>
          <w:color w:val="auto"/>
        </w:rPr>
      </w:pPr>
      <w:r>
        <w:rPr>
          <w:rFonts w:ascii="Arial" w:cs="Arial" w:eastAsia="Arial" w:hAnsi="Arial"/>
          <w:sz w:val="19"/>
          <w:szCs w:val="19"/>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recent years the Company experienced significant foreign exchange losses on these transactions in its statements of operations.</w:t>
      </w:r>
    </w:p>
    <w:p>
      <w:pPr>
        <w:spacing w:after="0" w:line="158" w:lineRule="exact"/>
        <w:rPr>
          <w:sz w:val="20"/>
          <w:szCs w:val="20"/>
          <w:color w:val="auto"/>
        </w:rPr>
      </w:pPr>
    </w:p>
    <w:p>
      <w:pPr>
        <w:ind w:right="40" w:firstLine="246"/>
        <w:spacing w:after="0"/>
        <w:rPr>
          <w:sz w:val="20"/>
          <w:szCs w:val="20"/>
          <w:color w:val="auto"/>
        </w:rPr>
      </w:pPr>
      <w:r>
        <w:rPr>
          <w:rFonts w:ascii="Arial" w:cs="Arial" w:eastAsia="Arial" w:hAnsi="Arial"/>
          <w:sz w:val="20"/>
          <w:szCs w:val="20"/>
          <w:color w:val="auto"/>
        </w:rPr>
        <w:t>The Company's primary net foreign currency exposures as of November 1, 2009 included the Korean won, the Japanese yen, the Singapore dollar, the New Taiwan dollar, the British pound, the euro and the Chinese renminbi. As of November 1, 2009, a 10% adverse movement in the value of these currencies against the U.S. dollar would have resulted in a net unrealized pre-tax loss of $4.8 million. The Company does not believe that a 10% change in the exchange rates of other non-U.S. dollar currencies would have a material effect on its consolidated financial position, results of operations, or cash flows.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firstLine="249"/>
        <w:spacing w:after="0" w:line="246" w:lineRule="auto"/>
        <w:rPr>
          <w:sz w:val="20"/>
          <w:szCs w:val="20"/>
          <w:color w:val="auto"/>
        </w:rPr>
      </w:pPr>
      <w:r>
        <w:rPr>
          <w:rFonts w:ascii="Arial" w:cs="Arial" w:eastAsia="Arial" w:hAnsi="Arial"/>
          <w:sz w:val="20"/>
          <w:szCs w:val="20"/>
          <w:color w:val="auto"/>
        </w:rPr>
        <w:t>In April, 2006, the Company's Korean subsidiary entered into a foreign currency rate swap contract which, under the terms of the contract, effectively converted a $50 million interest bearing intercompany loan denominated in U.S. dollars to Korean won. The intercompany loan was repaid and the related swap was settled during the year ended November 2, 2008.</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00" w:lineRule="exact"/>
        <w:rPr>
          <w:sz w:val="20"/>
          <w:szCs w:val="20"/>
          <w:color w:val="auto"/>
        </w:rPr>
      </w:pPr>
    </w:p>
    <w:p>
      <w:pPr>
        <w:ind w:right="120" w:firstLine="238"/>
        <w:spacing w:after="0"/>
        <w:rPr>
          <w:sz w:val="20"/>
          <w:szCs w:val="20"/>
          <w:color w:val="auto"/>
        </w:rPr>
      </w:pPr>
      <w:r>
        <w:rPr>
          <w:rFonts w:ascii="Arial" w:cs="Arial" w:eastAsia="Arial" w:hAnsi="Arial"/>
          <w:sz w:val="20"/>
          <w:szCs w:val="20"/>
          <w:color w:val="auto"/>
        </w:rPr>
        <w:t>At November 1, 2009, the Company had $29.8 million in variable rate borrowings, and cash and cash equivalents of $82.6 million which bore interest at variable rates, resulting in approximately $53 million in net variable rate financial assets at November 1, 2009 and approximately $72 million in net variable rate financial liabilities at November 2, 2008 which were subject to interest rate risk. A 10% change in interest rates would not have had a material effect on the Company's consolidated financial position, results of operations, or cash flows in 2009 or 2008.</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1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w w:val="81"/>
              </w:rPr>
              <w:t>Page</w:t>
            </w:r>
          </w:p>
        </w:tc>
        <w:tc>
          <w:tcPr>
            <w:tcW w:w="4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6"/>
        </w:trPr>
        <w:tc>
          <w:tcPr>
            <w:tcW w:w="4700" w:type="dxa"/>
            <w:vAlign w:val="bottom"/>
            <w:tcBorders>
              <w:bottom w:val="single" w:sz="8" w:color="0000EE"/>
            </w:tcBorders>
            <w:gridSpan w:val="8"/>
          </w:tcPr>
          <w:p>
            <w:pPr>
              <w:spacing w:after="0"/>
              <w:rPr>
                <w:rFonts w:ascii="Arial" w:cs="Arial" w:eastAsia="Arial" w:hAnsi="Arial"/>
                <w:sz w:val="20"/>
                <w:szCs w:val="20"/>
                <w:color w:val="0000EE"/>
                <w:w w:val="91"/>
              </w:rPr>
            </w:pPr>
            <w:hyperlink w:anchor="page25">
              <w:r>
                <w:rPr>
                  <w:rFonts w:ascii="Arial" w:cs="Arial" w:eastAsia="Arial" w:hAnsi="Arial"/>
                  <w:sz w:val="20"/>
                  <w:szCs w:val="20"/>
                  <w:color w:val="0000EE"/>
                  <w:w w:val="91"/>
                </w:rPr>
                <w:t>Report of Independent Registered Public Accounting Firm</w:t>
              </w:r>
            </w:hyperlink>
          </w:p>
        </w:tc>
        <w:tc>
          <w:tcPr>
            <w:tcW w:w="18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34</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580" w:type="dxa"/>
            <w:vAlign w:val="bottom"/>
            <w:gridSpan w:val="11"/>
          </w:tcPr>
          <w:p>
            <w:pPr>
              <w:spacing w:after="0"/>
              <w:rPr>
                <w:rFonts w:ascii="Arial" w:cs="Arial" w:eastAsia="Arial" w:hAnsi="Arial"/>
                <w:sz w:val="20"/>
                <w:szCs w:val="20"/>
                <w:color w:val="0000EE"/>
                <w:w w:val="98"/>
              </w:rPr>
            </w:pPr>
            <w:hyperlink w:anchor="page26">
              <w:r>
                <w:rPr>
                  <w:rFonts w:ascii="Arial" w:cs="Arial" w:eastAsia="Arial" w:hAnsi="Arial"/>
                  <w:sz w:val="20"/>
                  <w:szCs w:val="20"/>
                  <w:color w:val="0000EE"/>
                  <w:w w:val="98"/>
                </w:rPr>
                <w:t>Consolidated Balance Sheets at November 1, 2009 and November 2, 2008</w:t>
              </w:r>
            </w:hyperlink>
          </w:p>
        </w:tc>
        <w:tc>
          <w:tcPr>
            <w:tcW w:w="420" w:type="dxa"/>
            <w:vAlign w:val="bottom"/>
          </w:tcPr>
          <w:p>
            <w:pPr>
              <w:jc w:val="right"/>
              <w:spacing w:after="0"/>
              <w:rPr>
                <w:sz w:val="20"/>
                <w:szCs w:val="20"/>
                <w:color w:val="auto"/>
              </w:rPr>
            </w:pPr>
            <w:r>
              <w:rPr>
                <w:rFonts w:ascii="Arial" w:cs="Arial" w:eastAsia="Arial" w:hAnsi="Arial"/>
                <w:sz w:val="20"/>
                <w:szCs w:val="20"/>
                <w:color w:val="auto"/>
              </w:rPr>
              <w:t>35</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12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88"/>
              </w:rPr>
            </w:pPr>
            <w:hyperlink w:anchor="page27">
              <w:r>
                <w:rPr>
                  <w:rFonts w:ascii="Arial" w:cs="Arial" w:eastAsia="Arial" w:hAnsi="Arial"/>
                  <w:sz w:val="20"/>
                  <w:szCs w:val="20"/>
                  <w:color w:val="0000EE"/>
                  <w:w w:val="88"/>
                </w:rPr>
                <w:t>Consolidated Statements of Operations</w:t>
              </w:r>
            </w:hyperlink>
          </w:p>
        </w:tc>
        <w:tc>
          <w:tcPr>
            <w:tcW w:w="2800" w:type="dxa"/>
            <w:vAlign w:val="bottom"/>
            <w:tcBorders>
              <w:top w:val="single" w:sz="8" w:color="0000EE"/>
            </w:tcBorders>
            <w:gridSpan w:val="7"/>
          </w:tcPr>
          <w:p>
            <w:pPr>
              <w:spacing w:after="0"/>
              <w:rPr>
                <w:sz w:val="24"/>
                <w:szCs w:val="24"/>
                <w:color w:val="auto"/>
              </w:rPr>
            </w:pPr>
          </w:p>
        </w:tc>
        <w:tc>
          <w:tcPr>
            <w:tcW w:w="660" w:type="dxa"/>
            <w:vAlign w:val="bottom"/>
            <w:gridSpan w:val="2"/>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36</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80" w:type="dxa"/>
            <w:vAlign w:val="bottom"/>
            <w:gridSpan w:val="11"/>
          </w:tcPr>
          <w:p>
            <w:pPr>
              <w:spacing w:after="0" w:line="205" w:lineRule="exact"/>
              <w:rPr>
                <w:rFonts w:ascii="Arial" w:cs="Arial" w:eastAsia="Arial" w:hAnsi="Arial"/>
                <w:sz w:val="20"/>
                <w:szCs w:val="20"/>
                <w:color w:val="0000EE"/>
                <w:w w:val="91"/>
              </w:rPr>
            </w:pPr>
            <w:hyperlink w:anchor="page27">
              <w:r>
                <w:rPr>
                  <w:rFonts w:ascii="Arial" w:cs="Arial" w:eastAsia="Arial" w:hAnsi="Arial"/>
                  <w:sz w:val="20"/>
                  <w:szCs w:val="20"/>
                  <w:color w:val="0000EE"/>
                  <w:w w:val="91"/>
                </w:rPr>
                <w:t>for the years ended November 1, 2009, November 2, 2008 and October 28, 2007</w:t>
              </w:r>
            </w:hyperlink>
          </w:p>
        </w:tc>
        <w:tc>
          <w:tcPr>
            <w:tcW w:w="4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392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Consolidated Statements of Shareholders' Equity</w:t>
              </w:r>
            </w:hyperlink>
          </w:p>
        </w:tc>
        <w:tc>
          <w:tcPr>
            <w:tcW w:w="2500" w:type="dxa"/>
            <w:vAlign w:val="bottom"/>
            <w:tcBorders>
              <w:top w:val="single" w:sz="8" w:color="0000EE"/>
            </w:tcBorders>
            <w:gridSpan w:val="4"/>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37</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80" w:type="dxa"/>
            <w:vAlign w:val="bottom"/>
            <w:gridSpan w:val="11"/>
          </w:tcPr>
          <w:p>
            <w:pPr>
              <w:spacing w:after="0" w:line="205" w:lineRule="exact"/>
              <w:rPr>
                <w:rFonts w:ascii="Arial" w:cs="Arial" w:eastAsia="Arial" w:hAnsi="Arial"/>
                <w:sz w:val="20"/>
                <w:szCs w:val="20"/>
                <w:color w:val="0000EE"/>
                <w:w w:val="91"/>
              </w:rPr>
            </w:pPr>
            <w:hyperlink w:anchor="page28">
              <w:r>
                <w:rPr>
                  <w:rFonts w:ascii="Arial" w:cs="Arial" w:eastAsia="Arial" w:hAnsi="Arial"/>
                  <w:sz w:val="20"/>
                  <w:szCs w:val="20"/>
                  <w:color w:val="0000EE"/>
                  <w:w w:val="91"/>
                </w:rPr>
                <w:t>for the years ended November 1, 2009, November 2, 2008 and October 28, 2007</w:t>
              </w:r>
            </w:hyperlink>
          </w:p>
        </w:tc>
        <w:tc>
          <w:tcPr>
            <w:tcW w:w="4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3180" w:type="dxa"/>
            <w:vAlign w:val="bottom"/>
            <w:tcBorders>
              <w:top w:val="single" w:sz="8" w:color="0000EE"/>
              <w:bottom w:val="single" w:sz="8" w:color="0000EE"/>
            </w:tcBorders>
            <w:gridSpan w:val="3"/>
          </w:tcPr>
          <w:p>
            <w:pPr>
              <w:spacing w:after="0"/>
              <w:rPr>
                <w:rFonts w:ascii="Arial" w:cs="Arial" w:eastAsia="Arial" w:hAnsi="Arial"/>
                <w:sz w:val="20"/>
                <w:szCs w:val="20"/>
                <w:color w:val="0000EE"/>
                <w:w w:val="88"/>
              </w:rPr>
            </w:pPr>
            <w:hyperlink w:anchor="page30">
              <w:r>
                <w:rPr>
                  <w:rFonts w:ascii="Arial" w:cs="Arial" w:eastAsia="Arial" w:hAnsi="Arial"/>
                  <w:sz w:val="20"/>
                  <w:szCs w:val="20"/>
                  <w:color w:val="0000EE"/>
                  <w:w w:val="88"/>
                </w:rPr>
                <w:t>Consolidated Statements of Cash Flows</w:t>
              </w:r>
            </w:hyperlink>
          </w:p>
        </w:tc>
        <w:tc>
          <w:tcPr>
            <w:tcW w:w="3240" w:type="dxa"/>
            <w:vAlign w:val="bottom"/>
            <w:tcBorders>
              <w:top w:val="single" w:sz="8" w:color="0000EE"/>
            </w:tcBorders>
            <w:gridSpan w:val="7"/>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38</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80" w:type="dxa"/>
            <w:vAlign w:val="bottom"/>
            <w:gridSpan w:val="11"/>
          </w:tcPr>
          <w:p>
            <w:pPr>
              <w:spacing w:after="0" w:line="205" w:lineRule="exact"/>
              <w:rPr>
                <w:rFonts w:ascii="Arial" w:cs="Arial" w:eastAsia="Arial" w:hAnsi="Arial"/>
                <w:sz w:val="20"/>
                <w:szCs w:val="20"/>
                <w:color w:val="0000EE"/>
                <w:w w:val="91"/>
              </w:rPr>
            </w:pPr>
            <w:hyperlink w:anchor="page30">
              <w:r>
                <w:rPr>
                  <w:rFonts w:ascii="Arial" w:cs="Arial" w:eastAsia="Arial" w:hAnsi="Arial"/>
                  <w:sz w:val="20"/>
                  <w:szCs w:val="20"/>
                  <w:color w:val="0000EE"/>
                  <w:w w:val="91"/>
                </w:rPr>
                <w:t>for the years ended November 1, 2009, November 2, 2008 and October 28, 2007</w:t>
              </w:r>
            </w:hyperlink>
          </w:p>
        </w:tc>
        <w:tc>
          <w:tcPr>
            <w:tcW w:w="4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6420" w:type="dxa"/>
            <w:vAlign w:val="bottom"/>
            <w:tcBorders>
              <w:top w:val="single" w:sz="8" w:color="0000EE"/>
            </w:tcBorders>
            <w:gridSpan w:val="10"/>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Notes to Consolidated Financial Statements</w:t>
              </w:r>
            </w:hyperlink>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39</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680" w:type="dxa"/>
            <w:vAlign w:val="bottom"/>
            <w:tcBorders>
              <w:bottom w:val="single" w:sz="8" w:color="0000EE"/>
            </w:tcBorders>
            <w:gridSpan w:val="7"/>
          </w:tcPr>
          <w:p>
            <w:pPr>
              <w:spacing w:after="0"/>
              <w:rPr>
                <w:rFonts w:ascii="Arial" w:cs="Arial" w:eastAsia="Arial" w:hAnsi="Arial"/>
                <w:sz w:val="20"/>
                <w:szCs w:val="20"/>
                <w:color w:val="0000EE"/>
                <w:w w:val="91"/>
              </w:rPr>
            </w:pPr>
            <w:hyperlink w:anchor="page57">
              <w:r>
                <w:rPr>
                  <w:rFonts w:ascii="Arial" w:cs="Arial" w:eastAsia="Arial" w:hAnsi="Arial"/>
                  <w:sz w:val="20"/>
                  <w:szCs w:val="20"/>
                  <w:color w:val="0000EE"/>
                  <w:w w:val="91"/>
                </w:rPr>
                <w:t>Report of Independent Registered Public Accounting Firm</w:t>
              </w:r>
            </w:hyperlink>
          </w:p>
        </w:tc>
        <w:tc>
          <w:tcPr>
            <w:tcW w:w="1900" w:type="dxa"/>
            <w:vAlign w:val="bottom"/>
            <w:gridSpan w:val="4"/>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20" w:type="dxa"/>
            <w:vAlign w:val="bottom"/>
            <w:tcBorders>
              <w:bottom w:val="single" w:sz="8" w:color="0000EE"/>
            </w:tcBorders>
          </w:tcPr>
          <w:p>
            <w:pPr>
              <w:spacing w:after="0" w:line="205" w:lineRule="exact"/>
              <w:rPr>
                <w:rFonts w:ascii="Arial" w:cs="Arial" w:eastAsia="Arial" w:hAnsi="Arial"/>
                <w:sz w:val="20"/>
                <w:szCs w:val="20"/>
                <w:color w:val="0000EE"/>
                <w:w w:val="88"/>
              </w:rPr>
            </w:pPr>
            <w:hyperlink w:anchor="page57">
              <w:r>
                <w:rPr>
                  <w:rFonts w:ascii="Arial" w:cs="Arial" w:eastAsia="Arial" w:hAnsi="Arial"/>
                  <w:sz w:val="20"/>
                  <w:szCs w:val="20"/>
                  <w:color w:val="0000EE"/>
                  <w:w w:val="88"/>
                </w:rPr>
                <w:t>on Financial Statement Schedule</w:t>
              </w:r>
            </w:hyperlink>
          </w:p>
        </w:tc>
        <w:tc>
          <w:tcPr>
            <w:tcW w:w="3960" w:type="dxa"/>
            <w:vAlign w:val="bottom"/>
            <w:gridSpan w:val="10"/>
          </w:tcPr>
          <w:p>
            <w:pPr>
              <w:spacing w:after="0"/>
              <w:rPr>
                <w:sz w:val="17"/>
                <w:szCs w:val="17"/>
                <w:color w:val="auto"/>
              </w:rPr>
            </w:pPr>
          </w:p>
        </w:tc>
        <w:tc>
          <w:tcPr>
            <w:tcW w:w="4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3900" w:type="dxa"/>
            <w:vAlign w:val="bottom"/>
            <w:tcBorders>
              <w:bottom w:val="single" w:sz="8" w:color="0000EE"/>
            </w:tcBorders>
            <w:gridSpan w:val="5"/>
          </w:tcPr>
          <w:p>
            <w:pPr>
              <w:spacing w:after="0"/>
              <w:rPr>
                <w:rFonts w:ascii="Arial" w:cs="Arial" w:eastAsia="Arial" w:hAnsi="Arial"/>
                <w:sz w:val="20"/>
                <w:szCs w:val="20"/>
                <w:color w:val="0000EE"/>
                <w:w w:val="91"/>
              </w:rPr>
            </w:pPr>
            <w:hyperlink w:anchor="page58">
              <w:r>
                <w:rPr>
                  <w:rFonts w:ascii="Arial" w:cs="Arial" w:eastAsia="Arial" w:hAnsi="Arial"/>
                  <w:sz w:val="20"/>
                  <w:szCs w:val="20"/>
                  <w:color w:val="0000EE"/>
                  <w:w w:val="91"/>
                </w:rPr>
                <w:t>Schedule II - Valuation and Qualifying Accounts</w:t>
              </w:r>
            </w:hyperlink>
          </w:p>
        </w:tc>
        <w:tc>
          <w:tcPr>
            <w:tcW w:w="2680" w:type="dxa"/>
            <w:vAlign w:val="bottom"/>
            <w:gridSpan w:val="6"/>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80" w:type="dxa"/>
            <w:vAlign w:val="bottom"/>
            <w:gridSpan w:val="11"/>
          </w:tcPr>
          <w:p>
            <w:pPr>
              <w:spacing w:after="0" w:line="205" w:lineRule="exact"/>
              <w:rPr>
                <w:rFonts w:ascii="Arial" w:cs="Arial" w:eastAsia="Arial" w:hAnsi="Arial"/>
                <w:sz w:val="20"/>
                <w:szCs w:val="20"/>
                <w:color w:val="0000EE"/>
                <w:w w:val="91"/>
              </w:rPr>
            </w:pPr>
            <w:hyperlink w:anchor="page58">
              <w:r>
                <w:rPr>
                  <w:rFonts w:ascii="Arial" w:cs="Arial" w:eastAsia="Arial" w:hAnsi="Arial"/>
                  <w:sz w:val="20"/>
                  <w:szCs w:val="20"/>
                  <w:color w:val="0000EE"/>
                  <w:w w:val="91"/>
                </w:rPr>
                <w:t>for the years ended November 1, 2009, November 2, 2008 and October 28, 2007</w:t>
              </w:r>
            </w:hyperlink>
          </w:p>
        </w:tc>
        <w:tc>
          <w:tcPr>
            <w:tcW w:w="420" w:type="dxa"/>
            <w:vAlign w:val="bottom"/>
            <w:vMerge w:val="continue"/>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5"/>
        </w:trPr>
        <w:tc>
          <w:tcPr>
            <w:tcW w:w="5920" w:type="dxa"/>
            <w:vAlign w:val="bottom"/>
            <w:tcBorders>
              <w:top w:val="single" w:sz="8" w:color="0000EE"/>
            </w:tcBorders>
            <w:gridSpan w:val="9"/>
          </w:tcPr>
          <w:p>
            <w:pPr>
              <w:ind w:left="5540"/>
              <w:spacing w:after="0"/>
              <w:rPr>
                <w:sz w:val="20"/>
                <w:szCs w:val="20"/>
                <w:color w:val="auto"/>
              </w:rPr>
            </w:pPr>
            <w:r>
              <w:rPr>
                <w:rFonts w:ascii="Arial" w:cs="Arial" w:eastAsia="Arial" w:hAnsi="Arial"/>
                <w:sz w:val="20"/>
                <w:szCs w:val="20"/>
                <w:color w:val="auto"/>
              </w:rPr>
              <w:t>-33-</w:t>
            </w: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4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0" w:right="199" w:bottom="82" w:gutter="0" w:footer="0" w:header="0"/>
        </w:sectPr>
      </w:pPr>
    </w:p>
    <w:bookmarkStart w:id="25" w:name="page26"/>
    <w:bookmarkEnd w:id="25"/>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Shareholders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Photronics, Inc.</w:t>
      </w:r>
    </w:p>
    <w:p>
      <w:pPr>
        <w:spacing w:after="0"/>
        <w:rPr>
          <w:sz w:val="20"/>
          <w:szCs w:val="20"/>
          <w:color w:val="auto"/>
        </w:rPr>
      </w:pPr>
      <w:r>
        <w:rPr>
          <w:rFonts w:ascii="Arial" w:cs="Arial" w:eastAsia="Arial" w:hAnsi="Arial"/>
          <w:sz w:val="20"/>
          <w:szCs w:val="20"/>
          <w:b w:val="1"/>
          <w:bCs w:val="1"/>
          <w:color w:val="auto"/>
        </w:rPr>
        <w:t>Brookfield, Connecticut</w:t>
      </w:r>
    </w:p>
    <w:p>
      <w:pPr>
        <w:spacing w:after="0" w:line="178" w:lineRule="exact"/>
        <w:rPr>
          <w:sz w:val="20"/>
          <w:szCs w:val="20"/>
          <w:color w:val="auto"/>
        </w:rPr>
      </w:pPr>
    </w:p>
    <w:p>
      <w:pPr>
        <w:ind w:right="40" w:firstLine="246"/>
        <w:spacing w:after="0" w:line="237" w:lineRule="auto"/>
        <w:rPr>
          <w:sz w:val="20"/>
          <w:szCs w:val="20"/>
          <w:color w:val="auto"/>
        </w:rPr>
      </w:pPr>
      <w:r>
        <w:rPr>
          <w:rFonts w:ascii="Arial" w:cs="Arial" w:eastAsia="Arial" w:hAnsi="Arial"/>
          <w:sz w:val="20"/>
          <w:szCs w:val="20"/>
          <w:color w:val="auto"/>
        </w:rPr>
        <w:t xml:space="preserve">We have audited the accompanying consolidated balance sheets of Photronics, Inc. and subsidiaries (the "Company") as of November 1, 2009 and November 2, 2008 and the related consolidated statements of operations, shareholders' equity, and cash flows for each of the three fiscal years ended November 1, 2009, November 2, 2008 and October 28, 2007. We also have audited the Company's internal control over financial reporting as of November 1, 2009,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174" w:lineRule="exact"/>
        <w:rPr>
          <w:sz w:val="20"/>
          <w:szCs w:val="20"/>
          <w:color w:val="auto"/>
        </w:rPr>
      </w:pPr>
    </w:p>
    <w:p>
      <w:pPr>
        <w:ind w:right="20" w:firstLine="246"/>
        <w:spacing w:after="0" w:line="251"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2" w:lineRule="exact"/>
        <w:rPr>
          <w:sz w:val="20"/>
          <w:szCs w:val="20"/>
          <w:color w:val="auto"/>
        </w:rPr>
      </w:pPr>
    </w:p>
    <w:p>
      <w:pPr>
        <w:ind w:firstLine="238"/>
        <w:spacing w:after="0" w:line="250" w:lineRule="auto"/>
        <w:rPr>
          <w:sz w:val="20"/>
          <w:szCs w:val="20"/>
          <w:color w:val="auto"/>
        </w:rPr>
      </w:pPr>
      <w:r>
        <w:rPr>
          <w:rFonts w:ascii="Arial" w:cs="Arial" w:eastAsia="Arial" w:hAnsi="Arial"/>
          <w:sz w:val="19"/>
          <w:szCs w:val="19"/>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249"/>
        <w:spacing w:after="0"/>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80" w:firstLine="249"/>
        <w:spacing w:after="0" w:line="254"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Photronics, Inc. and subsidiaries as of November 1, 2009 and November 2, 2008, and the results of their operations and their cash flows for each of the three fiscal years ended November 1, 2009, November 2, 2008 and October 28, 2007, in conformity with accounting principles generally accepted in the United States of America. Also, in our opinion, the Company maintained, in all material respects, effective internal control over financial reporting as of November 1, 2009, based on the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Stamford, Connecticut</w:t>
      </w:r>
    </w:p>
    <w:p>
      <w:pPr>
        <w:spacing w:after="0"/>
        <w:rPr>
          <w:sz w:val="20"/>
          <w:szCs w:val="20"/>
          <w:color w:val="auto"/>
        </w:rPr>
      </w:pPr>
      <w:r>
        <w:rPr>
          <w:rFonts w:ascii="Arial" w:cs="Arial" w:eastAsia="Arial" w:hAnsi="Arial"/>
          <w:sz w:val="20"/>
          <w:szCs w:val="20"/>
          <w:b w:val="1"/>
          <w:bCs w:val="1"/>
          <w:color w:val="auto"/>
        </w:rPr>
        <w:t>January 7, 2010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PHOTRONICS, INC.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8"/>
              </w:rPr>
              <w:t>November 2,</w:t>
            </w:r>
          </w:p>
        </w:tc>
        <w:tc>
          <w:tcPr>
            <w:tcW w:w="0" w:type="dxa"/>
            <w:vAlign w:val="bottom"/>
          </w:tcPr>
          <w:p>
            <w:pPr>
              <w:spacing w:after="0"/>
              <w:rPr>
                <w:sz w:val="1"/>
                <w:szCs w:val="1"/>
                <w:color w:val="auto"/>
              </w:rPr>
            </w:pPr>
          </w:p>
        </w:tc>
      </w:tr>
      <w:tr>
        <w:trPr>
          <w:trHeight w:val="260"/>
        </w:trPr>
        <w:tc>
          <w:tcPr>
            <w:tcW w:w="5640" w:type="dxa"/>
            <w:vAlign w:val="bottom"/>
          </w:tcPr>
          <w:p>
            <w:pPr>
              <w:spacing w:after="0"/>
              <w:rPr>
                <w:sz w:val="22"/>
                <w:szCs w:val="22"/>
                <w:color w:val="auto"/>
              </w:rPr>
            </w:pPr>
          </w:p>
        </w:tc>
        <w:tc>
          <w:tcPr>
            <w:tcW w:w="1120" w:type="dxa"/>
            <w:vAlign w:val="bottom"/>
          </w:tcPr>
          <w:p>
            <w:pPr>
              <w:jc w:val="right"/>
              <w:ind w:right="260"/>
              <w:spacing w:after="0"/>
              <w:rPr>
                <w:sz w:val="20"/>
                <w:szCs w:val="20"/>
                <w:color w:val="auto"/>
              </w:rPr>
            </w:pPr>
            <w:r>
              <w:rPr>
                <w:rFonts w:ascii="Arial" w:cs="Arial" w:eastAsia="Arial" w:hAnsi="Arial"/>
                <w:sz w:val="20"/>
                <w:szCs w:val="20"/>
                <w:b w:val="1"/>
                <w:bCs w:val="1"/>
                <w:color w:val="auto"/>
              </w:rPr>
              <w:t>2009</w:t>
            </w:r>
          </w:p>
        </w:tc>
        <w:tc>
          <w:tcPr>
            <w:tcW w:w="126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2008</w:t>
            </w:r>
          </w:p>
        </w:tc>
        <w:tc>
          <w:tcPr>
            <w:tcW w:w="0" w:type="dxa"/>
            <w:vAlign w:val="bottom"/>
          </w:tcPr>
          <w:p>
            <w:pPr>
              <w:spacing w:after="0"/>
              <w:rPr>
                <w:sz w:val="1"/>
                <w:szCs w:val="1"/>
                <w:color w:val="auto"/>
              </w:rPr>
            </w:pPr>
          </w:p>
        </w:tc>
      </w:tr>
      <w:tr>
        <w:trPr>
          <w:trHeight w:val="90"/>
        </w:trPr>
        <w:tc>
          <w:tcPr>
            <w:tcW w:w="56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11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6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640" w:type="dxa"/>
            <w:vAlign w:val="bottom"/>
          </w:tcPr>
          <w:p>
            <w:pPr>
              <w:spacing w:after="0"/>
              <w:rPr>
                <w:sz w:val="20"/>
                <w:szCs w:val="20"/>
                <w:color w:val="auto"/>
              </w:rPr>
            </w:pPr>
            <w:r>
              <w:rPr>
                <w:rFonts w:ascii="Arial" w:cs="Arial" w:eastAsia="Arial" w:hAnsi="Arial"/>
                <w:sz w:val="20"/>
                <w:szCs w:val="20"/>
                <w:color w:val="auto"/>
              </w:rPr>
              <w:t>Current assets: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240"/>
              <w:spacing w:after="0" w:line="225" w:lineRule="exact"/>
              <w:rPr>
                <w:sz w:val="20"/>
                <w:szCs w:val="20"/>
                <w:color w:val="auto"/>
              </w:rPr>
            </w:pPr>
            <w:r>
              <w:rPr>
                <w:rFonts w:ascii="Arial" w:cs="Arial" w:eastAsia="Arial" w:hAnsi="Arial"/>
                <w:sz w:val="20"/>
                <w:szCs w:val="20"/>
                <w:color w:val="auto"/>
              </w:rPr>
              <w:t>Cash and cash equivalents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$ 88,539</w:t>
            </w:r>
          </w:p>
        </w:tc>
        <w:tc>
          <w:tcPr>
            <w:tcW w:w="12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$ 83,763</w:t>
            </w:r>
          </w:p>
        </w:tc>
        <w:tc>
          <w:tcPr>
            <w:tcW w:w="0" w:type="dxa"/>
            <w:vAlign w:val="bottom"/>
          </w:tcPr>
          <w:p>
            <w:pPr>
              <w:spacing w:after="0"/>
              <w:rPr>
                <w:sz w:val="1"/>
                <w:szCs w:val="1"/>
                <w:color w:val="auto"/>
              </w:rPr>
            </w:pPr>
          </w:p>
        </w:tc>
      </w:tr>
      <w:tr>
        <w:trPr>
          <w:trHeight w:val="224"/>
        </w:trPr>
        <w:tc>
          <w:tcPr>
            <w:tcW w:w="5640" w:type="dxa"/>
            <w:vAlign w:val="bottom"/>
          </w:tcPr>
          <w:p>
            <w:pPr>
              <w:ind w:left="240"/>
              <w:spacing w:after="0" w:line="225" w:lineRule="exact"/>
              <w:rPr>
                <w:sz w:val="20"/>
                <w:szCs w:val="20"/>
                <w:color w:val="auto"/>
              </w:rPr>
            </w:pPr>
            <w:r>
              <w:rPr>
                <w:rFonts w:ascii="Arial" w:cs="Arial" w:eastAsia="Arial" w:hAnsi="Arial"/>
                <w:sz w:val="20"/>
                <w:szCs w:val="20"/>
                <w:color w:val="auto"/>
              </w:rPr>
              <w:t>Accounts receivable, net of allowance of $2,669 in 2009</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400"/>
              <w:spacing w:after="0" w:line="225" w:lineRule="exact"/>
              <w:rPr>
                <w:sz w:val="20"/>
                <w:szCs w:val="20"/>
                <w:color w:val="auto"/>
              </w:rPr>
            </w:pPr>
            <w:r>
              <w:rPr>
                <w:rFonts w:ascii="Arial" w:cs="Arial" w:eastAsia="Arial" w:hAnsi="Arial"/>
                <w:sz w:val="20"/>
                <w:szCs w:val="20"/>
                <w:color w:val="auto"/>
              </w:rPr>
              <w:t>and $2,788 in 2008</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66,920</w:t>
            </w:r>
          </w:p>
        </w:tc>
        <w:tc>
          <w:tcPr>
            <w:tcW w:w="12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68,095</w:t>
            </w:r>
          </w:p>
        </w:tc>
        <w:tc>
          <w:tcPr>
            <w:tcW w:w="0" w:type="dxa"/>
            <w:vAlign w:val="bottom"/>
          </w:tcPr>
          <w:p>
            <w:pPr>
              <w:spacing w:after="0"/>
              <w:rPr>
                <w:sz w:val="1"/>
                <w:szCs w:val="1"/>
                <w:color w:val="auto"/>
              </w:rPr>
            </w:pPr>
          </w:p>
        </w:tc>
      </w:tr>
      <w:tr>
        <w:trPr>
          <w:trHeight w:val="254"/>
        </w:trPr>
        <w:tc>
          <w:tcPr>
            <w:tcW w:w="5640" w:type="dxa"/>
            <w:vAlign w:val="bottom"/>
          </w:tcPr>
          <w:p>
            <w:pPr>
              <w:ind w:left="240"/>
              <w:spacing w:after="0"/>
              <w:rPr>
                <w:sz w:val="20"/>
                <w:szCs w:val="20"/>
                <w:color w:val="auto"/>
              </w:rPr>
            </w:pPr>
            <w:r>
              <w:rPr>
                <w:rFonts w:ascii="Arial" w:cs="Arial" w:eastAsia="Arial" w:hAnsi="Arial"/>
                <w:sz w:val="20"/>
                <w:szCs w:val="20"/>
                <w:color w:val="auto"/>
              </w:rPr>
              <w:t>Inventories</w:t>
            </w:r>
          </w:p>
        </w:tc>
        <w:tc>
          <w:tcPr>
            <w:tcW w:w="1120" w:type="dxa"/>
            <w:vAlign w:val="bottom"/>
          </w:tcPr>
          <w:p>
            <w:pPr>
              <w:jc w:val="right"/>
              <w:spacing w:after="0"/>
              <w:rPr>
                <w:sz w:val="20"/>
                <w:szCs w:val="20"/>
                <w:color w:val="auto"/>
              </w:rPr>
            </w:pPr>
            <w:r>
              <w:rPr>
                <w:rFonts w:ascii="Arial" w:cs="Arial" w:eastAsia="Arial" w:hAnsi="Arial"/>
                <w:sz w:val="20"/>
                <w:szCs w:val="20"/>
                <w:color w:val="auto"/>
              </w:rPr>
              <w:t>14,826</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17,548</w:t>
            </w:r>
          </w:p>
        </w:tc>
        <w:tc>
          <w:tcPr>
            <w:tcW w:w="0" w:type="dxa"/>
            <w:vAlign w:val="bottom"/>
          </w:tcPr>
          <w:p>
            <w:pPr>
              <w:spacing w:after="0"/>
              <w:rPr>
                <w:sz w:val="1"/>
                <w:szCs w:val="1"/>
                <w:color w:val="auto"/>
              </w:rPr>
            </w:pPr>
          </w:p>
        </w:tc>
      </w:tr>
    </w:tbl>
    <w:p>
      <w:pPr>
        <w:sectPr>
          <w:pgSz w:w="11900" w:h="16876" w:orient="portrait"/>
          <w:cols w:equalWidth="0" w:num="1">
            <w:col w:w="11400"/>
          </w:cols>
          <w:pgMar w:left="240" w:top="114" w:right="25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1960"/>
              <w:spacing w:after="0"/>
              <w:rPr>
                <w:sz w:val="20"/>
                <w:szCs w:val="20"/>
                <w:color w:val="auto"/>
              </w:rPr>
            </w:pPr>
            <w:r>
              <w:rPr>
                <w:rFonts w:ascii="Arial" w:cs="Arial" w:eastAsia="Arial" w:hAnsi="Arial"/>
                <w:sz w:val="20"/>
                <w:szCs w:val="20"/>
                <w:color w:val="auto"/>
              </w:rPr>
              <w:t>Deferred income taxes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3,264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2,843</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80" w:type="dxa"/>
            <w:vAlign w:val="bottom"/>
          </w:tcPr>
          <w:p>
            <w:pPr>
              <w:ind w:left="1960"/>
              <w:spacing w:after="0"/>
              <w:rPr>
                <w:sz w:val="20"/>
                <w:szCs w:val="20"/>
                <w:color w:val="auto"/>
              </w:rPr>
            </w:pPr>
            <w:r>
              <w:rPr>
                <w:rFonts w:ascii="Arial" w:cs="Arial" w:eastAsia="Arial" w:hAnsi="Arial"/>
                <w:sz w:val="20"/>
                <w:szCs w:val="20"/>
                <w:color w:val="auto"/>
              </w:rPr>
              <w:t>Other current assets</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6,448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10,248</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ind w:left="1920"/>
              <w:spacing w:after="0"/>
              <w:rPr>
                <w:sz w:val="20"/>
                <w:szCs w:val="20"/>
                <w:color w:val="auto"/>
              </w:rPr>
            </w:pPr>
            <w:r>
              <w:rPr>
                <w:rFonts w:ascii="Arial" w:cs="Arial" w:eastAsia="Arial" w:hAnsi="Arial"/>
                <w:sz w:val="20"/>
                <w:szCs w:val="20"/>
                <w:color w:val="auto"/>
              </w:rPr>
              <w:t>Total current assets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6"/>
              </w:rPr>
              <w:t>179,997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182,497</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80" w:type="dxa"/>
            <w:vAlign w:val="bottom"/>
          </w:tcPr>
          <w:p>
            <w:pPr>
              <w:ind w:left="1760"/>
              <w:spacing w:after="0"/>
              <w:rPr>
                <w:sz w:val="20"/>
                <w:szCs w:val="20"/>
                <w:color w:val="auto"/>
              </w:rPr>
            </w:pPr>
            <w:r>
              <w:rPr>
                <w:rFonts w:ascii="Arial" w:cs="Arial" w:eastAsia="Arial" w:hAnsi="Arial"/>
                <w:sz w:val="20"/>
                <w:szCs w:val="20"/>
                <w:color w:val="auto"/>
              </w:rPr>
              <w:t>Property, plant and equipment, net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6"/>
              </w:rPr>
              <w:t>347,889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436,528</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760"/>
              <w:spacing w:after="0" w:line="225" w:lineRule="exact"/>
              <w:rPr>
                <w:sz w:val="20"/>
                <w:szCs w:val="20"/>
                <w:color w:val="auto"/>
              </w:rPr>
            </w:pPr>
            <w:r>
              <w:rPr>
                <w:rFonts w:ascii="Arial" w:cs="Arial" w:eastAsia="Arial" w:hAnsi="Arial"/>
                <w:sz w:val="20"/>
                <w:szCs w:val="20"/>
                <w:color w:val="auto"/>
              </w:rPr>
              <w:t>Investment in joint venture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60,945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65,737</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760"/>
              <w:spacing w:after="0" w:line="225" w:lineRule="exact"/>
              <w:rPr>
                <w:sz w:val="20"/>
                <w:szCs w:val="20"/>
                <w:color w:val="auto"/>
              </w:rPr>
            </w:pPr>
            <w:r>
              <w:rPr>
                <w:rFonts w:ascii="Arial" w:cs="Arial" w:eastAsia="Arial" w:hAnsi="Arial"/>
                <w:sz w:val="20"/>
                <w:szCs w:val="20"/>
                <w:color w:val="auto"/>
              </w:rPr>
              <w:t>Intangibles, net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55,054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62,386</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80" w:type="dxa"/>
            <w:vAlign w:val="bottom"/>
          </w:tcPr>
          <w:p>
            <w:pPr>
              <w:ind w:left="1760"/>
              <w:spacing w:after="0"/>
              <w:rPr>
                <w:sz w:val="20"/>
                <w:szCs w:val="20"/>
                <w:color w:val="auto"/>
              </w:rPr>
            </w:pPr>
            <w:r>
              <w:rPr>
                <w:rFonts w:ascii="Arial" w:cs="Arial" w:eastAsia="Arial" w:hAnsi="Arial"/>
                <w:sz w:val="20"/>
                <w:szCs w:val="20"/>
                <w:color w:val="auto"/>
              </w:rPr>
              <w:t>Other assets</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19,771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10,859</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336699"/>
            </w:tcBorders>
            <w:gridSpan w:val="2"/>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spacing w:after="0"/>
              <w:rPr>
                <w:sz w:val="24"/>
                <w:szCs w:val="24"/>
                <w:color w:val="auto"/>
              </w:rPr>
            </w:pPr>
          </w:p>
        </w:tc>
        <w:tc>
          <w:tcPr>
            <w:tcW w:w="1900" w:type="dxa"/>
            <w:vAlign w:val="bottom"/>
            <w:gridSpan w:val="5"/>
          </w:tcPr>
          <w:p>
            <w:pPr>
              <w:jc w:val="right"/>
              <w:spacing w:after="0"/>
              <w:rPr>
                <w:sz w:val="20"/>
                <w:szCs w:val="20"/>
                <w:color w:val="auto"/>
              </w:rPr>
            </w:pPr>
            <w:r>
              <w:rPr>
                <w:rFonts w:ascii="Arial" w:cs="Arial" w:eastAsia="Arial" w:hAnsi="Arial"/>
                <w:sz w:val="20"/>
                <w:szCs w:val="20"/>
                <w:color w:val="auto"/>
              </w:rPr>
              <w:t>$663,656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w w:val="88"/>
              </w:rPr>
              <w:t>$758,007</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580" w:type="dxa"/>
            <w:vAlign w:val="bottom"/>
            <w:vMerge w:val="restart"/>
          </w:tcPr>
          <w:p>
            <w:pPr>
              <w:ind w:left="1720"/>
              <w:spacing w:after="0"/>
              <w:rPr>
                <w:sz w:val="20"/>
                <w:szCs w:val="20"/>
                <w:color w:val="auto"/>
              </w:rPr>
            </w:pPr>
            <w:r>
              <w:rPr>
                <w:rFonts w:ascii="Arial" w:cs="Arial" w:eastAsia="Arial" w:hAnsi="Arial"/>
                <w:sz w:val="20"/>
                <w:szCs w:val="20"/>
                <w:b w:val="1"/>
                <w:bCs w:val="1"/>
                <w:color w:val="auto"/>
              </w:rPr>
              <w:t>LIABILITIES AND SHAREHOLDERS' EQUITY</w:t>
            </w:r>
          </w:p>
        </w:tc>
        <w:tc>
          <w:tcPr>
            <w:tcW w:w="7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320" w:type="dxa"/>
            <w:vAlign w:val="bottom"/>
            <w:tcBorders>
              <w:bottom w:val="single" w:sz="8" w:color="336699"/>
            </w:tcBorders>
          </w:tcPr>
          <w:p>
            <w:pPr>
              <w:spacing w:after="0"/>
              <w:rPr>
                <w:sz w:val="9"/>
                <w:szCs w:val="9"/>
                <w:color w:val="auto"/>
              </w:rPr>
            </w:pPr>
          </w:p>
        </w:tc>
        <w:tc>
          <w:tcPr>
            <w:tcW w:w="80" w:type="dxa"/>
            <w:vAlign w:val="bottom"/>
            <w:tcBorders>
              <w:bottom w:val="single" w:sz="8" w:color="336699"/>
            </w:tcBorders>
          </w:tcPr>
          <w:p>
            <w:pPr>
              <w:spacing w:after="0"/>
              <w:rPr>
                <w:sz w:val="9"/>
                <w:szCs w:val="9"/>
                <w:color w:val="auto"/>
              </w:rPr>
            </w:pPr>
          </w:p>
        </w:tc>
        <w:tc>
          <w:tcPr>
            <w:tcW w:w="70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280" w:type="dxa"/>
            <w:vAlign w:val="bottom"/>
            <w:tcBorders>
              <w:bottom w:val="single" w:sz="8" w:color="336699"/>
            </w:tcBorders>
          </w:tcPr>
          <w:p>
            <w:pPr>
              <w:spacing w:after="0"/>
              <w:rPr>
                <w:sz w:val="9"/>
                <w:szCs w:val="9"/>
                <w:color w:val="auto"/>
              </w:rPr>
            </w:pPr>
          </w:p>
        </w:tc>
        <w:tc>
          <w:tcPr>
            <w:tcW w:w="80" w:type="dxa"/>
            <w:vAlign w:val="bottom"/>
            <w:tcBorders>
              <w:bottom w:val="single" w:sz="8" w:color="336699"/>
            </w:tcBorders>
          </w:tcPr>
          <w:p>
            <w:pPr>
              <w:spacing w:after="0"/>
              <w:rPr>
                <w:sz w:val="9"/>
                <w:szCs w:val="9"/>
                <w:color w:val="auto"/>
              </w:rPr>
            </w:pPr>
          </w:p>
        </w:tc>
        <w:tc>
          <w:tcPr>
            <w:tcW w:w="76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5"/>
        </w:trPr>
        <w:tc>
          <w:tcPr>
            <w:tcW w:w="65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80" w:type="dxa"/>
            <w:vAlign w:val="bottom"/>
          </w:tcPr>
          <w:p>
            <w:pPr>
              <w:ind w:left="1720"/>
              <w:spacing w:after="0"/>
              <w:rPr>
                <w:sz w:val="20"/>
                <w:szCs w:val="20"/>
                <w:color w:val="auto"/>
              </w:rPr>
            </w:pPr>
            <w:r>
              <w:rPr>
                <w:rFonts w:ascii="Arial" w:cs="Arial" w:eastAsia="Arial" w:hAnsi="Arial"/>
                <w:sz w:val="20"/>
                <w:szCs w:val="20"/>
                <w:color w:val="auto"/>
              </w:rPr>
              <w:t>Current liabilities: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960"/>
              <w:spacing w:after="0" w:line="225" w:lineRule="exact"/>
              <w:rPr>
                <w:sz w:val="20"/>
                <w:szCs w:val="20"/>
                <w:color w:val="auto"/>
              </w:rPr>
            </w:pPr>
            <w:r>
              <w:rPr>
                <w:rFonts w:ascii="Arial" w:cs="Arial" w:eastAsia="Arial" w:hAnsi="Arial"/>
                <w:sz w:val="20"/>
                <w:szCs w:val="20"/>
                <w:color w:val="auto"/>
              </w:rPr>
              <w:t>Current portion of long-term borrowings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89"/>
              </w:rPr>
              <w:t>$ 10,301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w w:val="95"/>
              </w:rPr>
              <w:t>$ 20,630</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960"/>
              <w:spacing w:after="0" w:line="225" w:lineRule="exact"/>
              <w:rPr>
                <w:sz w:val="20"/>
                <w:szCs w:val="20"/>
                <w:color w:val="auto"/>
              </w:rPr>
            </w:pPr>
            <w:r>
              <w:rPr>
                <w:rFonts w:ascii="Arial" w:cs="Arial" w:eastAsia="Arial" w:hAnsi="Arial"/>
                <w:sz w:val="20"/>
                <w:szCs w:val="20"/>
                <w:color w:val="auto"/>
              </w:rPr>
              <w:t>Accounts payable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59,187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69,791</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80" w:type="dxa"/>
            <w:vAlign w:val="bottom"/>
          </w:tcPr>
          <w:p>
            <w:pPr>
              <w:ind w:left="1960"/>
              <w:spacing w:after="0"/>
              <w:rPr>
                <w:sz w:val="20"/>
                <w:szCs w:val="20"/>
                <w:color w:val="auto"/>
              </w:rPr>
            </w:pPr>
            <w:r>
              <w:rPr>
                <w:rFonts w:ascii="Arial" w:cs="Arial" w:eastAsia="Arial" w:hAnsi="Arial"/>
                <w:sz w:val="20"/>
                <w:szCs w:val="20"/>
                <w:color w:val="auto"/>
              </w:rPr>
              <w:t>Accrued liabilities</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20,967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25,657</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ind w:left="2060"/>
              <w:spacing w:after="0"/>
              <w:rPr>
                <w:sz w:val="20"/>
                <w:szCs w:val="20"/>
                <w:color w:val="auto"/>
              </w:rPr>
            </w:pPr>
            <w:r>
              <w:rPr>
                <w:rFonts w:ascii="Arial" w:cs="Arial" w:eastAsia="Arial" w:hAnsi="Arial"/>
                <w:sz w:val="20"/>
                <w:szCs w:val="20"/>
                <w:color w:val="auto"/>
              </w:rPr>
              <w:t>Total current liabilities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90,455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116,078</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80" w:type="dxa"/>
            <w:vAlign w:val="bottom"/>
          </w:tcPr>
          <w:p>
            <w:pPr>
              <w:ind w:left="1720"/>
              <w:spacing w:after="0"/>
              <w:rPr>
                <w:sz w:val="20"/>
                <w:szCs w:val="20"/>
                <w:color w:val="auto"/>
              </w:rPr>
            </w:pPr>
            <w:r>
              <w:rPr>
                <w:rFonts w:ascii="Arial" w:cs="Arial" w:eastAsia="Arial" w:hAnsi="Arial"/>
                <w:sz w:val="20"/>
                <w:szCs w:val="20"/>
                <w:color w:val="auto"/>
              </w:rPr>
              <w:t>Long-term borrowings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6"/>
              </w:rPr>
              <w:t>112,137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202,979</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720"/>
              <w:spacing w:after="0" w:line="225" w:lineRule="exact"/>
              <w:rPr>
                <w:sz w:val="20"/>
                <w:szCs w:val="20"/>
                <w:color w:val="auto"/>
              </w:rPr>
            </w:pPr>
            <w:r>
              <w:rPr>
                <w:rFonts w:ascii="Arial" w:cs="Arial" w:eastAsia="Arial" w:hAnsi="Arial"/>
                <w:sz w:val="20"/>
                <w:szCs w:val="20"/>
                <w:color w:val="auto"/>
              </w:rPr>
              <w:t>Deferred income taxes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1,813</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80" w:type="dxa"/>
            <w:vAlign w:val="bottom"/>
          </w:tcPr>
          <w:p>
            <w:pPr>
              <w:ind w:left="1720"/>
              <w:spacing w:after="0"/>
              <w:rPr>
                <w:sz w:val="20"/>
                <w:szCs w:val="20"/>
                <w:color w:val="auto"/>
              </w:rPr>
            </w:pPr>
            <w:r>
              <w:rPr>
                <w:rFonts w:ascii="Arial" w:cs="Arial" w:eastAsia="Arial" w:hAnsi="Arial"/>
                <w:sz w:val="20"/>
                <w:szCs w:val="20"/>
                <w:color w:val="auto"/>
              </w:rPr>
              <w:t>Other liabilities</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9,881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4,739</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ind w:left="2060"/>
              <w:spacing w:after="0"/>
              <w:rPr>
                <w:sz w:val="20"/>
                <w:szCs w:val="20"/>
                <w:color w:val="auto"/>
              </w:rPr>
            </w:pPr>
            <w:r>
              <w:rPr>
                <w:rFonts w:ascii="Arial" w:cs="Arial" w:eastAsia="Arial" w:hAnsi="Arial"/>
                <w:sz w:val="20"/>
                <w:szCs w:val="20"/>
                <w:color w:val="auto"/>
              </w:rPr>
              <w:t>Total liabilities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6"/>
              </w:rPr>
              <w:t>213,960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325,609</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580" w:type="dxa"/>
            <w:vAlign w:val="bottom"/>
          </w:tcPr>
          <w:p>
            <w:pPr>
              <w:ind w:left="1720"/>
              <w:spacing w:after="0"/>
              <w:rPr>
                <w:sz w:val="20"/>
                <w:szCs w:val="20"/>
                <w:color w:val="auto"/>
              </w:rPr>
            </w:pPr>
            <w:r>
              <w:rPr>
                <w:rFonts w:ascii="Arial" w:cs="Arial" w:eastAsia="Arial" w:hAnsi="Arial"/>
                <w:sz w:val="20"/>
                <w:szCs w:val="20"/>
                <w:color w:val="auto"/>
              </w:rPr>
              <w:t>Minority interest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49,941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49,616</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580" w:type="dxa"/>
            <w:vAlign w:val="bottom"/>
          </w:tcPr>
          <w:p>
            <w:pPr>
              <w:ind w:left="1720"/>
              <w:spacing w:after="0"/>
              <w:rPr>
                <w:sz w:val="20"/>
                <w:szCs w:val="20"/>
                <w:color w:val="auto"/>
              </w:rPr>
            </w:pPr>
            <w:r>
              <w:rPr>
                <w:rFonts w:ascii="Arial" w:cs="Arial" w:eastAsia="Arial" w:hAnsi="Arial"/>
                <w:sz w:val="20"/>
                <w:szCs w:val="20"/>
                <w:color w:val="auto"/>
              </w:rPr>
              <w:t>Commitments and contingencies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80" w:type="dxa"/>
            <w:vAlign w:val="bottom"/>
          </w:tcPr>
          <w:p>
            <w:pPr>
              <w:ind w:left="1720"/>
              <w:spacing w:after="0"/>
              <w:rPr>
                <w:sz w:val="20"/>
                <w:szCs w:val="20"/>
                <w:color w:val="auto"/>
              </w:rPr>
            </w:pPr>
            <w:r>
              <w:rPr>
                <w:rFonts w:ascii="Arial" w:cs="Arial" w:eastAsia="Arial" w:hAnsi="Arial"/>
                <w:sz w:val="20"/>
                <w:szCs w:val="20"/>
                <w:color w:val="auto"/>
              </w:rPr>
              <w:t>Shareholders' equity:</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960"/>
              <w:spacing w:after="0" w:line="225" w:lineRule="exact"/>
              <w:rPr>
                <w:sz w:val="20"/>
                <w:szCs w:val="20"/>
                <w:color w:val="auto"/>
              </w:rPr>
            </w:pPr>
            <w:r>
              <w:rPr>
                <w:rFonts w:ascii="Arial" w:cs="Arial" w:eastAsia="Arial" w:hAnsi="Arial"/>
                <w:sz w:val="20"/>
                <w:szCs w:val="20"/>
                <w:color w:val="auto"/>
              </w:rPr>
              <w:t>Preferred stock, $0.01 par value,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060"/>
              <w:spacing w:after="0" w:line="225" w:lineRule="exact"/>
              <w:rPr>
                <w:sz w:val="20"/>
                <w:szCs w:val="20"/>
                <w:color w:val="auto"/>
              </w:rPr>
            </w:pPr>
            <w:r>
              <w:rPr>
                <w:rFonts w:ascii="Arial" w:cs="Arial" w:eastAsia="Arial" w:hAnsi="Arial"/>
                <w:sz w:val="20"/>
                <w:szCs w:val="20"/>
                <w:color w:val="auto"/>
                <w:w w:val="93"/>
              </w:rPr>
              <w:t>2,000 shares authorized, none issued and outstanding</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960"/>
              <w:spacing w:after="0" w:line="225" w:lineRule="exact"/>
              <w:rPr>
                <w:sz w:val="20"/>
                <w:szCs w:val="20"/>
                <w:color w:val="auto"/>
              </w:rPr>
            </w:pPr>
            <w:r>
              <w:rPr>
                <w:rFonts w:ascii="Arial" w:cs="Arial" w:eastAsia="Arial" w:hAnsi="Arial"/>
                <w:sz w:val="20"/>
                <w:szCs w:val="20"/>
                <w:color w:val="auto"/>
              </w:rPr>
              <w:t>Common stock, $0.01 par value,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00" w:type="dxa"/>
            <w:vAlign w:val="bottom"/>
            <w:gridSpan w:val="4"/>
          </w:tcPr>
          <w:p>
            <w:pPr>
              <w:ind w:left="2060"/>
              <w:spacing w:after="0" w:line="225" w:lineRule="exact"/>
              <w:rPr>
                <w:sz w:val="20"/>
                <w:szCs w:val="20"/>
                <w:color w:val="auto"/>
              </w:rPr>
            </w:pPr>
            <w:r>
              <w:rPr>
                <w:rFonts w:ascii="Arial" w:cs="Arial" w:eastAsia="Arial" w:hAnsi="Arial"/>
                <w:sz w:val="20"/>
                <w:szCs w:val="20"/>
                <w:color w:val="auto"/>
                <w:w w:val="95"/>
              </w:rPr>
              <w:t>150,000 shares authorized, 53,011 shares issued and outstanding</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00" w:type="dxa"/>
            <w:vAlign w:val="bottom"/>
            <w:gridSpan w:val="4"/>
          </w:tcPr>
          <w:p>
            <w:pPr>
              <w:ind w:left="2060"/>
              <w:spacing w:after="0" w:line="225" w:lineRule="exact"/>
              <w:rPr>
                <w:sz w:val="20"/>
                <w:szCs w:val="20"/>
                <w:color w:val="auto"/>
              </w:rPr>
            </w:pPr>
            <w:r>
              <w:rPr>
                <w:rFonts w:ascii="Arial" w:cs="Arial" w:eastAsia="Arial" w:hAnsi="Arial"/>
                <w:sz w:val="20"/>
                <w:szCs w:val="20"/>
                <w:color w:val="auto"/>
                <w:w w:val="98"/>
              </w:rPr>
              <w:t>at November 1, 2009 and 41,712 shares issued and outstanding</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060"/>
              <w:spacing w:after="0" w:line="225" w:lineRule="exact"/>
              <w:rPr>
                <w:sz w:val="20"/>
                <w:szCs w:val="20"/>
                <w:color w:val="auto"/>
              </w:rPr>
            </w:pPr>
            <w:r>
              <w:rPr>
                <w:rFonts w:ascii="Arial" w:cs="Arial" w:eastAsia="Arial" w:hAnsi="Arial"/>
                <w:sz w:val="20"/>
                <w:szCs w:val="20"/>
                <w:color w:val="auto"/>
              </w:rPr>
              <w:t>at November 2, 2008</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417</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720"/>
              <w:spacing w:after="0" w:line="225" w:lineRule="exact"/>
              <w:rPr>
                <w:sz w:val="20"/>
                <w:szCs w:val="20"/>
                <w:color w:val="auto"/>
              </w:rPr>
            </w:pPr>
            <w:r>
              <w:rPr>
                <w:rFonts w:ascii="Arial" w:cs="Arial" w:eastAsia="Arial" w:hAnsi="Arial"/>
                <w:sz w:val="20"/>
                <w:szCs w:val="20"/>
                <w:color w:val="auto"/>
              </w:rPr>
              <w:t>Additional paid-in capital</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96"/>
              </w:rPr>
              <w:t>432,160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384,502</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1720"/>
              <w:spacing w:after="0" w:line="225" w:lineRule="exact"/>
              <w:rPr>
                <w:sz w:val="20"/>
                <w:szCs w:val="20"/>
                <w:color w:val="auto"/>
              </w:rPr>
            </w:pPr>
            <w:r>
              <w:rPr>
                <w:rFonts w:ascii="Arial" w:cs="Arial" w:eastAsia="Arial" w:hAnsi="Arial"/>
                <w:sz w:val="20"/>
                <w:szCs w:val="20"/>
                <w:color w:val="auto"/>
              </w:rPr>
              <w:t>Retained earnings (deficit)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99"/>
              </w:rPr>
              <w:t>(26,546)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80"/>
              <w:spacing w:after="0" w:line="225" w:lineRule="exact"/>
              <w:rPr>
                <w:sz w:val="20"/>
                <w:szCs w:val="20"/>
                <w:color w:val="auto"/>
              </w:rPr>
            </w:pPr>
            <w:r>
              <w:rPr>
                <w:rFonts w:ascii="Arial" w:cs="Arial" w:eastAsia="Arial" w:hAnsi="Arial"/>
                <w:sz w:val="20"/>
                <w:szCs w:val="20"/>
                <w:color w:val="auto"/>
              </w:rPr>
              <w:t>15,364</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580" w:type="dxa"/>
            <w:vAlign w:val="bottom"/>
          </w:tcPr>
          <w:p>
            <w:pPr>
              <w:ind w:left="1720"/>
              <w:spacing w:after="0"/>
              <w:rPr>
                <w:sz w:val="20"/>
                <w:szCs w:val="20"/>
                <w:color w:val="auto"/>
              </w:rPr>
            </w:pPr>
            <w:r>
              <w:rPr>
                <w:rFonts w:ascii="Arial" w:cs="Arial" w:eastAsia="Arial" w:hAnsi="Arial"/>
                <w:sz w:val="20"/>
                <w:szCs w:val="20"/>
                <w:color w:val="auto"/>
              </w:rPr>
              <w:t>Accumulated other comprehensive loss</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(6,389)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20"/>
                <w:szCs w:val="20"/>
                <w:color w:val="auto"/>
              </w:rPr>
              <w:t>(17,501)</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ind w:left="2060"/>
              <w:spacing w:after="0"/>
              <w:rPr>
                <w:sz w:val="20"/>
                <w:szCs w:val="20"/>
                <w:color w:val="auto"/>
              </w:rPr>
            </w:pPr>
            <w:r>
              <w:rPr>
                <w:rFonts w:ascii="Arial" w:cs="Arial" w:eastAsia="Arial" w:hAnsi="Arial"/>
                <w:sz w:val="20"/>
                <w:szCs w:val="20"/>
                <w:color w:val="auto"/>
              </w:rPr>
              <w:t>Total shareholders' equity</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6"/>
              </w:rPr>
              <w:t>399,755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382,782</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800" w:type="dxa"/>
            <w:vAlign w:val="bottom"/>
            <w:gridSpan w:val="2"/>
          </w:tcPr>
          <w:p>
            <w:pPr>
              <w:spacing w:after="0"/>
              <w:rPr>
                <w:sz w:val="7"/>
                <w:szCs w:val="7"/>
                <w:color w:val="auto"/>
              </w:rPr>
            </w:pPr>
          </w:p>
        </w:tc>
        <w:tc>
          <w:tcPr>
            <w:tcW w:w="400" w:type="dxa"/>
            <w:vAlign w:val="bottom"/>
            <w:tcBorders>
              <w:bottom w:val="single" w:sz="8" w:color="336699"/>
            </w:tcBorders>
            <w:gridSpan w:val="2"/>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bottom w:val="single" w:sz="8" w:color="336699"/>
            </w:tcBorders>
          </w:tcPr>
          <w:p>
            <w:pPr>
              <w:spacing w:after="0"/>
              <w:rPr>
                <w:sz w:val="7"/>
                <w:szCs w:val="7"/>
                <w:color w:val="auto"/>
              </w:rPr>
            </w:pPr>
          </w:p>
        </w:tc>
        <w:tc>
          <w:tcPr>
            <w:tcW w:w="80" w:type="dxa"/>
            <w:vAlign w:val="bottom"/>
            <w:tcBorders>
              <w:bottom w:val="single" w:sz="8" w:color="336699"/>
            </w:tcBorders>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6580" w:type="dxa"/>
            <w:vAlign w:val="bottom"/>
          </w:tcPr>
          <w:p>
            <w:pPr>
              <w:spacing w:after="0"/>
              <w:rPr>
                <w:sz w:val="24"/>
                <w:szCs w:val="24"/>
                <w:color w:val="auto"/>
              </w:rPr>
            </w:pPr>
          </w:p>
        </w:tc>
        <w:tc>
          <w:tcPr>
            <w:tcW w:w="1900" w:type="dxa"/>
            <w:vAlign w:val="bottom"/>
            <w:gridSpan w:val="5"/>
          </w:tcPr>
          <w:p>
            <w:pPr>
              <w:jc w:val="right"/>
              <w:spacing w:after="0"/>
              <w:rPr>
                <w:sz w:val="20"/>
                <w:szCs w:val="20"/>
                <w:color w:val="auto"/>
              </w:rPr>
            </w:pPr>
            <w:r>
              <w:rPr>
                <w:rFonts w:ascii="Arial" w:cs="Arial" w:eastAsia="Arial" w:hAnsi="Arial"/>
                <w:sz w:val="20"/>
                <w:szCs w:val="20"/>
                <w:color w:val="auto"/>
              </w:rPr>
              <w:t>$663,656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w w:val="88"/>
              </w:rPr>
              <w:t>$758,007</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360" w:type="dxa"/>
            <w:vAlign w:val="bottom"/>
            <w:gridSpan w:val="2"/>
          </w:tcPr>
          <w:p>
            <w:pPr>
              <w:spacing w:after="0"/>
              <w:rPr>
                <w:sz w:val="9"/>
                <w:szCs w:val="9"/>
                <w:color w:val="auto"/>
              </w:rPr>
            </w:pPr>
          </w:p>
        </w:tc>
        <w:tc>
          <w:tcPr>
            <w:tcW w:w="340" w:type="dxa"/>
            <w:vAlign w:val="bottom"/>
            <w:tcBorders>
              <w:bottom w:val="single" w:sz="8" w:color="336699"/>
            </w:tcBorders>
            <w:gridSpan w:val="2"/>
          </w:tcPr>
          <w:p>
            <w:pPr>
              <w:spacing w:after="0"/>
              <w:rPr>
                <w:sz w:val="9"/>
                <w:szCs w:val="9"/>
                <w:color w:val="auto"/>
              </w:rPr>
            </w:pPr>
          </w:p>
        </w:tc>
        <w:tc>
          <w:tcPr>
            <w:tcW w:w="80" w:type="dxa"/>
            <w:vAlign w:val="bottom"/>
            <w:tcBorders>
              <w:bottom w:val="single" w:sz="8" w:color="336699"/>
            </w:tcBorders>
          </w:tcPr>
          <w:p>
            <w:pPr>
              <w:spacing w:after="0"/>
              <w:rPr>
                <w:sz w:val="9"/>
                <w:szCs w:val="9"/>
                <w:color w:val="auto"/>
              </w:rPr>
            </w:pPr>
          </w:p>
        </w:tc>
        <w:tc>
          <w:tcPr>
            <w:tcW w:w="70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280" w:type="dxa"/>
            <w:vAlign w:val="bottom"/>
            <w:tcBorders>
              <w:bottom w:val="single" w:sz="8" w:color="336699"/>
            </w:tcBorders>
          </w:tcPr>
          <w:p>
            <w:pPr>
              <w:spacing w:after="0"/>
              <w:rPr>
                <w:sz w:val="9"/>
                <w:szCs w:val="9"/>
                <w:color w:val="auto"/>
              </w:rPr>
            </w:pPr>
          </w:p>
        </w:tc>
        <w:tc>
          <w:tcPr>
            <w:tcW w:w="80" w:type="dxa"/>
            <w:vAlign w:val="bottom"/>
            <w:tcBorders>
              <w:bottom w:val="single" w:sz="8" w:color="336699"/>
            </w:tcBorders>
          </w:tcPr>
          <w:p>
            <w:pPr>
              <w:spacing w:after="0"/>
              <w:rPr>
                <w:sz w:val="9"/>
                <w:szCs w:val="9"/>
                <w:color w:val="auto"/>
              </w:rPr>
            </w:pPr>
          </w:p>
        </w:tc>
        <w:tc>
          <w:tcPr>
            <w:tcW w:w="760" w:type="dxa"/>
            <w:vAlign w:val="bottom"/>
            <w:tcBorders>
              <w:bottom w:val="single" w:sz="8" w:color="336699"/>
            </w:tcBorders>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5"/>
        </w:trPr>
        <w:tc>
          <w:tcPr>
            <w:tcW w:w="7700" w:type="dxa"/>
            <w:vAlign w:val="bottom"/>
            <w:gridSpan w:val="4"/>
          </w:tcPr>
          <w:p>
            <w:pPr>
              <w:ind w:left="1720"/>
              <w:spacing w:after="0"/>
              <w:rPr>
                <w:sz w:val="20"/>
                <w:szCs w:val="20"/>
                <w:color w:val="auto"/>
              </w:rPr>
            </w:pPr>
            <w:r>
              <w:rPr>
                <w:rFonts w:ascii="Arial" w:cs="Arial" w:eastAsia="Arial" w:hAnsi="Arial"/>
                <w:sz w:val="20"/>
                <w:szCs w:val="20"/>
                <w:color w:val="auto"/>
              </w:rPr>
              <w:t>See accompanying notes to consolidated financial statements.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7"/>
        </w:trPr>
        <w:tc>
          <w:tcPr>
            <w:tcW w:w="6580" w:type="dxa"/>
            <w:vAlign w:val="bottom"/>
          </w:tcPr>
          <w:p>
            <w:pPr>
              <w:jc w:val="center"/>
              <w:ind w:left="4740"/>
              <w:spacing w:after="0"/>
              <w:rPr>
                <w:sz w:val="20"/>
                <w:szCs w:val="20"/>
                <w:color w:val="auto"/>
              </w:rPr>
            </w:pPr>
            <w:r>
              <w:rPr>
                <w:rFonts w:ascii="Arial" w:cs="Arial" w:eastAsia="Arial" w:hAnsi="Arial"/>
                <w:sz w:val="20"/>
                <w:szCs w:val="20"/>
                <w:color w:val="auto"/>
                <w:w w:val="95"/>
              </w:rPr>
              <w:t>-35-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700" w:type="dxa"/>
            <w:vAlign w:val="bottom"/>
            <w:tcBorders>
              <w:bottom w:val="single" w:sz="8" w:color="9A9A9A"/>
            </w:tcBorders>
            <w:gridSpan w:val="4"/>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r>
        <w:trPr>
          <w:trHeight w:val="822"/>
        </w:trPr>
        <w:tc>
          <w:tcPr>
            <w:tcW w:w="7700" w:type="dxa"/>
            <w:vAlign w:val="bottom"/>
            <w:gridSpan w:val="4"/>
          </w:tcPr>
          <w:p>
            <w:pPr>
              <w:jc w:val="center"/>
              <w:ind w:left="3640"/>
              <w:spacing w:after="0"/>
              <w:rPr>
                <w:sz w:val="20"/>
                <w:szCs w:val="20"/>
                <w:color w:val="auto"/>
              </w:rPr>
            </w:pPr>
            <w:r>
              <w:rPr>
                <w:rFonts w:ascii="Arial" w:cs="Arial" w:eastAsia="Arial" w:hAnsi="Arial"/>
                <w:sz w:val="20"/>
                <w:szCs w:val="20"/>
                <w:b w:val="1"/>
                <w:bCs w:val="1"/>
                <w:color w:val="auto"/>
                <w:w w:val="99"/>
              </w:rPr>
              <w:t>PHOTRONICS, INC. AND SUBSIDIARIES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gridSpan w:val="4"/>
          </w:tcPr>
          <w:p>
            <w:pPr>
              <w:jc w:val="center"/>
              <w:ind w:left="3620"/>
              <w:spacing w:after="0"/>
              <w:rPr>
                <w:sz w:val="20"/>
                <w:szCs w:val="20"/>
                <w:color w:val="auto"/>
              </w:rPr>
            </w:pPr>
            <w:r>
              <w:rPr>
                <w:rFonts w:ascii="Arial" w:cs="Arial" w:eastAsia="Arial" w:hAnsi="Arial"/>
                <w:sz w:val="20"/>
                <w:szCs w:val="20"/>
                <w:b w:val="1"/>
                <w:bCs w:val="1"/>
                <w:color w:val="auto"/>
                <w:w w:val="88"/>
              </w:rPr>
              <w:t>Consolidated Statements of Operations</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700" w:type="dxa"/>
            <w:vAlign w:val="bottom"/>
            <w:gridSpan w:val="4"/>
          </w:tcPr>
          <w:p>
            <w:pPr>
              <w:jc w:val="center"/>
              <w:ind w:left="3640"/>
              <w:spacing w:after="0"/>
              <w:rPr>
                <w:sz w:val="20"/>
                <w:szCs w:val="20"/>
                <w:color w:val="auto"/>
              </w:rPr>
            </w:pPr>
            <w:r>
              <w:rPr>
                <w:rFonts w:ascii="Arial" w:cs="Arial" w:eastAsia="Arial" w:hAnsi="Arial"/>
                <w:sz w:val="20"/>
                <w:szCs w:val="20"/>
                <w:i w:val="1"/>
                <w:iCs w:val="1"/>
                <w:color w:val="auto"/>
                <w:w w:val="88"/>
              </w:rPr>
              <w:t>(in thousands, except per share amounts)</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7"/>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20"/>
                <w:szCs w:val="20"/>
                <w:b w:val="1"/>
                <w:bCs w:val="1"/>
                <w:color w:val="auto"/>
                <w:w w:val="96"/>
              </w:rPr>
              <w:t>Year Ended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120" w:type="dxa"/>
            <w:vAlign w:val="bottom"/>
            <w:tcBorders>
              <w:bottom w:val="single" w:sz="8" w:color="auto"/>
            </w:tcBorders>
            <w:gridSpan w:val="3"/>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6"/>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658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w w:val="89"/>
              </w:rPr>
              <w:t>November 1,</w:t>
            </w:r>
          </w:p>
        </w:tc>
        <w:tc>
          <w:tcPr>
            <w:tcW w:w="80" w:type="dxa"/>
            <w:vAlign w:val="bottom"/>
          </w:tcPr>
          <w:p>
            <w:pPr>
              <w:spacing w:after="0"/>
              <w:rPr>
                <w:sz w:val="24"/>
                <w:szCs w:val="24"/>
                <w:color w:val="auto"/>
              </w:rPr>
            </w:pPr>
          </w:p>
        </w:tc>
        <w:tc>
          <w:tcPr>
            <w:tcW w:w="3680" w:type="dxa"/>
            <w:vAlign w:val="bottom"/>
            <w:gridSpan w:val="9"/>
          </w:tcPr>
          <w:p>
            <w:pPr>
              <w:jc w:val="right"/>
              <w:ind w:right="1480"/>
              <w:spacing w:after="0"/>
              <w:rPr>
                <w:sz w:val="20"/>
                <w:szCs w:val="20"/>
                <w:color w:val="auto"/>
              </w:rPr>
            </w:pPr>
            <w:r>
              <w:rPr>
                <w:rFonts w:ascii="Arial" w:cs="Arial" w:eastAsia="Arial" w:hAnsi="Arial"/>
                <w:sz w:val="20"/>
                <w:szCs w:val="20"/>
                <w:b w:val="1"/>
                <w:bCs w:val="1"/>
                <w:color w:val="auto"/>
                <w:w w:val="92"/>
              </w:rPr>
              <w:t>November 2, October 28,</w:t>
            </w:r>
          </w:p>
        </w:tc>
        <w:tc>
          <w:tcPr>
            <w:tcW w:w="0" w:type="dxa"/>
            <w:vAlign w:val="bottom"/>
          </w:tcPr>
          <w:p>
            <w:pPr>
              <w:spacing w:after="0"/>
              <w:rPr>
                <w:sz w:val="1"/>
                <w:szCs w:val="1"/>
                <w:color w:val="auto"/>
              </w:rPr>
            </w:pPr>
          </w:p>
        </w:tc>
      </w:tr>
      <w:tr>
        <w:trPr>
          <w:trHeight w:val="260"/>
        </w:trPr>
        <w:tc>
          <w:tcPr>
            <w:tcW w:w="65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2009</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20"/>
                <w:szCs w:val="20"/>
                <w:b w:val="1"/>
                <w:bCs w:val="1"/>
                <w:color w:val="auto"/>
              </w:rPr>
              <w:t>2008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2007</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120" w:type="dxa"/>
            <w:vAlign w:val="bottom"/>
            <w:tcBorders>
              <w:bottom w:val="single" w:sz="8" w:color="auto"/>
            </w:tcBorders>
            <w:gridSpan w:val="3"/>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auto"/>
            </w:tcBorders>
            <w:gridSpan w:val="5"/>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3"/>
        </w:trPr>
        <w:tc>
          <w:tcPr>
            <w:tcW w:w="6580" w:type="dxa"/>
            <w:vAlign w:val="bottom"/>
          </w:tcPr>
          <w:p>
            <w:pPr>
              <w:ind w:left="1460"/>
              <w:spacing w:after="0"/>
              <w:rPr>
                <w:sz w:val="20"/>
                <w:szCs w:val="20"/>
                <w:color w:val="auto"/>
              </w:rPr>
            </w:pPr>
            <w:r>
              <w:rPr>
                <w:rFonts w:ascii="Arial" w:cs="Arial" w:eastAsia="Arial" w:hAnsi="Arial"/>
                <w:sz w:val="20"/>
                <w:szCs w:val="20"/>
                <w:color w:val="auto"/>
              </w:rPr>
              <w:t>Net sales</w:t>
            </w:r>
          </w:p>
        </w:tc>
        <w:tc>
          <w:tcPr>
            <w:tcW w:w="1120" w:type="dxa"/>
            <w:vAlign w:val="bottom"/>
            <w:gridSpan w:val="3"/>
          </w:tcPr>
          <w:p>
            <w:pPr>
              <w:jc w:val="right"/>
              <w:ind w:right="80"/>
              <w:spacing w:after="0"/>
              <w:rPr>
                <w:sz w:val="20"/>
                <w:szCs w:val="20"/>
                <w:color w:val="auto"/>
              </w:rPr>
            </w:pPr>
            <w:r>
              <w:rPr>
                <w:rFonts w:ascii="Arial" w:cs="Arial" w:eastAsia="Arial" w:hAnsi="Arial"/>
                <w:sz w:val="20"/>
                <w:szCs w:val="20"/>
                <w:color w:val="auto"/>
              </w:rPr>
              <w:t>$361,353</w:t>
            </w:r>
          </w:p>
        </w:tc>
        <w:tc>
          <w:tcPr>
            <w:tcW w:w="1200" w:type="dxa"/>
            <w:vAlign w:val="bottom"/>
            <w:gridSpan w:val="6"/>
          </w:tcPr>
          <w:p>
            <w:pPr>
              <w:jc w:val="right"/>
              <w:ind w:right="80"/>
              <w:spacing w:after="0"/>
              <w:rPr>
                <w:sz w:val="20"/>
                <w:szCs w:val="20"/>
                <w:color w:val="auto"/>
              </w:rPr>
            </w:pPr>
            <w:r>
              <w:rPr>
                <w:rFonts w:ascii="Arial" w:cs="Arial" w:eastAsia="Arial" w:hAnsi="Arial"/>
                <w:sz w:val="20"/>
                <w:szCs w:val="20"/>
                <w:color w:val="auto"/>
              </w:rPr>
              <w:t>$ 422,548</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$421,479</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580" w:type="dxa"/>
            <w:vAlign w:val="bottom"/>
          </w:tcPr>
          <w:p>
            <w:pPr>
              <w:ind w:left="1460"/>
              <w:spacing w:after="0"/>
              <w:rPr>
                <w:sz w:val="20"/>
                <w:szCs w:val="20"/>
                <w:color w:val="auto"/>
              </w:rPr>
            </w:pPr>
            <w:r>
              <w:rPr>
                <w:rFonts w:ascii="Arial" w:cs="Arial" w:eastAsia="Arial" w:hAnsi="Arial"/>
                <w:sz w:val="20"/>
                <w:szCs w:val="20"/>
                <w:color w:val="auto"/>
              </w:rPr>
              <w:t>Cost and expenses: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580" w:type="dxa"/>
            <w:vAlign w:val="bottom"/>
          </w:tcPr>
          <w:p>
            <w:pPr>
              <w:ind w:left="1700"/>
              <w:spacing w:after="0"/>
              <w:rPr>
                <w:sz w:val="20"/>
                <w:szCs w:val="20"/>
                <w:color w:val="auto"/>
              </w:rPr>
            </w:pPr>
            <w:r>
              <w:rPr>
                <w:rFonts w:ascii="Arial" w:cs="Arial" w:eastAsia="Arial" w:hAnsi="Arial"/>
                <w:sz w:val="20"/>
                <w:szCs w:val="20"/>
                <w:color w:val="auto"/>
              </w:rPr>
              <w:t>Cost of sales</w:t>
            </w:r>
          </w:p>
        </w:tc>
        <w:tc>
          <w:tcPr>
            <w:tcW w:w="1120" w:type="dxa"/>
            <w:vAlign w:val="bottom"/>
            <w:gridSpan w:val="3"/>
          </w:tcPr>
          <w:p>
            <w:pPr>
              <w:jc w:val="right"/>
              <w:ind w:right="20"/>
              <w:spacing w:after="0"/>
              <w:rPr>
                <w:sz w:val="20"/>
                <w:szCs w:val="20"/>
                <w:color w:val="auto"/>
              </w:rPr>
            </w:pPr>
            <w:r>
              <w:rPr>
                <w:rFonts w:ascii="Arial" w:cs="Arial" w:eastAsia="Arial" w:hAnsi="Arial"/>
                <w:sz w:val="20"/>
                <w:szCs w:val="20"/>
                <w:color w:val="auto"/>
              </w:rPr>
              <w:t>(304,282)</w:t>
            </w:r>
          </w:p>
        </w:tc>
        <w:tc>
          <w:tcPr>
            <w:tcW w:w="1200" w:type="dxa"/>
            <w:vAlign w:val="bottom"/>
            <w:gridSpan w:val="6"/>
          </w:tcPr>
          <w:p>
            <w:pPr>
              <w:jc w:val="right"/>
              <w:ind w:right="20"/>
              <w:spacing w:after="0"/>
              <w:rPr>
                <w:sz w:val="20"/>
                <w:szCs w:val="20"/>
                <w:color w:val="auto"/>
              </w:rPr>
            </w:pPr>
            <w:r>
              <w:rPr>
                <w:rFonts w:ascii="Arial" w:cs="Arial" w:eastAsia="Arial" w:hAnsi="Arial"/>
                <w:sz w:val="20"/>
                <w:szCs w:val="20"/>
                <w:color w:val="auto"/>
              </w:rPr>
              <w:t>(349,841)</w:t>
            </w:r>
          </w:p>
        </w:tc>
        <w:tc>
          <w:tcPr>
            <w:tcW w:w="1100" w:type="dxa"/>
            <w:vAlign w:val="bottom"/>
            <w:gridSpan w:val="3"/>
          </w:tcPr>
          <w:p>
            <w:pPr>
              <w:jc w:val="right"/>
              <w:ind w:right="20"/>
              <w:spacing w:after="0"/>
              <w:rPr>
                <w:sz w:val="20"/>
                <w:szCs w:val="20"/>
                <w:color w:val="auto"/>
              </w:rPr>
            </w:pPr>
            <w:r>
              <w:rPr>
                <w:rFonts w:ascii="Arial" w:cs="Arial" w:eastAsia="Arial" w:hAnsi="Arial"/>
                <w:sz w:val="20"/>
                <w:szCs w:val="20"/>
                <w:color w:val="auto"/>
              </w:rPr>
              <w:t>(321,958)</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-8840470</wp:posOffset>
            </wp:positionV>
            <wp:extent cx="12700"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-8840470</wp:posOffset>
            </wp:positionV>
            <wp:extent cx="12700" cy="28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6170295</wp:posOffset>
            </wp:positionH>
            <wp:positionV relativeFrom="paragraph">
              <wp:posOffset>-8840470</wp:posOffset>
            </wp:positionV>
            <wp:extent cx="12700" cy="28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-8840470</wp:posOffset>
            </wp:positionV>
            <wp:extent cx="12700"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-3846195</wp:posOffset>
            </wp:positionV>
            <wp:extent cx="12700" cy="28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-3846195</wp:posOffset>
            </wp:positionV>
            <wp:extent cx="12700" cy="28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6170295</wp:posOffset>
            </wp:positionH>
            <wp:positionV relativeFrom="paragraph">
              <wp:posOffset>-3846195</wp:posOffset>
            </wp:positionV>
            <wp:extent cx="12700" cy="28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-3846195</wp:posOffset>
            </wp:positionV>
            <wp:extent cx="12700" cy="28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7252335</wp:posOffset>
            </wp:positionH>
            <wp:positionV relativeFrom="paragraph">
              <wp:posOffset>-2820035</wp:posOffset>
            </wp:positionV>
            <wp:extent cx="3302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-2820035</wp:posOffset>
            </wp:positionV>
            <wp:extent cx="3302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15" w:right="199" w:bottom="0" w:gutter="0" w:footer="0" w:header="0"/>
        </w:sectPr>
      </w:pPr>
    </w:p>
    <w:bookmarkStart w:id="27" w:name="page28"/>
    <w:bookmarkEnd w:id="27"/>
    <w:tbl>
      <w:tblPr>
        <w:tblLayout w:type="fixed"/>
        <w:tblInd w:w="1460" w:type="dxa"/>
        <w:tblCellMar>
          <w:top w:w="0" w:type="dxa"/>
          <w:left w:w="0" w:type="dxa"/>
          <w:bottom w:w="0" w:type="dxa"/>
          <w:right w:w="0" w:type="dxa"/>
        </w:tblCellMar>
      </w:tblPr>
      <w:tr>
        <w:trPr>
          <w:trHeight w:val="254"/>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Selling, general and administrative</w:t>
            </w:r>
          </w:p>
        </w:tc>
        <w:tc>
          <w:tcPr>
            <w:tcW w:w="1100" w:type="dxa"/>
            <w:vAlign w:val="bottom"/>
          </w:tcPr>
          <w:p>
            <w:pPr>
              <w:jc w:val="right"/>
              <w:spacing w:after="0"/>
              <w:rPr>
                <w:sz w:val="20"/>
                <w:szCs w:val="20"/>
                <w:color w:val="auto"/>
              </w:rPr>
            </w:pPr>
            <w:r>
              <w:rPr>
                <w:rFonts w:ascii="Arial" w:cs="Arial" w:eastAsia="Arial" w:hAnsi="Arial"/>
                <w:sz w:val="20"/>
                <w:szCs w:val="20"/>
                <w:color w:val="auto"/>
              </w:rPr>
              <w:t>(41,162)</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(55,167)</w:t>
            </w:r>
          </w:p>
        </w:tc>
        <w:tc>
          <w:tcPr>
            <w:tcW w:w="1100" w:type="dxa"/>
            <w:vAlign w:val="bottom"/>
            <w:gridSpan w:val="3"/>
          </w:tcPr>
          <w:p>
            <w:pPr>
              <w:jc w:val="right"/>
              <w:ind w:right="20"/>
              <w:spacing w:after="0"/>
              <w:rPr>
                <w:sz w:val="20"/>
                <w:szCs w:val="20"/>
                <w:color w:val="auto"/>
              </w:rPr>
            </w:pPr>
            <w:r>
              <w:rPr>
                <w:rFonts w:ascii="Arial" w:cs="Arial" w:eastAsia="Arial" w:hAnsi="Arial"/>
                <w:sz w:val="20"/>
                <w:szCs w:val="20"/>
                <w:color w:val="auto"/>
              </w:rPr>
              <w:t>(61,507)</w:t>
            </w: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Research and development</w:t>
            </w:r>
          </w:p>
        </w:tc>
        <w:tc>
          <w:tcPr>
            <w:tcW w:w="1100" w:type="dxa"/>
            <w:vAlign w:val="bottom"/>
          </w:tcPr>
          <w:p>
            <w:pPr>
              <w:jc w:val="right"/>
              <w:spacing w:after="0"/>
              <w:rPr>
                <w:sz w:val="20"/>
                <w:szCs w:val="20"/>
                <w:color w:val="auto"/>
              </w:rPr>
            </w:pPr>
            <w:r>
              <w:rPr>
                <w:rFonts w:ascii="Arial" w:cs="Arial" w:eastAsia="Arial" w:hAnsi="Arial"/>
                <w:sz w:val="20"/>
                <w:szCs w:val="20"/>
                <w:color w:val="auto"/>
              </w:rPr>
              <w:t>(15,423)</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(17,475)</w:t>
            </w:r>
          </w:p>
        </w:tc>
        <w:tc>
          <w:tcPr>
            <w:tcW w:w="1100" w:type="dxa"/>
            <w:vAlign w:val="bottom"/>
            <w:gridSpan w:val="3"/>
          </w:tcPr>
          <w:p>
            <w:pPr>
              <w:jc w:val="right"/>
              <w:ind w:right="20"/>
              <w:spacing w:after="0"/>
              <w:rPr>
                <w:sz w:val="20"/>
                <w:szCs w:val="20"/>
                <w:color w:val="auto"/>
              </w:rPr>
            </w:pPr>
            <w:r>
              <w:rPr>
                <w:rFonts w:ascii="Arial" w:cs="Arial" w:eastAsia="Arial" w:hAnsi="Arial"/>
                <w:sz w:val="20"/>
                <w:szCs w:val="20"/>
                <w:color w:val="auto"/>
              </w:rPr>
              <w:t>(17,300)</w:t>
            </w: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Consolidation, restructuring and related charges</w:t>
            </w:r>
          </w:p>
        </w:tc>
        <w:tc>
          <w:tcPr>
            <w:tcW w:w="1100" w:type="dxa"/>
            <w:vAlign w:val="bottom"/>
          </w:tcPr>
          <w:p>
            <w:pPr>
              <w:jc w:val="right"/>
              <w:spacing w:after="0"/>
              <w:rPr>
                <w:sz w:val="20"/>
                <w:szCs w:val="20"/>
                <w:color w:val="auto"/>
              </w:rPr>
            </w:pPr>
            <w:r>
              <w:rPr>
                <w:rFonts w:ascii="Arial" w:cs="Arial" w:eastAsia="Arial" w:hAnsi="Arial"/>
                <w:sz w:val="20"/>
                <w:szCs w:val="20"/>
                <w:color w:val="auto"/>
              </w:rPr>
              <w:t>(13,557)</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(510)</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Impairment of long-lived assets</w:t>
            </w:r>
          </w:p>
        </w:tc>
        <w:tc>
          <w:tcPr>
            <w:tcW w:w="1100" w:type="dxa"/>
            <w:vAlign w:val="bottom"/>
          </w:tcPr>
          <w:p>
            <w:pPr>
              <w:jc w:val="right"/>
              <w:spacing w:after="0"/>
              <w:rPr>
                <w:sz w:val="20"/>
                <w:szCs w:val="20"/>
                <w:color w:val="auto"/>
              </w:rPr>
            </w:pPr>
            <w:r>
              <w:rPr>
                <w:rFonts w:ascii="Arial" w:cs="Arial" w:eastAsia="Arial" w:hAnsi="Arial"/>
                <w:sz w:val="20"/>
                <w:szCs w:val="20"/>
                <w:color w:val="auto"/>
              </w:rPr>
              <w:t>(1,458)</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(66,874)</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Impairment of goodwill</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(138,534)</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9"/>
        </w:trPr>
        <w:tc>
          <w:tcPr>
            <w:tcW w:w="5140" w:type="dxa"/>
            <w:vAlign w:val="bottom"/>
            <w:gridSpan w:val="2"/>
          </w:tcPr>
          <w:p>
            <w:pPr>
              <w:spacing w:after="0"/>
              <w:rPr>
                <w:sz w:val="20"/>
                <w:szCs w:val="20"/>
                <w:color w:val="auto"/>
              </w:rPr>
            </w:pPr>
            <w:r>
              <w:rPr>
                <w:rFonts w:ascii="Arial" w:cs="Arial" w:eastAsia="Arial" w:hAnsi="Arial"/>
                <w:sz w:val="20"/>
                <w:szCs w:val="20"/>
                <w:color w:val="auto"/>
              </w:rPr>
              <w:t>Gains on sales of facilities</w:t>
            </w:r>
          </w:p>
        </w:tc>
        <w:tc>
          <w:tcPr>
            <w:tcW w:w="1100" w:type="dxa"/>
            <w:vAlign w:val="bottom"/>
          </w:tcPr>
          <w:p>
            <w:pPr>
              <w:jc w:val="right"/>
              <w:spacing w:after="0"/>
              <w:rPr>
                <w:sz w:val="20"/>
                <w:szCs w:val="20"/>
                <w:color w:val="auto"/>
              </w:rPr>
            </w:pPr>
            <w:r>
              <w:rPr>
                <w:rFonts w:ascii="Arial" w:cs="Arial" w:eastAsia="Arial" w:hAnsi="Arial"/>
                <w:sz w:val="20"/>
                <w:szCs w:val="20"/>
                <w:color w:val="auto"/>
              </w:rPr>
              <w:t>2,034</w:t>
            </w: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2,254</w:t>
            </w: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Operating income (loss)</w:t>
            </w:r>
          </w:p>
        </w:tc>
        <w:tc>
          <w:tcPr>
            <w:tcW w:w="1100" w:type="dxa"/>
            <w:vAlign w:val="bottom"/>
          </w:tcPr>
          <w:p>
            <w:pPr>
              <w:jc w:val="right"/>
              <w:spacing w:after="0"/>
              <w:rPr>
                <w:sz w:val="20"/>
                <w:szCs w:val="20"/>
                <w:color w:val="auto"/>
              </w:rPr>
            </w:pPr>
            <w:r>
              <w:rPr>
                <w:rFonts w:ascii="Arial" w:cs="Arial" w:eastAsia="Arial" w:hAnsi="Arial"/>
                <w:sz w:val="20"/>
                <w:szCs w:val="20"/>
                <w:color w:val="auto"/>
              </w:rPr>
              <w:t>(12,495)</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(205,853)</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22,968</w:t>
            </w:r>
          </w:p>
        </w:tc>
        <w:tc>
          <w:tcPr>
            <w:tcW w:w="0" w:type="dxa"/>
            <w:vAlign w:val="bottom"/>
          </w:tcPr>
          <w:p>
            <w:pPr>
              <w:spacing w:after="0"/>
              <w:rPr>
                <w:sz w:val="1"/>
                <w:szCs w:val="1"/>
                <w:color w:val="auto"/>
              </w:rPr>
            </w:pPr>
          </w:p>
        </w:tc>
      </w:tr>
      <w:tr>
        <w:trPr>
          <w:trHeight w:val="449"/>
        </w:trPr>
        <w:tc>
          <w:tcPr>
            <w:tcW w:w="5140" w:type="dxa"/>
            <w:vAlign w:val="bottom"/>
            <w:gridSpan w:val="2"/>
          </w:tcPr>
          <w:p>
            <w:pPr>
              <w:spacing w:after="0"/>
              <w:rPr>
                <w:sz w:val="20"/>
                <w:szCs w:val="20"/>
                <w:color w:val="auto"/>
              </w:rPr>
            </w:pPr>
            <w:r>
              <w:rPr>
                <w:rFonts w:ascii="Arial" w:cs="Arial" w:eastAsia="Arial" w:hAnsi="Arial"/>
                <w:sz w:val="20"/>
                <w:szCs w:val="20"/>
                <w:color w:val="auto"/>
              </w:rPr>
              <w:t>Other income (expense):</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Interest expense</w:t>
            </w:r>
          </w:p>
        </w:tc>
        <w:tc>
          <w:tcPr>
            <w:tcW w:w="1100" w:type="dxa"/>
            <w:vAlign w:val="bottom"/>
          </w:tcPr>
          <w:p>
            <w:pPr>
              <w:jc w:val="right"/>
              <w:spacing w:after="0"/>
              <w:rPr>
                <w:sz w:val="20"/>
                <w:szCs w:val="20"/>
                <w:color w:val="auto"/>
              </w:rPr>
            </w:pPr>
            <w:r>
              <w:rPr>
                <w:rFonts w:ascii="Arial" w:cs="Arial" w:eastAsia="Arial" w:hAnsi="Arial"/>
                <w:sz w:val="20"/>
                <w:szCs w:val="20"/>
                <w:color w:val="auto"/>
              </w:rPr>
              <w:t>(22,401)</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(11,878)</w:t>
            </w:r>
          </w:p>
        </w:tc>
        <w:tc>
          <w:tcPr>
            <w:tcW w:w="1100" w:type="dxa"/>
            <w:vAlign w:val="bottom"/>
            <w:gridSpan w:val="3"/>
          </w:tcPr>
          <w:p>
            <w:pPr>
              <w:jc w:val="right"/>
              <w:ind w:right="20"/>
              <w:spacing w:after="0"/>
              <w:rPr>
                <w:sz w:val="20"/>
                <w:szCs w:val="20"/>
                <w:color w:val="auto"/>
              </w:rPr>
            </w:pPr>
            <w:r>
              <w:rPr>
                <w:rFonts w:ascii="Arial" w:cs="Arial" w:eastAsia="Arial" w:hAnsi="Arial"/>
                <w:sz w:val="20"/>
                <w:szCs w:val="20"/>
                <w:color w:val="auto"/>
              </w:rPr>
              <w:t>(5,928)</w:t>
            </w: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Investment and other income (expense), net</w:t>
            </w:r>
          </w:p>
        </w:tc>
        <w:tc>
          <w:tcPr>
            <w:tcW w:w="1100" w:type="dxa"/>
            <w:vAlign w:val="bottom"/>
          </w:tcPr>
          <w:p>
            <w:pPr>
              <w:jc w:val="right"/>
              <w:spacing w:after="0"/>
              <w:rPr>
                <w:sz w:val="20"/>
                <w:szCs w:val="20"/>
                <w:color w:val="auto"/>
              </w:rPr>
            </w:pPr>
            <w:r>
              <w:rPr>
                <w:rFonts w:ascii="Arial" w:cs="Arial" w:eastAsia="Arial" w:hAnsi="Arial"/>
                <w:sz w:val="20"/>
                <w:szCs w:val="20"/>
                <w:color w:val="auto"/>
              </w:rPr>
              <w:t>(2,208)</w:t>
            </w: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5,562</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6,844</w:t>
            </w:r>
          </w:p>
        </w:tc>
        <w:tc>
          <w:tcPr>
            <w:tcW w:w="0" w:type="dxa"/>
            <w:vAlign w:val="bottom"/>
          </w:tcPr>
          <w:p>
            <w:pPr>
              <w:spacing w:after="0"/>
              <w:rPr>
                <w:sz w:val="1"/>
                <w:szCs w:val="1"/>
                <w:color w:val="auto"/>
              </w:rPr>
            </w:pPr>
          </w:p>
        </w:tc>
      </w:tr>
      <w:tr>
        <w:trPr>
          <w:trHeight w:val="90"/>
        </w:trPr>
        <w:tc>
          <w:tcPr>
            <w:tcW w:w="5140" w:type="dxa"/>
            <w:vAlign w:val="bottom"/>
            <w:gridSpan w:val="2"/>
            <w:vMerge w:val="restart"/>
          </w:tcPr>
          <w:p>
            <w:pPr>
              <w:spacing w:after="0"/>
              <w:rPr>
                <w:sz w:val="20"/>
                <w:szCs w:val="20"/>
                <w:color w:val="auto"/>
              </w:rPr>
            </w:pPr>
            <w:r>
              <w:rPr>
                <w:rFonts w:ascii="Arial" w:cs="Arial" w:eastAsia="Arial" w:hAnsi="Arial"/>
                <w:sz w:val="20"/>
                <w:szCs w:val="20"/>
                <w:color w:val="auto"/>
              </w:rPr>
              <w:t>Income (loss) before income tax benefit (provision)</w:t>
            </w:r>
          </w:p>
        </w:tc>
        <w:tc>
          <w:tcPr>
            <w:tcW w:w="110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1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40" w:type="dxa"/>
            <w:vAlign w:val="bottom"/>
            <w:gridSpan w:val="2"/>
          </w:tcPr>
          <w:p>
            <w:pPr>
              <w:ind w:left="100"/>
              <w:spacing w:after="0"/>
              <w:rPr>
                <w:sz w:val="20"/>
                <w:szCs w:val="20"/>
                <w:color w:val="auto"/>
              </w:rPr>
            </w:pPr>
            <w:r>
              <w:rPr>
                <w:rFonts w:ascii="Arial" w:cs="Arial" w:eastAsia="Arial" w:hAnsi="Arial"/>
                <w:sz w:val="20"/>
                <w:szCs w:val="20"/>
                <w:color w:val="auto"/>
              </w:rPr>
              <w:t>and minority interest</w:t>
            </w:r>
          </w:p>
        </w:tc>
        <w:tc>
          <w:tcPr>
            <w:tcW w:w="1100" w:type="dxa"/>
            <w:vAlign w:val="bottom"/>
          </w:tcPr>
          <w:p>
            <w:pPr>
              <w:jc w:val="right"/>
              <w:spacing w:after="0"/>
              <w:rPr>
                <w:sz w:val="20"/>
                <w:szCs w:val="20"/>
                <w:color w:val="auto"/>
              </w:rPr>
            </w:pPr>
            <w:r>
              <w:rPr>
                <w:rFonts w:ascii="Arial" w:cs="Arial" w:eastAsia="Arial" w:hAnsi="Arial"/>
                <w:sz w:val="20"/>
                <w:szCs w:val="20"/>
                <w:color w:val="auto"/>
              </w:rPr>
              <w:t>(37,104)</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(212,169)</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23,884</w:t>
            </w:r>
          </w:p>
        </w:tc>
        <w:tc>
          <w:tcPr>
            <w:tcW w:w="0" w:type="dxa"/>
            <w:vAlign w:val="bottom"/>
          </w:tcPr>
          <w:p>
            <w:pPr>
              <w:spacing w:after="0"/>
              <w:rPr>
                <w:sz w:val="1"/>
                <w:szCs w:val="1"/>
                <w:color w:val="auto"/>
              </w:rPr>
            </w:pPr>
          </w:p>
        </w:tc>
      </w:tr>
      <w:tr>
        <w:trPr>
          <w:trHeight w:val="449"/>
        </w:trPr>
        <w:tc>
          <w:tcPr>
            <w:tcW w:w="5140" w:type="dxa"/>
            <w:vAlign w:val="bottom"/>
            <w:gridSpan w:val="2"/>
          </w:tcPr>
          <w:p>
            <w:pPr>
              <w:spacing w:after="0"/>
              <w:rPr>
                <w:sz w:val="20"/>
                <w:szCs w:val="20"/>
                <w:color w:val="auto"/>
              </w:rPr>
            </w:pPr>
            <w:r>
              <w:rPr>
                <w:rFonts w:ascii="Arial" w:cs="Arial" w:eastAsia="Arial" w:hAnsi="Arial"/>
                <w:sz w:val="20"/>
                <w:szCs w:val="20"/>
                <w:color w:val="auto"/>
              </w:rPr>
              <w:t>Income tax benefit (provision)</w:t>
            </w:r>
          </w:p>
        </w:tc>
        <w:tc>
          <w:tcPr>
            <w:tcW w:w="1100" w:type="dxa"/>
            <w:vAlign w:val="bottom"/>
          </w:tcPr>
          <w:p>
            <w:pPr>
              <w:jc w:val="right"/>
              <w:spacing w:after="0"/>
              <w:rPr>
                <w:sz w:val="20"/>
                <w:szCs w:val="20"/>
                <w:color w:val="auto"/>
              </w:rPr>
            </w:pPr>
            <w:r>
              <w:rPr>
                <w:rFonts w:ascii="Arial" w:cs="Arial" w:eastAsia="Arial" w:hAnsi="Arial"/>
                <w:sz w:val="20"/>
                <w:szCs w:val="20"/>
                <w:color w:val="auto"/>
              </w:rPr>
              <w:t>(4,323)</w:t>
            </w: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2,778</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3,178</w:t>
            </w: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140" w:type="dxa"/>
            <w:vAlign w:val="bottom"/>
            <w:gridSpan w:val="2"/>
          </w:tcPr>
          <w:p>
            <w:pPr>
              <w:spacing w:after="0"/>
              <w:rPr>
                <w:sz w:val="20"/>
                <w:szCs w:val="20"/>
                <w:color w:val="auto"/>
              </w:rPr>
            </w:pPr>
            <w:r>
              <w:rPr>
                <w:rFonts w:ascii="Arial" w:cs="Arial" w:eastAsia="Arial" w:hAnsi="Arial"/>
                <w:sz w:val="20"/>
                <w:szCs w:val="20"/>
                <w:color w:val="auto"/>
              </w:rPr>
              <w:t>Income (loss) before minority interest</w:t>
            </w:r>
          </w:p>
        </w:tc>
        <w:tc>
          <w:tcPr>
            <w:tcW w:w="1100" w:type="dxa"/>
            <w:vAlign w:val="bottom"/>
          </w:tcPr>
          <w:p>
            <w:pPr>
              <w:jc w:val="right"/>
              <w:spacing w:after="0"/>
              <w:rPr>
                <w:sz w:val="20"/>
                <w:szCs w:val="20"/>
                <w:color w:val="auto"/>
              </w:rPr>
            </w:pPr>
            <w:r>
              <w:rPr>
                <w:rFonts w:ascii="Arial" w:cs="Arial" w:eastAsia="Arial" w:hAnsi="Arial"/>
                <w:sz w:val="20"/>
                <w:szCs w:val="20"/>
                <w:color w:val="auto"/>
              </w:rPr>
              <w:t>(41,427)</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(209,391)</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27,062</w:t>
            </w:r>
          </w:p>
        </w:tc>
        <w:tc>
          <w:tcPr>
            <w:tcW w:w="0" w:type="dxa"/>
            <w:vAlign w:val="bottom"/>
          </w:tcPr>
          <w:p>
            <w:pPr>
              <w:spacing w:after="0"/>
              <w:rPr>
                <w:sz w:val="1"/>
                <w:szCs w:val="1"/>
                <w:color w:val="auto"/>
              </w:rPr>
            </w:pPr>
          </w:p>
        </w:tc>
      </w:tr>
      <w:tr>
        <w:trPr>
          <w:trHeight w:val="449"/>
        </w:trPr>
        <w:tc>
          <w:tcPr>
            <w:tcW w:w="5140" w:type="dxa"/>
            <w:vAlign w:val="bottom"/>
            <w:gridSpan w:val="2"/>
          </w:tcPr>
          <w:p>
            <w:pPr>
              <w:spacing w:after="0"/>
              <w:rPr>
                <w:sz w:val="20"/>
                <w:szCs w:val="20"/>
                <w:color w:val="auto"/>
              </w:rPr>
            </w:pPr>
            <w:r>
              <w:rPr>
                <w:rFonts w:ascii="Arial" w:cs="Arial" w:eastAsia="Arial" w:hAnsi="Arial"/>
                <w:sz w:val="20"/>
                <w:szCs w:val="20"/>
                <w:color w:val="auto"/>
              </w:rPr>
              <w:t>Minority interest in income of consolidated subsidiaries</w:t>
            </w:r>
          </w:p>
        </w:tc>
        <w:tc>
          <w:tcPr>
            <w:tcW w:w="1100" w:type="dxa"/>
            <w:vAlign w:val="bottom"/>
          </w:tcPr>
          <w:p>
            <w:pPr>
              <w:jc w:val="right"/>
              <w:spacing w:after="0"/>
              <w:rPr>
                <w:sz w:val="20"/>
                <w:szCs w:val="20"/>
                <w:color w:val="auto"/>
              </w:rPr>
            </w:pPr>
            <w:r>
              <w:rPr>
                <w:rFonts w:ascii="Arial" w:cs="Arial" w:eastAsia="Arial" w:hAnsi="Arial"/>
                <w:sz w:val="20"/>
                <w:szCs w:val="20"/>
                <w:color w:val="auto"/>
              </w:rPr>
              <w:t>(483)</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(1,374)</w:t>
            </w:r>
          </w:p>
        </w:tc>
        <w:tc>
          <w:tcPr>
            <w:tcW w:w="1100" w:type="dxa"/>
            <w:vAlign w:val="bottom"/>
            <w:gridSpan w:val="3"/>
          </w:tcPr>
          <w:p>
            <w:pPr>
              <w:jc w:val="right"/>
              <w:ind w:right="20"/>
              <w:spacing w:after="0"/>
              <w:rPr>
                <w:sz w:val="20"/>
                <w:szCs w:val="20"/>
                <w:color w:val="auto"/>
              </w:rPr>
            </w:pPr>
            <w:r>
              <w:rPr>
                <w:rFonts w:ascii="Arial" w:cs="Arial" w:eastAsia="Arial" w:hAnsi="Arial"/>
                <w:sz w:val="20"/>
                <w:szCs w:val="20"/>
                <w:color w:val="auto"/>
              </w:rPr>
              <w:t>(2,539)</w:t>
            </w: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Net income (loss)</w:t>
            </w:r>
          </w:p>
        </w:tc>
        <w:tc>
          <w:tcPr>
            <w:tcW w:w="1100" w:type="dxa"/>
            <w:vAlign w:val="bottom"/>
          </w:tcPr>
          <w:p>
            <w:pPr>
              <w:jc w:val="right"/>
              <w:spacing w:after="0"/>
              <w:rPr>
                <w:sz w:val="20"/>
                <w:szCs w:val="20"/>
                <w:color w:val="auto"/>
              </w:rPr>
            </w:pPr>
            <w:r>
              <w:rPr>
                <w:rFonts w:ascii="Arial" w:cs="Arial" w:eastAsia="Arial" w:hAnsi="Arial"/>
                <w:sz w:val="20"/>
                <w:szCs w:val="20"/>
                <w:color w:val="auto"/>
              </w:rPr>
              <w:t>$(41,910)</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$(210,765)</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$ 24,523</w:t>
            </w: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140" w:type="dxa"/>
            <w:vAlign w:val="bottom"/>
            <w:gridSpan w:val="2"/>
          </w:tcPr>
          <w:p>
            <w:pPr>
              <w:spacing w:after="0"/>
              <w:rPr>
                <w:sz w:val="20"/>
                <w:szCs w:val="20"/>
                <w:color w:val="auto"/>
              </w:rPr>
            </w:pPr>
            <w:r>
              <w:rPr>
                <w:rFonts w:ascii="Arial" w:cs="Arial" w:eastAsia="Arial" w:hAnsi="Arial"/>
                <w:sz w:val="20"/>
                <w:szCs w:val="20"/>
                <w:color w:val="auto"/>
              </w:rPr>
              <w:t>Income (loss) per share:</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Basic</w:t>
            </w:r>
          </w:p>
        </w:tc>
        <w:tc>
          <w:tcPr>
            <w:tcW w:w="1100" w:type="dxa"/>
            <w:vAlign w:val="bottom"/>
          </w:tcPr>
          <w:p>
            <w:pPr>
              <w:jc w:val="right"/>
              <w:spacing w:after="0"/>
              <w:rPr>
                <w:sz w:val="20"/>
                <w:szCs w:val="20"/>
                <w:color w:val="auto"/>
              </w:rPr>
            </w:pPr>
            <w:r>
              <w:rPr>
                <w:rFonts w:ascii="Arial" w:cs="Arial" w:eastAsia="Arial" w:hAnsi="Arial"/>
                <w:sz w:val="20"/>
                <w:szCs w:val="20"/>
                <w:color w:val="auto"/>
              </w:rPr>
              <w:t>$(0.97)</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$(5.06)</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$0.59</w:t>
            </w: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336699"/>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Diluted</w:t>
            </w:r>
          </w:p>
        </w:tc>
        <w:tc>
          <w:tcPr>
            <w:tcW w:w="1100" w:type="dxa"/>
            <w:vAlign w:val="bottom"/>
          </w:tcPr>
          <w:p>
            <w:pPr>
              <w:jc w:val="right"/>
              <w:spacing w:after="0"/>
              <w:rPr>
                <w:sz w:val="20"/>
                <w:szCs w:val="20"/>
                <w:color w:val="auto"/>
              </w:rPr>
            </w:pPr>
            <w:r>
              <w:rPr>
                <w:rFonts w:ascii="Arial" w:cs="Arial" w:eastAsia="Arial" w:hAnsi="Arial"/>
                <w:sz w:val="20"/>
                <w:szCs w:val="20"/>
                <w:color w:val="auto"/>
              </w:rPr>
              <w:t>$(0.97)</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$(5.06)</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$0.56</w:t>
            </w: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140" w:type="dxa"/>
            <w:vAlign w:val="bottom"/>
            <w:gridSpan w:val="2"/>
          </w:tcPr>
          <w:p>
            <w:pPr>
              <w:spacing w:after="0"/>
              <w:rPr>
                <w:sz w:val="20"/>
                <w:szCs w:val="20"/>
                <w:color w:val="auto"/>
              </w:rPr>
            </w:pPr>
            <w:r>
              <w:rPr>
                <w:rFonts w:ascii="Arial" w:cs="Arial" w:eastAsia="Arial" w:hAnsi="Arial"/>
                <w:sz w:val="20"/>
                <w:szCs w:val="20"/>
                <w:color w:val="auto"/>
                <w:w w:val="98"/>
              </w:rPr>
              <w:t>Weighted average number of common shares outstanding: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Basic</w:t>
            </w:r>
          </w:p>
        </w:tc>
        <w:tc>
          <w:tcPr>
            <w:tcW w:w="1100" w:type="dxa"/>
            <w:vAlign w:val="bottom"/>
          </w:tcPr>
          <w:p>
            <w:pPr>
              <w:jc w:val="right"/>
              <w:spacing w:after="0"/>
              <w:rPr>
                <w:sz w:val="20"/>
                <w:szCs w:val="20"/>
                <w:color w:val="auto"/>
              </w:rPr>
            </w:pPr>
            <w:r>
              <w:rPr>
                <w:rFonts w:ascii="Arial" w:cs="Arial" w:eastAsia="Arial" w:hAnsi="Arial"/>
                <w:sz w:val="20"/>
                <w:szCs w:val="20"/>
                <w:color w:val="auto"/>
              </w:rPr>
              <w:t>43,210</w:t>
            </w: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41,658</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41,539</w:t>
            </w: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336699"/>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140" w:type="dxa"/>
            <w:vAlign w:val="bottom"/>
            <w:gridSpan w:val="2"/>
          </w:tcPr>
          <w:p>
            <w:pPr>
              <w:ind w:left="240"/>
              <w:spacing w:after="0"/>
              <w:rPr>
                <w:sz w:val="20"/>
                <w:szCs w:val="20"/>
                <w:color w:val="auto"/>
              </w:rPr>
            </w:pPr>
            <w:r>
              <w:rPr>
                <w:rFonts w:ascii="Arial" w:cs="Arial" w:eastAsia="Arial" w:hAnsi="Arial"/>
                <w:sz w:val="20"/>
                <w:szCs w:val="20"/>
                <w:color w:val="auto"/>
              </w:rPr>
              <w:t>Diluted</w:t>
            </w:r>
          </w:p>
        </w:tc>
        <w:tc>
          <w:tcPr>
            <w:tcW w:w="1100" w:type="dxa"/>
            <w:vAlign w:val="bottom"/>
          </w:tcPr>
          <w:p>
            <w:pPr>
              <w:jc w:val="right"/>
              <w:spacing w:after="0"/>
              <w:rPr>
                <w:sz w:val="20"/>
                <w:szCs w:val="20"/>
                <w:color w:val="auto"/>
              </w:rPr>
            </w:pPr>
            <w:r>
              <w:rPr>
                <w:rFonts w:ascii="Arial" w:cs="Arial" w:eastAsia="Arial" w:hAnsi="Arial"/>
                <w:sz w:val="20"/>
                <w:szCs w:val="20"/>
                <w:color w:val="auto"/>
              </w:rPr>
              <w:t>43,210</w:t>
            </w: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41,658</w:t>
            </w:r>
          </w:p>
        </w:tc>
        <w:tc>
          <w:tcPr>
            <w:tcW w:w="1100" w:type="dxa"/>
            <w:vAlign w:val="bottom"/>
            <w:gridSpan w:val="3"/>
          </w:tcPr>
          <w:p>
            <w:pPr>
              <w:jc w:val="right"/>
              <w:ind w:right="80"/>
              <w:spacing w:after="0"/>
              <w:rPr>
                <w:sz w:val="20"/>
                <w:szCs w:val="20"/>
                <w:color w:val="auto"/>
              </w:rPr>
            </w:pPr>
            <w:r>
              <w:rPr>
                <w:rFonts w:ascii="Arial" w:cs="Arial" w:eastAsia="Arial" w:hAnsi="Arial"/>
                <w:sz w:val="20"/>
                <w:szCs w:val="20"/>
                <w:color w:val="auto"/>
              </w:rPr>
              <w:t>51,282</w:t>
            </w:r>
          </w:p>
        </w:tc>
        <w:tc>
          <w:tcPr>
            <w:tcW w:w="0" w:type="dxa"/>
            <w:vAlign w:val="bottom"/>
          </w:tcPr>
          <w:p>
            <w:pPr>
              <w:spacing w:after="0"/>
              <w:rPr>
                <w:sz w:val="1"/>
                <w:szCs w:val="1"/>
                <w:color w:val="auto"/>
              </w:rPr>
            </w:pPr>
          </w:p>
        </w:tc>
      </w:tr>
      <w:tr>
        <w:trPr>
          <w:trHeight w:val="111"/>
        </w:trPr>
        <w:tc>
          <w:tcPr>
            <w:tcW w:w="5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-1769110</wp:posOffset>
            </wp:positionV>
            <wp:extent cx="12700" cy="28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-1769110</wp:posOffset>
            </wp:positionV>
            <wp:extent cx="12700" cy="28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-1769110</wp:posOffset>
            </wp:positionV>
            <wp:extent cx="12700" cy="28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-1769110</wp:posOffset>
            </wp:positionV>
            <wp:extent cx="12700" cy="28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-1769110</wp:posOffset>
            </wp:positionV>
            <wp:extent cx="12700" cy="28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-1769110</wp:posOffset>
            </wp:positionV>
            <wp:extent cx="12700"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-1191260</wp:posOffset>
            </wp:positionV>
            <wp:extent cx="12700" cy="28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-1191260</wp:posOffset>
            </wp:positionV>
            <wp:extent cx="12700"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-1191260</wp:posOffset>
            </wp:positionV>
            <wp:extent cx="12700"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-1191260</wp:posOffset>
            </wp:positionV>
            <wp:extent cx="12700" cy="28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-1191260</wp:posOffset>
            </wp:positionV>
            <wp:extent cx="12700" cy="28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-1191260</wp:posOffset>
            </wp:positionV>
            <wp:extent cx="12700" cy="28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-898525</wp:posOffset>
            </wp:positionV>
            <wp:extent cx="12700" cy="28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-898525</wp:posOffset>
            </wp:positionV>
            <wp:extent cx="12700" cy="28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-898525</wp:posOffset>
            </wp:positionV>
            <wp:extent cx="12700" cy="285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-898525</wp:posOffset>
            </wp:positionV>
            <wp:extent cx="1270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-898525</wp:posOffset>
            </wp:positionV>
            <wp:extent cx="12700" cy="28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-898525</wp:posOffset>
            </wp:positionV>
            <wp:extent cx="12700" cy="28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-320675</wp:posOffset>
            </wp:positionV>
            <wp:extent cx="12700" cy="28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-320675</wp:posOffset>
            </wp:positionV>
            <wp:extent cx="12700" cy="28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-320675</wp:posOffset>
            </wp:positionV>
            <wp:extent cx="12700"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-320675</wp:posOffset>
            </wp:positionV>
            <wp:extent cx="12700"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-320675</wp:posOffset>
            </wp:positionV>
            <wp:extent cx="12700" cy="28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-320675</wp:posOffset>
            </wp:positionV>
            <wp:extent cx="12700" cy="28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-27940</wp:posOffset>
            </wp:positionV>
            <wp:extent cx="12700" cy="28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-27940</wp:posOffset>
            </wp:positionV>
            <wp:extent cx="12700"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-27940</wp:posOffset>
            </wp:positionV>
            <wp:extent cx="12700" cy="28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-27940</wp:posOffset>
            </wp:positionV>
            <wp:extent cx="12700" cy="28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-27940</wp:posOffset>
            </wp:positionV>
            <wp:extent cx="12700" cy="28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-27940</wp:posOffset>
            </wp:positionV>
            <wp:extent cx="12700" cy="28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81"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44" w:lineRule="auto"/>
        <w:rPr>
          <w:sz w:val="20"/>
          <w:szCs w:val="20"/>
          <w:color w:val="auto"/>
        </w:rPr>
      </w:pPr>
      <w:r>
        <w:rPr>
          <w:rFonts w:ascii="Arial" w:cs="Arial" w:eastAsia="Arial" w:hAnsi="Arial"/>
          <w:sz w:val="20"/>
          <w:szCs w:val="20"/>
          <w:b w:val="1"/>
          <w:bCs w:val="1"/>
          <w:color w:val="auto"/>
        </w:rPr>
        <w:t xml:space="preserve">PHOTRONICS, INC. AND SUBSIDIARIES Consolidated Statements of Shareholders' Equity Years Ended November 1, 2009, November 2, 2008 and October 28, 2007 </w:t>
      </w: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40" w:type="dxa"/>
            <w:vAlign w:val="bottom"/>
            <w:gridSpan w:val="12"/>
          </w:tcPr>
          <w:p>
            <w:pPr>
              <w:jc w:val="center"/>
              <w:ind w:right="60"/>
              <w:spacing w:after="0"/>
              <w:rPr>
                <w:sz w:val="20"/>
                <w:szCs w:val="20"/>
                <w:color w:val="auto"/>
              </w:rPr>
            </w:pPr>
            <w:r>
              <w:rPr>
                <w:rFonts w:ascii="Arial" w:cs="Arial" w:eastAsia="Arial" w:hAnsi="Arial"/>
                <w:sz w:val="20"/>
                <w:szCs w:val="20"/>
                <w:b w:val="1"/>
                <w:bCs w:val="1"/>
                <w:color w:val="auto"/>
                <w:w w:val="89"/>
              </w:rPr>
              <w:t>Accumulated Other Comprehensive Income</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6"/>
              </w:rPr>
              <w:t>(Loss)</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8"/>
        </w:trPr>
        <w:tc>
          <w:tcPr>
            <w:tcW w:w="2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97"/>
              </w:rPr>
              <w:t>Add'l</w:t>
            </w:r>
          </w:p>
        </w:tc>
        <w:tc>
          <w:tcPr>
            <w:tcW w:w="1880" w:type="dxa"/>
            <w:vAlign w:val="bottom"/>
            <w:gridSpan w:val="6"/>
          </w:tcPr>
          <w:p>
            <w:pPr>
              <w:ind w:left="40"/>
              <w:spacing w:after="0"/>
              <w:rPr>
                <w:sz w:val="20"/>
                <w:szCs w:val="20"/>
                <w:color w:val="auto"/>
              </w:rPr>
            </w:pPr>
            <w:r>
              <w:rPr>
                <w:rFonts w:ascii="Arial" w:cs="Arial" w:eastAsia="Arial" w:hAnsi="Arial"/>
                <w:sz w:val="20"/>
                <w:szCs w:val="20"/>
                <w:b w:val="1"/>
                <w:bCs w:val="1"/>
                <w:color w:val="auto"/>
                <w:w w:val="95"/>
              </w:rPr>
              <w:t>Retained Unrealized</w:t>
            </w:r>
          </w:p>
        </w:tc>
        <w:tc>
          <w:tcPr>
            <w:tcW w:w="4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20"/>
                <w:szCs w:val="20"/>
                <w:b w:val="1"/>
                <w:bCs w:val="1"/>
                <w:color w:val="auto"/>
              </w:rPr>
              <w:t>Cash</w:t>
            </w:r>
          </w:p>
        </w:tc>
        <w:tc>
          <w:tcPr>
            <w:tcW w:w="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b w:val="1"/>
                <w:bCs w:val="1"/>
                <w:color w:val="auto"/>
                <w:w w:val="89"/>
              </w:rPr>
              <w:t>Foreign</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3"/>
              </w:rPr>
              <w:t>Share-</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gridSpan w:val="8"/>
          </w:tcPr>
          <w:p>
            <w:pPr>
              <w:spacing w:after="0" w:line="212" w:lineRule="exact"/>
              <w:rPr>
                <w:sz w:val="20"/>
                <w:szCs w:val="20"/>
                <w:color w:val="auto"/>
              </w:rPr>
            </w:pPr>
            <w:r>
              <w:rPr>
                <w:rFonts w:ascii="Arial" w:cs="Arial" w:eastAsia="Arial" w:hAnsi="Arial"/>
                <w:sz w:val="20"/>
                <w:szCs w:val="20"/>
                <w:b w:val="1"/>
                <w:bCs w:val="1"/>
                <w:color w:val="auto"/>
                <w:w w:val="96"/>
              </w:rPr>
              <w:t>Common Stock Paid-In</w:t>
            </w:r>
          </w:p>
        </w:tc>
        <w:tc>
          <w:tcPr>
            <w:tcW w:w="1880" w:type="dxa"/>
            <w:vAlign w:val="bottom"/>
            <w:gridSpan w:val="6"/>
          </w:tcPr>
          <w:p>
            <w:pPr>
              <w:ind w:left="40"/>
              <w:spacing w:after="0" w:line="212" w:lineRule="exact"/>
              <w:rPr>
                <w:sz w:val="20"/>
                <w:szCs w:val="20"/>
                <w:color w:val="auto"/>
              </w:rPr>
            </w:pPr>
            <w:r>
              <w:rPr>
                <w:rFonts w:ascii="Arial" w:cs="Arial" w:eastAsia="Arial" w:hAnsi="Arial"/>
                <w:sz w:val="20"/>
                <w:szCs w:val="20"/>
                <w:b w:val="1"/>
                <w:bCs w:val="1"/>
                <w:color w:val="auto"/>
                <w:w w:val="92"/>
              </w:rPr>
              <w:t>Earnings Investment</w:t>
            </w:r>
          </w:p>
        </w:tc>
        <w:tc>
          <w:tcPr>
            <w:tcW w:w="40" w:type="dxa"/>
            <w:vAlign w:val="bottom"/>
          </w:tcPr>
          <w:p>
            <w:pPr>
              <w:spacing w:after="0"/>
              <w:rPr>
                <w:sz w:val="18"/>
                <w:szCs w:val="18"/>
                <w:color w:val="auto"/>
              </w:rPr>
            </w:pPr>
          </w:p>
        </w:tc>
        <w:tc>
          <w:tcPr>
            <w:tcW w:w="700" w:type="dxa"/>
            <w:vAlign w:val="bottom"/>
            <w:gridSpan w:val="2"/>
          </w:tcPr>
          <w:p>
            <w:pPr>
              <w:ind w:left="100"/>
              <w:spacing w:after="0" w:line="212" w:lineRule="exact"/>
              <w:rPr>
                <w:sz w:val="20"/>
                <w:szCs w:val="20"/>
                <w:color w:val="auto"/>
              </w:rPr>
            </w:pPr>
            <w:r>
              <w:rPr>
                <w:rFonts w:ascii="Arial" w:cs="Arial" w:eastAsia="Arial" w:hAnsi="Arial"/>
                <w:sz w:val="20"/>
                <w:szCs w:val="20"/>
                <w:b w:val="1"/>
                <w:bCs w:val="1"/>
                <w:color w:val="auto"/>
              </w:rPr>
              <w:t>Flow</w:t>
            </w:r>
          </w:p>
        </w:tc>
        <w:tc>
          <w:tcPr>
            <w:tcW w:w="40" w:type="dxa"/>
            <w:vAlign w:val="bottom"/>
          </w:tcPr>
          <w:p>
            <w:pPr>
              <w:spacing w:after="0"/>
              <w:rPr>
                <w:sz w:val="18"/>
                <w:szCs w:val="18"/>
                <w:color w:val="auto"/>
              </w:rPr>
            </w:pPr>
          </w:p>
        </w:tc>
        <w:tc>
          <w:tcPr>
            <w:tcW w:w="90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93"/>
              </w:rPr>
              <w:t>Currency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90"/>
              </w:rPr>
              <w:t>holders'</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20"/>
                <w:szCs w:val="20"/>
                <w:b w:val="1"/>
                <w:bCs w:val="1"/>
                <w:color w:val="auto"/>
                <w:w w:val="87"/>
              </w:rPr>
              <w:t>Shares Amount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92"/>
              </w:rPr>
              <w:t>Capital</w:t>
            </w:r>
          </w:p>
        </w:tc>
        <w:tc>
          <w:tcPr>
            <w:tcW w:w="6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20"/>
                <w:szCs w:val="20"/>
                <w:b w:val="1"/>
                <w:bCs w:val="1"/>
                <w:color w:val="auto"/>
              </w:rPr>
              <w:t>(Deficit)</w:t>
            </w:r>
          </w:p>
        </w:tc>
        <w:tc>
          <w:tcPr>
            <w:tcW w:w="40" w:type="dxa"/>
            <w:vAlign w:val="bottom"/>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20"/>
                <w:szCs w:val="20"/>
                <w:b w:val="1"/>
                <w:bCs w:val="1"/>
                <w:color w:val="auto"/>
              </w:rPr>
              <w:t>Gains</w:t>
            </w:r>
          </w:p>
        </w:tc>
        <w:tc>
          <w:tcPr>
            <w:tcW w:w="3080" w:type="dxa"/>
            <w:vAlign w:val="bottom"/>
            <w:gridSpan w:val="10"/>
          </w:tcPr>
          <w:p>
            <w:pPr>
              <w:ind w:left="40"/>
              <w:spacing w:after="0"/>
              <w:rPr>
                <w:sz w:val="20"/>
                <w:szCs w:val="20"/>
                <w:color w:val="auto"/>
              </w:rPr>
            </w:pPr>
            <w:r>
              <w:rPr>
                <w:rFonts w:ascii="Arial" w:cs="Arial" w:eastAsia="Arial" w:hAnsi="Arial"/>
                <w:sz w:val="20"/>
                <w:szCs w:val="20"/>
                <w:b w:val="1"/>
                <w:bCs w:val="1"/>
                <w:color w:val="auto"/>
                <w:w w:val="99"/>
              </w:rPr>
              <w:t>Hedges Translation Other  Total</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4"/>
              </w:rPr>
              <w:t>Equity</w:t>
            </w:r>
          </w:p>
        </w:tc>
        <w:tc>
          <w:tcPr>
            <w:tcW w:w="0" w:type="dxa"/>
            <w:vAlign w:val="bottom"/>
          </w:tcPr>
          <w:p>
            <w:pPr>
              <w:spacing w:after="0"/>
              <w:rPr>
                <w:sz w:val="1"/>
                <w:szCs w:val="1"/>
                <w:color w:val="auto"/>
              </w:rPr>
            </w:pPr>
          </w:p>
        </w:tc>
      </w:tr>
      <w:tr>
        <w:trPr>
          <w:trHeight w:val="89"/>
        </w:trPr>
        <w:tc>
          <w:tcPr>
            <w:tcW w:w="2980" w:type="dxa"/>
            <w:vAlign w:val="bottom"/>
            <w:vMerge w:val="restart"/>
          </w:tcPr>
          <w:p>
            <w:pPr>
              <w:spacing w:after="0"/>
              <w:rPr>
                <w:sz w:val="20"/>
                <w:szCs w:val="20"/>
                <w:color w:val="auto"/>
              </w:rPr>
            </w:pPr>
            <w:r>
              <w:rPr>
                <w:rFonts w:ascii="Arial" w:cs="Arial" w:eastAsia="Arial" w:hAnsi="Arial"/>
                <w:sz w:val="20"/>
                <w:szCs w:val="20"/>
                <w:b w:val="1"/>
                <w:bCs w:val="1"/>
                <w:color w:val="auto"/>
              </w:rPr>
              <w:t>Balance at October 29, 2006</w:t>
            </w:r>
          </w:p>
        </w:tc>
        <w:tc>
          <w:tcPr>
            <w:tcW w:w="6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3"/>
        </w:trPr>
        <w:tc>
          <w:tcPr>
            <w:tcW w:w="2980" w:type="dxa"/>
            <w:vAlign w:val="bottom"/>
            <w:vMerge w:val="continue"/>
          </w:tcPr>
          <w:p>
            <w:pPr>
              <w:spacing w:after="0"/>
              <w:rPr>
                <w:sz w:val="24"/>
                <w:szCs w:val="24"/>
                <w:color w:val="auto"/>
              </w:rPr>
            </w:pPr>
          </w:p>
        </w:tc>
        <w:tc>
          <w:tcPr>
            <w:tcW w:w="1260" w:type="dxa"/>
            <w:vAlign w:val="bottom"/>
            <w:gridSpan w:val="3"/>
          </w:tcPr>
          <w:p>
            <w:pPr>
              <w:ind w:left="640"/>
              <w:spacing w:after="0"/>
              <w:rPr>
                <w:sz w:val="20"/>
                <w:szCs w:val="20"/>
                <w:color w:val="auto"/>
              </w:rPr>
            </w:pPr>
            <w:r>
              <w:rPr>
                <w:rFonts w:ascii="Arial" w:cs="Arial" w:eastAsia="Arial" w:hAnsi="Arial"/>
                <w:sz w:val="20"/>
                <w:szCs w:val="20"/>
                <w:color w:val="auto"/>
                <w:w w:val="98"/>
              </w:rPr>
              <w:t>41,485</w:t>
            </w:r>
          </w:p>
        </w:tc>
        <w:tc>
          <w:tcPr>
            <w:tcW w:w="700" w:type="dxa"/>
            <w:vAlign w:val="bottom"/>
            <w:gridSpan w:val="3"/>
          </w:tcPr>
          <w:p>
            <w:pPr>
              <w:jc w:val="right"/>
              <w:ind w:right="20"/>
              <w:spacing w:after="0"/>
              <w:rPr>
                <w:sz w:val="20"/>
                <w:szCs w:val="20"/>
                <w:color w:val="auto"/>
              </w:rPr>
            </w:pPr>
            <w:r>
              <w:rPr>
                <w:rFonts w:ascii="Arial" w:cs="Arial" w:eastAsia="Arial" w:hAnsi="Arial"/>
                <w:sz w:val="20"/>
                <w:szCs w:val="20"/>
                <w:color w:val="auto"/>
              </w:rPr>
              <w:t>$415</w:t>
            </w:r>
          </w:p>
        </w:tc>
        <w:tc>
          <w:tcPr>
            <w:tcW w:w="800" w:type="dxa"/>
            <w:vAlign w:val="bottom"/>
            <w:gridSpan w:val="3"/>
          </w:tcPr>
          <w:p>
            <w:pPr>
              <w:jc w:val="center"/>
              <w:spacing w:after="0"/>
              <w:rPr>
                <w:sz w:val="20"/>
                <w:szCs w:val="20"/>
                <w:color w:val="auto"/>
              </w:rPr>
            </w:pPr>
            <w:r>
              <w:rPr>
                <w:rFonts w:ascii="Arial" w:cs="Arial" w:eastAsia="Arial" w:hAnsi="Arial"/>
                <w:sz w:val="20"/>
                <w:szCs w:val="20"/>
                <w:color w:val="auto"/>
                <w:w w:val="88"/>
              </w:rPr>
              <w:t>$378,143</w:t>
            </w:r>
          </w:p>
        </w:tc>
        <w:tc>
          <w:tcPr>
            <w:tcW w:w="800" w:type="dxa"/>
            <w:vAlign w:val="bottom"/>
            <w:gridSpan w:val="2"/>
          </w:tcPr>
          <w:p>
            <w:pPr>
              <w:ind w:left="40"/>
              <w:spacing w:after="0"/>
              <w:rPr>
                <w:sz w:val="20"/>
                <w:szCs w:val="20"/>
                <w:color w:val="auto"/>
              </w:rPr>
            </w:pPr>
            <w:r>
              <w:rPr>
                <w:rFonts w:ascii="Arial" w:cs="Arial" w:eastAsia="Arial" w:hAnsi="Arial"/>
                <w:sz w:val="20"/>
                <w:szCs w:val="20"/>
                <w:color w:val="auto"/>
                <w:w w:val="88"/>
              </w:rPr>
              <w:t>$202,652</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$675</w:t>
            </w:r>
          </w:p>
        </w:tc>
        <w:tc>
          <w:tcPr>
            <w:tcW w:w="8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$(821)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$33,218</w:t>
            </w:r>
          </w:p>
        </w:tc>
        <w:tc>
          <w:tcPr>
            <w:tcW w:w="1360" w:type="dxa"/>
            <w:vAlign w:val="bottom"/>
            <w:gridSpan w:val="4"/>
          </w:tcPr>
          <w:p>
            <w:pPr>
              <w:jc w:val="right"/>
              <w:ind w:right="20"/>
              <w:spacing w:after="0"/>
              <w:rPr>
                <w:sz w:val="20"/>
                <w:szCs w:val="20"/>
                <w:color w:val="auto"/>
              </w:rPr>
            </w:pPr>
            <w:r>
              <w:rPr>
                <w:rFonts w:ascii="Arial" w:cs="Arial" w:eastAsia="Arial" w:hAnsi="Arial"/>
                <w:sz w:val="20"/>
                <w:szCs w:val="20"/>
                <w:color w:val="auto"/>
              </w:rPr>
              <w:t>$  - $33,072</w:t>
            </w:r>
          </w:p>
        </w:tc>
        <w:tc>
          <w:tcPr>
            <w:tcW w:w="4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20"/>
                <w:szCs w:val="20"/>
                <w:color w:val="auto"/>
                <w:w w:val="88"/>
              </w:rPr>
              <w:t>$614,282</w:t>
            </w:r>
          </w:p>
        </w:tc>
        <w:tc>
          <w:tcPr>
            <w:tcW w:w="0" w:type="dxa"/>
            <w:vAlign w:val="bottom"/>
          </w:tcPr>
          <w:p>
            <w:pPr>
              <w:spacing w:after="0"/>
              <w:rPr>
                <w:sz w:val="1"/>
                <w:szCs w:val="1"/>
                <w:color w:val="auto"/>
              </w:rPr>
            </w:pPr>
          </w:p>
        </w:tc>
      </w:tr>
    </w:tbl>
    <w:p>
      <w:pPr>
        <w:sectPr>
          <w:pgSz w:w="11900" w:h="16838" w:orient="portrait"/>
          <w:cols w:equalWidth="0" w:num="1">
            <w:col w:w="11500"/>
          </w:cols>
          <w:pgMar w:left="240" w:top="345" w:right="15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20"/>
                <w:szCs w:val="20"/>
                <w:color w:val="auto"/>
              </w:rPr>
              <w:t>Comprehensive income:</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Net income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24,523</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24,523</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Unrealized holding gains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142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142</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Less: reclassification adjustments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(600)</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4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(600)</w:t>
            </w: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(600)</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Change in fair value of</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cash flow hedge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860" w:type="dxa"/>
            <w:vAlign w:val="bottom"/>
            <w:gridSpan w:val="3"/>
          </w:tcPr>
          <w:p>
            <w:pPr>
              <w:jc w:val="right"/>
              <w:ind w:right="120"/>
              <w:spacing w:after="0" w:line="225" w:lineRule="exact"/>
              <w:rPr>
                <w:sz w:val="20"/>
                <w:szCs w:val="20"/>
                <w:color w:val="auto"/>
              </w:rPr>
            </w:pPr>
            <w:r>
              <w:rPr>
                <w:rFonts w:ascii="Arial" w:cs="Arial" w:eastAsia="Arial" w:hAnsi="Arial"/>
                <w:sz w:val="20"/>
                <w:szCs w:val="20"/>
                <w:color w:val="auto"/>
              </w:rPr>
              <w:t>(1,024)</w:t>
            </w: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4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(1,024)</w:t>
            </w: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(1,024)</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Foreign currency translation</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adjustment</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13,496</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13,496</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13,496</w:t>
            </w:r>
          </w:p>
        </w:tc>
        <w:tc>
          <w:tcPr>
            <w:tcW w:w="0" w:type="dxa"/>
            <w:vAlign w:val="bottom"/>
          </w:tcPr>
          <w:p>
            <w:pPr>
              <w:spacing w:after="0"/>
              <w:rPr>
                <w:sz w:val="1"/>
                <w:szCs w:val="1"/>
                <w:color w:val="auto"/>
              </w:rPr>
            </w:pPr>
          </w:p>
        </w:tc>
      </w:tr>
      <w:tr>
        <w:trPr>
          <w:trHeight w:val="254"/>
        </w:trPr>
        <w:tc>
          <w:tcPr>
            <w:tcW w:w="3220" w:type="dxa"/>
            <w:vAlign w:val="bottom"/>
          </w:tcPr>
          <w:p>
            <w:pPr>
              <w:ind w:left="100"/>
              <w:spacing w:after="0"/>
              <w:rPr>
                <w:sz w:val="20"/>
                <w:szCs w:val="20"/>
                <w:color w:val="auto"/>
              </w:rPr>
            </w:pPr>
            <w:r>
              <w:rPr>
                <w:rFonts w:ascii="Arial" w:cs="Arial" w:eastAsia="Arial" w:hAnsi="Arial"/>
                <w:sz w:val="20"/>
                <w:szCs w:val="20"/>
                <w:color w:val="auto"/>
              </w:rPr>
              <w:t>Other</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20"/>
                <w:szCs w:val="20"/>
                <w:color w:val="auto"/>
              </w:rPr>
              <w:t>(269)</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(269)</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(269)</w:t>
            </w:r>
          </w:p>
        </w:tc>
        <w:tc>
          <w:tcPr>
            <w:tcW w:w="0" w:type="dxa"/>
            <w:vAlign w:val="bottom"/>
          </w:tcPr>
          <w:p>
            <w:pPr>
              <w:spacing w:after="0"/>
              <w:rPr>
                <w:sz w:val="1"/>
                <w:szCs w:val="1"/>
                <w:color w:val="auto"/>
              </w:rPr>
            </w:pPr>
          </w:p>
        </w:tc>
      </w:tr>
      <w:tr>
        <w:trPr>
          <w:trHeight w:val="90"/>
        </w:trPr>
        <w:tc>
          <w:tcPr>
            <w:tcW w:w="3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20" w:type="dxa"/>
            <w:vAlign w:val="bottom"/>
          </w:tcPr>
          <w:p>
            <w:pPr>
              <w:spacing w:after="0"/>
              <w:rPr>
                <w:sz w:val="20"/>
                <w:szCs w:val="20"/>
                <w:color w:val="auto"/>
              </w:rPr>
            </w:pPr>
            <w:r>
              <w:rPr>
                <w:rFonts w:ascii="Arial" w:cs="Arial" w:eastAsia="Arial" w:hAnsi="Arial"/>
                <w:sz w:val="20"/>
                <w:szCs w:val="20"/>
                <w:color w:val="auto"/>
              </w:rPr>
              <w:t>Total comprehensive income</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36,268</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Sale of common stock through</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line="225" w:lineRule="exact"/>
              <w:rPr>
                <w:sz w:val="20"/>
                <w:szCs w:val="20"/>
                <w:color w:val="auto"/>
              </w:rPr>
            </w:pPr>
            <w:r>
              <w:rPr>
                <w:rFonts w:ascii="Arial" w:cs="Arial" w:eastAsia="Arial" w:hAnsi="Arial"/>
                <w:sz w:val="20"/>
                <w:szCs w:val="20"/>
                <w:color w:val="auto"/>
              </w:rPr>
              <w:t>employee stock option and</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purchase plans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80</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1</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972</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973</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Restricted stock awards,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line="225" w:lineRule="exact"/>
              <w:rPr>
                <w:sz w:val="20"/>
                <w:szCs w:val="20"/>
                <w:color w:val="auto"/>
              </w:rPr>
            </w:pPr>
            <w:r>
              <w:rPr>
                <w:rFonts w:ascii="Arial" w:cs="Arial" w:eastAsia="Arial" w:hAnsi="Arial"/>
                <w:sz w:val="20"/>
                <w:szCs w:val="20"/>
                <w:color w:val="auto"/>
              </w:rPr>
              <w:t>net of amortization to</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compensation expense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70</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730</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254"/>
        </w:trPr>
        <w:tc>
          <w:tcPr>
            <w:tcW w:w="3220" w:type="dxa"/>
            <w:vAlign w:val="bottom"/>
          </w:tcPr>
          <w:p>
            <w:pPr>
              <w:spacing w:after="0"/>
              <w:rPr>
                <w:sz w:val="20"/>
                <w:szCs w:val="20"/>
                <w:color w:val="auto"/>
              </w:rPr>
            </w:pPr>
            <w:r>
              <w:rPr>
                <w:rFonts w:ascii="Arial" w:cs="Arial" w:eastAsia="Arial" w:hAnsi="Arial"/>
                <w:sz w:val="20"/>
                <w:szCs w:val="20"/>
                <w:color w:val="auto"/>
                <w:w w:val="99"/>
              </w:rPr>
              <w:t>Stock based compensation expense</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2,031</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2,031</w:t>
            </w:r>
          </w:p>
        </w:tc>
        <w:tc>
          <w:tcPr>
            <w:tcW w:w="0" w:type="dxa"/>
            <w:vAlign w:val="bottom"/>
          </w:tcPr>
          <w:p>
            <w:pPr>
              <w:spacing w:after="0"/>
              <w:rPr>
                <w:sz w:val="1"/>
                <w:szCs w:val="1"/>
                <w:color w:val="auto"/>
              </w:rPr>
            </w:pPr>
          </w:p>
        </w:tc>
      </w:tr>
      <w:tr>
        <w:trPr>
          <w:trHeight w:val="90"/>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Balance at October 28, 2007</w:t>
            </w:r>
          </w:p>
        </w:tc>
        <w:tc>
          <w:tcPr>
            <w:tcW w:w="40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bottom w:val="single" w:sz="8" w:color="336699"/>
            </w:tcBorders>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220" w:type="dxa"/>
            <w:vAlign w:val="bottom"/>
            <w:vMerge w:val="continue"/>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41,635</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416</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381,876</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227,175</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217</w:t>
            </w: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(1,845)</w:t>
            </w:r>
          </w:p>
        </w:tc>
        <w:tc>
          <w:tcPr>
            <w:tcW w:w="900" w:type="dxa"/>
            <w:vAlign w:val="bottom"/>
          </w:tcPr>
          <w:p>
            <w:pPr>
              <w:jc w:val="right"/>
              <w:spacing w:after="0"/>
              <w:rPr>
                <w:sz w:val="20"/>
                <w:szCs w:val="20"/>
                <w:color w:val="auto"/>
              </w:rPr>
            </w:pPr>
            <w:r>
              <w:rPr>
                <w:rFonts w:ascii="Arial" w:cs="Arial" w:eastAsia="Arial" w:hAnsi="Arial"/>
                <w:sz w:val="20"/>
                <w:szCs w:val="20"/>
                <w:color w:val="auto"/>
              </w:rPr>
              <w:t>46,714</w:t>
            </w:r>
          </w:p>
        </w:tc>
        <w:tc>
          <w:tcPr>
            <w:tcW w:w="4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20"/>
                <w:szCs w:val="20"/>
                <w:color w:val="auto"/>
              </w:rPr>
              <w:t>(269)</w:t>
            </w: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44,817</w:t>
            </w:r>
          </w:p>
        </w:tc>
        <w:tc>
          <w:tcPr>
            <w:tcW w:w="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654,284</w:t>
            </w:r>
          </w:p>
        </w:tc>
        <w:tc>
          <w:tcPr>
            <w:tcW w:w="0" w:type="dxa"/>
            <w:vAlign w:val="bottom"/>
          </w:tcPr>
          <w:p>
            <w:pPr>
              <w:spacing w:after="0"/>
              <w:rPr>
                <w:sz w:val="1"/>
                <w:szCs w:val="1"/>
                <w:color w:val="auto"/>
              </w:rPr>
            </w:pPr>
          </w:p>
        </w:tc>
      </w:tr>
      <w:tr>
        <w:trPr>
          <w:trHeight w:val="419"/>
        </w:trPr>
        <w:tc>
          <w:tcPr>
            <w:tcW w:w="3220" w:type="dxa"/>
            <w:vAlign w:val="bottom"/>
          </w:tcPr>
          <w:p>
            <w:pPr>
              <w:spacing w:after="0"/>
              <w:rPr>
                <w:sz w:val="20"/>
                <w:szCs w:val="20"/>
                <w:color w:val="auto"/>
              </w:rPr>
            </w:pPr>
            <w:r>
              <w:rPr>
                <w:rFonts w:ascii="Arial" w:cs="Arial" w:eastAsia="Arial" w:hAnsi="Arial"/>
                <w:sz w:val="20"/>
                <w:szCs w:val="20"/>
                <w:color w:val="auto"/>
              </w:rPr>
              <w:t>Comprehensive income: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Net loss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2020" w:type="dxa"/>
            <w:vAlign w:val="bottom"/>
            <w:gridSpan w:val="6"/>
          </w:tcPr>
          <w:p>
            <w:pPr>
              <w:jc w:val="right"/>
              <w:ind w:right="400"/>
              <w:spacing w:after="0" w:line="225" w:lineRule="exact"/>
              <w:rPr>
                <w:sz w:val="20"/>
                <w:szCs w:val="20"/>
                <w:color w:val="auto"/>
              </w:rPr>
            </w:pPr>
            <w:r>
              <w:rPr>
                <w:rFonts w:ascii="Arial" w:cs="Arial" w:eastAsia="Arial" w:hAnsi="Arial"/>
                <w:sz w:val="20"/>
                <w:szCs w:val="20"/>
                <w:color w:val="auto"/>
              </w:rPr>
              <w:t>- (210,765)</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93"/>
              </w:rPr>
              <w:t>(210,765)</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Unrealized holding losses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(340)</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4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(340)</w:t>
            </w: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(340)</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Less: reclassification adjustments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61</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61</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24"/>
        </w:trPr>
        <w:tc>
          <w:tcPr>
            <w:tcW w:w="3220" w:type="dxa"/>
            <w:vAlign w:val="bottom"/>
          </w:tcPr>
          <w:p>
            <w:pPr>
              <w:ind w:left="80"/>
              <w:spacing w:after="0" w:line="225" w:lineRule="exact"/>
              <w:rPr>
                <w:sz w:val="20"/>
                <w:szCs w:val="20"/>
                <w:color w:val="auto"/>
              </w:rPr>
            </w:pPr>
            <w:r>
              <w:rPr>
                <w:rFonts w:ascii="Arial" w:cs="Arial" w:eastAsia="Arial" w:hAnsi="Arial"/>
                <w:sz w:val="20"/>
                <w:szCs w:val="20"/>
                <w:color w:val="auto"/>
              </w:rPr>
              <w:t>Amortization of cash flow hedges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193</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193</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193</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Foreign currency translation</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adjustments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(62,234)</w:t>
            </w: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4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w w:val="93"/>
              </w:rPr>
              <w:t>(62,234)</w:t>
            </w: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(62,234)</w:t>
            </w:r>
          </w:p>
        </w:tc>
        <w:tc>
          <w:tcPr>
            <w:tcW w:w="0" w:type="dxa"/>
            <w:vAlign w:val="bottom"/>
          </w:tcPr>
          <w:p>
            <w:pPr>
              <w:spacing w:after="0"/>
              <w:rPr>
                <w:sz w:val="1"/>
                <w:szCs w:val="1"/>
                <w:color w:val="auto"/>
              </w:rPr>
            </w:pPr>
          </w:p>
        </w:tc>
      </w:tr>
      <w:tr>
        <w:trPr>
          <w:trHeight w:val="254"/>
        </w:trPr>
        <w:tc>
          <w:tcPr>
            <w:tcW w:w="3220" w:type="dxa"/>
            <w:vAlign w:val="bottom"/>
          </w:tcPr>
          <w:p>
            <w:pPr>
              <w:ind w:left="100"/>
              <w:spacing w:after="0"/>
              <w:rPr>
                <w:sz w:val="20"/>
                <w:szCs w:val="20"/>
                <w:color w:val="auto"/>
              </w:rPr>
            </w:pPr>
            <w:r>
              <w:rPr>
                <w:rFonts w:ascii="Arial" w:cs="Arial" w:eastAsia="Arial" w:hAnsi="Arial"/>
                <w:sz w:val="20"/>
                <w:szCs w:val="20"/>
                <w:color w:val="auto"/>
              </w:rPr>
              <w:t>Other</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90"/>
        </w:trPr>
        <w:tc>
          <w:tcPr>
            <w:tcW w:w="3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gridSpan w:val="3"/>
          </w:tcPr>
          <w:p>
            <w:pPr>
              <w:spacing w:after="0"/>
              <w:rPr>
                <w:sz w:val="7"/>
                <w:szCs w:val="7"/>
                <w:color w:val="auto"/>
              </w:rPr>
            </w:pPr>
          </w:p>
        </w:tc>
        <w:tc>
          <w:tcPr>
            <w:tcW w:w="780" w:type="dxa"/>
            <w:vAlign w:val="bottom"/>
            <w:gridSpan w:val="2"/>
          </w:tcPr>
          <w:p>
            <w:pPr>
              <w:spacing w:after="0"/>
              <w:rPr>
                <w:sz w:val="7"/>
                <w:szCs w:val="7"/>
                <w:color w:val="auto"/>
              </w:rPr>
            </w:pPr>
          </w:p>
        </w:tc>
        <w:tc>
          <w:tcPr>
            <w:tcW w:w="140" w:type="dxa"/>
            <w:vAlign w:val="bottom"/>
            <w:gridSpan w:val="2"/>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20" w:type="dxa"/>
            <w:vAlign w:val="bottom"/>
          </w:tcPr>
          <w:p>
            <w:pPr>
              <w:spacing w:after="0"/>
              <w:rPr>
                <w:sz w:val="20"/>
                <w:szCs w:val="20"/>
                <w:color w:val="auto"/>
              </w:rPr>
            </w:pPr>
            <w:r>
              <w:rPr>
                <w:rFonts w:ascii="Arial" w:cs="Arial" w:eastAsia="Arial" w:hAnsi="Arial"/>
                <w:sz w:val="20"/>
                <w:szCs w:val="20"/>
                <w:color w:val="auto"/>
              </w:rPr>
              <w:t>Total comprehensive loss</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w w:val="93"/>
              </w:rPr>
              <w:t>(273,083)</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Sale of common stock through</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line="225" w:lineRule="exact"/>
              <w:rPr>
                <w:sz w:val="20"/>
                <w:szCs w:val="20"/>
                <w:color w:val="auto"/>
              </w:rPr>
            </w:pPr>
            <w:r>
              <w:rPr>
                <w:rFonts w:ascii="Arial" w:cs="Arial" w:eastAsia="Arial" w:hAnsi="Arial"/>
                <w:sz w:val="20"/>
                <w:szCs w:val="20"/>
                <w:color w:val="auto"/>
              </w:rPr>
              <w:t>employee stock option and</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purchase plan</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25</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162</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Restricted stock awards,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net of amortization to</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compensation expense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52</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1</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1,167</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1,168</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w w:val="99"/>
              </w:rPr>
              <w:t>Stock-based compensation expense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1,297</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1,297</w:t>
            </w:r>
          </w:p>
        </w:tc>
        <w:tc>
          <w:tcPr>
            <w:tcW w:w="0" w:type="dxa"/>
            <w:vAlign w:val="bottom"/>
          </w:tcPr>
          <w:p>
            <w:pPr>
              <w:spacing w:after="0"/>
              <w:rPr>
                <w:sz w:val="1"/>
                <w:szCs w:val="1"/>
                <w:color w:val="auto"/>
              </w:rPr>
            </w:pPr>
          </w:p>
        </w:tc>
      </w:tr>
      <w:tr>
        <w:trPr>
          <w:trHeight w:val="254"/>
        </w:trPr>
        <w:tc>
          <w:tcPr>
            <w:tcW w:w="3220" w:type="dxa"/>
            <w:vAlign w:val="bottom"/>
          </w:tcPr>
          <w:p>
            <w:pPr>
              <w:spacing w:after="0"/>
              <w:rPr>
                <w:sz w:val="20"/>
                <w:szCs w:val="20"/>
                <w:color w:val="auto"/>
              </w:rPr>
            </w:pPr>
            <w:r>
              <w:rPr>
                <w:rFonts w:ascii="Arial" w:cs="Arial" w:eastAsia="Arial" w:hAnsi="Arial"/>
                <w:sz w:val="20"/>
                <w:szCs w:val="20"/>
                <w:color w:val="auto"/>
              </w:rPr>
              <w:t>Adoption of FIN 48 adjustment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4"/>
          </w:tcPr>
          <w:p>
            <w:pPr>
              <w:jc w:val="right"/>
              <w:ind w:right="400"/>
              <w:spacing w:after="0"/>
              <w:rPr>
                <w:sz w:val="20"/>
                <w:szCs w:val="20"/>
                <w:color w:val="auto"/>
              </w:rPr>
            </w:pPr>
            <w:r>
              <w:rPr>
                <w:rFonts w:ascii="Arial" w:cs="Arial" w:eastAsia="Arial" w:hAnsi="Arial"/>
                <w:sz w:val="20"/>
                <w:szCs w:val="20"/>
                <w:color w:val="auto"/>
              </w:rPr>
              <w:t>(1,046)</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(1,046)</w:t>
            </w:r>
          </w:p>
        </w:tc>
        <w:tc>
          <w:tcPr>
            <w:tcW w:w="0" w:type="dxa"/>
            <w:vAlign w:val="bottom"/>
          </w:tcPr>
          <w:p>
            <w:pPr>
              <w:spacing w:after="0"/>
              <w:rPr>
                <w:sz w:val="1"/>
                <w:szCs w:val="1"/>
                <w:color w:val="auto"/>
              </w:rPr>
            </w:pPr>
          </w:p>
        </w:tc>
      </w:tr>
      <w:tr>
        <w:trPr>
          <w:trHeight w:val="90"/>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Balance at November 2, 2008</w:t>
            </w:r>
          </w:p>
        </w:tc>
        <w:tc>
          <w:tcPr>
            <w:tcW w:w="40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40" w:type="dxa"/>
            <w:vAlign w:val="bottom"/>
            <w:gridSpan w:val="2"/>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bottom w:val="single" w:sz="8" w:color="336699"/>
            </w:tcBorders>
          </w:tcPr>
          <w:p>
            <w:pPr>
              <w:spacing w:after="0"/>
              <w:rPr>
                <w:sz w:val="7"/>
                <w:szCs w:val="7"/>
                <w:color w:val="auto"/>
              </w:rPr>
            </w:pPr>
          </w:p>
        </w:tc>
        <w:tc>
          <w:tcPr>
            <w:tcW w:w="100" w:type="dxa"/>
            <w:vAlign w:val="bottom"/>
            <w:gridSpan w:val="2"/>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220" w:type="dxa"/>
            <w:vAlign w:val="bottom"/>
            <w:vMerge w:val="continue"/>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41,712</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417</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384,502</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15,364</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(62)</w:t>
            </w: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(1,652)</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(15,520)</w:t>
            </w:r>
          </w:p>
        </w:tc>
        <w:tc>
          <w:tcPr>
            <w:tcW w:w="1320" w:type="dxa"/>
            <w:vAlign w:val="bottom"/>
            <w:gridSpan w:val="6"/>
          </w:tcPr>
          <w:p>
            <w:pPr>
              <w:jc w:val="right"/>
              <w:ind w:right="20"/>
              <w:spacing w:after="0"/>
              <w:rPr>
                <w:sz w:val="20"/>
                <w:szCs w:val="20"/>
                <w:color w:val="auto"/>
              </w:rPr>
            </w:pPr>
            <w:r>
              <w:rPr>
                <w:rFonts w:ascii="Arial" w:cs="Arial" w:eastAsia="Arial" w:hAnsi="Arial"/>
                <w:sz w:val="20"/>
                <w:szCs w:val="20"/>
                <w:color w:val="auto"/>
              </w:rPr>
              <w:t>(267) (17,501)</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382,782</w:t>
            </w:r>
          </w:p>
        </w:tc>
        <w:tc>
          <w:tcPr>
            <w:tcW w:w="0" w:type="dxa"/>
            <w:vAlign w:val="bottom"/>
          </w:tcPr>
          <w:p>
            <w:pPr>
              <w:spacing w:after="0"/>
              <w:rPr>
                <w:sz w:val="1"/>
                <w:szCs w:val="1"/>
                <w:color w:val="auto"/>
              </w:rPr>
            </w:pPr>
          </w:p>
        </w:tc>
      </w:tr>
      <w:tr>
        <w:trPr>
          <w:trHeight w:val="419"/>
        </w:trPr>
        <w:tc>
          <w:tcPr>
            <w:tcW w:w="3220" w:type="dxa"/>
            <w:vAlign w:val="bottom"/>
          </w:tcPr>
          <w:p>
            <w:pPr>
              <w:spacing w:after="0"/>
              <w:rPr>
                <w:sz w:val="20"/>
                <w:szCs w:val="20"/>
                <w:color w:val="auto"/>
              </w:rPr>
            </w:pPr>
            <w:r>
              <w:rPr>
                <w:rFonts w:ascii="Arial" w:cs="Arial" w:eastAsia="Arial" w:hAnsi="Arial"/>
                <w:sz w:val="20"/>
                <w:szCs w:val="20"/>
                <w:color w:val="auto"/>
              </w:rPr>
              <w:t>Comprehensive income: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Net loss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1240" w:type="dxa"/>
            <w:vAlign w:val="bottom"/>
            <w:gridSpan w:val="4"/>
          </w:tcPr>
          <w:p>
            <w:pPr>
              <w:jc w:val="right"/>
              <w:ind w:right="400"/>
              <w:spacing w:after="0" w:line="225" w:lineRule="exact"/>
              <w:rPr>
                <w:sz w:val="20"/>
                <w:szCs w:val="20"/>
                <w:color w:val="auto"/>
              </w:rPr>
            </w:pPr>
            <w:r>
              <w:rPr>
                <w:rFonts w:ascii="Arial" w:cs="Arial" w:eastAsia="Arial" w:hAnsi="Arial"/>
                <w:sz w:val="20"/>
                <w:szCs w:val="20"/>
                <w:color w:val="auto"/>
              </w:rPr>
              <w:t>(41,910)</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(41,910)</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Unrealized holding gains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Less: reclassification adjustments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62</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62</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24"/>
        </w:trPr>
        <w:tc>
          <w:tcPr>
            <w:tcW w:w="3220" w:type="dxa"/>
            <w:vAlign w:val="bottom"/>
          </w:tcPr>
          <w:p>
            <w:pPr>
              <w:ind w:left="80"/>
              <w:spacing w:after="0" w:line="225" w:lineRule="exact"/>
              <w:rPr>
                <w:sz w:val="20"/>
                <w:szCs w:val="20"/>
                <w:color w:val="auto"/>
              </w:rPr>
            </w:pPr>
            <w:r>
              <w:rPr>
                <w:rFonts w:ascii="Arial" w:cs="Arial" w:eastAsia="Arial" w:hAnsi="Arial"/>
                <w:sz w:val="20"/>
                <w:szCs w:val="20"/>
                <w:color w:val="auto"/>
              </w:rPr>
              <w:t>Amortization of cash flow hedges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576</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576</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576</w:t>
            </w: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Foreign currency translation</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adjustments</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10,712</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10,712</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10,712</w:t>
            </w:r>
          </w:p>
        </w:tc>
        <w:tc>
          <w:tcPr>
            <w:tcW w:w="0" w:type="dxa"/>
            <w:vAlign w:val="bottom"/>
          </w:tcPr>
          <w:p>
            <w:pPr>
              <w:spacing w:after="0"/>
              <w:rPr>
                <w:sz w:val="1"/>
                <w:szCs w:val="1"/>
                <w:color w:val="auto"/>
              </w:rPr>
            </w:pPr>
          </w:p>
        </w:tc>
      </w:tr>
      <w:tr>
        <w:trPr>
          <w:trHeight w:val="254"/>
        </w:trPr>
        <w:tc>
          <w:tcPr>
            <w:tcW w:w="3220" w:type="dxa"/>
            <w:vAlign w:val="bottom"/>
          </w:tcPr>
          <w:p>
            <w:pPr>
              <w:ind w:left="100"/>
              <w:spacing w:after="0"/>
              <w:rPr>
                <w:sz w:val="20"/>
                <w:szCs w:val="20"/>
                <w:color w:val="auto"/>
              </w:rPr>
            </w:pPr>
            <w:r>
              <w:rPr>
                <w:rFonts w:ascii="Arial" w:cs="Arial" w:eastAsia="Arial" w:hAnsi="Arial"/>
                <w:sz w:val="20"/>
                <w:szCs w:val="20"/>
                <w:color w:val="auto"/>
              </w:rPr>
              <w:t>Other</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20"/>
                <w:szCs w:val="20"/>
                <w:color w:val="auto"/>
              </w:rPr>
              <w:t>(238)</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rPr>
              <w:t>(238)</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(238)</w:t>
            </w:r>
          </w:p>
        </w:tc>
        <w:tc>
          <w:tcPr>
            <w:tcW w:w="0" w:type="dxa"/>
            <w:vAlign w:val="bottom"/>
          </w:tcPr>
          <w:p>
            <w:pPr>
              <w:spacing w:after="0"/>
              <w:rPr>
                <w:sz w:val="1"/>
                <w:szCs w:val="1"/>
                <w:color w:val="auto"/>
              </w:rPr>
            </w:pPr>
          </w:p>
        </w:tc>
      </w:tr>
      <w:tr>
        <w:trPr>
          <w:trHeight w:val="90"/>
        </w:trPr>
        <w:tc>
          <w:tcPr>
            <w:tcW w:w="3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gridSpan w:val="3"/>
          </w:tcPr>
          <w:p>
            <w:pPr>
              <w:spacing w:after="0"/>
              <w:rPr>
                <w:sz w:val="7"/>
                <w:szCs w:val="7"/>
                <w:color w:val="auto"/>
              </w:rPr>
            </w:pPr>
          </w:p>
        </w:tc>
        <w:tc>
          <w:tcPr>
            <w:tcW w:w="780" w:type="dxa"/>
            <w:vAlign w:val="bottom"/>
            <w:gridSpan w:val="2"/>
          </w:tcPr>
          <w:p>
            <w:pPr>
              <w:spacing w:after="0"/>
              <w:rPr>
                <w:sz w:val="7"/>
                <w:szCs w:val="7"/>
                <w:color w:val="auto"/>
              </w:rPr>
            </w:pPr>
          </w:p>
        </w:tc>
        <w:tc>
          <w:tcPr>
            <w:tcW w:w="840" w:type="dxa"/>
            <w:vAlign w:val="bottom"/>
            <w:gridSpan w:val="3"/>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20" w:type="dxa"/>
            <w:vAlign w:val="bottom"/>
          </w:tcPr>
          <w:p>
            <w:pPr>
              <w:spacing w:after="0"/>
              <w:rPr>
                <w:sz w:val="20"/>
                <w:szCs w:val="20"/>
                <w:color w:val="auto"/>
              </w:rPr>
            </w:pPr>
            <w:r>
              <w:rPr>
                <w:rFonts w:ascii="Arial" w:cs="Arial" w:eastAsia="Arial" w:hAnsi="Arial"/>
                <w:sz w:val="20"/>
                <w:szCs w:val="20"/>
                <w:color w:val="auto"/>
              </w:rPr>
              <w:t>Total comprehensive loss</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(30,798)</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Sale of common stock through</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40"/>
              <w:spacing w:after="0" w:line="225" w:lineRule="exact"/>
              <w:rPr>
                <w:sz w:val="20"/>
                <w:szCs w:val="20"/>
                <w:color w:val="auto"/>
              </w:rPr>
            </w:pPr>
            <w:r>
              <w:rPr>
                <w:rFonts w:ascii="Arial" w:cs="Arial" w:eastAsia="Arial" w:hAnsi="Arial"/>
                <w:sz w:val="20"/>
                <w:szCs w:val="20"/>
                <w:color w:val="auto"/>
              </w:rPr>
              <w:t>employee stock option and</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purchase plan</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28</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117</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Restricted stock awards,</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net of amortization to</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40"/>
              <w:spacing w:after="0" w:line="225" w:lineRule="exact"/>
              <w:rPr>
                <w:sz w:val="20"/>
                <w:szCs w:val="20"/>
                <w:color w:val="auto"/>
              </w:rPr>
            </w:pPr>
            <w:r>
              <w:rPr>
                <w:rFonts w:ascii="Arial" w:cs="Arial" w:eastAsia="Arial" w:hAnsi="Arial"/>
                <w:sz w:val="20"/>
                <w:szCs w:val="20"/>
                <w:color w:val="auto"/>
              </w:rPr>
              <w:t>compensation expense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121</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1</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809</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810</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w w:val="99"/>
              </w:rPr>
              <w:t>Stock-based compensation expense</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1,326</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1,326</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Common stock issued in public</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20" w:type="dxa"/>
            <w:vAlign w:val="bottom"/>
          </w:tcPr>
          <w:p>
            <w:pPr>
              <w:ind w:left="100"/>
              <w:spacing w:after="0" w:line="225" w:lineRule="exact"/>
              <w:rPr>
                <w:sz w:val="20"/>
                <w:szCs w:val="20"/>
                <w:color w:val="auto"/>
              </w:rPr>
            </w:pPr>
            <w:r>
              <w:rPr>
                <w:rFonts w:ascii="Arial" w:cs="Arial" w:eastAsia="Arial" w:hAnsi="Arial"/>
                <w:sz w:val="20"/>
                <w:szCs w:val="20"/>
                <w:color w:val="auto"/>
              </w:rPr>
              <w:t>offering, net</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11,084</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111</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42,986</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43,097</w:t>
            </w:r>
          </w:p>
        </w:tc>
        <w:tc>
          <w:tcPr>
            <w:tcW w:w="0" w:type="dxa"/>
            <w:vAlign w:val="bottom"/>
          </w:tcPr>
          <w:p>
            <w:pPr>
              <w:spacing w:after="0"/>
              <w:rPr>
                <w:sz w:val="1"/>
                <w:szCs w:val="1"/>
                <w:color w:val="auto"/>
              </w:rPr>
            </w:pPr>
          </w:p>
        </w:tc>
      </w:tr>
      <w:tr>
        <w:trPr>
          <w:trHeight w:val="224"/>
        </w:trPr>
        <w:tc>
          <w:tcPr>
            <w:tcW w:w="3220" w:type="dxa"/>
            <w:vAlign w:val="bottom"/>
          </w:tcPr>
          <w:p>
            <w:pPr>
              <w:spacing w:after="0" w:line="225" w:lineRule="exact"/>
              <w:rPr>
                <w:sz w:val="20"/>
                <w:szCs w:val="20"/>
                <w:color w:val="auto"/>
              </w:rPr>
            </w:pPr>
            <w:r>
              <w:rPr>
                <w:rFonts w:ascii="Arial" w:cs="Arial" w:eastAsia="Arial" w:hAnsi="Arial"/>
                <w:sz w:val="20"/>
                <w:szCs w:val="20"/>
                <w:color w:val="auto"/>
              </w:rPr>
              <w:t>Common stock warrants issued</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2,081</w:t>
            </w:r>
          </w:p>
        </w:tc>
        <w:tc>
          <w:tcPr>
            <w:tcW w:w="840" w:type="dxa"/>
            <w:vAlign w:val="bottom"/>
            <w:gridSpan w:val="3"/>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56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820" w:type="dxa"/>
            <w:vAlign w:val="bottom"/>
            <w:gridSpan w:val="2"/>
          </w:tcPr>
          <w:p>
            <w:pPr>
              <w:jc w:val="right"/>
              <w:ind w:right="40"/>
              <w:spacing w:after="0" w:line="225" w:lineRule="exact"/>
              <w:rPr>
                <w:sz w:val="20"/>
                <w:szCs w:val="20"/>
                <w:color w:val="auto"/>
              </w:rPr>
            </w:pPr>
            <w:r>
              <w:rPr>
                <w:rFonts w:ascii="Arial" w:cs="Arial" w:eastAsia="Arial" w:hAnsi="Arial"/>
                <w:sz w:val="20"/>
                <w:szCs w:val="20"/>
                <w:color w:val="auto"/>
              </w:rPr>
              <w:t>2,081</w:t>
            </w:r>
          </w:p>
        </w:tc>
        <w:tc>
          <w:tcPr>
            <w:tcW w:w="0" w:type="dxa"/>
            <w:vAlign w:val="bottom"/>
          </w:tcPr>
          <w:p>
            <w:pPr>
              <w:spacing w:after="0"/>
              <w:rPr>
                <w:sz w:val="1"/>
                <w:szCs w:val="1"/>
                <w:color w:val="auto"/>
              </w:rPr>
            </w:pPr>
          </w:p>
        </w:tc>
      </w:tr>
      <w:tr>
        <w:trPr>
          <w:trHeight w:val="254"/>
        </w:trPr>
        <w:tc>
          <w:tcPr>
            <w:tcW w:w="3220" w:type="dxa"/>
            <w:vAlign w:val="bottom"/>
          </w:tcPr>
          <w:p>
            <w:pPr>
              <w:spacing w:after="0"/>
              <w:rPr>
                <w:sz w:val="20"/>
                <w:szCs w:val="20"/>
                <w:color w:val="auto"/>
              </w:rPr>
            </w:pPr>
            <w:r>
              <w:rPr>
                <w:rFonts w:ascii="Arial" w:cs="Arial" w:eastAsia="Arial" w:hAnsi="Arial"/>
                <w:sz w:val="20"/>
                <w:szCs w:val="20"/>
                <w:color w:val="auto"/>
              </w:rPr>
              <w:t>Common stock warrants exercised</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66</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1</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339</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rPr>
              <w:t>340</w:t>
            </w:r>
          </w:p>
        </w:tc>
        <w:tc>
          <w:tcPr>
            <w:tcW w:w="0" w:type="dxa"/>
            <w:vAlign w:val="bottom"/>
          </w:tcPr>
          <w:p>
            <w:pPr>
              <w:spacing w:after="0"/>
              <w:rPr>
                <w:sz w:val="1"/>
                <w:szCs w:val="1"/>
                <w:color w:val="auto"/>
              </w:rPr>
            </w:pPr>
          </w:p>
        </w:tc>
      </w:tr>
      <w:tr>
        <w:trPr>
          <w:trHeight w:val="90"/>
        </w:trPr>
        <w:tc>
          <w:tcPr>
            <w:tcW w:w="3220" w:type="dxa"/>
            <w:vAlign w:val="bottom"/>
            <w:vMerge w:val="restart"/>
          </w:tcPr>
          <w:p>
            <w:pPr>
              <w:spacing w:after="0"/>
              <w:rPr>
                <w:sz w:val="20"/>
                <w:szCs w:val="20"/>
                <w:color w:val="auto"/>
              </w:rPr>
            </w:pPr>
            <w:r>
              <w:rPr>
                <w:rFonts w:ascii="Arial" w:cs="Arial" w:eastAsia="Arial" w:hAnsi="Arial"/>
                <w:sz w:val="20"/>
                <w:szCs w:val="20"/>
                <w:b w:val="1"/>
                <w:bCs w:val="1"/>
                <w:color w:val="auto"/>
              </w:rPr>
              <w:t>Balance at November 1, 2009</w:t>
            </w:r>
          </w:p>
        </w:tc>
        <w:tc>
          <w:tcPr>
            <w:tcW w:w="400" w:type="dxa"/>
            <w:vAlign w:val="bottom"/>
          </w:tcPr>
          <w:p>
            <w:pPr>
              <w:spacing w:after="0"/>
              <w:rPr>
                <w:sz w:val="7"/>
                <w:szCs w:val="7"/>
                <w:color w:val="auto"/>
              </w:rPr>
            </w:pPr>
          </w:p>
        </w:tc>
        <w:tc>
          <w:tcPr>
            <w:tcW w:w="540" w:type="dxa"/>
            <w:vAlign w:val="bottom"/>
            <w:tcBorders>
              <w:bottom w:val="single" w:sz="8" w:color="336699"/>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40" w:type="dxa"/>
            <w:vAlign w:val="bottom"/>
            <w:gridSpan w:val="2"/>
          </w:tcPr>
          <w:p>
            <w:pPr>
              <w:spacing w:after="0"/>
              <w:rPr>
                <w:sz w:val="7"/>
                <w:szCs w:val="7"/>
                <w:color w:val="auto"/>
              </w:rPr>
            </w:pPr>
          </w:p>
        </w:tc>
        <w:tc>
          <w:tcPr>
            <w:tcW w:w="700" w:type="dxa"/>
            <w:vAlign w:val="bottom"/>
            <w:tcBorders>
              <w:bottom w:val="single" w:sz="8" w:color="336699"/>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336699"/>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220" w:type="dxa"/>
            <w:vAlign w:val="bottom"/>
            <w:vMerge w:val="continue"/>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53,011</w:t>
            </w:r>
          </w:p>
        </w:tc>
        <w:tc>
          <w:tcPr>
            <w:tcW w:w="780" w:type="dxa"/>
            <w:vAlign w:val="bottom"/>
            <w:gridSpan w:val="3"/>
          </w:tcPr>
          <w:p>
            <w:pPr>
              <w:jc w:val="right"/>
              <w:ind w:right="20"/>
              <w:spacing w:after="0"/>
              <w:rPr>
                <w:sz w:val="20"/>
                <w:szCs w:val="20"/>
                <w:color w:val="auto"/>
              </w:rPr>
            </w:pPr>
            <w:r>
              <w:rPr>
                <w:rFonts w:ascii="Arial" w:cs="Arial" w:eastAsia="Arial" w:hAnsi="Arial"/>
                <w:sz w:val="20"/>
                <w:szCs w:val="20"/>
                <w:color w:val="auto"/>
              </w:rPr>
              <w:t>$530</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w w:val="91"/>
              </w:rPr>
              <w:t>$432,160</w:t>
            </w:r>
          </w:p>
        </w:tc>
        <w:tc>
          <w:tcPr>
            <w:tcW w:w="1240" w:type="dxa"/>
            <w:vAlign w:val="bottom"/>
            <w:gridSpan w:val="4"/>
          </w:tcPr>
          <w:p>
            <w:pPr>
              <w:jc w:val="right"/>
              <w:ind w:right="400"/>
              <w:spacing w:after="0"/>
              <w:rPr>
                <w:sz w:val="20"/>
                <w:szCs w:val="20"/>
                <w:color w:val="auto"/>
              </w:rPr>
            </w:pPr>
            <w:r>
              <w:rPr>
                <w:rFonts w:ascii="Arial" w:cs="Arial" w:eastAsia="Arial" w:hAnsi="Arial"/>
                <w:sz w:val="20"/>
                <w:szCs w:val="20"/>
                <w:color w:val="auto"/>
                <w:w w:val="95"/>
              </w:rPr>
              <w:t>$(26,546)</w:t>
            </w:r>
          </w:p>
        </w:tc>
        <w:tc>
          <w:tcPr>
            <w:tcW w:w="62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w w:val="96"/>
              </w:rPr>
              <w:t>$(1,076)</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$(4,808)</w:t>
            </w:r>
          </w:p>
        </w:tc>
        <w:tc>
          <w:tcPr>
            <w:tcW w:w="580" w:type="dxa"/>
            <w:vAlign w:val="bottom"/>
            <w:gridSpan w:val="3"/>
          </w:tcPr>
          <w:p>
            <w:pPr>
              <w:jc w:val="right"/>
              <w:ind w:right="20"/>
              <w:spacing w:after="0"/>
              <w:rPr>
                <w:sz w:val="20"/>
                <w:szCs w:val="20"/>
                <w:color w:val="auto"/>
              </w:rPr>
            </w:pPr>
            <w:r>
              <w:rPr>
                <w:rFonts w:ascii="Arial" w:cs="Arial" w:eastAsia="Arial" w:hAnsi="Arial"/>
                <w:sz w:val="20"/>
                <w:szCs w:val="20"/>
                <w:color w:val="auto"/>
                <w:w w:val="93"/>
              </w:rPr>
              <w:t>$(505)</w:t>
            </w:r>
          </w:p>
        </w:tc>
        <w:tc>
          <w:tcPr>
            <w:tcW w:w="740" w:type="dxa"/>
            <w:vAlign w:val="bottom"/>
            <w:gridSpan w:val="3"/>
          </w:tcPr>
          <w:p>
            <w:pPr>
              <w:jc w:val="right"/>
              <w:ind w:right="20"/>
              <w:spacing w:after="0"/>
              <w:rPr>
                <w:sz w:val="20"/>
                <w:szCs w:val="20"/>
                <w:color w:val="auto"/>
              </w:rPr>
            </w:pPr>
            <w:r>
              <w:rPr>
                <w:rFonts w:ascii="Arial" w:cs="Arial" w:eastAsia="Arial" w:hAnsi="Arial"/>
                <w:sz w:val="20"/>
                <w:szCs w:val="20"/>
                <w:color w:val="auto"/>
                <w:w w:val="93"/>
              </w:rPr>
              <w:t>$(6,389)</w:t>
            </w:r>
          </w:p>
        </w:tc>
        <w:tc>
          <w:tcPr>
            <w:tcW w:w="820" w:type="dxa"/>
            <w:vAlign w:val="bottom"/>
            <w:gridSpan w:val="2"/>
          </w:tcPr>
          <w:p>
            <w:pPr>
              <w:jc w:val="right"/>
              <w:ind w:right="40"/>
              <w:spacing w:after="0"/>
              <w:rPr>
                <w:sz w:val="20"/>
                <w:szCs w:val="20"/>
                <w:color w:val="auto"/>
              </w:rPr>
            </w:pPr>
            <w:r>
              <w:rPr>
                <w:rFonts w:ascii="Arial" w:cs="Arial" w:eastAsia="Arial" w:hAnsi="Arial"/>
                <w:sz w:val="20"/>
                <w:szCs w:val="20"/>
                <w:color w:val="auto"/>
                <w:w w:val="91"/>
              </w:rPr>
              <w:t>$399,755</w:t>
            </w: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336699"/>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-13335</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-13335</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-13335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-13335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-13335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-13335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-13335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-13335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-13335</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-13335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-13335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-13335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-13335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-13335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6771640</wp:posOffset>
            </wp:positionH>
            <wp:positionV relativeFrom="paragraph">
              <wp:posOffset>-13335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-13335</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7310120</wp:posOffset>
            </wp:positionH>
            <wp:positionV relativeFrom="paragraph">
              <wp:posOffset>-13335</wp:posOffset>
            </wp:positionV>
            <wp:extent cx="50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-13335</wp:posOffset>
            </wp:positionV>
            <wp:extent cx="127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8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1520"/>
          </w:cols>
          <w:pgMar w:left="240" w:top="115" w:right="139"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29869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520"/>
          </w:cols>
          <w:pgMar w:left="240" w:top="115" w:right="139" w:bottom="57" w:gutter="0" w:footer="0" w:header="0"/>
          <w:type w:val="continuous"/>
        </w:sectPr>
      </w:pPr>
    </w:p>
    <w:bookmarkStart w:id="29" w:name="page30"/>
    <w:bookmarkEnd w:id="29"/>
    <w:p>
      <w:pPr>
        <w:jc w:val="center"/>
        <w:ind w:right="-20"/>
        <w:spacing w:after="0"/>
        <w:rPr>
          <w:sz w:val="20"/>
          <w:szCs w:val="20"/>
          <w:color w:val="auto"/>
        </w:rPr>
      </w:pPr>
      <w:r>
        <w:rPr>
          <w:rFonts w:ascii="Arial" w:cs="Arial" w:eastAsia="Arial" w:hAnsi="Arial"/>
          <w:sz w:val="20"/>
          <w:szCs w:val="20"/>
          <w:b w:val="1"/>
          <w:bCs w:val="1"/>
          <w:color w:val="auto"/>
        </w:rPr>
        <w:t>PHOTRONICS, INC. AND SUBSIDIARIES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20"/>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396" w:lineRule="exact"/>
        <w:rPr>
          <w:sz w:val="20"/>
          <w:szCs w:val="20"/>
          <w:color w:val="auto"/>
        </w:rPr>
      </w:pPr>
    </w:p>
    <w:tbl>
      <w:tblPr>
        <w:tblLayout w:type="fixed"/>
        <w:tblInd w:w="160" w:type="dxa"/>
        <w:tblCellMar>
          <w:top w:w="0" w:type="dxa"/>
          <w:left w:w="0" w:type="dxa"/>
          <w:bottom w:w="0" w:type="dxa"/>
          <w:right w:w="0" w:type="dxa"/>
        </w:tblCellMar>
      </w:tblPr>
      <w:tr>
        <w:trPr>
          <w:trHeight w:val="260"/>
        </w:trPr>
        <w:tc>
          <w:tcPr>
            <w:tcW w:w="5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20"/>
                <w:szCs w:val="20"/>
                <w:b w:val="1"/>
                <w:bCs w:val="1"/>
                <w:color w:val="auto"/>
                <w:w w:val="94"/>
              </w:rPr>
              <w:t>Year Ended</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3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b w:val="1"/>
                <w:bCs w:val="1"/>
                <w:color w:val="auto"/>
                <w:w w:val="89"/>
              </w:rPr>
              <w:t>November 1,</w:t>
            </w:r>
          </w:p>
        </w:tc>
        <w:tc>
          <w:tcPr>
            <w:tcW w:w="6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Arial" w:cs="Arial" w:eastAsia="Arial" w:hAnsi="Arial"/>
                <w:sz w:val="20"/>
                <w:szCs w:val="20"/>
                <w:b w:val="1"/>
                <w:bCs w:val="1"/>
                <w:color w:val="auto"/>
                <w:w w:val="92"/>
              </w:rPr>
              <w:t>November 2, October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32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1200" w:type="dxa"/>
            <w:vAlign w:val="bottom"/>
            <w:gridSpan w:val="3"/>
          </w:tcPr>
          <w:p>
            <w:pPr>
              <w:ind w:left="420"/>
              <w:spacing w:after="0"/>
              <w:rPr>
                <w:sz w:val="20"/>
                <w:szCs w:val="20"/>
                <w:color w:val="auto"/>
              </w:rPr>
            </w:pPr>
            <w:r>
              <w:rPr>
                <w:rFonts w:ascii="Arial" w:cs="Arial" w:eastAsia="Arial" w:hAnsi="Arial"/>
                <w:sz w:val="20"/>
                <w:szCs w:val="20"/>
                <w:b w:val="1"/>
                <w:bCs w:val="1"/>
                <w:color w:val="auto"/>
              </w:rPr>
              <w:t>2008</w:t>
            </w:r>
          </w:p>
        </w:tc>
        <w:tc>
          <w:tcPr>
            <w:tcW w:w="1080" w:type="dxa"/>
            <w:vAlign w:val="bottom"/>
            <w:gridSpan w:val="3"/>
          </w:tcPr>
          <w:p>
            <w:pPr>
              <w:jc w:val="right"/>
              <w:ind w:right="220"/>
              <w:spacing w:after="0"/>
              <w:rPr>
                <w:sz w:val="20"/>
                <w:szCs w:val="20"/>
                <w:color w:val="auto"/>
              </w:rPr>
            </w:pPr>
            <w:r>
              <w:rPr>
                <w:rFonts w:ascii="Arial" w:cs="Arial" w:eastAsia="Arial" w:hAnsi="Arial"/>
                <w:sz w:val="20"/>
                <w:szCs w:val="20"/>
                <w:b w:val="1"/>
                <w:bCs w:val="1"/>
                <w:color w:val="auto"/>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320" w:type="dxa"/>
            <w:vAlign w:val="bottom"/>
            <w:vMerge w:val="restart"/>
          </w:tcPr>
          <w:p>
            <w:pPr>
              <w:spacing w:after="0"/>
              <w:rPr>
                <w:sz w:val="20"/>
                <w:szCs w:val="20"/>
                <w:color w:val="auto"/>
              </w:rPr>
            </w:pPr>
            <w:r>
              <w:rPr>
                <w:rFonts w:ascii="Arial" w:cs="Arial" w:eastAsia="Arial" w:hAnsi="Arial"/>
                <w:sz w:val="20"/>
                <w:szCs w:val="20"/>
                <w:color w:val="auto"/>
              </w:rPr>
              <w:t>Cash flows from operating activities:</w:t>
            </w: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tcPr>
          <w:p>
            <w:pPr>
              <w:spacing w:after="0" w:line="225" w:lineRule="exact"/>
              <w:rPr>
                <w:sz w:val="20"/>
                <w:szCs w:val="20"/>
                <w:color w:val="auto"/>
              </w:rPr>
            </w:pPr>
            <w:r>
              <w:rPr>
                <w:rFonts w:ascii="Arial" w:cs="Arial" w:eastAsia="Arial" w:hAnsi="Arial"/>
                <w:sz w:val="20"/>
                <w:szCs w:val="20"/>
                <w:color w:val="auto"/>
              </w:rPr>
              <w:t>Net income (loss)</w:t>
            </w:r>
          </w:p>
        </w:tc>
        <w:tc>
          <w:tcPr>
            <w:tcW w:w="114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$(41,910)</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$(210,765)</w:t>
            </w:r>
          </w:p>
        </w:tc>
        <w:tc>
          <w:tcPr>
            <w:tcW w:w="10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$ 24,523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spacing w:after="0" w:line="225" w:lineRule="exact"/>
              <w:rPr>
                <w:sz w:val="20"/>
                <w:szCs w:val="20"/>
                <w:color w:val="auto"/>
              </w:rPr>
            </w:pPr>
            <w:r>
              <w:rPr>
                <w:rFonts w:ascii="Arial" w:cs="Arial" w:eastAsia="Arial" w:hAnsi="Arial"/>
                <w:sz w:val="20"/>
                <w:szCs w:val="20"/>
                <w:color w:val="auto"/>
              </w:rPr>
              <w:t>Adjustments to reconcile net income (loss)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40"/>
              <w:spacing w:after="0" w:line="225" w:lineRule="exact"/>
              <w:rPr>
                <w:sz w:val="20"/>
                <w:szCs w:val="20"/>
                <w:color w:val="auto"/>
              </w:rPr>
            </w:pPr>
            <w:r>
              <w:rPr>
                <w:rFonts w:ascii="Arial" w:cs="Arial" w:eastAsia="Arial" w:hAnsi="Arial"/>
                <w:sz w:val="20"/>
                <w:szCs w:val="20"/>
                <w:color w:val="auto"/>
              </w:rPr>
              <w:t>to net cash provided by operating activities: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Depreciation and amortization of property,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400"/>
              <w:spacing w:after="0" w:line="225" w:lineRule="exact"/>
              <w:rPr>
                <w:sz w:val="20"/>
                <w:szCs w:val="20"/>
                <w:color w:val="auto"/>
              </w:rPr>
            </w:pPr>
            <w:r>
              <w:rPr>
                <w:rFonts w:ascii="Arial" w:cs="Arial" w:eastAsia="Arial" w:hAnsi="Arial"/>
                <w:sz w:val="20"/>
                <w:szCs w:val="20"/>
                <w:color w:val="auto"/>
              </w:rPr>
              <w:t>plant and equipment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76,530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1"/>
              </w:rPr>
              <w:t>95,931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1"/>
              </w:rPr>
              <w:t>89,752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80"/>
              <w:spacing w:after="0" w:line="225" w:lineRule="exact"/>
              <w:rPr>
                <w:sz w:val="20"/>
                <w:szCs w:val="20"/>
                <w:color w:val="auto"/>
              </w:rPr>
            </w:pPr>
            <w:r>
              <w:rPr>
                <w:rFonts w:ascii="Arial" w:cs="Arial" w:eastAsia="Arial" w:hAnsi="Arial"/>
                <w:sz w:val="20"/>
                <w:szCs w:val="20"/>
                <w:color w:val="auto"/>
                <w:w w:val="92"/>
              </w:rPr>
              <w:t>Amortization of deferred financing costs and intangible assets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13,944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8,001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8,266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w w:val="95"/>
              </w:rPr>
              <w:t>Consolidation, restructuring and related charges - non cash</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10,514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510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Impairment of long-lived assets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1,458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1"/>
              </w:rPr>
              <w:t>66,874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Impairment of goodwill</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138,534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Stock-based compensation</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2,136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2,622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2,890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Minority interest in income of consolidated subsidiaries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483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1,374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2,539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Gains on sales of facilities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(2,034)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7"/>
              </w:rPr>
              <w:t>(2,254)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Deferred income taxes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(2,943)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(1,944)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Changes in assets and liabilities: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580"/>
              <w:spacing w:after="0" w:line="225" w:lineRule="exact"/>
              <w:rPr>
                <w:sz w:val="20"/>
                <w:szCs w:val="20"/>
                <w:color w:val="auto"/>
              </w:rPr>
            </w:pPr>
            <w:r>
              <w:rPr>
                <w:rFonts w:ascii="Arial" w:cs="Arial" w:eastAsia="Arial" w:hAnsi="Arial"/>
                <w:sz w:val="20"/>
                <w:szCs w:val="20"/>
                <w:color w:val="auto"/>
              </w:rPr>
              <w:t>Accounts receivable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2,709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(7,310)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1"/>
              </w:rPr>
              <w:t>18,370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600"/>
              <w:spacing w:after="0" w:line="225" w:lineRule="exact"/>
              <w:rPr>
                <w:sz w:val="20"/>
                <w:szCs w:val="20"/>
                <w:color w:val="auto"/>
              </w:rPr>
            </w:pPr>
            <w:r>
              <w:rPr>
                <w:rFonts w:ascii="Arial" w:cs="Arial" w:eastAsia="Arial" w:hAnsi="Arial"/>
                <w:sz w:val="20"/>
                <w:szCs w:val="20"/>
                <w:color w:val="auto"/>
              </w:rPr>
              <w:t>Inventories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3,111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(2,622)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600"/>
              <w:spacing w:after="0" w:line="225" w:lineRule="exact"/>
              <w:rPr>
                <w:sz w:val="20"/>
                <w:szCs w:val="20"/>
                <w:color w:val="auto"/>
              </w:rPr>
            </w:pPr>
            <w:r>
              <w:rPr>
                <w:rFonts w:ascii="Arial" w:cs="Arial" w:eastAsia="Arial" w:hAnsi="Arial"/>
                <w:sz w:val="20"/>
                <w:szCs w:val="20"/>
                <w:color w:val="auto"/>
              </w:rPr>
              <w:t>Other current assets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3,087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(4,410)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7,528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20" w:type="dxa"/>
            <w:vAlign w:val="bottom"/>
          </w:tcPr>
          <w:p>
            <w:pPr>
              <w:ind w:left="580"/>
              <w:spacing w:after="0"/>
              <w:rPr>
                <w:sz w:val="20"/>
                <w:szCs w:val="20"/>
                <w:color w:val="auto"/>
              </w:rPr>
            </w:pPr>
            <w:r>
              <w:rPr>
                <w:rFonts w:ascii="Arial" w:cs="Arial" w:eastAsia="Arial" w:hAnsi="Arial"/>
                <w:sz w:val="20"/>
                <w:szCs w:val="20"/>
                <w:color w:val="auto"/>
              </w:rPr>
              <w:t>Accounts payable, accrued liabilities and other</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1,063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5,285</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(17,968)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Net cash provided by operating activities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68,148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1"/>
              </w:rPr>
              <w:t>92,080</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134,693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20" w:type="dxa"/>
            <w:vAlign w:val="bottom"/>
            <w:vMerge w:val="restart"/>
          </w:tcPr>
          <w:p>
            <w:pPr>
              <w:spacing w:after="0"/>
              <w:rPr>
                <w:sz w:val="20"/>
                <w:szCs w:val="20"/>
                <w:color w:val="auto"/>
              </w:rPr>
            </w:pPr>
            <w:r>
              <w:rPr>
                <w:rFonts w:ascii="Arial" w:cs="Arial" w:eastAsia="Arial" w:hAnsi="Arial"/>
                <w:sz w:val="20"/>
                <w:szCs w:val="20"/>
                <w:color w:val="auto"/>
              </w:rPr>
              <w:t>Cash flows from investing activities:</w:t>
            </w: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Purchases of property, plant and equipment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w w:val="91"/>
              </w:rPr>
              <w:t>(34,995)</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(105,125)</w:t>
            </w:r>
          </w:p>
        </w:tc>
        <w:tc>
          <w:tcPr>
            <w:tcW w:w="10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(94,132)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Return of investment from joint venture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5,000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5,000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Proceeds from sale of facility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4,321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5,784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Proceeds from sales of short-term investments and 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1,158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3,815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1"/>
              </w:rPr>
              <w:t>66,304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Purchases of short-term investments and 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(162)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(327)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7"/>
              </w:rPr>
              <w:t>(4,151)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20" w:type="dxa"/>
            <w:vAlign w:val="bottom"/>
          </w:tcPr>
          <w:p>
            <w:pPr>
              <w:ind w:left="240"/>
              <w:spacing w:after="0"/>
              <w:rPr>
                <w:sz w:val="20"/>
                <w:szCs w:val="20"/>
                <w:color w:val="auto"/>
              </w:rPr>
            </w:pPr>
            <w:r>
              <w:rPr>
                <w:rFonts w:ascii="Arial" w:cs="Arial" w:eastAsia="Arial" w:hAnsi="Arial"/>
                <w:sz w:val="20"/>
                <w:szCs w:val="20"/>
                <w:color w:val="auto"/>
              </w:rPr>
              <w:t>Investments in joint venture</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(2,598)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7"/>
              </w:rPr>
              <w:t>(3,499)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Borders>
              <w:bottom w:val="single" w:sz="8" w:color="336699"/>
            </w:tcBorders>
            <w:gridSpan w:val="2"/>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1"/>
              </w:rPr>
              <w:t>(24,678)</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(99,235)</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(29,694)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20" w:type="dxa"/>
            <w:vAlign w:val="bottom"/>
            <w:vMerge w:val="restart"/>
          </w:tcPr>
          <w:p>
            <w:pPr>
              <w:spacing w:after="0"/>
              <w:rPr>
                <w:sz w:val="20"/>
                <w:szCs w:val="20"/>
                <w:color w:val="auto"/>
              </w:rPr>
            </w:pPr>
            <w:r>
              <w:rPr>
                <w:rFonts w:ascii="Arial" w:cs="Arial" w:eastAsia="Arial" w:hAnsi="Arial"/>
                <w:sz w:val="20"/>
                <w:szCs w:val="20"/>
                <w:color w:val="auto"/>
              </w:rPr>
              <w:t>Cash flows from financing activities:</w:t>
            </w: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Proceeds from long-term borrowings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28,112</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139,640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4,303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Repayments of long-term borrowings</w:t>
            </w:r>
          </w:p>
        </w:tc>
        <w:tc>
          <w:tcPr>
            <w:tcW w:w="114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(161,841)</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(176,009)</w:t>
            </w:r>
          </w:p>
        </w:tc>
        <w:tc>
          <w:tcPr>
            <w:tcW w:w="10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(87,084)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Proceeds from debt and equity offerings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w w:val="88"/>
              </w:rPr>
              <w:t>103,500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w w:val="96"/>
              </w:rPr>
              <w:t>Payments of expenses related to debt and equity offerings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(5,539)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Deferred financing costs and 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(4,734)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(3,790)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00"/>
              <w:spacing w:after="0" w:line="225" w:lineRule="exact"/>
              <w:rPr>
                <w:sz w:val="20"/>
                <w:szCs w:val="20"/>
                <w:color w:val="auto"/>
              </w:rPr>
            </w:pPr>
            <w:r>
              <w:rPr>
                <w:rFonts w:ascii="Arial" w:cs="Arial" w:eastAsia="Arial" w:hAnsi="Arial"/>
                <w:sz w:val="20"/>
                <w:szCs w:val="20"/>
                <w:color w:val="auto"/>
              </w:rPr>
              <w:t>Payments to Micron Technology, Inc.</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w w:val="97"/>
              </w:rPr>
              <w:t>(7,500)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Arial" w:cs="Arial" w:eastAsia="Arial" w:hAnsi="Arial"/>
                <w:sz w:val="20"/>
                <w:szCs w:val="20"/>
                <w:color w:val="auto"/>
                <w:w w:val="97"/>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20" w:type="dxa"/>
            <w:vAlign w:val="bottom"/>
          </w:tcPr>
          <w:p>
            <w:pPr>
              <w:ind w:left="300"/>
              <w:spacing w:after="0"/>
              <w:rPr>
                <w:sz w:val="20"/>
                <w:szCs w:val="20"/>
                <w:color w:val="auto"/>
              </w:rPr>
            </w:pPr>
            <w:r>
              <w:rPr>
                <w:rFonts w:ascii="Arial" w:cs="Arial" w:eastAsia="Arial" w:hAnsi="Arial"/>
                <w:sz w:val="20"/>
                <w:szCs w:val="20"/>
                <w:color w:val="auto"/>
              </w:rPr>
              <w:t>Proceeds from exercised stock options</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Borders>
              <w:bottom w:val="single" w:sz="8" w:color="336699"/>
            </w:tcBorders>
            <w:gridSpan w:val="2"/>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1"/>
              </w:rPr>
              <w:t>(40,502)</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(47,659)</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(89,820)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Effect of exchange rate changes on cash</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1,808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(7,472)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1,445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Borders>
              <w:bottom w:val="single" w:sz="8" w:color="336699"/>
            </w:tcBorders>
            <w:gridSpan w:val="2"/>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4,776</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(62,286)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1"/>
              </w:rPr>
              <w:t>16,624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320" w:type="dxa"/>
            <w:vAlign w:val="bottom"/>
          </w:tcPr>
          <w:p>
            <w:pPr>
              <w:spacing w:after="0"/>
              <w:rPr>
                <w:sz w:val="20"/>
                <w:szCs w:val="20"/>
                <w:color w:val="auto"/>
              </w:rPr>
            </w:pPr>
            <w:r>
              <w:rPr>
                <w:rFonts w:ascii="Arial" w:cs="Arial" w:eastAsia="Arial" w:hAnsi="Arial"/>
                <w:sz w:val="20"/>
                <w:szCs w:val="20"/>
                <w:color w:val="auto"/>
              </w:rPr>
              <w:t>Cash and cash equivalents at beginning of year</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83,763</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146,049</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129,425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336699"/>
            </w:tcBorders>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5320" w:type="dxa"/>
            <w:vAlign w:val="bottom"/>
          </w:tcPr>
          <w:p>
            <w:pPr>
              <w:spacing w:after="0"/>
              <w:rPr>
                <w:sz w:val="20"/>
                <w:szCs w:val="20"/>
                <w:color w:val="auto"/>
              </w:rPr>
            </w:pPr>
            <w:r>
              <w:rPr>
                <w:rFonts w:ascii="Arial" w:cs="Arial" w:eastAsia="Arial" w:hAnsi="Arial"/>
                <w:sz w:val="20"/>
                <w:szCs w:val="20"/>
                <w:color w:val="auto"/>
              </w:rPr>
              <w:t>Cash and cash equivalents at end of year</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88,539</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91"/>
              </w:rPr>
              <w:t>83,763</w:t>
            </w:r>
          </w:p>
        </w:tc>
        <w:tc>
          <w:tcPr>
            <w:tcW w:w="1080" w:type="dxa"/>
            <w:vAlign w:val="bottom"/>
            <w:gridSpan w:val="3"/>
          </w:tcPr>
          <w:p>
            <w:pPr>
              <w:jc w:val="right"/>
              <w:spacing w:after="0"/>
              <w:rPr>
                <w:sz w:val="20"/>
                <w:szCs w:val="20"/>
                <w:color w:val="auto"/>
              </w:rPr>
            </w:pPr>
            <w:r>
              <w:rPr>
                <w:rFonts w:ascii="Arial" w:cs="Arial" w:eastAsia="Arial" w:hAnsi="Arial"/>
                <w:sz w:val="20"/>
                <w:szCs w:val="20"/>
                <w:color w:val="auto"/>
              </w:rPr>
              <w:t>$146,049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20" w:type="dxa"/>
            <w:vAlign w:val="bottom"/>
            <w:vMerge w:val="restart"/>
          </w:tcPr>
          <w:p>
            <w:pPr>
              <w:spacing w:after="0"/>
              <w:rPr>
                <w:sz w:val="20"/>
                <w:szCs w:val="20"/>
                <w:color w:val="auto"/>
              </w:rPr>
            </w:pPr>
            <w:r>
              <w:rPr>
                <w:rFonts w:ascii="Arial" w:cs="Arial" w:eastAsia="Arial" w:hAnsi="Arial"/>
                <w:sz w:val="20"/>
                <w:szCs w:val="20"/>
                <w:color w:val="auto"/>
              </w:rPr>
              <w:t>Supplemental disclosure of cash flow information:</w:t>
            </w:r>
          </w:p>
        </w:tc>
        <w:tc>
          <w:tcPr>
            <w:tcW w:w="20" w:type="dxa"/>
            <w:vAlign w:val="bottom"/>
            <w:tcBorders>
              <w:bottom w:val="single" w:sz="8" w:color="336699"/>
            </w:tcBorders>
          </w:tcPr>
          <w:p>
            <w:pPr>
              <w:spacing w:after="0"/>
              <w:rPr>
                <w:sz w:val="9"/>
                <w:szCs w:val="9"/>
                <w:color w:val="auto"/>
              </w:rPr>
            </w:pPr>
          </w:p>
        </w:tc>
        <w:tc>
          <w:tcPr>
            <w:tcW w:w="380" w:type="dxa"/>
            <w:vAlign w:val="bottom"/>
            <w:tcBorders>
              <w:bottom w:val="single" w:sz="8" w:color="336699"/>
            </w:tcBorders>
          </w:tcPr>
          <w:p>
            <w:pPr>
              <w:spacing w:after="0"/>
              <w:rPr>
                <w:sz w:val="9"/>
                <w:szCs w:val="9"/>
                <w:color w:val="auto"/>
              </w:rPr>
            </w:pPr>
          </w:p>
        </w:tc>
        <w:tc>
          <w:tcPr>
            <w:tcW w:w="74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336699"/>
            </w:tcBorders>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336699"/>
            </w:tcBorders>
          </w:tcPr>
          <w:p>
            <w:pPr>
              <w:spacing w:after="0"/>
              <w:rPr>
                <w:sz w:val="9"/>
                <w:szCs w:val="9"/>
                <w:color w:val="auto"/>
              </w:rPr>
            </w:pPr>
          </w:p>
        </w:tc>
        <w:tc>
          <w:tcPr>
            <w:tcW w:w="6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5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Change in accrual for purchases of property,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40"/>
              <w:spacing w:after="0" w:line="225" w:lineRule="exact"/>
              <w:rPr>
                <w:sz w:val="20"/>
                <w:szCs w:val="20"/>
                <w:color w:val="auto"/>
              </w:rPr>
            </w:pPr>
            <w:r>
              <w:rPr>
                <w:rFonts w:ascii="Arial" w:cs="Arial" w:eastAsia="Arial" w:hAnsi="Arial"/>
                <w:sz w:val="20"/>
                <w:szCs w:val="20"/>
                <w:color w:val="auto"/>
              </w:rPr>
              <w:t>plant and equipment</w:t>
            </w:r>
          </w:p>
        </w:tc>
        <w:tc>
          <w:tcPr>
            <w:tcW w:w="114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$(13,551)</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$(46,769)</w:t>
            </w:r>
          </w:p>
        </w:tc>
        <w:tc>
          <w:tcPr>
            <w:tcW w:w="10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$ 51,582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40"/>
              <w:spacing w:after="0" w:line="225" w:lineRule="exact"/>
              <w:rPr>
                <w:sz w:val="20"/>
                <w:szCs w:val="20"/>
                <w:color w:val="auto"/>
              </w:rPr>
            </w:pPr>
            <w:r>
              <w:rPr>
                <w:rFonts w:ascii="Arial" w:cs="Arial" w:eastAsia="Arial" w:hAnsi="Arial"/>
                <w:sz w:val="20"/>
                <w:szCs w:val="20"/>
                <w:color w:val="auto"/>
              </w:rPr>
              <w:t>Capital lease obligation for purchases of property,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340"/>
              <w:spacing w:after="0" w:line="225" w:lineRule="exact"/>
              <w:rPr>
                <w:sz w:val="20"/>
                <w:szCs w:val="20"/>
                <w:color w:val="auto"/>
              </w:rPr>
            </w:pPr>
            <w:r>
              <w:rPr>
                <w:rFonts w:ascii="Arial" w:cs="Arial" w:eastAsia="Arial" w:hAnsi="Arial"/>
                <w:sz w:val="20"/>
                <w:szCs w:val="20"/>
                <w:color w:val="auto"/>
              </w:rPr>
              <w:t>plant and equipment</w:t>
            </w:r>
          </w:p>
        </w:tc>
        <w:tc>
          <w:tcPr>
            <w:tcW w:w="114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$(28,244)</w:t>
            </w:r>
          </w:p>
        </w:tc>
        <w:tc>
          <w:tcPr>
            <w:tcW w:w="12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$ 61,662</w:t>
            </w:r>
          </w:p>
        </w:tc>
        <w:tc>
          <w:tcPr>
            <w:tcW w:w="10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$ 19,912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20" w:type="dxa"/>
            <w:vAlign w:val="bottom"/>
          </w:tcPr>
          <w:p>
            <w:pPr>
              <w:ind w:left="240"/>
              <w:spacing w:after="0"/>
              <w:rPr>
                <w:sz w:val="20"/>
                <w:szCs w:val="20"/>
                <w:color w:val="auto"/>
              </w:rPr>
            </w:pPr>
            <w:r>
              <w:rPr>
                <w:rFonts w:ascii="Arial" w:cs="Arial" w:eastAsia="Arial" w:hAnsi="Arial"/>
                <w:sz w:val="20"/>
                <w:szCs w:val="20"/>
                <w:color w:val="auto"/>
              </w:rPr>
              <w:t>Issuances of common stock warrants</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5,320</w:t>
            </w:r>
          </w:p>
        </w:tc>
        <w:tc>
          <w:tcPr>
            <w:tcW w:w="520" w:type="dxa"/>
            <w:vAlign w:val="bottom"/>
            <w:gridSpan w:val="2"/>
          </w:tcPr>
          <w:p>
            <w:pPr>
              <w:ind w:left="400"/>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-949960</wp:posOffset>
            </wp:positionV>
            <wp:extent cx="12700" cy="28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-949960</wp:posOffset>
            </wp:positionV>
            <wp:extent cx="12700" cy="28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-949960</wp:posOffset>
            </wp:positionV>
            <wp:extent cx="12700" cy="28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-949960</wp:posOffset>
            </wp:positionV>
            <wp:extent cx="12700"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-949960</wp:posOffset>
            </wp:positionV>
            <wp:extent cx="12700" cy="28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-949960</wp:posOffset>
            </wp:positionV>
            <wp:extent cx="12700" cy="28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9019"/>
          </w:cols>
          <w:pgMar w:left="1440" w:top="538" w:right="1440" w:bottom="58"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729869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60" w:right="2620"/>
        <w:spacing w:after="0" w:line="244" w:lineRule="auto"/>
        <w:rPr>
          <w:sz w:val="20"/>
          <w:szCs w:val="20"/>
          <w:color w:val="auto"/>
        </w:rPr>
      </w:pPr>
      <w:r>
        <w:rPr>
          <w:rFonts w:ascii="Arial" w:cs="Arial" w:eastAsia="Arial" w:hAnsi="Arial"/>
          <w:sz w:val="20"/>
          <w:szCs w:val="20"/>
          <w:b w:val="1"/>
          <w:bCs w:val="1"/>
          <w:color w:val="auto"/>
        </w:rPr>
        <w:t xml:space="preserve">PHOTRONICS, INC. AND SUBSIDIARIES Notes to Consolidated Financial Statements Years Ended November 1, 2009, November 2, 2008 and October 28, 2007 </w:t>
      </w:r>
      <w:r>
        <w:rPr>
          <w:rFonts w:ascii="Arial" w:cs="Arial" w:eastAsia="Arial" w:hAnsi="Arial"/>
          <w:sz w:val="20"/>
          <w:szCs w:val="20"/>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340"/>
        <w:spacing w:after="0" w:line="445" w:lineRule="auto"/>
        <w:rPr>
          <w:sz w:val="20"/>
          <w:szCs w:val="20"/>
          <w:color w:val="auto"/>
        </w:rPr>
      </w:pPr>
      <w:r>
        <w:rPr>
          <w:rFonts w:ascii="Arial" w:cs="Arial" w:eastAsia="Arial" w:hAnsi="Arial"/>
          <w:sz w:val="20"/>
          <w:szCs w:val="20"/>
          <w:b w:val="1"/>
          <w:bCs w:val="1"/>
          <w:color w:val="auto"/>
        </w:rPr>
        <w:t>NOTE 1 - SUMMARY OF SIGNIFICANT ACCOUNTING POLICIES Business</w:t>
      </w:r>
    </w:p>
    <w:p>
      <w:pPr>
        <w:spacing w:after="0" w:line="1" w:lineRule="exact"/>
        <w:rPr>
          <w:sz w:val="20"/>
          <w:szCs w:val="20"/>
          <w:color w:val="auto"/>
        </w:rPr>
      </w:pPr>
    </w:p>
    <w:p>
      <w:pPr>
        <w:ind w:firstLine="249"/>
        <w:spacing w:after="0" w:line="252" w:lineRule="auto"/>
        <w:rPr>
          <w:sz w:val="20"/>
          <w:szCs w:val="20"/>
          <w:color w:val="auto"/>
        </w:rPr>
      </w:pPr>
      <w:r>
        <w:rPr>
          <w:rFonts w:ascii="Arial" w:cs="Arial" w:eastAsia="Arial" w:hAnsi="Arial"/>
          <w:sz w:val="19"/>
          <w:szCs w:val="19"/>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 The Company closed its manufacturing facilities in Manchester, United Kingdom and Shanghai, China during the year ended November 1, 2009.</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200" w:lineRule="exact"/>
        <w:rPr>
          <w:sz w:val="20"/>
          <w:szCs w:val="20"/>
          <w:color w:val="auto"/>
        </w:rPr>
      </w:pPr>
    </w:p>
    <w:p>
      <w:pPr>
        <w:ind w:right="220" w:firstLine="246"/>
        <w:spacing w:after="0" w:line="285" w:lineRule="auto"/>
        <w:rPr>
          <w:sz w:val="20"/>
          <w:szCs w:val="20"/>
          <w:color w:val="auto"/>
        </w:rPr>
      </w:pPr>
      <w:r>
        <w:rPr>
          <w:rFonts w:ascii="Arial" w:cs="Arial" w:eastAsia="Arial" w:hAnsi="Arial"/>
          <w:sz w:val="19"/>
          <w:szCs w:val="19"/>
          <w:color w:val="auto"/>
        </w:rPr>
        <w:t>The accompanying consolidated financial statements include the accounts of Photronics, Inc. and its majority-owned subsidiaries that the Company controls. All significant intercompany balances and transactions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 and Assumptions</w:t>
      </w:r>
    </w:p>
    <w:p>
      <w:pPr>
        <w:spacing w:after="0" w:line="200" w:lineRule="exact"/>
        <w:rPr>
          <w:sz w:val="20"/>
          <w:szCs w:val="20"/>
          <w:color w:val="auto"/>
        </w:rPr>
      </w:pPr>
    </w:p>
    <w:p>
      <w:pPr>
        <w:ind w:right="140" w:firstLine="246"/>
        <w:spacing w:after="0" w:line="34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Events</w:t>
      </w:r>
    </w:p>
    <w:p>
      <w:pPr>
        <w:spacing w:after="0" w:line="200" w:lineRule="exact"/>
        <w:rPr>
          <w:sz w:val="20"/>
          <w:szCs w:val="20"/>
          <w:color w:val="auto"/>
        </w:rPr>
      </w:pPr>
    </w:p>
    <w:p>
      <w:pPr>
        <w:ind w:right="40" w:firstLine="246"/>
        <w:spacing w:after="0" w:line="258" w:lineRule="auto"/>
        <w:rPr>
          <w:sz w:val="20"/>
          <w:szCs w:val="20"/>
          <w:color w:val="auto"/>
        </w:rPr>
      </w:pPr>
      <w:r>
        <w:rPr>
          <w:rFonts w:ascii="Arial" w:cs="Arial" w:eastAsia="Arial" w:hAnsi="Arial"/>
          <w:sz w:val="20"/>
          <w:szCs w:val="20"/>
          <w:color w:val="auto"/>
        </w:rPr>
        <w:t>The Company has performed an evaluation of subsequent events through January 8, 2010, which is the date these financial statements were issued in Form 10-K.</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 and Hedging Activities</w:t>
      </w:r>
    </w:p>
    <w:p>
      <w:pPr>
        <w:spacing w:after="0" w:line="200" w:lineRule="exact"/>
        <w:rPr>
          <w:sz w:val="20"/>
          <w:szCs w:val="20"/>
          <w:color w:val="auto"/>
        </w:rPr>
      </w:pPr>
    </w:p>
    <w:p>
      <w:pPr>
        <w:ind w:right="80" w:firstLine="246"/>
        <w:spacing w:after="0" w:line="266" w:lineRule="auto"/>
        <w:rPr>
          <w:sz w:val="20"/>
          <w:szCs w:val="20"/>
          <w:color w:val="auto"/>
        </w:rPr>
      </w:pPr>
      <w:r>
        <w:rPr>
          <w:rFonts w:ascii="Arial" w:cs="Arial" w:eastAsia="Arial" w:hAnsi="Arial"/>
          <w:sz w:val="18"/>
          <w:szCs w:val="18"/>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consolidated statement of operations, or as accumulated other comprehensive income ("OCI"),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Fiscal years 2009 and 2007 included 52 weeks; while fiscal year 2008 included 53 weeks. Fiscal year 2010 will include 52 weeks.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00" w:lineRule="exact"/>
        <w:rPr>
          <w:sz w:val="20"/>
          <w:szCs w:val="20"/>
          <w:color w:val="auto"/>
        </w:rPr>
      </w:pPr>
    </w:p>
    <w:p>
      <w:pPr>
        <w:ind w:right="20" w:firstLine="249"/>
        <w:spacing w:after="0" w:line="258" w:lineRule="auto"/>
        <w:rPr>
          <w:sz w:val="20"/>
          <w:szCs w:val="20"/>
          <w:color w:val="auto"/>
        </w:rPr>
      </w:pPr>
      <w:r>
        <w:rPr>
          <w:rFonts w:ascii="Arial" w:cs="Arial" w:eastAsia="Arial" w:hAnsi="Arial"/>
          <w:sz w:val="20"/>
          <w:szCs w:val="20"/>
          <w:color w:val="auto"/>
        </w:rPr>
        <w:t>Cash and cash equivalents include cash and highly liquid investments purchased with an original maturity of 3 months or less. The carrying values of cash equivalents approximate their fair values due to the short maturities of these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principally raw materials, are stated at the lower of cost, determined under the first-in, first-out ("FIFO") method, or market.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00" w:lineRule="exact"/>
        <w:rPr>
          <w:sz w:val="20"/>
          <w:szCs w:val="20"/>
          <w:color w:val="auto"/>
        </w:rPr>
      </w:pPr>
    </w:p>
    <w:p>
      <w:pPr>
        <w:ind w:right="80" w:firstLine="249"/>
        <w:spacing w:after="0" w:line="278"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ectPr>
          <w:pgSz w:w="11900" w:h="16838" w:orient="portrait"/>
          <w:cols w:equalWidth="0" w:num="1">
            <w:col w:w="11420"/>
          </w:cols>
          <w:pgMar w:left="240" w:top="120" w:right="239" w:bottom="0" w:gutter="0" w:footer="0" w:header="0"/>
        </w:sectPr>
      </w:pPr>
    </w:p>
    <w:bookmarkStart w:id="31" w:name="page32"/>
    <w:bookmarkEnd w:id="31"/>
    <w:p>
      <w:pPr>
        <w:jc w:val="center"/>
        <w:ind w:right="220"/>
        <w:spacing w:after="0"/>
        <w:rPr>
          <w:sz w:val="20"/>
          <w:szCs w:val="20"/>
          <w:color w:val="auto"/>
        </w:rPr>
      </w:pPr>
      <w:r>
        <w:rPr>
          <w:rFonts w:ascii="Arial" w:cs="Arial" w:eastAsia="Arial" w:hAnsi="Arial"/>
          <w:sz w:val="18"/>
          <w:szCs w:val="18"/>
          <w:color w:val="auto"/>
        </w:rPr>
        <w:t>Depreciation and amortization are computed on a straight-line basis over the estimated useful lives of the related assets. Buildings and</w:t>
      </w:r>
    </w:p>
    <w:p>
      <w:pPr>
        <w:spacing w:after="0" w:line="34"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 may not be recoverable.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Other Intangible Assets</w:t>
      </w:r>
    </w:p>
    <w:p>
      <w:pPr>
        <w:spacing w:after="0" w:line="200" w:lineRule="exact"/>
        <w:rPr>
          <w:sz w:val="20"/>
          <w:szCs w:val="20"/>
          <w:color w:val="auto"/>
        </w:rPr>
      </w:pPr>
    </w:p>
    <w:p>
      <w:pPr>
        <w:ind w:right="100" w:firstLine="249"/>
        <w:spacing w:after="0" w:line="254" w:lineRule="auto"/>
        <w:rPr>
          <w:sz w:val="20"/>
          <w:szCs w:val="20"/>
          <w:color w:val="auto"/>
        </w:rPr>
      </w:pPr>
      <w:r>
        <w:rPr>
          <w:rFonts w:ascii="Arial" w:cs="Arial" w:eastAsia="Arial" w:hAnsi="Arial"/>
          <w:sz w:val="19"/>
          <w:szCs w:val="19"/>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more fairly represents the utilization of the assets. The future economic benefit of the carrying values of intangible assets that are subject to amortization are tested for recoverability whenever events or changes in circumstances indicate the carrying value of an intangible asset may not be recoverable based on undiscounted cash flows or market factors, and an impairment loss would be recorded in the period so determined.</w:t>
      </w:r>
    </w:p>
    <w:p>
      <w:pPr>
        <w:spacing w:after="0" w:line="158" w:lineRule="exact"/>
        <w:rPr>
          <w:sz w:val="20"/>
          <w:szCs w:val="20"/>
          <w:color w:val="auto"/>
        </w:rPr>
      </w:pPr>
    </w:p>
    <w:p>
      <w:pPr>
        <w:ind w:firstLine="246"/>
        <w:spacing w:after="0" w:line="266" w:lineRule="auto"/>
        <w:rPr>
          <w:sz w:val="20"/>
          <w:szCs w:val="20"/>
          <w:color w:val="auto"/>
        </w:rPr>
      </w:pPr>
      <w:r>
        <w:rPr>
          <w:rFonts w:ascii="Arial" w:cs="Arial" w:eastAsia="Arial" w:hAnsi="Arial"/>
          <w:sz w:val="18"/>
          <w:szCs w:val="18"/>
          <w:color w:val="auto"/>
        </w:rPr>
        <w:t>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For purposes of testing impairment, the Company is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 In connection with the Company's latest test, the Company wrote off all of its $138.5 million of goodwill in its third fiscal quarter of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00" w:lineRule="exact"/>
        <w:rPr>
          <w:sz w:val="20"/>
          <w:szCs w:val="20"/>
          <w:color w:val="auto"/>
        </w:rPr>
      </w:pPr>
    </w:p>
    <w:p>
      <w:pPr>
        <w:ind w:right="60" w:firstLine="249"/>
        <w:spacing w:after="0" w:line="27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assets.</w:t>
      </w:r>
    </w:p>
    <w:p>
      <w:pPr>
        <w:spacing w:after="0" w:line="138" w:lineRule="exact"/>
        <w:rPr>
          <w:sz w:val="20"/>
          <w:szCs w:val="20"/>
          <w:color w:val="auto"/>
        </w:rPr>
      </w:pPr>
    </w:p>
    <w:p>
      <w:pPr>
        <w:ind w:right="60" w:firstLine="246"/>
        <w:spacing w:after="0" w:line="258" w:lineRule="auto"/>
        <w:rPr>
          <w:sz w:val="20"/>
          <w:szCs w:val="20"/>
          <w:color w:val="auto"/>
        </w:rPr>
      </w:pPr>
      <w:r>
        <w:rPr>
          <w:rFonts w:ascii="Arial" w:cs="Arial" w:eastAsia="Arial" w:hAnsi="Arial"/>
          <w:sz w:val="20"/>
          <w:szCs w:val="20"/>
          <w:color w:val="auto"/>
        </w:rPr>
        <w:t>The carrying values of assets determined to be impaired are reduced to their estimated fair values. Fair values of any impaired assets would generally be determined using a market or income approach.</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in Joint Venture</w:t>
      </w:r>
    </w:p>
    <w:p>
      <w:pPr>
        <w:spacing w:after="0" w:line="200" w:lineRule="exact"/>
        <w:rPr>
          <w:sz w:val="20"/>
          <w:szCs w:val="20"/>
          <w:color w:val="auto"/>
        </w:rPr>
      </w:pPr>
    </w:p>
    <w:p>
      <w:pPr>
        <w:ind w:right="40" w:firstLine="249"/>
        <w:spacing w:after="0" w:line="239" w:lineRule="auto"/>
        <w:rPr>
          <w:sz w:val="20"/>
          <w:szCs w:val="20"/>
          <w:color w:val="auto"/>
        </w:rPr>
      </w:pPr>
      <w:r>
        <w:rPr>
          <w:rFonts w:ascii="Arial" w:cs="Arial" w:eastAsia="Arial" w:hAnsi="Arial"/>
          <w:sz w:val="20"/>
          <w:szCs w:val="20"/>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decline in the value of such an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00" w:lineRule="exact"/>
        <w:rPr>
          <w:sz w:val="20"/>
          <w:szCs w:val="20"/>
          <w:color w:val="auto"/>
        </w:rPr>
      </w:pPr>
    </w:p>
    <w:p>
      <w:pPr>
        <w:ind w:firstLine="246"/>
        <w:spacing w:after="0"/>
        <w:rPr>
          <w:sz w:val="20"/>
          <w:szCs w:val="20"/>
          <w:color w:val="auto"/>
        </w:rPr>
      </w:pPr>
      <w:r>
        <w:rPr>
          <w:rFonts w:ascii="Arial" w:cs="Arial" w:eastAsia="Arial" w:hAnsi="Arial"/>
          <w:sz w:val="20"/>
          <w:szCs w:val="20"/>
          <w:color w:val="auto"/>
        </w:rPr>
        <w:t>The income tax (provision) benefit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71" w:lineRule="exact"/>
        <w:rPr>
          <w:sz w:val="20"/>
          <w:szCs w:val="20"/>
          <w:color w:val="auto"/>
        </w:rPr>
      </w:pPr>
    </w:p>
    <w:p>
      <w:pPr>
        <w:ind w:firstLine="246"/>
        <w:spacing w:after="0" w:line="267" w:lineRule="auto"/>
        <w:rPr>
          <w:sz w:val="20"/>
          <w:szCs w:val="20"/>
          <w:color w:val="auto"/>
        </w:rPr>
      </w:pPr>
      <w:r>
        <w:rPr>
          <w:rFonts w:ascii="Arial" w:cs="Arial" w:eastAsia="Arial" w:hAnsi="Arial"/>
          <w:sz w:val="18"/>
          <w:szCs w:val="18"/>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more likely than not. Accordingly, the income tax provision in the consolidated statements of operations is impacted by changes in the valuation allowance. Significant management estimates and judgment are required in determining any valuation allowance recorded against net deferred tax assets. The Company accounts for uncertain tax positions by recording a liability for unrecognized tax benefits resulting from uncertain tax positions taken, or expected to be taken, in its tax returns.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00" w:lineRule="exact"/>
        <w:rPr>
          <w:sz w:val="20"/>
          <w:szCs w:val="20"/>
          <w:color w:val="auto"/>
        </w:rPr>
      </w:pPr>
    </w:p>
    <w:p>
      <w:pPr>
        <w:ind w:right="200" w:firstLine="249"/>
        <w:spacing w:after="0" w:line="246" w:lineRule="auto"/>
        <w:rPr>
          <w:sz w:val="20"/>
          <w:szCs w:val="20"/>
          <w:color w:val="auto"/>
        </w:rPr>
      </w:pPr>
      <w:r>
        <w:rPr>
          <w:rFonts w:ascii="Arial" w:cs="Arial" w:eastAsia="Arial" w:hAnsi="Arial"/>
          <w:sz w:val="20"/>
          <w:szCs w:val="20"/>
          <w:color w:val="auto"/>
        </w:rPr>
        <w:t>Basic earnings per share ("EPS") is based on the weighted average number of common shares outstanding for the period, excluding any dilutive common share equivalents. Diluted EPS reflects the potential dilution that could occur if certain securities or other contracts to issue common stock were exercised or converted.</w:t>
      </w:r>
    </w:p>
    <w:p>
      <w:pPr>
        <w:sectPr>
          <w:pgSz w:w="11900" w:h="16838" w:orient="portrait"/>
          <w:cols w:equalWidth="0" w:num="1">
            <w:col w:w="11420"/>
          </w:cols>
          <w:pgMar w:left="240" w:top="120" w:right="239" w:bottom="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Stock-Based Compensation</w:t>
      </w:r>
    </w:p>
    <w:p>
      <w:pPr>
        <w:spacing w:after="0" w:line="201" w:lineRule="exact"/>
        <w:rPr>
          <w:sz w:val="20"/>
          <w:szCs w:val="20"/>
          <w:color w:val="auto"/>
        </w:rPr>
      </w:pPr>
    </w:p>
    <w:p>
      <w:pPr>
        <w:ind w:firstLine="246"/>
        <w:spacing w:after="0" w:line="267" w:lineRule="auto"/>
        <w:rPr>
          <w:sz w:val="20"/>
          <w:szCs w:val="20"/>
          <w:color w:val="auto"/>
        </w:rPr>
      </w:pPr>
      <w:r>
        <w:rPr>
          <w:rFonts w:ascii="Arial" w:cs="Arial" w:eastAsia="Arial" w:hAnsi="Arial"/>
          <w:sz w:val="18"/>
          <w:szCs w:val="18"/>
          <w:color w:val="auto"/>
        </w:rPr>
        <w:t>The Company adopted Statement of Financial Accounting Standards (SFAS) No. 123(R), "Share-Based Payment" (primarily codified under Financial Accounting Standards Board (FASB) Accounting Standards Codification (ASC) 718) on October 31, 2005, using the modified prospective method. Subsequently compensation expense is recognized in its consolidated statements of operations over the service period that the awards are expected to vest. The Company recognized expense for all stock-based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vesting date represented a separate award. Stock-based compensation expense includes the estimated effects of forfeitures, which will be adjusted over the requisite service period to the extent actual forfeitures differ, or are expected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to differ, from such estimates. Changes in estimated forfeitures will be recognized in the period of change and will also impact the amount of expense to be recognized in future periods. The Company adopted the alternative transition method provided in Financial Accounting Standards Board ("FASB") Staff Position No. 123(R)-3 for calculating the tax effects of share-based compensation. Determining the appropriate fair-value model and calculating the fair value of stock-based awards at the grant date requires considerable judgment, including estimating stock price volatility and the expected term of options granted.</w:t>
      </w:r>
    </w:p>
    <w:p>
      <w:pPr>
        <w:spacing w:after="0" w:line="171" w:lineRule="exact"/>
        <w:rPr>
          <w:sz w:val="20"/>
          <w:szCs w:val="20"/>
          <w:color w:val="auto"/>
        </w:rPr>
      </w:pPr>
    </w:p>
    <w:p>
      <w:pPr>
        <w:ind w:right="160" w:firstLine="246"/>
        <w:spacing w:after="0" w:line="246" w:lineRule="auto"/>
        <w:rPr>
          <w:sz w:val="20"/>
          <w:szCs w:val="20"/>
          <w:color w:val="auto"/>
        </w:rPr>
      </w:pPr>
      <w:r>
        <w:rPr>
          <w:rFonts w:ascii="Arial" w:cs="Arial" w:eastAsia="Arial" w:hAnsi="Arial"/>
          <w:sz w:val="20"/>
          <w:szCs w:val="20"/>
          <w:color w:val="auto"/>
        </w:rPr>
        <w:t>The Company uses the Black-Scholes option valuation model to value employee stock awards. The Company estimates stock price volatility based on daily averages of its historical volatility over a term approximately equal to the grant's estimated option life. The expected term of options and forfeiture rate assumptions are derived from historical data.</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00" w:lineRule="exact"/>
        <w:rPr>
          <w:sz w:val="20"/>
          <w:szCs w:val="20"/>
          <w:color w:val="auto"/>
        </w:rPr>
      </w:pPr>
    </w:p>
    <w:p>
      <w:pPr>
        <w:ind w:right="40" w:firstLine="249"/>
        <w:spacing w:after="0" w:line="259" w:lineRule="auto"/>
        <w:rPr>
          <w:sz w:val="20"/>
          <w:szCs w:val="20"/>
          <w:color w:val="auto"/>
        </w:rPr>
      </w:pPr>
      <w:r>
        <w:rPr>
          <w:rFonts w:ascii="Arial" w:cs="Arial" w:eastAsia="Arial" w:hAnsi="Arial"/>
          <w:sz w:val="19"/>
          <w:szCs w:val="19"/>
          <w:color w:val="auto"/>
        </w:rPr>
        <w:t>Research and development costs are expensed as incurred, and consist primarily of global development efforts of high-end process technologies for advanced sub-wavelength reticle solutions for IC and FPD photomask technologies. Research and development expenses also include the amortization of the carrying value of a technology license agreement with Micron Technologies, Inc. (Micron). Under this technology license agreement, the Company has access to certain photomask technology developed by Micron.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00" w:lineRule="exact"/>
        <w:rPr>
          <w:sz w:val="20"/>
          <w:szCs w:val="20"/>
          <w:color w:val="auto"/>
        </w:rPr>
      </w:pPr>
    </w:p>
    <w:p>
      <w:pPr>
        <w:ind w:right="340" w:firstLine="246"/>
        <w:spacing w:after="0" w:line="273"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OCI as a separate component of shareholders' equity. The effects of changes in exchange rates on foreign currency transactions, which are included in investment and other income, net, were a loss of $3.1 million in 2009, a gain of $3.8 million in 2008 and a gain of $1.0 million in 2007.</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Minority Interest</w:t>
      </w:r>
    </w:p>
    <w:p>
      <w:pPr>
        <w:spacing w:after="0" w:line="200" w:lineRule="exact"/>
        <w:rPr>
          <w:sz w:val="20"/>
          <w:szCs w:val="20"/>
          <w:color w:val="auto"/>
        </w:rPr>
      </w:pPr>
    </w:p>
    <w:p>
      <w:pPr>
        <w:ind w:right="40" w:firstLine="249"/>
        <w:spacing w:after="0" w:line="246" w:lineRule="auto"/>
        <w:rPr>
          <w:sz w:val="20"/>
          <w:szCs w:val="20"/>
          <w:color w:val="auto"/>
        </w:rPr>
      </w:pPr>
      <w:r>
        <w:rPr>
          <w:rFonts w:ascii="Arial" w:cs="Arial" w:eastAsia="Arial" w:hAnsi="Arial"/>
          <w:sz w:val="20"/>
          <w:szCs w:val="20"/>
          <w:color w:val="auto"/>
        </w:rPr>
        <w:t>Minority interest represents the minority shareholders' proportionate share in the equity of the Company's two majority-owned subsidiaries, PK Ltd. ("PKL") in Korea, and Photronics Semiconductor Mask Corporation ("PSMC") in Taiwan, of which minority shareholders owned approximately 0.3% and 42%, respectively, as of November 1, 2009 and November 2, 2008.</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00" w:lineRule="exact"/>
        <w:rPr>
          <w:sz w:val="20"/>
          <w:szCs w:val="20"/>
          <w:color w:val="auto"/>
        </w:rPr>
      </w:pPr>
    </w:p>
    <w:p>
      <w:pPr>
        <w:ind w:right="320" w:firstLine="246"/>
        <w:spacing w:after="0" w:line="265" w:lineRule="auto"/>
        <w:rPr>
          <w:sz w:val="20"/>
          <w:szCs w:val="20"/>
          <w:color w:val="auto"/>
        </w:rPr>
      </w:pPr>
      <w:r>
        <w:rPr>
          <w:rFonts w:ascii="Arial" w:cs="Arial" w:eastAsia="Arial" w:hAnsi="Arial"/>
          <w:sz w:val="19"/>
          <w:szCs w:val="19"/>
          <w:color w:val="auto"/>
        </w:rPr>
        <w:t>The Company recognizes revenue when there is persuasive evidence that an arrangement exists, delivery has occurred, the sales price is fixed or determinable, and collectability is reasonably assured. The Company uses judgment when estimating the effect on revenue of discounts and product warranty obligations, both of which are accrued when the related revenue is recognized.</w:t>
      </w:r>
    </w:p>
    <w:p>
      <w:pPr>
        <w:spacing w:after="0" w:line="149" w:lineRule="exact"/>
        <w:rPr>
          <w:sz w:val="20"/>
          <w:szCs w:val="20"/>
          <w:color w:val="auto"/>
        </w:rPr>
      </w:pPr>
    </w:p>
    <w:p>
      <w:pPr>
        <w:ind w:right="100" w:firstLine="299"/>
        <w:spacing w:after="0" w:line="270"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48" w:lineRule="exact"/>
        <w:rPr>
          <w:sz w:val="20"/>
          <w:szCs w:val="20"/>
          <w:color w:val="auto"/>
        </w:rPr>
      </w:pPr>
    </w:p>
    <w:p>
      <w:pPr>
        <w:ind w:right="720" w:firstLine="249"/>
        <w:spacing w:after="0" w:line="258" w:lineRule="auto"/>
        <w:rPr>
          <w:sz w:val="20"/>
          <w:szCs w:val="20"/>
          <w:color w:val="auto"/>
        </w:rPr>
      </w:pPr>
      <w:r>
        <w:rPr>
          <w:rFonts w:ascii="Arial" w:cs="Arial" w:eastAsia="Arial" w:hAnsi="Arial"/>
          <w:sz w:val="20"/>
          <w:szCs w:val="20"/>
          <w:u w:val="single" w:color="auto"/>
          <w:color w:val="auto"/>
        </w:rPr>
        <w:t>Sales Taxes</w:t>
      </w:r>
      <w:r>
        <w:rPr>
          <w:rFonts w:ascii="Arial" w:cs="Arial" w:eastAsia="Arial" w:hAnsi="Arial"/>
          <w:sz w:val="20"/>
          <w:szCs w:val="20"/>
          <w:color w:val="auto"/>
        </w:rPr>
        <w:t xml:space="preserve"> - The Company presents it revenues in the consolidated statements of income, net of sales taxes, if any (excluded from revenues).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PROPERTY, PLANT AND EQUIPMENT</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Property, plant and equipment consist of the following:</w:t>
      </w:r>
    </w:p>
    <w:p>
      <w:pPr>
        <w:spacing w:after="0" w:line="188" w:lineRule="exact"/>
        <w:rPr>
          <w:sz w:val="20"/>
          <w:szCs w:val="20"/>
          <w:color w:val="auto"/>
        </w:rPr>
      </w:pPr>
    </w:p>
    <w:p>
      <w:pPr>
        <w:jc w:val="center"/>
        <w:ind w:right="1060"/>
        <w:spacing w:after="0"/>
        <w:rPr>
          <w:sz w:val="20"/>
          <w:szCs w:val="20"/>
          <w:color w:val="auto"/>
        </w:rPr>
      </w:pPr>
      <w:r>
        <w:rPr>
          <w:rFonts w:ascii="Arial" w:cs="Arial" w:eastAsia="Arial" w:hAnsi="Arial"/>
          <w:sz w:val="20"/>
          <w:szCs w:val="20"/>
          <w:b w:val="1"/>
          <w:bCs w:val="1"/>
          <w:color w:val="auto"/>
        </w:rPr>
        <w:t>November 1,  November 2,</w:t>
      </w:r>
    </w:p>
    <w:p>
      <w:pPr>
        <w:spacing w:after="0" w:line="16" w:lineRule="exact"/>
        <w:rPr>
          <w:sz w:val="20"/>
          <w:szCs w:val="20"/>
          <w:color w:val="auto"/>
        </w:rPr>
      </w:pPr>
    </w:p>
    <w:p>
      <w:pPr>
        <w:ind w:left="4360"/>
        <w:spacing w:after="0"/>
        <w:tabs>
          <w:tab w:leader="none" w:pos="5580" w:val="left"/>
        </w:tabs>
        <w:rPr>
          <w:sz w:val="20"/>
          <w:szCs w:val="20"/>
          <w:color w:val="auto"/>
        </w:rPr>
      </w:pPr>
      <w:r>
        <w:rPr>
          <w:rFonts w:ascii="Arial" w:cs="Arial" w:eastAsia="Arial" w:hAnsi="Arial"/>
          <w:sz w:val="20"/>
          <w:szCs w:val="20"/>
          <w:b w:val="1"/>
          <w:bCs w:val="1"/>
          <w:color w:val="auto"/>
        </w:rPr>
        <w:t>2009</w:t>
      </w:r>
      <w:r>
        <w:rPr>
          <w:sz w:val="20"/>
          <w:szCs w:val="20"/>
          <w:color w:val="auto"/>
        </w:rPr>
        <w:tab/>
      </w:r>
      <w:r>
        <w:rPr>
          <w:rFonts w:ascii="Arial" w:cs="Arial" w:eastAsia="Arial" w:hAnsi="Arial"/>
          <w:sz w:val="20"/>
          <w:szCs w:val="20"/>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61595</wp:posOffset>
            </wp:positionV>
            <wp:extent cx="150368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03680" cy="7620"/>
                    </a:xfrm>
                    <a:prstGeom prst="rect">
                      <a:avLst/>
                    </a:prstGeom>
                    <a:noFill/>
                  </pic:spPr>
                </pic:pic>
              </a:graphicData>
            </a:graphic>
          </wp:anchor>
        </w:drawing>
      </w:r>
    </w:p>
    <w:p>
      <w:pPr>
        <w:sectPr>
          <w:pgSz w:w="11900" w:h="16838" w:orient="portrait"/>
          <w:cols w:equalWidth="0" w:num="1">
            <w:col w:w="11420"/>
          </w:cols>
          <w:pgMar w:left="240" w:top="114" w:right="239" w:bottom="29"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20"/>
                <w:szCs w:val="20"/>
                <w:color w:val="auto"/>
              </w:rPr>
              <w:t>Land</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7,901</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8,393</w:t>
            </w:r>
          </w:p>
        </w:tc>
      </w:tr>
      <w:tr>
        <w:trPr>
          <w:trHeight w:val="224"/>
        </w:trPr>
        <w:tc>
          <w:tcPr>
            <w:tcW w:w="4020" w:type="dxa"/>
            <w:vAlign w:val="bottom"/>
            <w:gridSpan w:val="2"/>
          </w:tcPr>
          <w:p>
            <w:pPr>
              <w:spacing w:after="0" w:line="225" w:lineRule="exact"/>
              <w:rPr>
                <w:sz w:val="20"/>
                <w:szCs w:val="20"/>
                <w:color w:val="auto"/>
              </w:rPr>
            </w:pPr>
            <w:r>
              <w:rPr>
                <w:rFonts w:ascii="Arial" w:cs="Arial" w:eastAsia="Arial" w:hAnsi="Arial"/>
                <w:sz w:val="20"/>
                <w:szCs w:val="20"/>
                <w:color w:val="auto"/>
              </w:rPr>
              <w:t>Buildings and improvements</w:t>
            </w:r>
          </w:p>
        </w:tc>
        <w:tc>
          <w:tcPr>
            <w:tcW w:w="34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Arial" w:cs="Arial" w:eastAsia="Arial" w:hAnsi="Arial"/>
                <w:sz w:val="20"/>
                <w:szCs w:val="20"/>
                <w:color w:val="auto"/>
              </w:rPr>
              <w:t>91,167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120,808</w:t>
            </w:r>
          </w:p>
        </w:tc>
      </w:tr>
      <w:tr>
        <w:trPr>
          <w:trHeight w:val="224"/>
        </w:trPr>
        <w:tc>
          <w:tcPr>
            <w:tcW w:w="4020" w:type="dxa"/>
            <w:vAlign w:val="bottom"/>
            <w:gridSpan w:val="2"/>
          </w:tcPr>
          <w:p>
            <w:pPr>
              <w:spacing w:after="0" w:line="225" w:lineRule="exact"/>
              <w:rPr>
                <w:sz w:val="20"/>
                <w:szCs w:val="20"/>
                <w:color w:val="auto"/>
              </w:rPr>
            </w:pPr>
            <w:r>
              <w:rPr>
                <w:rFonts w:ascii="Arial" w:cs="Arial" w:eastAsia="Arial" w:hAnsi="Arial"/>
                <w:sz w:val="20"/>
                <w:szCs w:val="20"/>
                <w:color w:val="auto"/>
              </w:rPr>
              <w:t>Machinery and equipment</w:t>
            </w:r>
          </w:p>
        </w:tc>
        <w:tc>
          <w:tcPr>
            <w:tcW w:w="11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1,001,085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w w:val="87"/>
              </w:rPr>
              <w:t>1,016,741</w:t>
            </w:r>
          </w:p>
        </w:tc>
      </w:tr>
      <w:tr>
        <w:trPr>
          <w:trHeight w:val="224"/>
        </w:trPr>
        <w:tc>
          <w:tcPr>
            <w:tcW w:w="4020" w:type="dxa"/>
            <w:vAlign w:val="bottom"/>
            <w:gridSpan w:val="2"/>
          </w:tcPr>
          <w:p>
            <w:pPr>
              <w:spacing w:after="0" w:line="225" w:lineRule="exact"/>
              <w:rPr>
                <w:sz w:val="20"/>
                <w:szCs w:val="20"/>
                <w:color w:val="auto"/>
              </w:rPr>
            </w:pPr>
            <w:r>
              <w:rPr>
                <w:rFonts w:ascii="Arial" w:cs="Arial" w:eastAsia="Arial" w:hAnsi="Arial"/>
                <w:sz w:val="20"/>
                <w:szCs w:val="20"/>
                <w:color w:val="auto"/>
              </w:rPr>
              <w:t>Leasehold improvements</w:t>
            </w:r>
          </w:p>
        </w:tc>
        <w:tc>
          <w:tcPr>
            <w:tcW w:w="34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Arial" w:cs="Arial" w:eastAsia="Arial" w:hAnsi="Arial"/>
                <w:sz w:val="20"/>
                <w:szCs w:val="20"/>
                <w:color w:val="auto"/>
              </w:rPr>
              <w:t>7,338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5,813</w:t>
            </w:r>
          </w:p>
        </w:tc>
      </w:tr>
      <w:tr>
        <w:trPr>
          <w:trHeight w:val="224"/>
        </w:trPr>
        <w:tc>
          <w:tcPr>
            <w:tcW w:w="4020" w:type="dxa"/>
            <w:vAlign w:val="bottom"/>
            <w:gridSpan w:val="2"/>
          </w:tcPr>
          <w:p>
            <w:pPr>
              <w:spacing w:after="0" w:line="225" w:lineRule="exact"/>
              <w:rPr>
                <w:sz w:val="20"/>
                <w:szCs w:val="20"/>
                <w:color w:val="auto"/>
              </w:rPr>
            </w:pPr>
            <w:r>
              <w:rPr>
                <w:rFonts w:ascii="Arial" w:cs="Arial" w:eastAsia="Arial" w:hAnsi="Arial"/>
                <w:sz w:val="20"/>
                <w:szCs w:val="20"/>
                <w:color w:val="auto"/>
              </w:rPr>
              <w:t>Furniture, fixtures and office equipment</w:t>
            </w:r>
          </w:p>
        </w:tc>
        <w:tc>
          <w:tcPr>
            <w:tcW w:w="34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Arial" w:cs="Arial" w:eastAsia="Arial" w:hAnsi="Arial"/>
                <w:sz w:val="20"/>
                <w:szCs w:val="20"/>
                <w:color w:val="auto"/>
              </w:rPr>
              <w:t>15,351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17,528</w:t>
            </w:r>
          </w:p>
        </w:tc>
      </w:tr>
      <w:tr>
        <w:trPr>
          <w:trHeight w:val="254"/>
        </w:trPr>
        <w:tc>
          <w:tcPr>
            <w:tcW w:w="4020" w:type="dxa"/>
            <w:vAlign w:val="bottom"/>
            <w:gridSpan w:val="2"/>
          </w:tcPr>
          <w:p>
            <w:pPr>
              <w:spacing w:after="0"/>
              <w:rPr>
                <w:sz w:val="20"/>
                <w:szCs w:val="20"/>
                <w:color w:val="auto"/>
              </w:rPr>
            </w:pPr>
            <w:r>
              <w:rPr>
                <w:rFonts w:ascii="Arial" w:cs="Arial" w:eastAsia="Arial" w:hAnsi="Arial"/>
                <w:sz w:val="20"/>
                <w:szCs w:val="20"/>
                <w:color w:val="auto"/>
              </w:rPr>
              <w:t>Construction in progress</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17,183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6,551</w:t>
            </w:r>
          </w:p>
        </w:tc>
      </w:tr>
      <w:tr>
        <w:trPr>
          <w:trHeight w:val="90"/>
        </w:trPr>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336699"/>
            </w:tcBorders>
            <w:gridSpan w:val="2"/>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336699"/>
            </w:tcBorders>
          </w:tcPr>
          <w:p>
            <w:pPr>
              <w:spacing w:after="0"/>
              <w:rPr>
                <w:sz w:val="7"/>
                <w:szCs w:val="7"/>
                <w:color w:val="auto"/>
              </w:rPr>
            </w:pPr>
          </w:p>
        </w:tc>
        <w:tc>
          <w:tcPr>
            <w:tcW w:w="820" w:type="dxa"/>
            <w:vAlign w:val="bottom"/>
            <w:tcBorders>
              <w:bottom w:val="single" w:sz="8" w:color="336699"/>
            </w:tcBorders>
          </w:tcPr>
          <w:p>
            <w:pPr>
              <w:spacing w:after="0"/>
              <w:rPr>
                <w:sz w:val="7"/>
                <w:szCs w:val="7"/>
                <w:color w:val="auto"/>
              </w:rPr>
            </w:pPr>
          </w:p>
        </w:tc>
      </w:tr>
      <w:tr>
        <w:trPr>
          <w:trHeight w:val="310"/>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1,140,025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87"/>
              </w:rPr>
              <w:t>1,175,834</w:t>
            </w:r>
          </w:p>
        </w:tc>
      </w:tr>
      <w:tr>
        <w:trPr>
          <w:trHeight w:val="254"/>
        </w:trPr>
        <w:tc>
          <w:tcPr>
            <w:tcW w:w="4020" w:type="dxa"/>
            <w:vAlign w:val="bottom"/>
            <w:gridSpan w:val="2"/>
          </w:tcPr>
          <w:p>
            <w:pPr>
              <w:spacing w:after="0"/>
              <w:rPr>
                <w:sz w:val="20"/>
                <w:szCs w:val="20"/>
                <w:color w:val="auto"/>
              </w:rPr>
            </w:pPr>
            <w:r>
              <w:rPr>
                <w:rFonts w:ascii="Arial" w:cs="Arial" w:eastAsia="Arial" w:hAnsi="Arial"/>
                <w:sz w:val="20"/>
                <w:szCs w:val="20"/>
                <w:color w:val="auto"/>
                <w:w w:val="93"/>
              </w:rPr>
              <w:t>Less accumulated depreciation and amortization</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4"/>
              </w:rPr>
              <w:t>792,136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739,306</w:t>
            </w:r>
          </w:p>
        </w:tc>
      </w:tr>
      <w:tr>
        <w:trPr>
          <w:trHeight w:val="90"/>
        </w:trPr>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336699"/>
            </w:tcBorders>
            <w:gridSpan w:val="2"/>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gridSpan w:val="2"/>
          </w:tcPr>
          <w:p>
            <w:pPr>
              <w:spacing w:after="0"/>
              <w:rPr>
                <w:sz w:val="7"/>
                <w:szCs w:val="7"/>
                <w:color w:val="auto"/>
              </w:rPr>
            </w:pPr>
          </w:p>
        </w:tc>
      </w:tr>
      <w:tr>
        <w:trPr>
          <w:trHeight w:val="339"/>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$ 347,889</w:t>
            </w: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rPr>
              <w:t>$ 436,528</w:t>
            </w:r>
          </w:p>
        </w:tc>
      </w:tr>
      <w:tr>
        <w:trPr>
          <w:trHeight w:val="111"/>
        </w:trPr>
        <w:tc>
          <w:tcPr>
            <w:tcW w:w="40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340" w:type="dxa"/>
            <w:vAlign w:val="bottom"/>
            <w:tcBorders>
              <w:bottom w:val="single" w:sz="8" w:color="336699"/>
            </w:tcBorders>
          </w:tcPr>
          <w:p>
            <w:pPr>
              <w:spacing w:after="0"/>
              <w:rPr>
                <w:sz w:val="9"/>
                <w:szCs w:val="9"/>
                <w:color w:val="auto"/>
              </w:rPr>
            </w:pPr>
          </w:p>
        </w:tc>
        <w:tc>
          <w:tcPr>
            <w:tcW w:w="7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336699"/>
            </w:tcBorders>
          </w:tcPr>
          <w:p>
            <w:pPr>
              <w:spacing w:after="0"/>
              <w:rPr>
                <w:sz w:val="9"/>
                <w:szCs w:val="9"/>
                <w:color w:val="auto"/>
              </w:rPr>
            </w:pPr>
          </w:p>
        </w:tc>
        <w:tc>
          <w:tcPr>
            <w:tcW w:w="8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-27940</wp:posOffset>
            </wp:positionV>
            <wp:extent cx="12700" cy="28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2545715</wp:posOffset>
            </wp:positionH>
            <wp:positionV relativeFrom="paragraph">
              <wp:posOffset>-27940</wp:posOffset>
            </wp:positionV>
            <wp:extent cx="12700" cy="285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4041775</wp:posOffset>
            </wp:positionH>
            <wp:positionV relativeFrom="paragraph">
              <wp:posOffset>-27940</wp:posOffset>
            </wp:positionV>
            <wp:extent cx="12700" cy="28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-27940</wp:posOffset>
            </wp:positionV>
            <wp:extent cx="12700" cy="28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9"/>
        <w:spacing w:after="0"/>
        <w:rPr>
          <w:sz w:val="20"/>
          <w:szCs w:val="20"/>
          <w:color w:val="auto"/>
        </w:rPr>
      </w:pPr>
      <w:r>
        <w:rPr>
          <w:rFonts w:ascii="Arial" w:cs="Arial" w:eastAsia="Arial" w:hAnsi="Arial"/>
          <w:sz w:val="20"/>
          <w:szCs w:val="20"/>
          <w:color w:val="auto"/>
        </w:rPr>
        <w:t>Property, plant and equipment at November 1, 2009 reflects an approximately $28 million reduction in the carrying value of the Company's assets under capital leases that resulted from the cancellation of the Company's lease agreement with Micron for the U.S. nanoFab facility. Concurrently with this lease cancellation, the Company and Micron entered into a new lease for the facility (see Note 4 for further discussion). This lease will continue to be accounted for as a capital lease through December 31, 2012, at which time it will be accounted for as an operating lease. See Note 7 for further discussion.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Property under capital leases are included in above property, plant and equipment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w w:val="89"/>
              </w:rPr>
              <w:t>November 2,</w:t>
            </w:r>
          </w:p>
        </w:tc>
        <w:tc>
          <w:tcPr>
            <w:tcW w:w="20" w:type="dxa"/>
            <w:vAlign w:val="bottom"/>
          </w:tcPr>
          <w:p>
            <w:pPr>
              <w:spacing w:after="0"/>
              <w:rPr>
                <w:sz w:val="19"/>
                <w:szCs w:val="19"/>
                <w:color w:val="auto"/>
              </w:rPr>
            </w:pPr>
          </w:p>
        </w:tc>
      </w:tr>
      <w:tr>
        <w:trPr>
          <w:trHeight w:val="260"/>
        </w:trPr>
        <w:tc>
          <w:tcPr>
            <w:tcW w:w="2640" w:type="dxa"/>
            <w:vAlign w:val="bottom"/>
          </w:tcPr>
          <w:p>
            <w:pPr>
              <w:spacing w:after="0"/>
              <w:rPr>
                <w:sz w:val="22"/>
                <w:szCs w:val="22"/>
                <w:color w:val="auto"/>
              </w:rPr>
            </w:pPr>
          </w:p>
        </w:tc>
        <w:tc>
          <w:tcPr>
            <w:tcW w:w="1120" w:type="dxa"/>
            <w:vAlign w:val="bottom"/>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12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2008</w:t>
            </w:r>
          </w:p>
        </w:tc>
        <w:tc>
          <w:tcPr>
            <w:tcW w:w="20" w:type="dxa"/>
            <w:vAlign w:val="bottom"/>
          </w:tcPr>
          <w:p>
            <w:pPr>
              <w:spacing w:after="0"/>
              <w:rPr>
                <w:sz w:val="22"/>
                <w:szCs w:val="22"/>
                <w:color w:val="auto"/>
              </w:rPr>
            </w:pPr>
          </w:p>
        </w:tc>
      </w:tr>
      <w:tr>
        <w:trPr>
          <w:trHeight w:val="90"/>
        </w:trPr>
        <w:tc>
          <w:tcPr>
            <w:tcW w:w="264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534"/>
        </w:trPr>
        <w:tc>
          <w:tcPr>
            <w:tcW w:w="2640" w:type="dxa"/>
            <w:vAlign w:val="bottom"/>
          </w:tcPr>
          <w:p>
            <w:pPr>
              <w:spacing w:after="0"/>
              <w:rPr>
                <w:sz w:val="20"/>
                <w:szCs w:val="20"/>
                <w:color w:val="auto"/>
              </w:rPr>
            </w:pPr>
            <w:r>
              <w:rPr>
                <w:rFonts w:ascii="Arial" w:cs="Arial" w:eastAsia="Arial" w:hAnsi="Arial"/>
                <w:sz w:val="20"/>
                <w:szCs w:val="20"/>
                <w:color w:val="auto"/>
              </w:rPr>
              <w:t>Buildings and improvements</w:t>
            </w:r>
          </w:p>
        </w:tc>
        <w:tc>
          <w:tcPr>
            <w:tcW w:w="1120" w:type="dxa"/>
            <w:vAlign w:val="bottom"/>
          </w:tcPr>
          <w:p>
            <w:pPr>
              <w:jc w:val="right"/>
              <w:spacing w:after="0"/>
              <w:rPr>
                <w:sz w:val="20"/>
                <w:szCs w:val="20"/>
                <w:color w:val="auto"/>
              </w:rPr>
            </w:pPr>
            <w:r>
              <w:rPr>
                <w:rFonts w:ascii="Arial" w:cs="Arial" w:eastAsia="Arial" w:hAnsi="Arial"/>
                <w:sz w:val="20"/>
                <w:szCs w:val="20"/>
                <w:color w:val="auto"/>
              </w:rPr>
              <w:t>$33,621</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$61,662</w:t>
            </w:r>
          </w:p>
        </w:tc>
        <w:tc>
          <w:tcPr>
            <w:tcW w:w="20" w:type="dxa"/>
            <w:vAlign w:val="bottom"/>
          </w:tcPr>
          <w:p>
            <w:pPr>
              <w:spacing w:after="0"/>
              <w:rPr>
                <w:sz w:val="24"/>
                <w:szCs w:val="24"/>
                <w:color w:val="auto"/>
              </w:rPr>
            </w:pPr>
          </w:p>
        </w:tc>
      </w:tr>
      <w:tr>
        <w:trPr>
          <w:trHeight w:val="254"/>
        </w:trPr>
        <w:tc>
          <w:tcPr>
            <w:tcW w:w="2640" w:type="dxa"/>
            <w:vAlign w:val="bottom"/>
          </w:tcPr>
          <w:p>
            <w:pPr>
              <w:spacing w:after="0"/>
              <w:rPr>
                <w:sz w:val="20"/>
                <w:szCs w:val="20"/>
                <w:color w:val="auto"/>
              </w:rPr>
            </w:pPr>
            <w:r>
              <w:rPr>
                <w:rFonts w:ascii="Arial" w:cs="Arial" w:eastAsia="Arial" w:hAnsi="Arial"/>
                <w:sz w:val="20"/>
                <w:szCs w:val="20"/>
                <w:color w:val="auto"/>
              </w:rPr>
              <w:t>Machinery and equipment</w:t>
            </w:r>
          </w:p>
        </w:tc>
        <w:tc>
          <w:tcPr>
            <w:tcW w:w="1120" w:type="dxa"/>
            <w:vAlign w:val="bottom"/>
          </w:tcPr>
          <w:p>
            <w:pPr>
              <w:jc w:val="right"/>
              <w:spacing w:after="0"/>
              <w:rPr>
                <w:sz w:val="20"/>
                <w:szCs w:val="20"/>
                <w:color w:val="auto"/>
              </w:rPr>
            </w:pPr>
            <w:r>
              <w:rPr>
                <w:rFonts w:ascii="Arial" w:cs="Arial" w:eastAsia="Arial" w:hAnsi="Arial"/>
                <w:sz w:val="20"/>
                <w:szCs w:val="20"/>
                <w:color w:val="auto"/>
              </w:rPr>
              <w:t>19,912</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19,912</w:t>
            </w:r>
          </w:p>
        </w:tc>
        <w:tc>
          <w:tcPr>
            <w:tcW w:w="20" w:type="dxa"/>
            <w:vAlign w:val="bottom"/>
          </w:tcPr>
          <w:p>
            <w:pPr>
              <w:spacing w:after="0"/>
              <w:rPr>
                <w:sz w:val="22"/>
                <w:szCs w:val="22"/>
                <w:color w:val="auto"/>
              </w:rPr>
            </w:pPr>
          </w:p>
        </w:tc>
      </w:tr>
      <w:tr>
        <w:trPr>
          <w:trHeight w:val="90"/>
        </w:trPr>
        <w:tc>
          <w:tcPr>
            <w:tcW w:w="264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10"/>
        </w:trPr>
        <w:tc>
          <w:tcPr>
            <w:tcW w:w="2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53,533</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81,574</w:t>
            </w:r>
          </w:p>
        </w:tc>
        <w:tc>
          <w:tcPr>
            <w:tcW w:w="20" w:type="dxa"/>
            <w:vAlign w:val="bottom"/>
          </w:tcPr>
          <w:p>
            <w:pPr>
              <w:spacing w:after="0"/>
              <w:rPr>
                <w:sz w:val="24"/>
                <w:szCs w:val="24"/>
                <w:color w:val="auto"/>
              </w:rPr>
            </w:pPr>
          </w:p>
        </w:tc>
      </w:tr>
      <w:tr>
        <w:trPr>
          <w:trHeight w:val="254"/>
        </w:trPr>
        <w:tc>
          <w:tcPr>
            <w:tcW w:w="2640" w:type="dxa"/>
            <w:vAlign w:val="bottom"/>
          </w:tcPr>
          <w:p>
            <w:pPr>
              <w:spacing w:after="0"/>
              <w:rPr>
                <w:sz w:val="20"/>
                <w:szCs w:val="20"/>
                <w:color w:val="auto"/>
              </w:rPr>
            </w:pPr>
            <w:r>
              <w:rPr>
                <w:rFonts w:ascii="Arial" w:cs="Arial" w:eastAsia="Arial" w:hAnsi="Arial"/>
                <w:sz w:val="20"/>
                <w:szCs w:val="20"/>
                <w:color w:val="auto"/>
                <w:w w:val="95"/>
              </w:rPr>
              <w:t>Less accumulated amortization</w:t>
            </w:r>
          </w:p>
        </w:tc>
        <w:tc>
          <w:tcPr>
            <w:tcW w:w="1120" w:type="dxa"/>
            <w:vAlign w:val="bottom"/>
          </w:tcPr>
          <w:p>
            <w:pPr>
              <w:jc w:val="right"/>
              <w:spacing w:after="0"/>
              <w:rPr>
                <w:sz w:val="20"/>
                <w:szCs w:val="20"/>
                <w:color w:val="auto"/>
              </w:rPr>
            </w:pPr>
            <w:r>
              <w:rPr>
                <w:rFonts w:ascii="Arial" w:cs="Arial" w:eastAsia="Arial" w:hAnsi="Arial"/>
                <w:sz w:val="20"/>
                <w:szCs w:val="20"/>
                <w:color w:val="auto"/>
              </w:rPr>
              <w:t>10,876</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3,482</w:t>
            </w:r>
          </w:p>
        </w:tc>
        <w:tc>
          <w:tcPr>
            <w:tcW w:w="20" w:type="dxa"/>
            <w:vAlign w:val="bottom"/>
          </w:tcPr>
          <w:p>
            <w:pPr>
              <w:spacing w:after="0"/>
              <w:rPr>
                <w:sz w:val="22"/>
                <w:szCs w:val="22"/>
                <w:color w:val="auto"/>
              </w:rPr>
            </w:pPr>
          </w:p>
        </w:tc>
      </w:tr>
      <w:tr>
        <w:trPr>
          <w:trHeight w:val="90"/>
        </w:trPr>
        <w:tc>
          <w:tcPr>
            <w:tcW w:w="264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39"/>
        </w:trPr>
        <w:tc>
          <w:tcPr>
            <w:tcW w:w="2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$42,657</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$78,092</w:t>
            </w:r>
          </w:p>
        </w:tc>
        <w:tc>
          <w:tcPr>
            <w:tcW w:w="20" w:type="dxa"/>
            <w:vAlign w:val="bottom"/>
          </w:tcPr>
          <w:p>
            <w:pPr>
              <w:spacing w:after="0"/>
              <w:rPr>
                <w:sz w:val="24"/>
                <w:szCs w:val="24"/>
                <w:color w:val="auto"/>
              </w:rPr>
            </w:pPr>
          </w:p>
        </w:tc>
      </w:tr>
      <w:tr>
        <w:trPr>
          <w:trHeight w:val="111"/>
        </w:trPr>
        <w:tc>
          <w:tcPr>
            <w:tcW w:w="264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-27940</wp:posOffset>
            </wp:positionV>
            <wp:extent cx="12700" cy="285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-27940</wp:posOffset>
            </wp:positionV>
            <wp:extent cx="12700" cy="28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3171190</wp:posOffset>
            </wp:positionH>
            <wp:positionV relativeFrom="paragraph">
              <wp:posOffset>-27940</wp:posOffset>
            </wp:positionV>
            <wp:extent cx="12700" cy="285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-27940</wp:posOffset>
            </wp:positionV>
            <wp:extent cx="12700" cy="28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Company capitalized interest expense of $0.5 million during the fiscal year ended November 2, 2008.</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GOODWILL AND OTHER INTANGIBLE ASSETS</w:t>
      </w:r>
    </w:p>
    <w:p>
      <w:pPr>
        <w:spacing w:after="0" w:line="200" w:lineRule="exact"/>
        <w:rPr>
          <w:sz w:val="20"/>
          <w:szCs w:val="20"/>
          <w:color w:val="auto"/>
        </w:rPr>
      </w:pPr>
    </w:p>
    <w:p>
      <w:pPr>
        <w:ind w:right="220" w:firstLine="238"/>
        <w:spacing w:after="0" w:line="242" w:lineRule="auto"/>
        <w:rPr>
          <w:sz w:val="20"/>
          <w:szCs w:val="20"/>
          <w:color w:val="auto"/>
        </w:rPr>
      </w:pPr>
      <w:r>
        <w:rPr>
          <w:rFonts w:ascii="Arial" w:cs="Arial" w:eastAsia="Arial" w:hAnsi="Arial"/>
          <w:sz w:val="20"/>
          <w:szCs w:val="20"/>
          <w:color w:val="auto"/>
        </w:rPr>
        <w:t>As discussed in Note 13 to the consolidated financial statements, the Company wrote off all of its $138.5 million of goodwill during the fiscal year ended November 2, 2008. Intangible assets that do not have indefinite lives are amortized based on their estimated useful lives, which range from 3 to 15 years. Intangible asset amortization is forecasted to range from $4.8 million to $6.0 million per year for the next 5 years.</w:t>
      </w:r>
    </w:p>
    <w:p>
      <w:pPr>
        <w:spacing w:after="0" w:line="169" w:lineRule="exact"/>
        <w:rPr>
          <w:sz w:val="20"/>
          <w:szCs w:val="20"/>
          <w:color w:val="auto"/>
        </w:rPr>
      </w:pPr>
    </w:p>
    <w:p>
      <w:pPr>
        <w:ind w:right="320" w:firstLine="249"/>
        <w:spacing w:after="0" w:line="258" w:lineRule="auto"/>
        <w:rPr>
          <w:sz w:val="20"/>
          <w:szCs w:val="20"/>
          <w:color w:val="auto"/>
        </w:rPr>
      </w:pPr>
      <w:r>
        <w:rPr>
          <w:rFonts w:ascii="Arial" w:cs="Arial" w:eastAsia="Arial" w:hAnsi="Arial"/>
          <w:sz w:val="20"/>
          <w:szCs w:val="20"/>
          <w:color w:val="auto"/>
        </w:rPr>
        <w:t>Other intangible assets include assets related to the purchase of additional shares of PKL and the investment to form the MP Mask joint venture. Other intangible assets consist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880" w:type="dxa"/>
            <w:vAlign w:val="bottom"/>
          </w:tcPr>
          <w:p>
            <w:pPr>
              <w:jc w:val="right"/>
              <w:ind w:right="100"/>
              <w:spacing w:after="0"/>
              <w:rPr>
                <w:sz w:val="20"/>
                <w:szCs w:val="20"/>
                <w:color w:val="auto"/>
              </w:rPr>
            </w:pPr>
            <w:r>
              <w:rPr>
                <w:rFonts w:ascii="Arial" w:cs="Arial" w:eastAsia="Arial" w:hAnsi="Arial"/>
                <w:sz w:val="20"/>
                <w:szCs w:val="20"/>
                <w:b w:val="1"/>
                <w:bCs w:val="1"/>
                <w:color w:val="auto"/>
              </w:rPr>
              <w:t>Gross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60"/>
              <w:spacing w:after="0"/>
              <w:rPr>
                <w:sz w:val="20"/>
                <w:szCs w:val="20"/>
                <w:color w:val="auto"/>
              </w:rPr>
            </w:pPr>
            <w:r>
              <w:rPr>
                <w:rFonts w:ascii="Arial" w:cs="Arial" w:eastAsia="Arial" w:hAnsi="Arial"/>
                <w:sz w:val="20"/>
                <w:szCs w:val="20"/>
                <w:b w:val="1"/>
                <w:bCs w:val="1"/>
                <w:color w:val="auto"/>
                <w:w w:val="98"/>
              </w:rPr>
              <w:t>Accumulated</w:t>
            </w:r>
          </w:p>
        </w:tc>
        <w:tc>
          <w:tcPr>
            <w:tcW w:w="140" w:type="dxa"/>
            <w:vAlign w:val="bottom"/>
          </w:tcPr>
          <w:p>
            <w:pPr>
              <w:spacing w:after="0"/>
              <w:rPr>
                <w:sz w:val="19"/>
                <w:szCs w:val="19"/>
                <w:color w:val="auto"/>
              </w:rPr>
            </w:pPr>
          </w:p>
        </w:tc>
        <w:tc>
          <w:tcPr>
            <w:tcW w:w="900" w:type="dxa"/>
            <w:vAlign w:val="bottom"/>
          </w:tcPr>
          <w:p>
            <w:pPr>
              <w:jc w:val="right"/>
              <w:ind w:right="200"/>
              <w:spacing w:after="0"/>
              <w:rPr>
                <w:sz w:val="20"/>
                <w:szCs w:val="20"/>
                <w:color w:val="auto"/>
              </w:rPr>
            </w:pPr>
            <w:r>
              <w:rPr>
                <w:rFonts w:ascii="Arial" w:cs="Arial" w:eastAsia="Arial" w:hAnsi="Arial"/>
                <w:sz w:val="20"/>
                <w:szCs w:val="20"/>
                <w:b w:val="1"/>
                <w:bCs w:val="1"/>
                <w:color w:val="auto"/>
              </w:rPr>
              <w:t>Net</w:t>
            </w:r>
          </w:p>
        </w:tc>
      </w:tr>
      <w:tr>
        <w:trPr>
          <w:trHeight w:val="260"/>
        </w:trPr>
        <w:tc>
          <w:tcPr>
            <w:tcW w:w="3100" w:type="dxa"/>
            <w:vAlign w:val="bottom"/>
          </w:tcPr>
          <w:p>
            <w:pPr>
              <w:spacing w:after="0"/>
              <w:rPr>
                <w:sz w:val="20"/>
                <w:szCs w:val="20"/>
                <w:color w:val="auto"/>
              </w:rPr>
            </w:pPr>
            <w:r>
              <w:rPr>
                <w:rFonts w:ascii="Arial" w:cs="Arial" w:eastAsia="Arial" w:hAnsi="Arial"/>
                <w:sz w:val="20"/>
                <w:szCs w:val="20"/>
                <w:b w:val="1"/>
                <w:bCs w:val="1"/>
                <w:color w:val="auto"/>
              </w:rPr>
              <w:t>As of November 1, 2009</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Amount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60"/>
              <w:spacing w:after="0"/>
              <w:rPr>
                <w:sz w:val="20"/>
                <w:szCs w:val="20"/>
                <w:color w:val="auto"/>
              </w:rPr>
            </w:pPr>
            <w:r>
              <w:rPr>
                <w:rFonts w:ascii="Arial" w:cs="Arial" w:eastAsia="Arial" w:hAnsi="Arial"/>
                <w:sz w:val="20"/>
                <w:szCs w:val="20"/>
                <w:b w:val="1"/>
                <w:bCs w:val="1"/>
                <w:color w:val="auto"/>
              </w:rPr>
              <w:t>Amortization</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Amount</w:t>
            </w:r>
          </w:p>
        </w:tc>
      </w:tr>
      <w:tr>
        <w:trPr>
          <w:trHeight w:val="90"/>
        </w:trPr>
        <w:tc>
          <w:tcPr>
            <w:tcW w:w="3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20"/>
                <w:szCs w:val="20"/>
                <w:color w:val="auto"/>
              </w:rPr>
              <w:t>Technology license agreement</w:t>
            </w:r>
          </w:p>
        </w:tc>
        <w:tc>
          <w:tcPr>
            <w:tcW w:w="880" w:type="dxa"/>
            <w:vAlign w:val="bottom"/>
          </w:tcPr>
          <w:p>
            <w:pPr>
              <w:jc w:val="right"/>
              <w:spacing w:after="0"/>
              <w:rPr>
                <w:sz w:val="20"/>
                <w:szCs w:val="20"/>
                <w:color w:val="auto"/>
              </w:rPr>
            </w:pPr>
            <w:r>
              <w:rPr>
                <w:rFonts w:ascii="Arial" w:cs="Arial" w:eastAsia="Arial" w:hAnsi="Arial"/>
                <w:sz w:val="20"/>
                <w:szCs w:val="20"/>
                <w:color w:val="auto"/>
              </w:rPr>
              <w:t>$59,616</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$13,579</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$46,037</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Customer lists</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7,210</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2,709</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4,501</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Supply agreement</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6,959</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4,907</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2,052</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Patents</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156</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59</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97</w:t>
            </w:r>
          </w:p>
        </w:tc>
      </w:tr>
      <w:tr>
        <w:trPr>
          <w:trHeight w:val="254"/>
        </w:trPr>
        <w:tc>
          <w:tcPr>
            <w:tcW w:w="3100" w:type="dxa"/>
            <w:vAlign w:val="bottom"/>
          </w:tcPr>
          <w:p>
            <w:pPr>
              <w:spacing w:after="0"/>
              <w:rPr>
                <w:sz w:val="20"/>
                <w:szCs w:val="20"/>
                <w:color w:val="auto"/>
              </w:rPr>
            </w:pPr>
            <w:r>
              <w:rPr>
                <w:rFonts w:ascii="Arial" w:cs="Arial" w:eastAsia="Arial" w:hAnsi="Arial"/>
                <w:sz w:val="20"/>
                <w:szCs w:val="20"/>
                <w:color w:val="auto"/>
              </w:rPr>
              <w:t>Software and other</w:t>
            </w:r>
          </w:p>
        </w:tc>
        <w:tc>
          <w:tcPr>
            <w:tcW w:w="880" w:type="dxa"/>
            <w:vAlign w:val="bottom"/>
          </w:tcPr>
          <w:p>
            <w:pPr>
              <w:jc w:val="right"/>
              <w:spacing w:after="0"/>
              <w:rPr>
                <w:sz w:val="20"/>
                <w:szCs w:val="20"/>
                <w:color w:val="auto"/>
              </w:rPr>
            </w:pPr>
            <w:r>
              <w:rPr>
                <w:rFonts w:ascii="Arial" w:cs="Arial" w:eastAsia="Arial" w:hAnsi="Arial"/>
                <w:sz w:val="20"/>
                <w:szCs w:val="20"/>
                <w:color w:val="auto"/>
              </w:rPr>
              <w:t>5,190</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2,823</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2,367</w:t>
            </w:r>
          </w:p>
        </w:tc>
      </w:tr>
      <w:tr>
        <w:trPr>
          <w:trHeight w:val="90"/>
        </w:trPr>
        <w:tc>
          <w:tcPr>
            <w:tcW w:w="3100" w:type="dxa"/>
            <w:vAlign w:val="bottom"/>
          </w:tcPr>
          <w:p>
            <w:pPr>
              <w:spacing w:after="0"/>
              <w:rPr>
                <w:sz w:val="7"/>
                <w:szCs w:val="7"/>
                <w:color w:val="auto"/>
              </w:rPr>
            </w:pPr>
          </w:p>
        </w:tc>
        <w:tc>
          <w:tcPr>
            <w:tcW w:w="8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r>
      <w:tr>
        <w:trPr>
          <w:trHeight w:val="339"/>
        </w:trPr>
        <w:tc>
          <w:tcPr>
            <w:tcW w:w="3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$79,131</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$24,077</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$55,054</w:t>
            </w:r>
          </w:p>
        </w:tc>
      </w:tr>
      <w:tr>
        <w:trPr>
          <w:trHeight w:val="111"/>
        </w:trPr>
        <w:tc>
          <w:tcPr>
            <w:tcW w:w="310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r>
      <w:tr>
        <w:trPr>
          <w:trHeight w:val="555"/>
        </w:trPr>
        <w:tc>
          <w:tcPr>
            <w:tcW w:w="3100" w:type="dxa"/>
            <w:vAlign w:val="bottom"/>
          </w:tcPr>
          <w:p>
            <w:pPr>
              <w:spacing w:after="0"/>
              <w:rPr>
                <w:sz w:val="20"/>
                <w:szCs w:val="20"/>
                <w:color w:val="auto"/>
              </w:rPr>
            </w:pPr>
            <w:r>
              <w:rPr>
                <w:rFonts w:ascii="Arial" w:cs="Arial" w:eastAsia="Arial" w:hAnsi="Arial"/>
                <w:sz w:val="20"/>
                <w:szCs w:val="20"/>
                <w:b w:val="1"/>
                <w:bCs w:val="1"/>
                <w:color w:val="auto"/>
              </w:rPr>
              <w:t>As of November 2, 2008</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3100" w:type="dxa"/>
            <w:vAlign w:val="bottom"/>
          </w:tcPr>
          <w:p>
            <w:pPr>
              <w:spacing w:after="0"/>
              <w:rPr>
                <w:sz w:val="20"/>
                <w:szCs w:val="20"/>
                <w:color w:val="auto"/>
              </w:rPr>
            </w:pPr>
            <w:r>
              <w:rPr>
                <w:rFonts w:ascii="Arial" w:cs="Arial" w:eastAsia="Arial" w:hAnsi="Arial"/>
                <w:sz w:val="20"/>
                <w:szCs w:val="20"/>
                <w:color w:val="auto"/>
              </w:rPr>
              <w:t>Technology license agreement</w:t>
            </w:r>
          </w:p>
        </w:tc>
        <w:tc>
          <w:tcPr>
            <w:tcW w:w="880" w:type="dxa"/>
            <w:vAlign w:val="bottom"/>
          </w:tcPr>
          <w:p>
            <w:pPr>
              <w:jc w:val="right"/>
              <w:spacing w:after="0"/>
              <w:rPr>
                <w:sz w:val="20"/>
                <w:szCs w:val="20"/>
                <w:color w:val="auto"/>
              </w:rPr>
            </w:pPr>
            <w:r>
              <w:rPr>
                <w:rFonts w:ascii="Arial" w:cs="Arial" w:eastAsia="Arial" w:hAnsi="Arial"/>
                <w:sz w:val="20"/>
                <w:szCs w:val="20"/>
                <w:color w:val="auto"/>
              </w:rPr>
              <w:t>$59,616</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$ 9,605</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$50,011</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Customer lists</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7,210</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1,490</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5,720</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Supply agreement</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6,959</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4,016</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2,943</w:t>
            </w:r>
          </w:p>
        </w:tc>
      </w:tr>
      <w:tr>
        <w:trPr>
          <w:trHeight w:val="224"/>
        </w:trPr>
        <w:tc>
          <w:tcPr>
            <w:tcW w:w="3100" w:type="dxa"/>
            <w:vAlign w:val="bottom"/>
          </w:tcPr>
          <w:p>
            <w:pPr>
              <w:spacing w:after="0" w:line="225" w:lineRule="exact"/>
              <w:rPr>
                <w:sz w:val="20"/>
                <w:szCs w:val="20"/>
                <w:color w:val="auto"/>
              </w:rPr>
            </w:pPr>
            <w:r>
              <w:rPr>
                <w:rFonts w:ascii="Arial" w:cs="Arial" w:eastAsia="Arial" w:hAnsi="Arial"/>
                <w:sz w:val="20"/>
                <w:szCs w:val="20"/>
                <w:color w:val="auto"/>
              </w:rPr>
              <w:t>Patents</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156</w:t>
            </w:r>
          </w:p>
        </w:tc>
        <w:tc>
          <w:tcPr>
            <w:tcW w:w="15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32</w:t>
            </w:r>
          </w:p>
        </w:tc>
        <w:tc>
          <w:tcPr>
            <w:tcW w:w="10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124</w:t>
            </w:r>
          </w:p>
        </w:tc>
      </w:tr>
      <w:tr>
        <w:trPr>
          <w:trHeight w:val="254"/>
        </w:trPr>
        <w:tc>
          <w:tcPr>
            <w:tcW w:w="3100" w:type="dxa"/>
            <w:vAlign w:val="bottom"/>
          </w:tcPr>
          <w:p>
            <w:pPr>
              <w:spacing w:after="0"/>
              <w:rPr>
                <w:sz w:val="20"/>
                <w:szCs w:val="20"/>
                <w:color w:val="auto"/>
              </w:rPr>
            </w:pPr>
            <w:r>
              <w:rPr>
                <w:rFonts w:ascii="Arial" w:cs="Arial" w:eastAsia="Arial" w:hAnsi="Arial"/>
                <w:sz w:val="20"/>
                <w:szCs w:val="20"/>
                <w:color w:val="auto"/>
              </w:rPr>
              <w:t>Software and other</w:t>
            </w:r>
          </w:p>
        </w:tc>
        <w:tc>
          <w:tcPr>
            <w:tcW w:w="880" w:type="dxa"/>
            <w:vAlign w:val="bottom"/>
          </w:tcPr>
          <w:p>
            <w:pPr>
              <w:jc w:val="right"/>
              <w:spacing w:after="0"/>
              <w:rPr>
                <w:sz w:val="20"/>
                <w:szCs w:val="20"/>
                <w:color w:val="auto"/>
              </w:rPr>
            </w:pPr>
            <w:r>
              <w:rPr>
                <w:rFonts w:ascii="Arial" w:cs="Arial" w:eastAsia="Arial" w:hAnsi="Arial"/>
                <w:sz w:val="20"/>
                <w:szCs w:val="20"/>
                <w:color w:val="auto"/>
              </w:rPr>
              <w:t>5,569</w:t>
            </w:r>
          </w:p>
        </w:tc>
        <w:tc>
          <w:tcPr>
            <w:tcW w:w="1580" w:type="dxa"/>
            <w:vAlign w:val="bottom"/>
            <w:gridSpan w:val="3"/>
          </w:tcPr>
          <w:p>
            <w:pPr>
              <w:jc w:val="right"/>
              <w:spacing w:after="0"/>
              <w:rPr>
                <w:sz w:val="20"/>
                <w:szCs w:val="20"/>
                <w:color w:val="auto"/>
              </w:rPr>
            </w:pPr>
            <w:r>
              <w:rPr>
                <w:rFonts w:ascii="Arial" w:cs="Arial" w:eastAsia="Arial" w:hAnsi="Arial"/>
                <w:sz w:val="20"/>
                <w:szCs w:val="20"/>
                <w:color w:val="auto"/>
              </w:rPr>
              <w:t>1,981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3,588</w:t>
            </w:r>
          </w:p>
        </w:tc>
      </w:tr>
      <w:tr>
        <w:trPr>
          <w:trHeight w:val="90"/>
        </w:trPr>
        <w:tc>
          <w:tcPr>
            <w:tcW w:w="3100" w:type="dxa"/>
            <w:vAlign w:val="bottom"/>
          </w:tcPr>
          <w:p>
            <w:pPr>
              <w:spacing w:after="0"/>
              <w:rPr>
                <w:sz w:val="7"/>
                <w:szCs w:val="7"/>
                <w:color w:val="auto"/>
              </w:rPr>
            </w:pPr>
          </w:p>
        </w:tc>
        <w:tc>
          <w:tcPr>
            <w:tcW w:w="8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-1299845</wp:posOffset>
            </wp:positionV>
            <wp:extent cx="12700" cy="285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-1299845</wp:posOffset>
            </wp:positionV>
            <wp:extent cx="12700" cy="28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-1299845</wp:posOffset>
            </wp:positionV>
            <wp:extent cx="12700" cy="28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-1299845</wp:posOffset>
            </wp:positionV>
            <wp:extent cx="12700" cy="28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-1299845</wp:posOffset>
            </wp:positionV>
            <wp:extent cx="12700" cy="285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-1299845</wp:posOffset>
            </wp:positionV>
            <wp:extent cx="12700" cy="28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380"/>
          </w:cols>
          <w:pgMar w:left="240" w:top="115" w:right="279" w:bottom="0" w:gutter="0" w:footer="0" w:header="0"/>
        </w:sectPr>
      </w:pPr>
    </w:p>
    <w:bookmarkStart w:id="34" w:name="page35"/>
    <w:bookmarkEnd w:id="34"/>
    <w:p>
      <w:pPr>
        <w:ind w:left="3320"/>
        <w:spacing w:after="0"/>
        <w:tabs>
          <w:tab w:leader="none" w:pos="4860" w:val="left"/>
          <w:tab w:leader="none" w:pos="5920" w:val="left"/>
        </w:tabs>
        <w:rPr>
          <w:sz w:val="20"/>
          <w:szCs w:val="20"/>
          <w:color w:val="auto"/>
        </w:rPr>
      </w:pPr>
      <w:r>
        <w:rPr>
          <w:rFonts w:ascii="Arial" w:cs="Arial" w:eastAsia="Arial" w:hAnsi="Arial"/>
          <w:sz w:val="20"/>
          <w:szCs w:val="20"/>
          <w:color w:val="auto"/>
        </w:rPr>
        <w:t>$79,510</w:t>
      </w:r>
      <w:r>
        <w:rPr>
          <w:sz w:val="20"/>
          <w:szCs w:val="20"/>
          <w:color w:val="auto"/>
        </w:rPr>
        <w:tab/>
      </w:r>
      <w:r>
        <w:rPr>
          <w:rFonts w:ascii="Arial" w:cs="Arial" w:eastAsia="Arial" w:hAnsi="Arial"/>
          <w:sz w:val="20"/>
          <w:szCs w:val="20"/>
          <w:color w:val="auto"/>
        </w:rPr>
        <w:t>$17,124</w:t>
      </w:r>
      <w:r>
        <w:rPr>
          <w:sz w:val="20"/>
          <w:szCs w:val="20"/>
          <w:color w:val="auto"/>
        </w:rPr>
        <w:tab/>
      </w:r>
      <w:r>
        <w:rPr>
          <w:rFonts w:ascii="Arial" w:cs="Arial" w:eastAsia="Arial" w:hAnsi="Arial"/>
          <w:sz w:val="17"/>
          <w:szCs w:val="17"/>
          <w:color w:val="auto"/>
        </w:rPr>
        <w:t>$62,386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69850</wp:posOffset>
            </wp:positionV>
            <wp:extent cx="2228850" cy="28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288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JOINT VENTURE, TECHNOLOGY LICENSE AND OTHER</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AGREEMENTS WITH MICRON TECHNOLOGY, INC.</w:t>
      </w:r>
    </w:p>
    <w:p>
      <w:pPr>
        <w:spacing w:after="0" w:line="178" w:lineRule="exact"/>
        <w:rPr>
          <w:sz w:val="20"/>
          <w:szCs w:val="20"/>
          <w:color w:val="auto"/>
        </w:rPr>
      </w:pPr>
    </w:p>
    <w:p>
      <w:pPr>
        <w:ind w:right="200" w:firstLine="249"/>
        <w:spacing w:after="0" w:line="238" w:lineRule="auto"/>
        <w:rPr>
          <w:sz w:val="20"/>
          <w:szCs w:val="20"/>
          <w:color w:val="auto"/>
        </w:rPr>
      </w:pPr>
      <w:r>
        <w:rPr>
          <w:rFonts w:ascii="Arial" w:cs="Arial" w:eastAsia="Arial" w:hAnsi="Arial"/>
          <w:sz w:val="20"/>
          <w:szCs w:val="20"/>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 Of the total $135 million investment, $120 million was paid to Micron on May 6, 2006 and, as of that date, the remaining $15 million was a non-cash financing activity, which was subsequently paid in two installments of $7.5 million each in May 2007 and June 2008.</w:t>
      </w:r>
    </w:p>
    <w:p>
      <w:pPr>
        <w:spacing w:after="0" w:line="173" w:lineRule="exact"/>
        <w:rPr>
          <w:sz w:val="20"/>
          <w:szCs w:val="20"/>
          <w:color w:val="auto"/>
        </w:rPr>
      </w:pPr>
    </w:p>
    <w:p>
      <w:pPr>
        <w:ind w:right="20" w:firstLine="246"/>
        <w:spacing w:after="0" w:line="252" w:lineRule="auto"/>
        <w:rPr>
          <w:sz w:val="20"/>
          <w:szCs w:val="20"/>
          <w:color w:val="auto"/>
        </w:rPr>
      </w:pPr>
      <w:r>
        <w:rPr>
          <w:rFonts w:ascii="Arial" w:cs="Arial" w:eastAsia="Arial" w:hAnsi="Arial"/>
          <w:sz w:val="19"/>
          <w:szCs w:val="19"/>
          <w:color w:val="auto"/>
        </w:rPr>
        <w:t>This joint venture is a variable interest entity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was defined in FIN 46(R) (primarily codified under ASC 810)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164" w:lineRule="exact"/>
        <w:rPr>
          <w:sz w:val="20"/>
          <w:szCs w:val="20"/>
          <w:color w:val="auto"/>
        </w:rPr>
      </w:pPr>
    </w:p>
    <w:p>
      <w:pPr>
        <w:jc w:val="both"/>
        <w:ind w:right="140" w:firstLine="249"/>
        <w:spacing w:after="0" w:line="242" w:lineRule="auto"/>
        <w:rPr>
          <w:sz w:val="20"/>
          <w:szCs w:val="20"/>
          <w:color w:val="auto"/>
        </w:rPr>
      </w:pPr>
      <w:r>
        <w:rPr>
          <w:rFonts w:ascii="Arial" w:cs="Arial" w:eastAsia="Arial" w:hAnsi="Arial"/>
          <w:sz w:val="20"/>
          <w:szCs w:val="20"/>
          <w:color w:val="auto"/>
        </w:rPr>
        <w:t>MP Mask is governed by a Board of Managers, appointed by Micron and the Company. Since MP Mask's inception, Micron, as a result of its majority ownership, has appointed the majority of the managers. The number of managers appointed by each party is subject to change as ownership interests change. Under the Operating Agreement relating to the MP Mask joint venture, through May 5, 2010, the Company may be required to make additional capital contributions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the joint venture up to the maximum amount defined in the Operating Agreement. In the event that the Board of Managers determines that additional funding is required, the joint venture will first pursue its own financing and, if it is unable to obtain its own financing, it may request additional capital contributions from the Company. Should the Company choose not to make a requested contribution to the joint venture, its ownership interest may be reduced. The Company received $5 million distributions from MP Mask in both the years ended November 1, 2009 and November 2, 2008. The Company invested $2.8 million in MP Mask during the year ended November 2, 2008, which was used for working capital and capital expenditure purposes.</w:t>
      </w:r>
    </w:p>
    <w:p>
      <w:pPr>
        <w:spacing w:after="0" w:line="171" w:lineRule="exact"/>
        <w:rPr>
          <w:sz w:val="20"/>
          <w:szCs w:val="20"/>
          <w:color w:val="auto"/>
        </w:rPr>
      </w:pPr>
    </w:p>
    <w:p>
      <w:pPr>
        <w:ind w:right="160" w:firstLine="246"/>
        <w:spacing w:after="0" w:line="246" w:lineRule="auto"/>
        <w:rPr>
          <w:sz w:val="20"/>
          <w:szCs w:val="20"/>
          <w:color w:val="auto"/>
        </w:rPr>
      </w:pPr>
      <w:r>
        <w:rPr>
          <w:rFonts w:ascii="Arial" w:cs="Arial" w:eastAsia="Arial" w:hAnsi="Arial"/>
          <w:sz w:val="20"/>
          <w:szCs w:val="20"/>
          <w:color w:val="auto"/>
        </w:rPr>
        <w:t>The Company's investment in the VIE, which represents its maximum exposure to loss, was $60.9 million and $65.7 million at November 1, 2009 and November 2, 2008, respectively. These amounts are reported in the Company's condensed consolidated balance sheets as "Investment in joint venture".</w:t>
      </w:r>
    </w:p>
    <w:p>
      <w:pPr>
        <w:spacing w:after="0" w:line="165" w:lineRule="exact"/>
        <w:rPr>
          <w:sz w:val="20"/>
          <w:szCs w:val="20"/>
          <w:color w:val="auto"/>
        </w:rPr>
      </w:pPr>
    </w:p>
    <w:p>
      <w:pPr>
        <w:ind w:right="220" w:firstLine="246"/>
        <w:spacing w:after="0" w:line="246" w:lineRule="auto"/>
        <w:rPr>
          <w:sz w:val="20"/>
          <w:szCs w:val="20"/>
          <w:color w:val="auto"/>
        </w:rPr>
      </w:pPr>
      <w:r>
        <w:rPr>
          <w:rFonts w:ascii="Arial" w:cs="Arial" w:eastAsia="Arial" w:hAnsi="Arial"/>
          <w:sz w:val="20"/>
          <w:szCs w:val="20"/>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w:t>
      </w:r>
    </w:p>
    <w:p>
      <w:pPr>
        <w:spacing w:after="0" w:line="165" w:lineRule="exact"/>
        <w:rPr>
          <w:sz w:val="20"/>
          <w:szCs w:val="20"/>
          <w:color w:val="auto"/>
        </w:rPr>
      </w:pPr>
    </w:p>
    <w:p>
      <w:pPr>
        <w:ind w:right="80" w:firstLine="238"/>
        <w:spacing w:after="0" w:line="237" w:lineRule="auto"/>
        <w:rPr>
          <w:sz w:val="20"/>
          <w:szCs w:val="20"/>
          <w:color w:val="auto"/>
        </w:rPr>
      </w:pPr>
      <w:r>
        <w:rPr>
          <w:rFonts w:ascii="Arial" w:cs="Arial" w:eastAsia="Arial" w:hAnsi="Arial"/>
          <w:sz w:val="20"/>
          <w:szCs w:val="20"/>
          <w:color w:val="auto"/>
        </w:rPr>
        <w:t>As of November 1, 2009, the Company owed MP Mask $4.3 million and had a receivable from Micron of $3.8 million, both primarily related to the supply agreements. The Company, in 2009, recorded $1.8 million of commission revenue earned under the supply agreements it has with Micron and MP Mask. Amortization of $0.9 million of the supply agreement intangible asset resulted in net earnings related to the supply agreements of $0.9 million in 2009. The recorded commission revenue of $1.8 million represents the excess of $37.9 million in orders received from Micron over the Company's cost of $36.1 million to fulfill the orders through MP Mask. The Company, for certain sales during 2009, also recorded cost of sales in the amount of $4.2 million for photomasks produced by MP Mask for the Company's customers and, incurred outsourcing expenses of $2.0 million from MP Mask for research and development activities and other goods and services purchased by the Company.</w:t>
      </w:r>
    </w:p>
    <w:p>
      <w:pPr>
        <w:spacing w:after="0" w:line="177" w:lineRule="exact"/>
        <w:rPr>
          <w:sz w:val="20"/>
          <w:szCs w:val="20"/>
          <w:color w:val="auto"/>
        </w:rPr>
      </w:pPr>
    </w:p>
    <w:p>
      <w:pPr>
        <w:ind w:right="100" w:firstLine="238"/>
        <w:spacing w:after="0" w:line="267" w:lineRule="auto"/>
        <w:rPr>
          <w:sz w:val="20"/>
          <w:szCs w:val="20"/>
          <w:color w:val="auto"/>
        </w:rPr>
      </w:pPr>
      <w:r>
        <w:rPr>
          <w:rFonts w:ascii="Arial" w:cs="Arial" w:eastAsia="Arial" w:hAnsi="Arial"/>
          <w:sz w:val="18"/>
          <w:szCs w:val="18"/>
          <w:color w:val="auto"/>
        </w:rPr>
        <w:t>As of November 2, 2008, the Company owed MP Mask $3.5 million and had a receivable from Micron of $3.8 million, both primarily related to the supply agreements. The Company, in 2008, recorded $2.7 million of commission revenue earned under the supply agreements it has with Micron and MP Mask. Amortization of $1.5 million of the supply agreement intangible asset resulted in net earnings related to the supply agreements of $1.2 million in 2008. The recorded commission revenue of $2.7 million represents the excess of $44.8 million in orders received from Micron over the Company's cost of $42.1 million to fulfill the orders through MP Mask. For certain sales during 2008, the Company also recorded cost of sales in the amount of $3.2 million for photomasks produced by MP Mask for the Company's customers and incurred outsourcing expenses of $1.7 million from MP Mask for research and development activities purchased by the Company. The Company also purchased excess equipment from MP Mask for use in its U.S. nanoFab in the amount of $4.1 million in 2008.</w:t>
      </w:r>
    </w:p>
    <w:p>
      <w:pPr>
        <w:spacing w:after="0" w:line="152" w:lineRule="exact"/>
        <w:rPr>
          <w:sz w:val="20"/>
          <w:szCs w:val="20"/>
          <w:color w:val="auto"/>
        </w:rPr>
      </w:pPr>
    </w:p>
    <w:p>
      <w:pPr>
        <w:ind w:right="20" w:firstLine="249"/>
        <w:spacing w:after="0" w:line="269" w:lineRule="auto"/>
        <w:rPr>
          <w:sz w:val="20"/>
          <w:szCs w:val="20"/>
          <w:color w:val="auto"/>
        </w:rPr>
      </w:pPr>
      <w:r>
        <w:rPr>
          <w:rFonts w:ascii="Arial" w:cs="Arial" w:eastAsia="Arial" w:hAnsi="Arial"/>
          <w:sz w:val="18"/>
          <w:szCs w:val="18"/>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w:t>
      </w:r>
    </w:p>
    <w:p>
      <w:pPr>
        <w:sectPr>
          <w:pgSz w:w="11900" w:h="16838" w:orient="portrait"/>
          <w:cols w:equalWidth="0" w:num="1">
            <w:col w:w="11420"/>
          </w:cols>
          <w:pgMar w:left="240" w:top="120" w:right="239" w:bottom="0" w:gutter="0" w:footer="0" w:header="0"/>
        </w:sectPr>
      </w:pPr>
    </w:p>
    <w:bookmarkStart w:id="35" w:name="page36"/>
    <w:bookmarkEnd w:id="35"/>
    <w:p>
      <w:pPr>
        <w:ind w:right="260"/>
        <w:spacing w:after="0" w:line="259" w:lineRule="auto"/>
        <w:rPr>
          <w:sz w:val="20"/>
          <w:szCs w:val="20"/>
          <w:color w:val="auto"/>
        </w:rPr>
      </w:pPr>
      <w:r>
        <w:rPr>
          <w:rFonts w:ascii="Arial" w:cs="Arial" w:eastAsia="Arial" w:hAnsi="Arial"/>
          <w:sz w:val="20"/>
          <w:szCs w:val="20"/>
          <w:color w:val="auto"/>
        </w:rPr>
        <w:t>lease will be accounted for as an operating lease. The U. S. nanoFab began production in the second quarter of 2008 and, through the end of fiscal 2009, the Company's total capital investment in the facility is approximately $157 million.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40" w:type="dxa"/>
            <w:vAlign w:val="bottom"/>
          </w:tcPr>
          <w:p>
            <w:pPr>
              <w:spacing w:after="0"/>
              <w:rPr>
                <w:sz w:val="20"/>
                <w:szCs w:val="20"/>
                <w:color w:val="auto"/>
              </w:rPr>
            </w:pPr>
            <w:r>
              <w:rPr>
                <w:rFonts w:ascii="Arial" w:cs="Arial" w:eastAsia="Arial" w:hAnsi="Arial"/>
                <w:sz w:val="20"/>
                <w:szCs w:val="20"/>
                <w:b w:val="1"/>
                <w:bCs w:val="1"/>
                <w:color w:val="auto"/>
              </w:rPr>
              <w:t>NOTE 5 - ACCRUED LIABILITIES</w:t>
            </w: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424"/>
        </w:trPr>
        <w:tc>
          <w:tcPr>
            <w:tcW w:w="3840" w:type="dxa"/>
            <w:vAlign w:val="bottom"/>
          </w:tcPr>
          <w:p>
            <w:pPr>
              <w:ind w:left="240"/>
              <w:spacing w:after="0"/>
              <w:rPr>
                <w:sz w:val="20"/>
                <w:szCs w:val="20"/>
                <w:color w:val="auto"/>
              </w:rPr>
            </w:pPr>
            <w:r>
              <w:rPr>
                <w:rFonts w:ascii="Arial" w:cs="Arial" w:eastAsia="Arial" w:hAnsi="Arial"/>
                <w:sz w:val="20"/>
                <w:szCs w:val="20"/>
                <w:color w:val="auto"/>
                <w:w w:val="97"/>
              </w:rPr>
              <w:t>Accrued liabilities consist of the following:</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88"/>
        </w:trPr>
        <w:tc>
          <w:tcPr>
            <w:tcW w:w="3840" w:type="dxa"/>
            <w:vAlign w:val="bottom"/>
          </w:tcPr>
          <w:p>
            <w:pPr>
              <w:spacing w:after="0"/>
              <w:rPr>
                <w:sz w:val="24"/>
                <w:szCs w:val="24"/>
                <w:color w:val="auto"/>
              </w:rPr>
            </w:pPr>
          </w:p>
        </w:tc>
        <w:tc>
          <w:tcPr>
            <w:tcW w:w="144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2,</w:t>
            </w:r>
          </w:p>
        </w:tc>
      </w:tr>
      <w:tr>
        <w:trPr>
          <w:trHeight w:val="260"/>
        </w:trPr>
        <w:tc>
          <w:tcPr>
            <w:tcW w:w="3840" w:type="dxa"/>
            <w:vAlign w:val="bottom"/>
          </w:tcPr>
          <w:p>
            <w:pPr>
              <w:spacing w:after="0"/>
              <w:rPr>
                <w:sz w:val="22"/>
                <w:szCs w:val="22"/>
                <w:color w:val="auto"/>
              </w:rPr>
            </w:pPr>
          </w:p>
        </w:tc>
        <w:tc>
          <w:tcPr>
            <w:tcW w:w="1440" w:type="dxa"/>
            <w:vAlign w:val="bottom"/>
          </w:tcPr>
          <w:p>
            <w:pPr>
              <w:jc w:val="right"/>
              <w:ind w:right="440"/>
              <w:spacing w:after="0"/>
              <w:rPr>
                <w:sz w:val="20"/>
                <w:szCs w:val="20"/>
                <w:color w:val="auto"/>
              </w:rPr>
            </w:pPr>
            <w:r>
              <w:rPr>
                <w:rFonts w:ascii="Arial" w:cs="Arial" w:eastAsia="Arial" w:hAnsi="Arial"/>
                <w:sz w:val="20"/>
                <w:szCs w:val="20"/>
                <w:b w:val="1"/>
                <w:bCs w:val="1"/>
                <w:color w:val="auto"/>
              </w:rPr>
              <w:t>2009</w:t>
            </w:r>
          </w:p>
        </w:tc>
        <w:tc>
          <w:tcPr>
            <w:tcW w:w="162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auto"/>
              </w:rPr>
              <w:t>2008</w:t>
            </w:r>
          </w:p>
        </w:tc>
      </w:tr>
      <w:tr>
        <w:trPr>
          <w:trHeight w:val="90"/>
        </w:trPr>
        <w:tc>
          <w:tcPr>
            <w:tcW w:w="384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534"/>
        </w:trPr>
        <w:tc>
          <w:tcPr>
            <w:tcW w:w="3840" w:type="dxa"/>
            <w:vAlign w:val="bottom"/>
          </w:tcPr>
          <w:p>
            <w:pPr>
              <w:spacing w:after="0"/>
              <w:rPr>
                <w:sz w:val="20"/>
                <w:szCs w:val="20"/>
                <w:color w:val="auto"/>
              </w:rPr>
            </w:pPr>
            <w:r>
              <w:rPr>
                <w:rFonts w:ascii="Arial" w:cs="Arial" w:eastAsia="Arial" w:hAnsi="Arial"/>
                <w:sz w:val="20"/>
                <w:szCs w:val="20"/>
                <w:color w:val="auto"/>
              </w:rPr>
              <w:t>Income taxes</w:t>
            </w:r>
          </w:p>
        </w:tc>
        <w:tc>
          <w:tcPr>
            <w:tcW w:w="1440" w:type="dxa"/>
            <w:vAlign w:val="bottom"/>
          </w:tcPr>
          <w:p>
            <w:pPr>
              <w:jc w:val="right"/>
              <w:spacing w:after="0"/>
              <w:rPr>
                <w:sz w:val="20"/>
                <w:szCs w:val="20"/>
                <w:color w:val="auto"/>
              </w:rPr>
            </w:pPr>
            <w:r>
              <w:rPr>
                <w:rFonts w:ascii="Arial" w:cs="Arial" w:eastAsia="Arial" w:hAnsi="Arial"/>
                <w:sz w:val="20"/>
                <w:szCs w:val="20"/>
                <w:color w:val="auto"/>
              </w:rPr>
              <w:t>$ 5,808</w:t>
            </w:r>
          </w:p>
        </w:tc>
        <w:tc>
          <w:tcPr>
            <w:tcW w:w="1620" w:type="dxa"/>
            <w:vAlign w:val="bottom"/>
            <w:gridSpan w:val="3"/>
          </w:tcPr>
          <w:p>
            <w:pPr>
              <w:jc w:val="right"/>
              <w:spacing w:after="0"/>
              <w:rPr>
                <w:sz w:val="20"/>
                <w:szCs w:val="20"/>
                <w:color w:val="auto"/>
              </w:rPr>
            </w:pPr>
            <w:r>
              <w:rPr>
                <w:rFonts w:ascii="Arial" w:cs="Arial" w:eastAsia="Arial" w:hAnsi="Arial"/>
                <w:sz w:val="20"/>
                <w:szCs w:val="20"/>
                <w:color w:val="auto"/>
              </w:rPr>
              <w:t>$ 8,586</w:t>
            </w:r>
          </w:p>
        </w:tc>
      </w:tr>
      <w:tr>
        <w:trPr>
          <w:trHeight w:val="224"/>
        </w:trPr>
        <w:tc>
          <w:tcPr>
            <w:tcW w:w="3840" w:type="dxa"/>
            <w:vAlign w:val="bottom"/>
          </w:tcPr>
          <w:p>
            <w:pPr>
              <w:spacing w:after="0" w:line="225" w:lineRule="exact"/>
              <w:rPr>
                <w:sz w:val="20"/>
                <w:szCs w:val="20"/>
                <w:color w:val="auto"/>
              </w:rPr>
            </w:pPr>
            <w:r>
              <w:rPr>
                <w:rFonts w:ascii="Arial" w:cs="Arial" w:eastAsia="Arial" w:hAnsi="Arial"/>
                <w:sz w:val="20"/>
                <w:szCs w:val="20"/>
                <w:color w:val="auto"/>
              </w:rPr>
              <w:t>Salaries, wages and related benefits</w:t>
            </w:r>
          </w:p>
        </w:tc>
        <w:tc>
          <w:tcPr>
            <w:tcW w:w="1440" w:type="dxa"/>
            <w:vAlign w:val="bottom"/>
          </w:tcPr>
          <w:p>
            <w:pPr>
              <w:jc w:val="right"/>
              <w:spacing w:after="0" w:line="225" w:lineRule="exact"/>
              <w:rPr>
                <w:sz w:val="20"/>
                <w:szCs w:val="20"/>
                <w:color w:val="auto"/>
              </w:rPr>
            </w:pPr>
            <w:r>
              <w:rPr>
                <w:rFonts w:ascii="Arial" w:cs="Arial" w:eastAsia="Arial" w:hAnsi="Arial"/>
                <w:sz w:val="20"/>
                <w:szCs w:val="20"/>
                <w:color w:val="auto"/>
              </w:rPr>
              <w:t>4,728</w:t>
            </w:r>
          </w:p>
        </w:tc>
        <w:tc>
          <w:tcPr>
            <w:tcW w:w="16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5,967</w:t>
            </w:r>
          </w:p>
        </w:tc>
      </w:tr>
      <w:tr>
        <w:trPr>
          <w:trHeight w:val="224"/>
        </w:trPr>
        <w:tc>
          <w:tcPr>
            <w:tcW w:w="3840" w:type="dxa"/>
            <w:vAlign w:val="bottom"/>
          </w:tcPr>
          <w:p>
            <w:pPr>
              <w:spacing w:after="0" w:line="225" w:lineRule="exact"/>
              <w:rPr>
                <w:sz w:val="20"/>
                <w:szCs w:val="20"/>
                <w:color w:val="auto"/>
              </w:rPr>
            </w:pPr>
            <w:r>
              <w:rPr>
                <w:rFonts w:ascii="Arial" w:cs="Arial" w:eastAsia="Arial" w:hAnsi="Arial"/>
                <w:sz w:val="20"/>
                <w:szCs w:val="20"/>
                <w:color w:val="auto"/>
              </w:rPr>
              <w:t>Restructuring</w:t>
            </w:r>
          </w:p>
        </w:tc>
        <w:tc>
          <w:tcPr>
            <w:tcW w:w="1440" w:type="dxa"/>
            <w:vAlign w:val="bottom"/>
          </w:tcPr>
          <w:p>
            <w:pPr>
              <w:jc w:val="right"/>
              <w:spacing w:after="0" w:line="225" w:lineRule="exact"/>
              <w:rPr>
                <w:sz w:val="20"/>
                <w:szCs w:val="20"/>
                <w:color w:val="auto"/>
              </w:rPr>
            </w:pPr>
            <w:r>
              <w:rPr>
                <w:rFonts w:ascii="Arial" w:cs="Arial" w:eastAsia="Arial" w:hAnsi="Arial"/>
                <w:sz w:val="20"/>
                <w:szCs w:val="20"/>
                <w:color w:val="auto"/>
              </w:rPr>
              <w:t>414</w:t>
            </w:r>
          </w:p>
        </w:tc>
        <w:tc>
          <w:tcPr>
            <w:tcW w:w="16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1,134</w:t>
            </w:r>
          </w:p>
        </w:tc>
      </w:tr>
      <w:tr>
        <w:trPr>
          <w:trHeight w:val="224"/>
        </w:trPr>
        <w:tc>
          <w:tcPr>
            <w:tcW w:w="3840" w:type="dxa"/>
            <w:vAlign w:val="bottom"/>
          </w:tcPr>
          <w:p>
            <w:pPr>
              <w:spacing w:after="0" w:line="225" w:lineRule="exact"/>
              <w:rPr>
                <w:sz w:val="20"/>
                <w:szCs w:val="20"/>
                <w:color w:val="auto"/>
              </w:rPr>
            </w:pPr>
            <w:r>
              <w:rPr>
                <w:rFonts w:ascii="Arial" w:cs="Arial" w:eastAsia="Arial" w:hAnsi="Arial"/>
                <w:sz w:val="20"/>
                <w:szCs w:val="20"/>
                <w:color w:val="auto"/>
              </w:rPr>
              <w:t>Interest</w:t>
            </w:r>
          </w:p>
        </w:tc>
        <w:tc>
          <w:tcPr>
            <w:tcW w:w="1440" w:type="dxa"/>
            <w:vAlign w:val="bottom"/>
          </w:tcPr>
          <w:p>
            <w:pPr>
              <w:jc w:val="right"/>
              <w:spacing w:after="0" w:line="225" w:lineRule="exact"/>
              <w:rPr>
                <w:sz w:val="20"/>
                <w:szCs w:val="20"/>
                <w:color w:val="auto"/>
              </w:rPr>
            </w:pPr>
            <w:r>
              <w:rPr>
                <w:rFonts w:ascii="Arial" w:cs="Arial" w:eastAsia="Arial" w:hAnsi="Arial"/>
                <w:sz w:val="20"/>
                <w:szCs w:val="20"/>
                <w:color w:val="auto"/>
              </w:rPr>
              <w:t>1,113</w:t>
            </w:r>
          </w:p>
        </w:tc>
        <w:tc>
          <w:tcPr>
            <w:tcW w:w="16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984</w:t>
            </w:r>
          </w:p>
        </w:tc>
      </w:tr>
      <w:tr>
        <w:trPr>
          <w:trHeight w:val="224"/>
        </w:trPr>
        <w:tc>
          <w:tcPr>
            <w:tcW w:w="3840" w:type="dxa"/>
            <w:vAlign w:val="bottom"/>
          </w:tcPr>
          <w:p>
            <w:pPr>
              <w:spacing w:after="0" w:line="225" w:lineRule="exact"/>
              <w:rPr>
                <w:sz w:val="20"/>
                <w:szCs w:val="20"/>
                <w:color w:val="auto"/>
              </w:rPr>
            </w:pPr>
            <w:r>
              <w:rPr>
                <w:rFonts w:ascii="Arial" w:cs="Arial" w:eastAsia="Arial" w:hAnsi="Arial"/>
                <w:sz w:val="20"/>
                <w:szCs w:val="20"/>
                <w:color w:val="auto"/>
              </w:rPr>
              <w:t>VAT and other taxes</w:t>
            </w:r>
          </w:p>
        </w:tc>
        <w:tc>
          <w:tcPr>
            <w:tcW w:w="1440" w:type="dxa"/>
            <w:vAlign w:val="bottom"/>
          </w:tcPr>
          <w:p>
            <w:pPr>
              <w:jc w:val="right"/>
              <w:spacing w:after="0" w:line="225" w:lineRule="exact"/>
              <w:rPr>
                <w:sz w:val="20"/>
                <w:szCs w:val="20"/>
                <w:color w:val="auto"/>
              </w:rPr>
            </w:pPr>
            <w:r>
              <w:rPr>
                <w:rFonts w:ascii="Arial" w:cs="Arial" w:eastAsia="Arial" w:hAnsi="Arial"/>
                <w:sz w:val="20"/>
                <w:szCs w:val="20"/>
                <w:color w:val="auto"/>
              </w:rPr>
              <w:t>1,610</w:t>
            </w:r>
          </w:p>
        </w:tc>
        <w:tc>
          <w:tcPr>
            <w:tcW w:w="16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1,240</w:t>
            </w:r>
          </w:p>
        </w:tc>
      </w:tr>
      <w:tr>
        <w:trPr>
          <w:trHeight w:val="224"/>
        </w:trPr>
        <w:tc>
          <w:tcPr>
            <w:tcW w:w="3840" w:type="dxa"/>
            <w:vAlign w:val="bottom"/>
          </w:tcPr>
          <w:p>
            <w:pPr>
              <w:spacing w:after="0" w:line="225" w:lineRule="exact"/>
              <w:rPr>
                <w:sz w:val="20"/>
                <w:szCs w:val="20"/>
                <w:color w:val="auto"/>
              </w:rPr>
            </w:pPr>
            <w:r>
              <w:rPr>
                <w:rFonts w:ascii="Arial" w:cs="Arial" w:eastAsia="Arial" w:hAnsi="Arial"/>
                <w:sz w:val="20"/>
                <w:szCs w:val="20"/>
                <w:color w:val="auto"/>
              </w:rPr>
              <w:t>Property taxes</w:t>
            </w:r>
          </w:p>
        </w:tc>
        <w:tc>
          <w:tcPr>
            <w:tcW w:w="1440" w:type="dxa"/>
            <w:vAlign w:val="bottom"/>
          </w:tcPr>
          <w:p>
            <w:pPr>
              <w:jc w:val="right"/>
              <w:spacing w:after="0" w:line="225" w:lineRule="exact"/>
              <w:rPr>
                <w:sz w:val="20"/>
                <w:szCs w:val="20"/>
                <w:color w:val="auto"/>
              </w:rPr>
            </w:pPr>
            <w:r>
              <w:rPr>
                <w:rFonts w:ascii="Arial" w:cs="Arial" w:eastAsia="Arial" w:hAnsi="Arial"/>
                <w:sz w:val="20"/>
                <w:szCs w:val="20"/>
                <w:color w:val="auto"/>
              </w:rPr>
              <w:t>1,225</w:t>
            </w:r>
          </w:p>
        </w:tc>
        <w:tc>
          <w:tcPr>
            <w:tcW w:w="162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1,507</w:t>
            </w:r>
          </w:p>
        </w:tc>
      </w:tr>
      <w:tr>
        <w:trPr>
          <w:trHeight w:val="254"/>
        </w:trPr>
        <w:tc>
          <w:tcPr>
            <w:tcW w:w="3840" w:type="dxa"/>
            <w:vAlign w:val="bottom"/>
          </w:tcPr>
          <w:p>
            <w:pPr>
              <w:spacing w:after="0"/>
              <w:rPr>
                <w:sz w:val="20"/>
                <w:szCs w:val="20"/>
                <w:color w:val="auto"/>
              </w:rPr>
            </w:pPr>
            <w:r>
              <w:rPr>
                <w:rFonts w:ascii="Arial" w:cs="Arial" w:eastAsia="Arial" w:hAnsi="Arial"/>
                <w:sz w:val="20"/>
                <w:szCs w:val="20"/>
                <w:color w:val="auto"/>
              </w:rPr>
              <w:t>Other</w:t>
            </w:r>
          </w:p>
        </w:tc>
        <w:tc>
          <w:tcPr>
            <w:tcW w:w="1440" w:type="dxa"/>
            <w:vAlign w:val="bottom"/>
          </w:tcPr>
          <w:p>
            <w:pPr>
              <w:jc w:val="right"/>
              <w:spacing w:after="0"/>
              <w:rPr>
                <w:sz w:val="20"/>
                <w:szCs w:val="20"/>
                <w:color w:val="auto"/>
              </w:rPr>
            </w:pPr>
            <w:r>
              <w:rPr>
                <w:rFonts w:ascii="Arial" w:cs="Arial" w:eastAsia="Arial" w:hAnsi="Arial"/>
                <w:sz w:val="20"/>
                <w:szCs w:val="20"/>
                <w:color w:val="auto"/>
              </w:rPr>
              <w:t>6,069</w:t>
            </w:r>
          </w:p>
        </w:tc>
        <w:tc>
          <w:tcPr>
            <w:tcW w:w="1620" w:type="dxa"/>
            <w:vAlign w:val="bottom"/>
            <w:gridSpan w:val="3"/>
          </w:tcPr>
          <w:p>
            <w:pPr>
              <w:jc w:val="right"/>
              <w:spacing w:after="0"/>
              <w:rPr>
                <w:sz w:val="20"/>
                <w:szCs w:val="20"/>
                <w:color w:val="auto"/>
              </w:rPr>
            </w:pPr>
            <w:r>
              <w:rPr>
                <w:rFonts w:ascii="Arial" w:cs="Arial" w:eastAsia="Arial" w:hAnsi="Arial"/>
                <w:sz w:val="20"/>
                <w:szCs w:val="20"/>
                <w:color w:val="auto"/>
              </w:rPr>
              <w:t>6,239</w:t>
            </w:r>
          </w:p>
        </w:tc>
      </w:tr>
      <w:tr>
        <w:trPr>
          <w:trHeight w:val="90"/>
        </w:trPr>
        <w:tc>
          <w:tcPr>
            <w:tcW w:w="3840" w:type="dxa"/>
            <w:vAlign w:val="bottom"/>
          </w:tcPr>
          <w:p>
            <w:pPr>
              <w:spacing w:after="0"/>
              <w:rPr>
                <w:sz w:val="7"/>
                <w:szCs w:val="7"/>
                <w:color w:val="auto"/>
              </w:rPr>
            </w:pPr>
          </w:p>
        </w:tc>
        <w:tc>
          <w:tcPr>
            <w:tcW w:w="144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r>
      <w:tr>
        <w:trPr>
          <w:trHeight w:val="339"/>
        </w:trPr>
        <w:tc>
          <w:tcPr>
            <w:tcW w:w="38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$20,967</w:t>
            </w:r>
          </w:p>
        </w:tc>
        <w:tc>
          <w:tcPr>
            <w:tcW w:w="1620" w:type="dxa"/>
            <w:vAlign w:val="bottom"/>
            <w:gridSpan w:val="3"/>
          </w:tcPr>
          <w:p>
            <w:pPr>
              <w:jc w:val="right"/>
              <w:spacing w:after="0"/>
              <w:rPr>
                <w:sz w:val="20"/>
                <w:szCs w:val="20"/>
                <w:color w:val="auto"/>
              </w:rPr>
            </w:pPr>
            <w:r>
              <w:rPr>
                <w:rFonts w:ascii="Arial" w:cs="Arial" w:eastAsia="Arial" w:hAnsi="Arial"/>
                <w:sz w:val="20"/>
                <w:szCs w:val="20"/>
                <w:color w:val="auto"/>
              </w:rPr>
              <w:t>$25,657</w:t>
            </w:r>
          </w:p>
        </w:tc>
      </w:tr>
      <w:tr>
        <w:trPr>
          <w:trHeight w:val="111"/>
        </w:trPr>
        <w:tc>
          <w:tcPr>
            <w:tcW w:w="3840" w:type="dxa"/>
            <w:vAlign w:val="bottom"/>
          </w:tcPr>
          <w:p>
            <w:pPr>
              <w:spacing w:after="0"/>
              <w:rPr>
                <w:sz w:val="9"/>
                <w:szCs w:val="9"/>
                <w:color w:val="auto"/>
              </w:rPr>
            </w:pPr>
          </w:p>
        </w:tc>
        <w:tc>
          <w:tcPr>
            <w:tcW w:w="144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6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-27940</wp:posOffset>
            </wp:positionV>
            <wp:extent cx="12700" cy="285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-27940</wp:posOffset>
            </wp:positionV>
            <wp:extent cx="12700" cy="28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-27940</wp:posOffset>
            </wp:positionV>
            <wp:extent cx="12700" cy="285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-27940</wp:posOffset>
            </wp:positionV>
            <wp:extent cx="12700" cy="285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DERIVATIVE INSTRUMENTS AND HEDGING ACTIVITIES</w:t>
      </w:r>
    </w:p>
    <w:p>
      <w:pPr>
        <w:spacing w:after="0" w:line="200" w:lineRule="exact"/>
        <w:rPr>
          <w:sz w:val="20"/>
          <w:szCs w:val="20"/>
          <w:color w:val="auto"/>
        </w:rPr>
      </w:pPr>
    </w:p>
    <w:p>
      <w:pPr>
        <w:ind w:right="80" w:firstLine="246"/>
        <w:spacing w:after="0" w:line="252" w:lineRule="auto"/>
        <w:rPr>
          <w:sz w:val="20"/>
          <w:szCs w:val="20"/>
          <w:color w:val="auto"/>
        </w:rPr>
      </w:pPr>
      <w:r>
        <w:rPr>
          <w:rFonts w:ascii="Arial" w:cs="Arial" w:eastAsia="Arial" w:hAnsi="Arial"/>
          <w:sz w:val="19"/>
          <w:szCs w:val="19"/>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64" w:lineRule="exact"/>
        <w:rPr>
          <w:sz w:val="20"/>
          <w:szCs w:val="20"/>
          <w:color w:val="auto"/>
        </w:rPr>
      </w:pPr>
    </w:p>
    <w:p>
      <w:pPr>
        <w:jc w:val="both"/>
        <w:ind w:right="400" w:firstLine="249"/>
        <w:spacing w:after="0" w:line="287"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130" w:lineRule="exact"/>
        <w:rPr>
          <w:sz w:val="20"/>
          <w:szCs w:val="20"/>
          <w:color w:val="auto"/>
        </w:rPr>
      </w:pPr>
    </w:p>
    <w:p>
      <w:pPr>
        <w:ind w:firstLine="249"/>
        <w:spacing w:after="0" w:line="266" w:lineRule="auto"/>
        <w:rPr>
          <w:sz w:val="20"/>
          <w:szCs w:val="20"/>
          <w:color w:val="auto"/>
        </w:rPr>
      </w:pPr>
      <w:r>
        <w:rPr>
          <w:rFonts w:ascii="Arial" w:cs="Arial" w:eastAsia="Arial" w:hAnsi="Arial"/>
          <w:sz w:val="18"/>
          <w:szCs w:val="18"/>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 (see Note 7 for further discussion).</w:t>
      </w:r>
    </w:p>
    <w:p>
      <w:pPr>
        <w:spacing w:after="0" w:line="154" w:lineRule="exact"/>
        <w:rPr>
          <w:sz w:val="20"/>
          <w:szCs w:val="20"/>
          <w:color w:val="auto"/>
        </w:rPr>
      </w:pPr>
    </w:p>
    <w:p>
      <w:pPr>
        <w:ind w:right="400" w:firstLine="246"/>
        <w:spacing w:after="0" w:line="242" w:lineRule="auto"/>
        <w:rPr>
          <w:sz w:val="20"/>
          <w:szCs w:val="20"/>
          <w:color w:val="auto"/>
        </w:rPr>
      </w:pPr>
      <w:r>
        <w:rPr>
          <w:rFonts w:ascii="Arial" w:cs="Arial" w:eastAsia="Arial" w:hAnsi="Arial"/>
          <w:sz w:val="20"/>
          <w:szCs w:val="20"/>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during fiscal year 2010.</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The table below presents the effect of derivative instruments on the Company's consolidated balance sheet at November 1, 2009.</w:t>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220"/>
        <w:spacing w:after="0"/>
        <w:rPr>
          <w:sz w:val="20"/>
          <w:szCs w:val="20"/>
          <w:color w:val="auto"/>
        </w:rPr>
      </w:pPr>
      <w:r>
        <w:rPr>
          <w:rFonts w:ascii="Arial" w:cs="Arial" w:eastAsia="Arial" w:hAnsi="Arial"/>
          <w:sz w:val="20"/>
          <w:szCs w:val="20"/>
          <w:b w:val="1"/>
          <w:bCs w:val="1"/>
          <w:color w:val="auto"/>
        </w:rPr>
        <w:t>Derivatives</w:t>
      </w:r>
    </w:p>
    <w:p>
      <w:pPr>
        <w:spacing w:after="0" w:line="11" w:lineRule="exact"/>
        <w:rPr>
          <w:sz w:val="20"/>
          <w:szCs w:val="20"/>
          <w:color w:val="auto"/>
        </w:rPr>
      </w:pPr>
    </w:p>
    <w:p>
      <w:pPr>
        <w:jc w:val="center"/>
        <w:ind w:right="9220"/>
        <w:spacing w:after="0"/>
        <w:rPr>
          <w:sz w:val="20"/>
          <w:szCs w:val="20"/>
          <w:color w:val="auto"/>
        </w:rPr>
      </w:pPr>
      <w:r>
        <w:rPr>
          <w:rFonts w:ascii="Arial" w:cs="Arial" w:eastAsia="Arial" w:hAnsi="Arial"/>
          <w:sz w:val="20"/>
          <w:szCs w:val="20"/>
          <w:b w:val="1"/>
          <w:bCs w:val="1"/>
          <w:color w:val="auto"/>
        </w:rPr>
        <w:t>Not Designated</w:t>
      </w:r>
    </w:p>
    <w:p>
      <w:pPr>
        <w:jc w:val="center"/>
        <w:ind w:right="9220"/>
        <w:spacing w:after="0" w:line="234" w:lineRule="auto"/>
        <w:rPr>
          <w:sz w:val="20"/>
          <w:szCs w:val="20"/>
          <w:color w:val="auto"/>
        </w:rPr>
      </w:pPr>
      <w:r>
        <w:rPr>
          <w:rFonts w:ascii="Arial" w:cs="Arial" w:eastAsia="Arial" w:hAnsi="Arial"/>
          <w:sz w:val="20"/>
          <w:szCs w:val="20"/>
          <w:b w:val="1"/>
          <w:bCs w:val="1"/>
          <w:color w:val="auto"/>
        </w:rPr>
        <w:t>as Hedging</w:t>
      </w:r>
    </w:p>
    <w:p>
      <w:pPr>
        <w:jc w:val="center"/>
        <w:ind w:right="9220"/>
        <w:spacing w:after="0"/>
        <w:rPr>
          <w:sz w:val="20"/>
          <w:szCs w:val="20"/>
          <w:color w:val="auto"/>
        </w:rPr>
      </w:pPr>
      <w:r>
        <w:rPr>
          <w:rFonts w:ascii="Arial" w:cs="Arial" w:eastAsia="Arial" w:hAnsi="Arial"/>
          <w:sz w:val="20"/>
          <w:szCs w:val="20"/>
          <w:b w:val="1"/>
          <w:bCs w:val="1"/>
          <w:color w:val="auto"/>
        </w:rPr>
        <w:t>Instruments Under</w:t>
      </w:r>
    </w:p>
    <w:p>
      <w:pPr>
        <w:sectPr>
          <w:pgSz w:w="11900" w:h="16838" w:orient="portrait"/>
          <w:cols w:equalWidth="0" w:num="1">
            <w:col w:w="11420"/>
          </w:cols>
          <w:pgMar w:left="240" w:top="120" w:right="239" w:bottom="155" w:gutter="0" w:footer="0" w:header="0"/>
        </w:sectPr>
      </w:pP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ASC 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4084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084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128206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67945</wp:posOffset>
            </wp:positionV>
            <wp:extent cx="77533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53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780" w:space="720"/>
            <w:col w:w="1980" w:space="460"/>
            <w:col w:w="6480"/>
          </w:cols>
          <w:pgMar w:left="240" w:top="120" w:right="239" w:bottom="155"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Warrants on common stock</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$3,205</w:t>
      </w:r>
    </w:p>
    <w:p>
      <w:pPr>
        <w:sectPr>
          <w:pgSz w:w="11900" w:h="16838" w:orient="portrait"/>
          <w:cols w:equalWidth="0" w:num="3">
            <w:col w:w="2180" w:space="320"/>
            <w:col w:w="1560" w:space="720"/>
            <w:col w:w="6640"/>
          </w:cols>
          <w:pgMar w:left="240" w:top="120" w:right="239" w:bottom="155" w:gutter="0" w:footer="0" w:header="0"/>
          <w:type w:val="continuous"/>
        </w:sectPr>
      </w:pPr>
    </w:p>
    <w:bookmarkStart w:id="36" w:name="page37"/>
    <w:bookmarkEnd w:id="36"/>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table below presents the effect of derivative instruments on the Company's statement of operations for the year ended November 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20"/>
                <w:szCs w:val="20"/>
                <w:color w:val="auto"/>
              </w:rPr>
              <w:t>2009.</w:t>
            </w: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372"/>
        </w:trPr>
        <w:tc>
          <w:tcPr>
            <w:tcW w:w="250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9"/>
              </w:rPr>
              <w:t>Derivatives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4"/>
        </w:trPr>
        <w:tc>
          <w:tcPr>
            <w:tcW w:w="2500" w:type="dxa"/>
            <w:vAlign w:val="bottom"/>
            <w:gridSpan w:val="2"/>
          </w:tcPr>
          <w:p>
            <w:pPr>
              <w:jc w:val="center"/>
              <w:ind w:right="320"/>
              <w:spacing w:after="0" w:line="225" w:lineRule="exact"/>
              <w:rPr>
                <w:sz w:val="20"/>
                <w:szCs w:val="20"/>
                <w:color w:val="auto"/>
              </w:rPr>
            </w:pPr>
            <w:r>
              <w:rPr>
                <w:rFonts w:ascii="Arial" w:cs="Arial" w:eastAsia="Arial" w:hAnsi="Arial"/>
                <w:sz w:val="20"/>
                <w:szCs w:val="20"/>
                <w:b w:val="1"/>
                <w:bCs w:val="1"/>
                <w:color w:val="auto"/>
                <w:w w:val="88"/>
              </w:rPr>
              <w:t>Not Designated</w:t>
            </w:r>
          </w:p>
        </w:tc>
        <w:tc>
          <w:tcPr>
            <w:tcW w:w="3500" w:type="dxa"/>
            <w:vAlign w:val="bottom"/>
            <w:gridSpan w:val="5"/>
          </w:tcPr>
          <w:p>
            <w:pPr>
              <w:jc w:val="center"/>
              <w:ind w:right="20"/>
              <w:spacing w:after="0" w:line="225" w:lineRule="exact"/>
              <w:rPr>
                <w:sz w:val="20"/>
                <w:szCs w:val="20"/>
                <w:color w:val="auto"/>
              </w:rPr>
            </w:pPr>
            <w:r>
              <w:rPr>
                <w:rFonts w:ascii="Arial" w:cs="Arial" w:eastAsia="Arial" w:hAnsi="Arial"/>
                <w:sz w:val="20"/>
                <w:szCs w:val="20"/>
                <w:b w:val="1"/>
                <w:bCs w:val="1"/>
                <w:color w:val="auto"/>
                <w:w w:val="89"/>
              </w:rPr>
              <w:t>Location of Gain (Loss)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jc w:val="center"/>
              <w:ind w:right="20"/>
              <w:spacing w:after="0" w:line="225" w:lineRule="exact"/>
              <w:rPr>
                <w:sz w:val="20"/>
                <w:szCs w:val="20"/>
                <w:color w:val="auto"/>
              </w:rPr>
            </w:pPr>
            <w:r>
              <w:rPr>
                <w:rFonts w:ascii="Arial" w:cs="Arial" w:eastAsia="Arial" w:hAnsi="Arial"/>
                <w:sz w:val="20"/>
                <w:szCs w:val="20"/>
                <w:b w:val="1"/>
                <w:bCs w:val="1"/>
                <w:color w:val="auto"/>
                <w:w w:val="90"/>
              </w:rPr>
              <w:t>Amount of Gain (Loss)</w:t>
            </w:r>
          </w:p>
        </w:tc>
        <w:tc>
          <w:tcPr>
            <w:tcW w:w="3200" w:type="dxa"/>
            <w:vAlign w:val="bottom"/>
          </w:tcPr>
          <w:p>
            <w:pPr>
              <w:spacing w:after="0"/>
              <w:rPr>
                <w:sz w:val="19"/>
                <w:szCs w:val="19"/>
                <w:color w:val="auto"/>
              </w:rPr>
            </w:pPr>
          </w:p>
        </w:tc>
      </w:tr>
      <w:tr>
        <w:trPr>
          <w:trHeight w:val="224"/>
        </w:trPr>
        <w:tc>
          <w:tcPr>
            <w:tcW w:w="2500" w:type="dxa"/>
            <w:vAlign w:val="bottom"/>
            <w:gridSpan w:val="2"/>
          </w:tcPr>
          <w:p>
            <w:pPr>
              <w:jc w:val="center"/>
              <w:ind w:right="300"/>
              <w:spacing w:after="0" w:line="225" w:lineRule="exact"/>
              <w:rPr>
                <w:sz w:val="20"/>
                <w:szCs w:val="20"/>
                <w:color w:val="auto"/>
              </w:rPr>
            </w:pPr>
            <w:r>
              <w:rPr>
                <w:rFonts w:ascii="Arial" w:cs="Arial" w:eastAsia="Arial" w:hAnsi="Arial"/>
                <w:sz w:val="20"/>
                <w:szCs w:val="20"/>
                <w:b w:val="1"/>
                <w:bCs w:val="1"/>
                <w:color w:val="auto"/>
                <w:w w:val="89"/>
              </w:rPr>
              <w:t>as Hedging</w:t>
            </w:r>
          </w:p>
        </w:tc>
        <w:tc>
          <w:tcPr>
            <w:tcW w:w="2340" w:type="dxa"/>
            <w:vAlign w:val="bottom"/>
            <w:gridSpan w:val="2"/>
          </w:tcPr>
          <w:p>
            <w:pPr>
              <w:jc w:val="center"/>
              <w:ind w:left="1040"/>
              <w:spacing w:after="0" w:line="225" w:lineRule="exact"/>
              <w:rPr>
                <w:sz w:val="20"/>
                <w:szCs w:val="20"/>
                <w:color w:val="auto"/>
              </w:rPr>
            </w:pPr>
            <w:r>
              <w:rPr>
                <w:rFonts w:ascii="Arial" w:cs="Arial" w:eastAsia="Arial" w:hAnsi="Arial"/>
                <w:sz w:val="20"/>
                <w:szCs w:val="20"/>
                <w:b w:val="1"/>
                <w:bCs w:val="1"/>
                <w:color w:val="auto"/>
                <w:w w:val="88"/>
              </w:rPr>
              <w:t>Recognized in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jc w:val="center"/>
              <w:ind w:right="20"/>
              <w:spacing w:after="0" w:line="225" w:lineRule="exact"/>
              <w:rPr>
                <w:sz w:val="20"/>
                <w:szCs w:val="20"/>
                <w:color w:val="auto"/>
              </w:rPr>
            </w:pPr>
            <w:r>
              <w:rPr>
                <w:rFonts w:ascii="Arial" w:cs="Arial" w:eastAsia="Arial" w:hAnsi="Arial"/>
                <w:sz w:val="20"/>
                <w:szCs w:val="20"/>
                <w:b w:val="1"/>
                <w:bCs w:val="1"/>
                <w:color w:val="auto"/>
                <w:w w:val="88"/>
              </w:rPr>
              <w:t>Recognized in</w:t>
            </w:r>
          </w:p>
        </w:tc>
        <w:tc>
          <w:tcPr>
            <w:tcW w:w="3200" w:type="dxa"/>
            <w:vAlign w:val="bottom"/>
          </w:tcPr>
          <w:p>
            <w:pPr>
              <w:spacing w:after="0"/>
              <w:rPr>
                <w:sz w:val="19"/>
                <w:szCs w:val="19"/>
                <w:color w:val="auto"/>
              </w:rPr>
            </w:pPr>
          </w:p>
        </w:tc>
      </w:tr>
      <w:tr>
        <w:trPr>
          <w:trHeight w:val="224"/>
        </w:trPr>
        <w:tc>
          <w:tcPr>
            <w:tcW w:w="2500" w:type="dxa"/>
            <w:vAlign w:val="bottom"/>
            <w:gridSpan w:val="2"/>
          </w:tcPr>
          <w:p>
            <w:pPr>
              <w:jc w:val="center"/>
              <w:ind w:right="300"/>
              <w:spacing w:after="0" w:line="225" w:lineRule="exact"/>
              <w:rPr>
                <w:sz w:val="20"/>
                <w:szCs w:val="20"/>
                <w:color w:val="auto"/>
              </w:rPr>
            </w:pPr>
            <w:r>
              <w:rPr>
                <w:rFonts w:ascii="Arial" w:cs="Arial" w:eastAsia="Arial" w:hAnsi="Arial"/>
                <w:sz w:val="20"/>
                <w:szCs w:val="20"/>
                <w:b w:val="1"/>
                <w:bCs w:val="1"/>
                <w:color w:val="auto"/>
                <w:w w:val="92"/>
              </w:rPr>
              <w:t>Instruments Under</w:t>
            </w:r>
          </w:p>
        </w:tc>
        <w:tc>
          <w:tcPr>
            <w:tcW w:w="2340" w:type="dxa"/>
            <w:vAlign w:val="bottom"/>
            <w:gridSpan w:val="2"/>
          </w:tcPr>
          <w:p>
            <w:pPr>
              <w:jc w:val="center"/>
              <w:ind w:left="1040"/>
              <w:spacing w:after="0" w:line="225" w:lineRule="exact"/>
              <w:rPr>
                <w:sz w:val="20"/>
                <w:szCs w:val="20"/>
                <w:color w:val="auto"/>
              </w:rPr>
            </w:pPr>
            <w:r>
              <w:rPr>
                <w:rFonts w:ascii="Arial" w:cs="Arial" w:eastAsia="Arial" w:hAnsi="Arial"/>
                <w:sz w:val="20"/>
                <w:szCs w:val="20"/>
                <w:b w:val="1"/>
                <w:bCs w:val="1"/>
                <w:color w:val="auto"/>
                <w:w w:val="87"/>
              </w:rPr>
              <w:t>Income 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2"/>
          </w:tcPr>
          <w:p>
            <w:pPr>
              <w:jc w:val="center"/>
              <w:ind w:right="20"/>
              <w:spacing w:after="0" w:line="225" w:lineRule="exact"/>
              <w:rPr>
                <w:sz w:val="20"/>
                <w:szCs w:val="20"/>
                <w:color w:val="auto"/>
              </w:rPr>
            </w:pPr>
            <w:r>
              <w:rPr>
                <w:rFonts w:ascii="Arial" w:cs="Arial" w:eastAsia="Arial" w:hAnsi="Arial"/>
                <w:sz w:val="20"/>
                <w:szCs w:val="20"/>
                <w:b w:val="1"/>
                <w:bCs w:val="1"/>
                <w:color w:val="auto"/>
                <w:w w:val="87"/>
              </w:rPr>
              <w:t>Income on</w:t>
            </w:r>
          </w:p>
        </w:tc>
        <w:tc>
          <w:tcPr>
            <w:tcW w:w="3200" w:type="dxa"/>
            <w:vAlign w:val="bottom"/>
          </w:tcPr>
          <w:p>
            <w:pPr>
              <w:spacing w:after="0"/>
              <w:rPr>
                <w:sz w:val="19"/>
                <w:szCs w:val="19"/>
                <w:color w:val="auto"/>
              </w:rPr>
            </w:pPr>
          </w:p>
        </w:tc>
      </w:tr>
      <w:tr>
        <w:trPr>
          <w:trHeight w:val="260"/>
        </w:trPr>
        <w:tc>
          <w:tcPr>
            <w:tcW w:w="250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3"/>
              </w:rPr>
              <w:t>ASC 815</w:t>
            </w:r>
          </w:p>
        </w:tc>
        <w:tc>
          <w:tcPr>
            <w:tcW w:w="2340" w:type="dxa"/>
            <w:vAlign w:val="bottom"/>
            <w:gridSpan w:val="2"/>
          </w:tcPr>
          <w:p>
            <w:pPr>
              <w:jc w:val="center"/>
              <w:ind w:left="1040"/>
              <w:spacing w:after="0"/>
              <w:rPr>
                <w:sz w:val="20"/>
                <w:szCs w:val="20"/>
                <w:color w:val="auto"/>
              </w:rPr>
            </w:pPr>
            <w:r>
              <w:rPr>
                <w:rFonts w:ascii="Arial" w:cs="Arial" w:eastAsia="Arial" w:hAnsi="Arial"/>
                <w:sz w:val="20"/>
                <w:szCs w:val="20"/>
                <w:b w:val="1"/>
                <w:bCs w:val="1"/>
                <w:color w:val="auto"/>
                <w:w w:val="89"/>
              </w:rPr>
              <w:t>Derivatives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9"/>
              </w:rPr>
              <w:t>Derivatives</w:t>
            </w:r>
          </w:p>
        </w:tc>
        <w:tc>
          <w:tcPr>
            <w:tcW w:w="3200" w:type="dxa"/>
            <w:vAlign w:val="bottom"/>
          </w:tcPr>
          <w:p>
            <w:pPr>
              <w:spacing w:after="0"/>
              <w:rPr>
                <w:sz w:val="22"/>
                <w:szCs w:val="22"/>
                <w:color w:val="auto"/>
              </w:rPr>
            </w:pPr>
          </w:p>
        </w:tc>
      </w:tr>
      <w:tr>
        <w:trPr>
          <w:trHeight w:val="90"/>
        </w:trPr>
        <w:tc>
          <w:tcPr>
            <w:tcW w:w="2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r>
      <w:tr>
        <w:trPr>
          <w:trHeight w:val="563"/>
        </w:trPr>
        <w:tc>
          <w:tcPr>
            <w:tcW w:w="2500" w:type="dxa"/>
            <w:vAlign w:val="bottom"/>
            <w:gridSpan w:val="2"/>
          </w:tcPr>
          <w:p>
            <w:pPr>
              <w:spacing w:after="0"/>
              <w:rPr>
                <w:sz w:val="20"/>
                <w:szCs w:val="20"/>
                <w:color w:val="auto"/>
              </w:rPr>
            </w:pPr>
            <w:r>
              <w:rPr>
                <w:rFonts w:ascii="Arial" w:cs="Arial" w:eastAsia="Arial" w:hAnsi="Arial"/>
                <w:sz w:val="20"/>
                <w:szCs w:val="20"/>
                <w:color w:val="auto"/>
              </w:rPr>
              <w:t>Warrants on common stock</w:t>
            </w:r>
          </w:p>
        </w:tc>
        <w:tc>
          <w:tcPr>
            <w:tcW w:w="3500" w:type="dxa"/>
            <w:vAlign w:val="bottom"/>
            <w:gridSpan w:val="5"/>
          </w:tcPr>
          <w:p>
            <w:pPr>
              <w:jc w:val="center"/>
              <w:ind w:right="20"/>
              <w:spacing w:after="0"/>
              <w:rPr>
                <w:sz w:val="20"/>
                <w:szCs w:val="20"/>
                <w:color w:val="auto"/>
              </w:rPr>
            </w:pPr>
            <w:r>
              <w:rPr>
                <w:rFonts w:ascii="Arial" w:cs="Arial" w:eastAsia="Arial" w:hAnsi="Arial"/>
                <w:sz w:val="20"/>
                <w:szCs w:val="20"/>
                <w:color w:val="auto"/>
                <w:w w:val="88"/>
              </w:rPr>
              <w:t>Investment and other income (expense), net</w:t>
            </w:r>
          </w:p>
        </w:tc>
        <w:tc>
          <w:tcPr>
            <w:tcW w:w="220" w:type="dxa"/>
            <w:vAlign w:val="bottom"/>
          </w:tcPr>
          <w:p>
            <w:pPr>
              <w:spacing w:after="0"/>
              <w:rPr>
                <w:sz w:val="24"/>
                <w:szCs w:val="24"/>
                <w:color w:val="auto"/>
              </w:rPr>
            </w:pPr>
          </w:p>
        </w:tc>
        <w:tc>
          <w:tcPr>
            <w:tcW w:w="2040" w:type="dxa"/>
            <w:vAlign w:val="bottom"/>
            <w:gridSpan w:val="3"/>
          </w:tcPr>
          <w:p>
            <w:pPr>
              <w:jc w:val="right"/>
              <w:ind w:right="680"/>
              <w:spacing w:after="0"/>
              <w:rPr>
                <w:sz w:val="20"/>
                <w:szCs w:val="20"/>
                <w:color w:val="auto"/>
              </w:rPr>
            </w:pPr>
            <w:r>
              <w:rPr>
                <w:rFonts w:ascii="Arial" w:cs="Arial" w:eastAsia="Arial" w:hAnsi="Arial"/>
                <w:sz w:val="20"/>
                <w:szCs w:val="20"/>
                <w:color w:val="auto"/>
              </w:rPr>
              <w:t>$ (305)</w:t>
            </w:r>
          </w:p>
        </w:tc>
        <w:tc>
          <w:tcPr>
            <w:tcW w:w="3200" w:type="dxa"/>
            <w:vAlign w:val="bottom"/>
          </w:tcPr>
          <w:p>
            <w:pPr>
              <w:spacing w:after="0"/>
              <w:rPr>
                <w:sz w:val="24"/>
                <w:szCs w:val="24"/>
                <w:color w:val="auto"/>
              </w:rPr>
            </w:pPr>
          </w:p>
        </w:tc>
      </w:tr>
      <w:tr>
        <w:trPr>
          <w:trHeight w:val="449"/>
        </w:trPr>
        <w:tc>
          <w:tcPr>
            <w:tcW w:w="2500" w:type="dxa"/>
            <w:vAlign w:val="bottom"/>
            <w:gridSpan w:val="2"/>
          </w:tcPr>
          <w:p>
            <w:pPr>
              <w:spacing w:after="0"/>
              <w:rPr>
                <w:sz w:val="20"/>
                <w:szCs w:val="20"/>
                <w:color w:val="auto"/>
              </w:rPr>
            </w:pPr>
            <w:r>
              <w:rPr>
                <w:rFonts w:ascii="Arial" w:cs="Arial" w:eastAsia="Arial" w:hAnsi="Arial"/>
                <w:sz w:val="20"/>
                <w:szCs w:val="20"/>
                <w:color w:val="auto"/>
              </w:rPr>
              <w:t>Foreign exchange contracts</w:t>
            </w:r>
          </w:p>
        </w:tc>
        <w:tc>
          <w:tcPr>
            <w:tcW w:w="3500" w:type="dxa"/>
            <w:vAlign w:val="bottom"/>
            <w:gridSpan w:val="5"/>
          </w:tcPr>
          <w:p>
            <w:pPr>
              <w:jc w:val="center"/>
              <w:ind w:right="20"/>
              <w:spacing w:after="0"/>
              <w:rPr>
                <w:sz w:val="20"/>
                <w:szCs w:val="20"/>
                <w:color w:val="auto"/>
              </w:rPr>
            </w:pPr>
            <w:r>
              <w:rPr>
                <w:rFonts w:ascii="Arial" w:cs="Arial" w:eastAsia="Arial" w:hAnsi="Arial"/>
                <w:sz w:val="20"/>
                <w:szCs w:val="20"/>
                <w:color w:val="auto"/>
                <w:w w:val="88"/>
              </w:rPr>
              <w:t>Investment and other income (expense), net</w:t>
            </w:r>
          </w:p>
        </w:tc>
        <w:tc>
          <w:tcPr>
            <w:tcW w:w="220" w:type="dxa"/>
            <w:vAlign w:val="bottom"/>
          </w:tcPr>
          <w:p>
            <w:pPr>
              <w:spacing w:after="0"/>
              <w:rPr>
                <w:sz w:val="24"/>
                <w:szCs w:val="24"/>
                <w:color w:val="auto"/>
              </w:rPr>
            </w:pPr>
          </w:p>
        </w:tc>
        <w:tc>
          <w:tcPr>
            <w:tcW w:w="2040" w:type="dxa"/>
            <w:vAlign w:val="bottom"/>
            <w:gridSpan w:val="3"/>
          </w:tcPr>
          <w:p>
            <w:pPr>
              <w:jc w:val="right"/>
              <w:ind w:right="720"/>
              <w:spacing w:after="0"/>
              <w:rPr>
                <w:sz w:val="20"/>
                <w:szCs w:val="20"/>
                <w:color w:val="auto"/>
              </w:rPr>
            </w:pPr>
            <w:r>
              <w:rPr>
                <w:rFonts w:ascii="Arial" w:cs="Arial" w:eastAsia="Arial" w:hAnsi="Arial"/>
                <w:sz w:val="20"/>
                <w:szCs w:val="20"/>
                <w:color w:val="auto"/>
              </w:rPr>
              <w:t>$  93</w:t>
            </w:r>
          </w:p>
        </w:tc>
        <w:tc>
          <w:tcPr>
            <w:tcW w:w="3200" w:type="dxa"/>
            <w:vAlign w:val="bottom"/>
          </w:tcPr>
          <w:p>
            <w:pPr>
              <w:spacing w:after="0"/>
              <w:rPr>
                <w:sz w:val="24"/>
                <w:szCs w:val="24"/>
                <w:color w:val="auto"/>
              </w:rPr>
            </w:pPr>
          </w:p>
        </w:tc>
      </w:tr>
      <w:tr>
        <w:trPr>
          <w:trHeight w:val="847"/>
        </w:trPr>
        <w:tc>
          <w:tcPr>
            <w:tcW w:w="4840" w:type="dxa"/>
            <w:vAlign w:val="bottom"/>
            <w:gridSpan w:val="4"/>
          </w:tcPr>
          <w:p>
            <w:pPr>
              <w:spacing w:after="0"/>
              <w:rPr>
                <w:sz w:val="20"/>
                <w:szCs w:val="20"/>
                <w:color w:val="auto"/>
              </w:rPr>
            </w:pPr>
            <w:r>
              <w:rPr>
                <w:rFonts w:ascii="Arial" w:cs="Arial" w:eastAsia="Arial" w:hAnsi="Arial"/>
                <w:sz w:val="20"/>
                <w:szCs w:val="20"/>
                <w:b w:val="1"/>
                <w:bCs w:val="1"/>
                <w:color w:val="auto"/>
              </w:rPr>
              <w:t>NOTE 7 - LONG-TERM BORROWINGS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24"/>
        </w:trPr>
        <w:tc>
          <w:tcPr>
            <w:tcW w:w="4840" w:type="dxa"/>
            <w:vAlign w:val="bottom"/>
            <w:gridSpan w:val="4"/>
          </w:tcPr>
          <w:p>
            <w:pPr>
              <w:jc w:val="right"/>
              <w:ind w:right="680"/>
              <w:spacing w:after="0"/>
              <w:rPr>
                <w:sz w:val="20"/>
                <w:szCs w:val="20"/>
                <w:color w:val="auto"/>
              </w:rPr>
            </w:pPr>
            <w:r>
              <w:rPr>
                <w:rFonts w:ascii="Arial" w:cs="Arial" w:eastAsia="Arial" w:hAnsi="Arial"/>
                <w:sz w:val="20"/>
                <w:szCs w:val="20"/>
                <w:color w:val="auto"/>
                <w:w w:val="99"/>
              </w:rPr>
              <w:t>Long-term borrowings consist of the following:</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88"/>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80" w:type="dxa"/>
            <w:vAlign w:val="bottom"/>
            <w:gridSpan w:val="8"/>
          </w:tcPr>
          <w:p>
            <w:pPr>
              <w:ind w:left="20"/>
              <w:spacing w:after="0"/>
              <w:rPr>
                <w:sz w:val="20"/>
                <w:szCs w:val="20"/>
                <w:color w:val="auto"/>
              </w:rPr>
            </w:pPr>
            <w:r>
              <w:rPr>
                <w:rFonts w:ascii="Arial" w:cs="Arial" w:eastAsia="Arial" w:hAnsi="Arial"/>
                <w:sz w:val="20"/>
                <w:szCs w:val="20"/>
                <w:b w:val="1"/>
                <w:bCs w:val="1"/>
                <w:color w:val="auto"/>
              </w:rPr>
              <w:t>November 1,  November 2,</w:t>
            </w:r>
          </w:p>
        </w:tc>
        <w:tc>
          <w:tcPr>
            <w:tcW w:w="3200" w:type="dxa"/>
            <w:vAlign w:val="bottom"/>
          </w:tcPr>
          <w:p>
            <w:pPr>
              <w:spacing w:after="0"/>
              <w:rPr>
                <w:sz w:val="24"/>
                <w:szCs w:val="24"/>
                <w:color w:val="auto"/>
              </w:rPr>
            </w:pPr>
          </w:p>
        </w:tc>
      </w:tr>
      <w:tr>
        <w:trPr>
          <w:trHeight w:val="260"/>
        </w:trPr>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280"/>
              <w:spacing w:after="0"/>
              <w:rPr>
                <w:sz w:val="20"/>
                <w:szCs w:val="20"/>
                <w:color w:val="auto"/>
              </w:rPr>
            </w:pPr>
            <w:r>
              <w:rPr>
                <w:rFonts w:ascii="Arial" w:cs="Arial" w:eastAsia="Arial" w:hAnsi="Arial"/>
                <w:sz w:val="20"/>
                <w:szCs w:val="20"/>
                <w:b w:val="1"/>
                <w:bCs w:val="1"/>
                <w:color w:val="auto"/>
                <w:w w:val="85"/>
              </w:rPr>
              <w:t>2009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ind w:left="100"/>
              <w:spacing w:after="0"/>
              <w:rPr>
                <w:sz w:val="20"/>
                <w:szCs w:val="20"/>
                <w:color w:val="auto"/>
              </w:rPr>
            </w:pPr>
            <w:r>
              <w:rPr>
                <w:rFonts w:ascii="Arial" w:cs="Arial" w:eastAsia="Arial" w:hAnsi="Arial"/>
                <w:sz w:val="20"/>
                <w:szCs w:val="20"/>
                <w:b w:val="1"/>
                <w:bCs w:val="1"/>
                <w:color w:val="auto"/>
              </w:rPr>
              <w:t>2008</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90"/>
        </w:trPr>
        <w:tc>
          <w:tcPr>
            <w:tcW w:w="4480" w:type="dxa"/>
            <w:vAlign w:val="bottom"/>
            <w:gridSpan w:val="3"/>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534"/>
        </w:trPr>
        <w:tc>
          <w:tcPr>
            <w:tcW w:w="4840" w:type="dxa"/>
            <w:vAlign w:val="bottom"/>
            <w:gridSpan w:val="4"/>
          </w:tcPr>
          <w:p>
            <w:pPr>
              <w:spacing w:after="0"/>
              <w:rPr>
                <w:sz w:val="20"/>
                <w:szCs w:val="20"/>
                <w:color w:val="auto"/>
              </w:rPr>
            </w:pPr>
            <w:r>
              <w:rPr>
                <w:rFonts w:ascii="Arial" w:cs="Arial" w:eastAsia="Arial" w:hAnsi="Arial"/>
                <w:sz w:val="20"/>
                <w:szCs w:val="20"/>
                <w:color w:val="auto"/>
              </w:rPr>
              <w:t>5.50% convertible senior notes due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4"/>
        </w:trPr>
        <w:tc>
          <w:tcPr>
            <w:tcW w:w="2500" w:type="dxa"/>
            <w:vAlign w:val="bottom"/>
            <w:gridSpan w:val="2"/>
          </w:tcPr>
          <w:p>
            <w:pPr>
              <w:ind w:left="100"/>
              <w:spacing w:after="0"/>
              <w:rPr>
                <w:sz w:val="20"/>
                <w:szCs w:val="20"/>
                <w:color w:val="auto"/>
              </w:rPr>
            </w:pPr>
            <w:r>
              <w:rPr>
                <w:rFonts w:ascii="Arial" w:cs="Arial" w:eastAsia="Arial" w:hAnsi="Arial"/>
                <w:sz w:val="20"/>
                <w:szCs w:val="20"/>
                <w:color w:val="auto"/>
              </w:rPr>
              <w:t>on October 1, 2014</w:t>
            </w: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95"/>
              </w:rPr>
              <w:t>$ 57,500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19"/>
        </w:trPr>
        <w:tc>
          <w:tcPr>
            <w:tcW w:w="4840" w:type="dxa"/>
            <w:vAlign w:val="bottom"/>
            <w:gridSpan w:val="4"/>
          </w:tcPr>
          <w:p>
            <w:pPr>
              <w:spacing w:after="0"/>
              <w:rPr>
                <w:sz w:val="20"/>
                <w:szCs w:val="20"/>
                <w:color w:val="auto"/>
              </w:rPr>
            </w:pPr>
            <w:r>
              <w:rPr>
                <w:rFonts w:ascii="Arial" w:cs="Arial" w:eastAsia="Arial" w:hAnsi="Arial"/>
                <w:sz w:val="20"/>
                <w:szCs w:val="20"/>
                <w:color w:val="auto"/>
              </w:rPr>
              <w:t>Borrowings under revolving credit facility, which</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4"/>
        </w:trPr>
        <w:tc>
          <w:tcPr>
            <w:tcW w:w="4840" w:type="dxa"/>
            <w:vAlign w:val="bottom"/>
            <w:gridSpan w:val="4"/>
          </w:tcPr>
          <w:p>
            <w:pPr>
              <w:ind w:left="100"/>
              <w:spacing w:after="0" w:line="225" w:lineRule="exact"/>
              <w:rPr>
                <w:sz w:val="20"/>
                <w:szCs w:val="20"/>
                <w:color w:val="auto"/>
              </w:rPr>
            </w:pPr>
            <w:r>
              <w:rPr>
                <w:rFonts w:ascii="Arial" w:cs="Arial" w:eastAsia="Arial" w:hAnsi="Arial"/>
                <w:sz w:val="20"/>
                <w:szCs w:val="20"/>
                <w:color w:val="auto"/>
              </w:rPr>
              <w:t>bears interest at a variable rate, as defined (8.00% at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54"/>
        </w:trPr>
        <w:tc>
          <w:tcPr>
            <w:tcW w:w="4840" w:type="dxa"/>
            <w:vAlign w:val="bottom"/>
            <w:gridSpan w:val="4"/>
          </w:tcPr>
          <w:p>
            <w:pPr>
              <w:jc w:val="right"/>
              <w:ind w:right="680"/>
              <w:spacing w:after="0"/>
              <w:rPr>
                <w:sz w:val="20"/>
                <w:szCs w:val="20"/>
                <w:color w:val="auto"/>
              </w:rPr>
            </w:pPr>
            <w:r>
              <w:rPr>
                <w:rFonts w:ascii="Arial" w:cs="Arial" w:eastAsia="Arial" w:hAnsi="Arial"/>
                <w:sz w:val="20"/>
                <w:szCs w:val="20"/>
                <w:color w:val="auto"/>
                <w:w w:val="93"/>
              </w:rPr>
              <w:t>November 1, 2009; 6.36% at November 2, 2008)</w:t>
            </w:r>
          </w:p>
        </w:tc>
        <w:tc>
          <w:tcPr>
            <w:tcW w:w="780" w:type="dxa"/>
            <w:vAlign w:val="bottom"/>
          </w:tcPr>
          <w:p>
            <w:pPr>
              <w:jc w:val="right"/>
              <w:spacing w:after="0"/>
              <w:rPr>
                <w:sz w:val="20"/>
                <w:szCs w:val="20"/>
                <w:color w:val="auto"/>
              </w:rPr>
            </w:pPr>
            <w:r>
              <w:rPr>
                <w:rFonts w:ascii="Arial" w:cs="Arial" w:eastAsia="Arial" w:hAnsi="Arial"/>
                <w:sz w:val="20"/>
                <w:szCs w:val="20"/>
                <w:color w:val="auto"/>
              </w:rPr>
              <w:t>2,568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w w:val="85"/>
              </w:rPr>
              <w:t>122,500</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19"/>
        </w:trPr>
        <w:tc>
          <w:tcPr>
            <w:tcW w:w="4840" w:type="dxa"/>
            <w:vAlign w:val="bottom"/>
            <w:gridSpan w:val="4"/>
          </w:tcPr>
          <w:p>
            <w:pPr>
              <w:spacing w:after="0"/>
              <w:rPr>
                <w:sz w:val="20"/>
                <w:szCs w:val="20"/>
                <w:color w:val="auto"/>
              </w:rPr>
            </w:pPr>
            <w:r>
              <w:rPr>
                <w:rFonts w:ascii="Arial" w:cs="Arial" w:eastAsia="Arial" w:hAnsi="Arial"/>
                <w:sz w:val="20"/>
                <w:szCs w:val="20"/>
                <w:color w:val="auto"/>
              </w:rPr>
              <w:t>Term loan which bears interest at a variable rate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4"/>
        </w:trPr>
        <w:tc>
          <w:tcPr>
            <w:tcW w:w="4840" w:type="dxa"/>
            <w:vAlign w:val="bottom"/>
            <w:gridSpan w:val="4"/>
          </w:tcPr>
          <w:p>
            <w:pPr>
              <w:ind w:left="100"/>
              <w:spacing w:after="0"/>
              <w:rPr>
                <w:sz w:val="20"/>
                <w:szCs w:val="20"/>
                <w:color w:val="auto"/>
              </w:rPr>
            </w:pPr>
            <w:r>
              <w:rPr>
                <w:rFonts w:ascii="Arial" w:cs="Arial" w:eastAsia="Arial" w:hAnsi="Arial"/>
                <w:sz w:val="20"/>
                <w:szCs w:val="20"/>
                <w:color w:val="auto"/>
              </w:rPr>
              <w:t>as defined (8.00% at November 1, 2009)</w:t>
            </w:r>
          </w:p>
        </w:tc>
        <w:tc>
          <w:tcPr>
            <w:tcW w:w="780" w:type="dxa"/>
            <w:vAlign w:val="bottom"/>
          </w:tcPr>
          <w:p>
            <w:pPr>
              <w:jc w:val="right"/>
              <w:spacing w:after="0"/>
              <w:rPr>
                <w:sz w:val="20"/>
                <w:szCs w:val="20"/>
                <w:color w:val="auto"/>
              </w:rPr>
            </w:pPr>
            <w:r>
              <w:rPr>
                <w:rFonts w:ascii="Arial" w:cs="Arial" w:eastAsia="Arial" w:hAnsi="Arial"/>
                <w:sz w:val="20"/>
                <w:szCs w:val="20"/>
                <w:color w:val="auto"/>
              </w:rPr>
              <w:t>27,204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19"/>
        </w:trPr>
        <w:tc>
          <w:tcPr>
            <w:tcW w:w="4840" w:type="dxa"/>
            <w:vAlign w:val="bottom"/>
            <w:gridSpan w:val="4"/>
          </w:tcPr>
          <w:p>
            <w:pPr>
              <w:spacing w:after="0"/>
              <w:rPr>
                <w:sz w:val="20"/>
                <w:szCs w:val="20"/>
                <w:color w:val="auto"/>
              </w:rPr>
            </w:pPr>
            <w:r>
              <w:rPr>
                <w:rFonts w:ascii="Arial" w:cs="Arial" w:eastAsia="Arial" w:hAnsi="Arial"/>
                <w:sz w:val="20"/>
                <w:szCs w:val="20"/>
                <w:color w:val="auto"/>
              </w:rPr>
              <w:t>8.0% capital lease obligation payable through</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4"/>
        </w:trPr>
        <w:tc>
          <w:tcPr>
            <w:tcW w:w="2500" w:type="dxa"/>
            <w:vAlign w:val="bottom"/>
            <w:gridSpan w:val="2"/>
          </w:tcPr>
          <w:p>
            <w:pPr>
              <w:ind w:left="100"/>
              <w:spacing w:after="0"/>
              <w:rPr>
                <w:sz w:val="20"/>
                <w:szCs w:val="20"/>
                <w:color w:val="auto"/>
              </w:rPr>
            </w:pPr>
            <w:r>
              <w:rPr>
                <w:rFonts w:ascii="Arial" w:cs="Arial" w:eastAsia="Arial" w:hAnsi="Arial"/>
                <w:sz w:val="20"/>
                <w:szCs w:val="20"/>
                <w:color w:val="auto"/>
              </w:rPr>
              <w:t>January 2013</w:t>
            </w: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22,552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53,895</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19"/>
        </w:trPr>
        <w:tc>
          <w:tcPr>
            <w:tcW w:w="4840" w:type="dxa"/>
            <w:vAlign w:val="bottom"/>
            <w:gridSpan w:val="4"/>
          </w:tcPr>
          <w:p>
            <w:pPr>
              <w:spacing w:after="0"/>
              <w:rPr>
                <w:sz w:val="20"/>
                <w:szCs w:val="20"/>
                <w:color w:val="auto"/>
              </w:rPr>
            </w:pPr>
            <w:r>
              <w:rPr>
                <w:rFonts w:ascii="Arial" w:cs="Arial" w:eastAsia="Arial" w:hAnsi="Arial"/>
                <w:sz w:val="20"/>
                <w:szCs w:val="20"/>
                <w:color w:val="auto"/>
              </w:rPr>
              <w:t>5.6% capital lease obligation payable through</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4"/>
        </w:trPr>
        <w:tc>
          <w:tcPr>
            <w:tcW w:w="2500" w:type="dxa"/>
            <w:vAlign w:val="bottom"/>
            <w:gridSpan w:val="2"/>
          </w:tcPr>
          <w:p>
            <w:pPr>
              <w:ind w:left="100"/>
              <w:spacing w:after="0"/>
              <w:rPr>
                <w:sz w:val="20"/>
                <w:szCs w:val="20"/>
                <w:color w:val="auto"/>
              </w:rPr>
            </w:pPr>
            <w:r>
              <w:rPr>
                <w:rFonts w:ascii="Arial" w:cs="Arial" w:eastAsia="Arial" w:hAnsi="Arial"/>
                <w:sz w:val="20"/>
                <w:szCs w:val="20"/>
                <w:color w:val="auto"/>
              </w:rPr>
              <w:t>October 2012</w:t>
            </w: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12,614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16,669</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49"/>
        </w:trPr>
        <w:tc>
          <w:tcPr>
            <w:tcW w:w="2500" w:type="dxa"/>
            <w:vAlign w:val="bottom"/>
            <w:gridSpan w:val="2"/>
          </w:tcPr>
          <w:p>
            <w:pPr>
              <w:spacing w:after="0"/>
              <w:rPr>
                <w:sz w:val="20"/>
                <w:szCs w:val="20"/>
                <w:color w:val="auto"/>
              </w:rPr>
            </w:pPr>
            <w:r>
              <w:rPr>
                <w:rFonts w:ascii="Arial" w:cs="Arial" w:eastAsia="Arial" w:hAnsi="Arial"/>
                <w:sz w:val="20"/>
                <w:szCs w:val="20"/>
                <w:color w:val="auto"/>
                <w:w w:val="91"/>
              </w:rPr>
              <w:t>Foreign loans (repaid in 2009):</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49"/>
        </w:trPr>
        <w:tc>
          <w:tcPr>
            <w:tcW w:w="2500" w:type="dxa"/>
            <w:vAlign w:val="bottom"/>
            <w:gridSpan w:val="2"/>
          </w:tcPr>
          <w:p>
            <w:pPr>
              <w:ind w:left="200"/>
              <w:spacing w:after="0"/>
              <w:rPr>
                <w:sz w:val="20"/>
                <w:szCs w:val="20"/>
                <w:color w:val="auto"/>
              </w:rPr>
            </w:pPr>
            <w:r>
              <w:rPr>
                <w:rFonts w:ascii="Arial" w:cs="Arial" w:eastAsia="Arial" w:hAnsi="Arial"/>
                <w:sz w:val="20"/>
                <w:szCs w:val="20"/>
                <w:color w:val="auto"/>
              </w:rPr>
              <w:t>Revolving loan</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19,045</w:t>
            </w: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49"/>
        </w:trPr>
        <w:tc>
          <w:tcPr>
            <w:tcW w:w="2500" w:type="dxa"/>
            <w:vAlign w:val="bottom"/>
            <w:gridSpan w:val="2"/>
          </w:tcPr>
          <w:p>
            <w:pPr>
              <w:ind w:left="200"/>
              <w:spacing w:after="0"/>
              <w:rPr>
                <w:sz w:val="20"/>
                <w:szCs w:val="20"/>
                <w:color w:val="auto"/>
              </w:rPr>
            </w:pPr>
            <w:r>
              <w:rPr>
                <w:rFonts w:ascii="Arial" w:cs="Arial" w:eastAsia="Arial" w:hAnsi="Arial"/>
                <w:sz w:val="20"/>
                <w:szCs w:val="20"/>
                <w:color w:val="auto"/>
              </w:rPr>
              <w:t>Term loan</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8,204</w:t>
            </w: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49"/>
        </w:trPr>
        <w:tc>
          <w:tcPr>
            <w:tcW w:w="2500" w:type="dxa"/>
            <w:vAlign w:val="bottom"/>
            <w:gridSpan w:val="2"/>
          </w:tcPr>
          <w:p>
            <w:pPr>
              <w:ind w:left="200"/>
              <w:spacing w:after="0"/>
              <w:rPr>
                <w:sz w:val="20"/>
                <w:szCs w:val="20"/>
                <w:color w:val="auto"/>
              </w:rPr>
            </w:pPr>
            <w:r>
              <w:rPr>
                <w:rFonts w:ascii="Arial" w:cs="Arial" w:eastAsia="Arial" w:hAnsi="Arial"/>
                <w:sz w:val="20"/>
                <w:szCs w:val="20"/>
                <w:color w:val="auto"/>
              </w:rPr>
              <w:t>Short-term loan</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3,296</w:t>
            </w: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90"/>
        </w:trPr>
        <w:tc>
          <w:tcPr>
            <w:tcW w:w="2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7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336699"/>
            </w:tcBorders>
          </w:tcPr>
          <w:p>
            <w:pPr>
              <w:spacing w:after="0"/>
              <w:rPr>
                <w:sz w:val="7"/>
                <w:szCs w:val="7"/>
                <w:color w:val="auto"/>
              </w:rPr>
            </w:pPr>
          </w:p>
        </w:tc>
        <w:tc>
          <w:tcPr>
            <w:tcW w:w="220" w:type="dxa"/>
            <w:vAlign w:val="bottom"/>
            <w:tcBorders>
              <w:bottom w:val="single" w:sz="8" w:color="336699"/>
            </w:tcBorders>
          </w:tcPr>
          <w:p>
            <w:pPr>
              <w:spacing w:after="0"/>
              <w:rPr>
                <w:sz w:val="7"/>
                <w:szCs w:val="7"/>
                <w:color w:val="auto"/>
              </w:rPr>
            </w:pPr>
          </w:p>
        </w:tc>
        <w:tc>
          <w:tcPr>
            <w:tcW w:w="680" w:type="dxa"/>
            <w:vAlign w:val="bottom"/>
            <w:tcBorders>
              <w:bottom w:val="single" w:sz="8" w:color="336699"/>
            </w:tcBorders>
            <w:gridSpan w:val="2"/>
          </w:tcPr>
          <w:p>
            <w:pPr>
              <w:spacing w:after="0"/>
              <w:rPr>
                <w:sz w:val="7"/>
                <w:szCs w:val="7"/>
                <w:color w:val="auto"/>
              </w:rPr>
            </w:pPr>
          </w:p>
        </w:tc>
        <w:tc>
          <w:tcPr>
            <w:tcW w:w="136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310"/>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122,438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w w:val="85"/>
              </w:rPr>
              <w:t>223,609</w:t>
            </w: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4"/>
        </w:trPr>
        <w:tc>
          <w:tcPr>
            <w:tcW w:w="2500" w:type="dxa"/>
            <w:vAlign w:val="bottom"/>
            <w:gridSpan w:val="2"/>
          </w:tcPr>
          <w:p>
            <w:pPr>
              <w:spacing w:after="0"/>
              <w:rPr>
                <w:sz w:val="20"/>
                <w:szCs w:val="20"/>
                <w:color w:val="auto"/>
              </w:rPr>
            </w:pPr>
            <w:r>
              <w:rPr>
                <w:rFonts w:ascii="Arial" w:cs="Arial" w:eastAsia="Arial" w:hAnsi="Arial"/>
                <w:sz w:val="20"/>
                <w:szCs w:val="20"/>
                <w:color w:val="auto"/>
              </w:rPr>
              <w:t>Less current portion</w:t>
            </w:r>
          </w:p>
        </w:tc>
        <w:tc>
          <w:tcPr>
            <w:tcW w:w="1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10,301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20,630</w:t>
            </w:r>
          </w:p>
        </w:tc>
        <w:tc>
          <w:tcPr>
            <w:tcW w:w="136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90"/>
        </w:trPr>
        <w:tc>
          <w:tcPr>
            <w:tcW w:w="2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60" w:type="dxa"/>
            <w:vAlign w:val="bottom"/>
            <w:tcBorders>
              <w:bottom w:val="single" w:sz="8" w:color="336699"/>
            </w:tcBorders>
          </w:tcPr>
          <w:p>
            <w:pPr>
              <w:spacing w:after="0"/>
              <w:rPr>
                <w:sz w:val="7"/>
                <w:szCs w:val="7"/>
                <w:color w:val="auto"/>
              </w:rPr>
            </w:pPr>
          </w:p>
        </w:tc>
        <w:tc>
          <w:tcPr>
            <w:tcW w:w="7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336699"/>
            </w:tcBorders>
          </w:tcPr>
          <w:p>
            <w:pPr>
              <w:spacing w:after="0"/>
              <w:rPr>
                <w:sz w:val="7"/>
                <w:szCs w:val="7"/>
                <w:color w:val="auto"/>
              </w:rPr>
            </w:pPr>
          </w:p>
        </w:tc>
        <w:tc>
          <w:tcPr>
            <w:tcW w:w="900" w:type="dxa"/>
            <w:vAlign w:val="bottom"/>
            <w:tcBorders>
              <w:bottom w:val="single" w:sz="8" w:color="336699"/>
            </w:tcBorders>
            <w:gridSpan w:val="3"/>
          </w:tcPr>
          <w:p>
            <w:pPr>
              <w:spacing w:after="0"/>
              <w:rPr>
                <w:sz w:val="7"/>
                <w:szCs w:val="7"/>
                <w:color w:val="auto"/>
              </w:rPr>
            </w:pPr>
          </w:p>
        </w:tc>
        <w:tc>
          <w:tcPr>
            <w:tcW w:w="136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339"/>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w w:val="88"/>
              </w:rPr>
              <w:t>$112,137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$202,979</w:t>
            </w: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11"/>
        </w:trPr>
        <w:tc>
          <w:tcPr>
            <w:tcW w:w="2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60" w:type="dxa"/>
            <w:vAlign w:val="bottom"/>
            <w:tcBorders>
              <w:bottom w:val="single" w:sz="8" w:color="336699"/>
            </w:tcBorders>
          </w:tcPr>
          <w:p>
            <w:pPr>
              <w:spacing w:after="0"/>
              <w:rPr>
                <w:sz w:val="9"/>
                <w:szCs w:val="9"/>
                <w:color w:val="auto"/>
              </w:rPr>
            </w:pPr>
          </w:p>
        </w:tc>
        <w:tc>
          <w:tcPr>
            <w:tcW w:w="7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336699"/>
            </w:tcBorders>
          </w:tcPr>
          <w:p>
            <w:pPr>
              <w:spacing w:after="0"/>
              <w:rPr>
                <w:sz w:val="9"/>
                <w:szCs w:val="9"/>
                <w:color w:val="auto"/>
              </w:rPr>
            </w:pPr>
          </w:p>
        </w:tc>
        <w:tc>
          <w:tcPr>
            <w:tcW w:w="220" w:type="dxa"/>
            <w:vAlign w:val="bottom"/>
            <w:tcBorders>
              <w:bottom w:val="single" w:sz="8" w:color="336699"/>
            </w:tcBorders>
          </w:tcPr>
          <w:p>
            <w:pPr>
              <w:spacing w:after="0"/>
              <w:rPr>
                <w:sz w:val="9"/>
                <w:szCs w:val="9"/>
                <w:color w:val="auto"/>
              </w:rPr>
            </w:pPr>
          </w:p>
        </w:tc>
        <w:tc>
          <w:tcPr>
            <w:tcW w:w="60" w:type="dxa"/>
            <w:vAlign w:val="bottom"/>
            <w:tcBorders>
              <w:bottom w:val="single" w:sz="8" w:color="336699"/>
            </w:tcBorders>
          </w:tcPr>
          <w:p>
            <w:pPr>
              <w:spacing w:after="0"/>
              <w:rPr>
                <w:sz w:val="9"/>
                <w:szCs w:val="9"/>
                <w:color w:val="auto"/>
              </w:rPr>
            </w:pPr>
          </w:p>
        </w:tc>
        <w:tc>
          <w:tcPr>
            <w:tcW w:w="620" w:type="dxa"/>
            <w:vAlign w:val="bottom"/>
            <w:tcBorders>
              <w:bottom w:val="single" w:sz="8" w:color="336699"/>
            </w:tcBorders>
          </w:tcPr>
          <w:p>
            <w:pPr>
              <w:spacing w:after="0"/>
              <w:rPr>
                <w:sz w:val="9"/>
                <w:szCs w:val="9"/>
                <w:color w:val="auto"/>
              </w:rPr>
            </w:pPr>
          </w:p>
        </w:tc>
        <w:tc>
          <w:tcPr>
            <w:tcW w:w="1360" w:type="dxa"/>
            <w:vAlign w:val="bottom"/>
          </w:tcPr>
          <w:p>
            <w:pPr>
              <w:spacing w:after="0"/>
              <w:rPr>
                <w:sz w:val="9"/>
                <w:szCs w:val="9"/>
                <w:color w:val="auto"/>
              </w:rPr>
            </w:pPr>
          </w:p>
        </w:tc>
        <w:tc>
          <w:tcPr>
            <w:tcW w:w="3200" w:type="dxa"/>
            <w:vAlign w:val="bottom"/>
          </w:tcPr>
          <w:p>
            <w:pPr>
              <w:spacing w:after="0"/>
              <w:rPr>
                <w:sz w:val="9"/>
                <w:szCs w:val="9"/>
                <w:color w:val="auto"/>
              </w:rPr>
            </w:pPr>
          </w:p>
        </w:tc>
      </w:tr>
      <w:tr>
        <w:trPr>
          <w:trHeight w:val="954"/>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20"/>
                <w:szCs w:val="20"/>
                <w:color w:val="auto"/>
              </w:rPr>
              <w:t>-47-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4"/>
        </w:trPr>
        <w:tc>
          <w:tcPr>
            <w:tcW w:w="22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9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32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-769620</wp:posOffset>
            </wp:positionV>
            <wp:extent cx="12700" cy="28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-769620</wp:posOffset>
            </wp:positionV>
            <wp:extent cx="12700" cy="28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-769620</wp:posOffset>
            </wp:positionV>
            <wp:extent cx="12700" cy="28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-769620</wp:posOffset>
            </wp:positionV>
            <wp:extent cx="1270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100" w:firstLine="238"/>
        <w:spacing w:after="0" w:line="265" w:lineRule="auto"/>
        <w:rPr>
          <w:sz w:val="20"/>
          <w:szCs w:val="20"/>
          <w:color w:val="auto"/>
        </w:rPr>
      </w:pPr>
      <w:r>
        <w:rPr>
          <w:rFonts w:ascii="Arial" w:cs="Arial" w:eastAsia="Arial" w:hAnsi="Arial"/>
          <w:sz w:val="19"/>
          <w:szCs w:val="19"/>
          <w:color w:val="auto"/>
        </w:rPr>
        <w:t>As of November 1, 2009, long-term borrowings, excluding capital lease obligations, mature as follows: $9,068 in fiscal year 2010, $20,704 in fiscal year 2011, and $57,500 in fiscal year 2014. It is the Company's intention to pay the $9,068 maturing in 2010 by utilizing funds available under its credit facility and, as a result, this amount has been classified as a long-term borrowing.</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As of November 1, 2009, minimum lease payments under the Company's capital lease obligations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360" w:type="dxa"/>
            <w:vAlign w:val="bottom"/>
          </w:tcPr>
          <w:p>
            <w:pPr>
              <w:spacing w:after="0"/>
              <w:rPr>
                <w:sz w:val="20"/>
                <w:szCs w:val="20"/>
                <w:color w:val="auto"/>
              </w:rPr>
            </w:pPr>
            <w:r>
              <w:rPr>
                <w:rFonts w:ascii="Arial" w:cs="Arial" w:eastAsia="Arial" w:hAnsi="Arial"/>
                <w:sz w:val="20"/>
                <w:szCs w:val="20"/>
                <w:b w:val="1"/>
                <w:bCs w:val="1"/>
                <w:color w:val="auto"/>
              </w:rPr>
              <w:t>Fiscal Year:</w:t>
            </w:r>
          </w:p>
        </w:tc>
        <w:tc>
          <w:tcPr>
            <w:tcW w:w="680" w:type="dxa"/>
            <w:vAlign w:val="bottom"/>
          </w:tcPr>
          <w:p>
            <w:pPr>
              <w:spacing w:after="0"/>
              <w:rPr>
                <w:sz w:val="22"/>
                <w:szCs w:val="22"/>
                <w:color w:val="auto"/>
              </w:rPr>
            </w:pPr>
          </w:p>
        </w:tc>
      </w:tr>
      <w:tr>
        <w:trPr>
          <w:trHeight w:val="419"/>
        </w:trPr>
        <w:tc>
          <w:tcPr>
            <w:tcW w:w="4360" w:type="dxa"/>
            <w:vAlign w:val="bottom"/>
          </w:tcPr>
          <w:p>
            <w:pPr>
              <w:spacing w:after="0"/>
              <w:rPr>
                <w:sz w:val="20"/>
                <w:szCs w:val="20"/>
                <w:color w:val="auto"/>
              </w:rPr>
            </w:pPr>
            <w:r>
              <w:rPr>
                <w:rFonts w:ascii="Arial" w:cs="Arial" w:eastAsia="Arial" w:hAnsi="Arial"/>
                <w:sz w:val="20"/>
                <w:szCs w:val="20"/>
                <w:color w:val="auto"/>
              </w:rPr>
              <w:t>2010</w:t>
            </w:r>
          </w:p>
        </w:tc>
        <w:tc>
          <w:tcPr>
            <w:tcW w:w="680" w:type="dxa"/>
            <w:vAlign w:val="bottom"/>
          </w:tcPr>
          <w:p>
            <w:pPr>
              <w:jc w:val="right"/>
              <w:spacing w:after="0"/>
              <w:rPr>
                <w:sz w:val="20"/>
                <w:szCs w:val="20"/>
                <w:color w:val="auto"/>
              </w:rPr>
            </w:pPr>
            <w:r>
              <w:rPr>
                <w:rFonts w:ascii="Arial" w:cs="Arial" w:eastAsia="Arial" w:hAnsi="Arial"/>
                <w:sz w:val="20"/>
                <w:szCs w:val="20"/>
                <w:color w:val="auto"/>
                <w:w w:val="85"/>
              </w:rPr>
              <w:t>$12,149</w:t>
            </w:r>
          </w:p>
        </w:tc>
      </w:tr>
      <w:tr>
        <w:trPr>
          <w:trHeight w:val="224"/>
        </w:trPr>
        <w:tc>
          <w:tcPr>
            <w:tcW w:w="4360" w:type="dxa"/>
            <w:vAlign w:val="bottom"/>
          </w:tcPr>
          <w:p>
            <w:pPr>
              <w:spacing w:after="0" w:line="225" w:lineRule="exact"/>
              <w:rPr>
                <w:sz w:val="20"/>
                <w:szCs w:val="20"/>
                <w:color w:val="auto"/>
              </w:rPr>
            </w:pPr>
            <w:r>
              <w:rPr>
                <w:rFonts w:ascii="Arial" w:cs="Arial" w:eastAsia="Arial" w:hAnsi="Arial"/>
                <w:sz w:val="20"/>
                <w:szCs w:val="20"/>
                <w:color w:val="auto"/>
              </w:rPr>
              <w:t>2011</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12,531</w:t>
            </w:r>
          </w:p>
        </w:tc>
      </w:tr>
      <w:tr>
        <w:trPr>
          <w:trHeight w:val="224"/>
        </w:trPr>
        <w:tc>
          <w:tcPr>
            <w:tcW w:w="4360" w:type="dxa"/>
            <w:vAlign w:val="bottom"/>
          </w:tcPr>
          <w:p>
            <w:pPr>
              <w:spacing w:after="0" w:line="225" w:lineRule="exact"/>
              <w:rPr>
                <w:sz w:val="20"/>
                <w:szCs w:val="20"/>
                <w:color w:val="auto"/>
              </w:rPr>
            </w:pPr>
            <w:r>
              <w:rPr>
                <w:rFonts w:ascii="Arial" w:cs="Arial" w:eastAsia="Arial" w:hAnsi="Arial"/>
                <w:sz w:val="20"/>
                <w:szCs w:val="20"/>
                <w:color w:val="auto"/>
              </w:rPr>
              <w:t>2012</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12,531</w:t>
            </w:r>
          </w:p>
        </w:tc>
      </w:tr>
      <w:tr>
        <w:trPr>
          <w:trHeight w:val="254"/>
        </w:trPr>
        <w:tc>
          <w:tcPr>
            <w:tcW w:w="4360" w:type="dxa"/>
            <w:vAlign w:val="bottom"/>
          </w:tcPr>
          <w:p>
            <w:pPr>
              <w:spacing w:after="0"/>
              <w:rPr>
                <w:sz w:val="20"/>
                <w:szCs w:val="20"/>
                <w:color w:val="auto"/>
              </w:rPr>
            </w:pPr>
            <w:r>
              <w:rPr>
                <w:rFonts w:ascii="Arial" w:cs="Arial" w:eastAsia="Arial" w:hAnsi="Arial"/>
                <w:sz w:val="20"/>
                <w:szCs w:val="20"/>
                <w:color w:val="auto"/>
              </w:rPr>
              <w:t>2013</w:t>
            </w:r>
          </w:p>
        </w:tc>
        <w:tc>
          <w:tcPr>
            <w:tcW w:w="680" w:type="dxa"/>
            <w:vAlign w:val="bottom"/>
          </w:tcPr>
          <w:p>
            <w:pPr>
              <w:jc w:val="right"/>
              <w:spacing w:after="0"/>
              <w:rPr>
                <w:sz w:val="20"/>
                <w:szCs w:val="20"/>
                <w:color w:val="auto"/>
              </w:rPr>
            </w:pPr>
            <w:r>
              <w:rPr>
                <w:rFonts w:ascii="Arial" w:cs="Arial" w:eastAsia="Arial" w:hAnsi="Arial"/>
                <w:sz w:val="20"/>
                <w:szCs w:val="20"/>
                <w:color w:val="auto"/>
              </w:rPr>
              <w:t>2,369</w:t>
            </w:r>
          </w:p>
        </w:tc>
      </w:tr>
      <w:tr>
        <w:trPr>
          <w:trHeight w:val="90"/>
        </w:trPr>
        <w:tc>
          <w:tcPr>
            <w:tcW w:w="436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r>
      <w:tr>
        <w:trPr>
          <w:trHeight w:val="339"/>
        </w:trPr>
        <w:tc>
          <w:tcPr>
            <w:tcW w:w="4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39,580</w:t>
            </w:r>
          </w:p>
        </w:tc>
      </w:tr>
    </w:tbl>
    <w:p>
      <w:pPr>
        <w:sectPr>
          <w:pgSz w:w="11900" w:h="16914" w:orient="portrait"/>
          <w:cols w:equalWidth="0" w:num="1">
            <w:col w:w="11460"/>
          </w:cols>
          <w:pgMar w:left="240" w:top="120" w:right="199" w:bottom="0" w:gutter="0" w:footer="0" w:header="0"/>
        </w:sectPr>
      </w:pPr>
    </w:p>
    <w:bookmarkStart w:id="37" w:name="page38"/>
    <w:bookmarkEnd w:id="37"/>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360" w:type="dxa"/>
            <w:vAlign w:val="bottom"/>
          </w:tcPr>
          <w:p>
            <w:pPr>
              <w:spacing w:after="0"/>
              <w:rPr>
                <w:sz w:val="20"/>
                <w:szCs w:val="20"/>
                <w:color w:val="auto"/>
              </w:rPr>
            </w:pPr>
            <w:r>
              <w:rPr>
                <w:rFonts w:ascii="Arial" w:cs="Arial" w:eastAsia="Arial" w:hAnsi="Arial"/>
                <w:sz w:val="20"/>
                <w:szCs w:val="20"/>
                <w:color w:val="auto"/>
              </w:rPr>
              <w:t>Less interest</w:t>
            </w:r>
          </w:p>
        </w:tc>
        <w:tc>
          <w:tcPr>
            <w:tcW w:w="680" w:type="dxa"/>
            <w:vAlign w:val="bottom"/>
          </w:tcPr>
          <w:p>
            <w:pPr>
              <w:jc w:val="right"/>
              <w:spacing w:after="0"/>
              <w:rPr>
                <w:sz w:val="20"/>
                <w:szCs w:val="20"/>
                <w:color w:val="auto"/>
              </w:rPr>
            </w:pPr>
            <w:r>
              <w:rPr>
                <w:rFonts w:ascii="Arial" w:cs="Arial" w:eastAsia="Arial" w:hAnsi="Arial"/>
                <w:sz w:val="20"/>
                <w:szCs w:val="20"/>
                <w:color w:val="auto"/>
              </w:rPr>
              <w:t>4,414</w:t>
            </w:r>
          </w:p>
        </w:tc>
      </w:tr>
      <w:tr>
        <w:trPr>
          <w:trHeight w:val="90"/>
        </w:trPr>
        <w:tc>
          <w:tcPr>
            <w:tcW w:w="436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r>
      <w:tr>
        <w:trPr>
          <w:trHeight w:val="310"/>
        </w:trPr>
        <w:tc>
          <w:tcPr>
            <w:tcW w:w="4360" w:type="dxa"/>
            <w:vAlign w:val="bottom"/>
          </w:tcPr>
          <w:p>
            <w:pPr>
              <w:spacing w:after="0"/>
              <w:rPr>
                <w:sz w:val="20"/>
                <w:szCs w:val="20"/>
                <w:color w:val="auto"/>
              </w:rPr>
            </w:pPr>
            <w:r>
              <w:rPr>
                <w:rFonts w:ascii="Arial" w:cs="Arial" w:eastAsia="Arial" w:hAnsi="Arial"/>
                <w:sz w:val="20"/>
                <w:szCs w:val="20"/>
                <w:color w:val="auto"/>
                <w:w w:val="97"/>
              </w:rPr>
              <w:t>Net minimum lease payments under capital leases</w:t>
            </w:r>
          </w:p>
        </w:tc>
        <w:tc>
          <w:tcPr>
            <w:tcW w:w="680" w:type="dxa"/>
            <w:vAlign w:val="bottom"/>
          </w:tcPr>
          <w:p>
            <w:pPr>
              <w:jc w:val="right"/>
              <w:spacing w:after="0"/>
              <w:rPr>
                <w:sz w:val="20"/>
                <w:szCs w:val="20"/>
                <w:color w:val="auto"/>
              </w:rPr>
            </w:pPr>
            <w:r>
              <w:rPr>
                <w:rFonts w:ascii="Arial" w:cs="Arial" w:eastAsia="Arial" w:hAnsi="Arial"/>
                <w:sz w:val="20"/>
                <w:szCs w:val="20"/>
                <w:color w:val="auto"/>
              </w:rPr>
              <w:t>35,166</w:t>
            </w:r>
          </w:p>
        </w:tc>
      </w:tr>
      <w:tr>
        <w:trPr>
          <w:trHeight w:val="254"/>
        </w:trPr>
        <w:tc>
          <w:tcPr>
            <w:tcW w:w="4360" w:type="dxa"/>
            <w:vAlign w:val="bottom"/>
          </w:tcPr>
          <w:p>
            <w:pPr>
              <w:spacing w:after="0"/>
              <w:rPr>
                <w:sz w:val="20"/>
                <w:szCs w:val="20"/>
                <w:color w:val="auto"/>
              </w:rPr>
            </w:pPr>
            <w:r>
              <w:rPr>
                <w:rFonts w:ascii="Arial" w:cs="Arial" w:eastAsia="Arial" w:hAnsi="Arial"/>
                <w:sz w:val="20"/>
                <w:szCs w:val="20"/>
                <w:color w:val="auto"/>
                <w:w w:val="93"/>
              </w:rPr>
              <w:t>Less current portion of net minimum lease payments</w:t>
            </w:r>
          </w:p>
        </w:tc>
        <w:tc>
          <w:tcPr>
            <w:tcW w:w="680" w:type="dxa"/>
            <w:vAlign w:val="bottom"/>
          </w:tcPr>
          <w:p>
            <w:pPr>
              <w:jc w:val="right"/>
              <w:spacing w:after="0"/>
              <w:rPr>
                <w:sz w:val="20"/>
                <w:szCs w:val="20"/>
                <w:color w:val="auto"/>
              </w:rPr>
            </w:pPr>
            <w:r>
              <w:rPr>
                <w:rFonts w:ascii="Arial" w:cs="Arial" w:eastAsia="Arial" w:hAnsi="Arial"/>
                <w:sz w:val="20"/>
                <w:szCs w:val="20"/>
                <w:color w:val="auto"/>
              </w:rPr>
              <w:t>10,301</w:t>
            </w:r>
          </w:p>
        </w:tc>
      </w:tr>
      <w:tr>
        <w:trPr>
          <w:trHeight w:val="90"/>
        </w:trPr>
        <w:tc>
          <w:tcPr>
            <w:tcW w:w="436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r>
      <w:tr>
        <w:trPr>
          <w:trHeight w:val="339"/>
        </w:trPr>
        <w:tc>
          <w:tcPr>
            <w:tcW w:w="4360" w:type="dxa"/>
            <w:vAlign w:val="bottom"/>
          </w:tcPr>
          <w:p>
            <w:pPr>
              <w:spacing w:after="0"/>
              <w:rPr>
                <w:sz w:val="20"/>
                <w:szCs w:val="20"/>
                <w:color w:val="auto"/>
              </w:rPr>
            </w:pPr>
            <w:r>
              <w:rPr>
                <w:rFonts w:ascii="Arial" w:cs="Arial" w:eastAsia="Arial" w:hAnsi="Arial"/>
                <w:sz w:val="20"/>
                <w:szCs w:val="20"/>
                <w:color w:val="auto"/>
              </w:rPr>
              <w:t>Long-term portion of minimum lease payments</w:t>
            </w:r>
          </w:p>
        </w:tc>
        <w:tc>
          <w:tcPr>
            <w:tcW w:w="680" w:type="dxa"/>
            <w:vAlign w:val="bottom"/>
          </w:tcPr>
          <w:p>
            <w:pPr>
              <w:jc w:val="right"/>
              <w:spacing w:after="0"/>
              <w:rPr>
                <w:sz w:val="20"/>
                <w:szCs w:val="20"/>
                <w:color w:val="auto"/>
              </w:rPr>
            </w:pPr>
            <w:r>
              <w:rPr>
                <w:rFonts w:ascii="Arial" w:cs="Arial" w:eastAsia="Arial" w:hAnsi="Arial"/>
                <w:sz w:val="20"/>
                <w:szCs w:val="20"/>
                <w:color w:val="auto"/>
                <w:w w:val="85"/>
              </w:rPr>
              <w:t>$24,865</w:t>
            </w:r>
          </w:p>
        </w:tc>
      </w:tr>
      <w:tr>
        <w:trPr>
          <w:trHeight w:val="111"/>
        </w:trPr>
        <w:tc>
          <w:tcPr>
            <w:tcW w:w="4360" w:type="dxa"/>
            <w:vAlign w:val="bottom"/>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-27940</wp:posOffset>
            </wp:positionV>
            <wp:extent cx="12700" cy="285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-27940</wp:posOffset>
            </wp:positionV>
            <wp:extent cx="12700" cy="285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249"/>
        <w:spacing w:after="0" w:line="270" w:lineRule="auto"/>
        <w:rPr>
          <w:sz w:val="20"/>
          <w:szCs w:val="20"/>
          <w:color w:val="auto"/>
        </w:rPr>
      </w:pPr>
      <w:r>
        <w:rPr>
          <w:rFonts w:ascii="Arial" w:cs="Arial" w:eastAsia="Arial" w:hAnsi="Arial"/>
          <w:sz w:val="18"/>
          <w:szCs w:val="18"/>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 which were used to reduce outstanding amounts under the Company's credit facility.</w:t>
      </w:r>
    </w:p>
    <w:p>
      <w:pPr>
        <w:spacing w:after="0" w:line="148" w:lineRule="exact"/>
        <w:rPr>
          <w:sz w:val="20"/>
          <w:szCs w:val="20"/>
          <w:color w:val="auto"/>
        </w:rPr>
      </w:pPr>
    </w:p>
    <w:p>
      <w:pPr>
        <w:ind w:right="40" w:firstLine="249"/>
        <w:spacing w:after="0" w:line="269" w:lineRule="auto"/>
        <w:rPr>
          <w:sz w:val="20"/>
          <w:szCs w:val="20"/>
          <w:color w:val="auto"/>
        </w:rPr>
      </w:pPr>
      <w:r>
        <w:rPr>
          <w:rFonts w:ascii="Arial" w:cs="Arial" w:eastAsia="Arial" w:hAnsi="Arial"/>
          <w:sz w:val="18"/>
          <w:szCs w:val="18"/>
          <w:color w:val="auto"/>
        </w:rPr>
        <w:t>On June 6, 2007, the Company and a group of financial institutions entered into a credit agreement, which allows for borrowings under various currencies. In 2008 and 2009 the credit agreement was amended and on May 15, 2009 the maturity date of the agreement was changed from July 30, 2010 to January 31, 2011 and the aggregate commitment was amended and reduced to $130 million. Per the credit agreement, the bank debt repayments primarily from the net proceeds of the convertible debt and common stock offerings, further reduced the aggregate commitment and as of November 1, 2009 the aggregate commitment was $50 million. On January 31, 2010 the aggregate commitment will be further reduced to $34 million. Amounts borrowed under the credit agreement are secured by substantially all of the Company's assets located in the United States as well as stock held by the Company of certain of its subsidiaries.</w:t>
      </w:r>
    </w:p>
    <w:p>
      <w:pPr>
        <w:spacing w:after="0" w:line="146" w:lineRule="exact"/>
        <w:rPr>
          <w:sz w:val="20"/>
          <w:szCs w:val="20"/>
          <w:color w:val="auto"/>
        </w:rPr>
      </w:pPr>
    </w:p>
    <w:p>
      <w:pPr>
        <w:ind w:firstLine="246"/>
        <w:spacing w:after="0" w:line="249" w:lineRule="auto"/>
        <w:rPr>
          <w:sz w:val="20"/>
          <w:szCs w:val="20"/>
          <w:color w:val="auto"/>
        </w:rPr>
      </w:pPr>
      <w:r>
        <w:rPr>
          <w:rFonts w:ascii="Arial" w:cs="Arial" w:eastAsia="Arial" w:hAnsi="Arial"/>
          <w:sz w:val="19"/>
          <w:szCs w:val="19"/>
          <w:color w:val="auto"/>
        </w:rPr>
        <w:t>The cash interest rate on the outstanding debt balance is the greater of LIBOR or two percent, plus a spread, as defined. Fourth quarter 2009 payment-in-kind (PIK) interest, which accrues in the outstanding debt balance, is one percent and increases fifty basis points per quarter to a maximum of two and one-half percent. The PIK interest can be paid during the term of the credit facility or at maturity. In addition, the Company entered into a warrant agreement with its lenders for 2.1 million shares of its common stock. Forty percent of the warrants were exercisable upon issuance, with twenty percent increments exercisable after October 31, 2009, April 30, 2010, and October 31, 2010 at an exercise price of $0.01 per share. In fiscal 2009, approximately 0.1 million warrants were exercised and 1.2 million were cancelled in connection with the Company's early repayment of a portion of the outstanding balance under its credit facility. At November 1, 2009, 0.8 million of these warrants remained outstanding and exercisable. The warrant agreement also includes a net cash settleable put provision exercisable starting in May 2012 and a call provision exercisable starting in May 2013, both of which are exercisable only if the Company's common stock is not traded on a national exchange or if its credit facility, which matures on January 31, 2011, is not paid in full by another financing facility (new credit facility, debt and/or equity securities, or capital contributions) or with other funds. As a result of the aforementioned net cash settleable put provisions, the warrants were recorded as a liability (included in other liabilities) and are subsequently reported at their fair value.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firstLine="246"/>
        <w:spacing w:after="0"/>
        <w:rPr>
          <w:sz w:val="20"/>
          <w:szCs w:val="20"/>
          <w:color w:val="auto"/>
        </w:rPr>
      </w:pPr>
      <w:r>
        <w:rPr>
          <w:rFonts w:ascii="Arial" w:cs="Arial" w:eastAsia="Arial" w:hAnsi="Arial"/>
          <w:sz w:val="20"/>
          <w:szCs w:val="20"/>
          <w:color w:val="auto"/>
        </w:rPr>
        <w:t>The credit facility's financial covenants include, among other items as defined: a Senior Leverage Ratio, Total Leverage Ratio, Minimum Fixed Charge Ratio, Maximum Capital Expenditures limitation, and a six-month minimum EBITDA covenant. Cash received as a result of certain defined events is required to be used to pay down the outstanding loan balance and reduce the available credit facility by the same amount. In addition, the credit facility prohibits the payment of dividends and requires Minimum Unrestricted Cash Balances, as defined, at the end of each quarter.</w:t>
      </w:r>
    </w:p>
    <w:p>
      <w:pPr>
        <w:spacing w:after="0" w:line="171" w:lineRule="exact"/>
        <w:rPr>
          <w:sz w:val="20"/>
          <w:szCs w:val="20"/>
          <w:color w:val="auto"/>
        </w:rPr>
      </w:pPr>
    </w:p>
    <w:p>
      <w:pPr>
        <w:ind w:right="120" w:firstLine="249"/>
        <w:spacing w:after="0"/>
        <w:rPr>
          <w:sz w:val="20"/>
          <w:szCs w:val="20"/>
          <w:color w:val="auto"/>
        </w:rPr>
      </w:pPr>
      <w:r>
        <w:rPr>
          <w:rFonts w:ascii="Arial" w:cs="Arial" w:eastAsia="Arial" w:hAnsi="Arial"/>
          <w:sz w:val="20"/>
          <w:szCs w:val="20"/>
          <w:color w:val="auto"/>
        </w:rPr>
        <w:t>Net proceeds of the Company's 5.5% convertible debt and common stock offerings of approximately $98 million, cash from operations of $18 million and proceeds from the sale of the Manchester, U.K. facility of $4.3 million were used to reduce the credit facilities outstanding balance from $122.5 million at November 2, 2008 to its November 1, 2009 balance of $2.6 million, which included the above mentioned PIK interest. The Company's available credit under its credit facility has been reduced to $50.0 million, $47.4 million of which is unused at November 1, 2009, and all of which is due on January 31, 2011.</w:t>
      </w:r>
    </w:p>
    <w:p>
      <w:pPr>
        <w:spacing w:after="0" w:line="171" w:lineRule="exact"/>
        <w:rPr>
          <w:sz w:val="20"/>
          <w:szCs w:val="20"/>
          <w:color w:val="auto"/>
        </w:rPr>
      </w:pPr>
    </w:p>
    <w:p>
      <w:pPr>
        <w:ind w:right="120" w:firstLine="249"/>
        <w:spacing w:after="0" w:line="270" w:lineRule="auto"/>
        <w:rPr>
          <w:sz w:val="20"/>
          <w:szCs w:val="20"/>
          <w:color w:val="auto"/>
        </w:rPr>
      </w:pPr>
      <w:r>
        <w:rPr>
          <w:rFonts w:ascii="Arial" w:cs="Arial" w:eastAsia="Arial" w:hAnsi="Arial"/>
          <w:sz w:val="18"/>
          <w:szCs w:val="18"/>
          <w:color w:val="auto"/>
        </w:rPr>
        <w:t>In addition to the credit facility discussed above, the Company also entered into a term loan agreement in the U.S. dated June 8, 2009 with an aggregate commitment of $27.2 million. The term loan has the same interest rate terms, maturity date and covenants as the credit facility discussed above. In June 2009, the Company borrowed $27.2 million under the term loan and used the proceeds of this loan to repay the remaining outstanding balances of its foreign loans in China. Under the terms of the term loan agreement, $9.1 million is due on January 31, 2010 and the remaining balance is due by January 31, 2011. It is the Company's intention to pay the $9.1 million due on January 31, 2010 by utilizing funds available under its credit facility and, therefore, the Company has classified the $9.1 million as a long-term borrowing.</w:t>
      </w:r>
    </w:p>
    <w:p>
      <w:pPr>
        <w:spacing w:after="0" w:line="148" w:lineRule="exact"/>
        <w:rPr>
          <w:sz w:val="20"/>
          <w:szCs w:val="20"/>
          <w:color w:val="auto"/>
        </w:rPr>
      </w:pPr>
    </w:p>
    <w:p>
      <w:pPr>
        <w:ind w:right="180" w:firstLine="238"/>
        <w:spacing w:after="0" w:line="278" w:lineRule="auto"/>
        <w:rPr>
          <w:sz w:val="20"/>
          <w:szCs w:val="20"/>
          <w:color w:val="auto"/>
        </w:rPr>
      </w:pPr>
      <w:r>
        <w:rPr>
          <w:rFonts w:ascii="Arial" w:cs="Arial" w:eastAsia="Arial" w:hAnsi="Arial"/>
          <w:sz w:val="18"/>
          <w:szCs w:val="18"/>
          <w:color w:val="auto"/>
        </w:rPr>
        <w:t>As of November 2, 2008, foreign loans were in China, and consisted of a term and revolving debt credit facility and a short-term loan, which were fully outstanding, and amounted to RMB 186 million ($27.2 million) and RMB 22.5 million ($3.3 million), respectively. Interest rates were variable and based on the People's Bank of China base rate, plus a spread, as defined. The short-term credit line was repaid in March 2009 and the term and revolving debt credit facility were repaid with the proceeds of the term loan entered into in June 2009.</w:t>
      </w:r>
    </w:p>
    <w:p>
      <w:pPr>
        <w:spacing w:after="0" w:line="138" w:lineRule="exact"/>
        <w:rPr>
          <w:sz w:val="20"/>
          <w:szCs w:val="20"/>
          <w:color w:val="auto"/>
        </w:rPr>
      </w:pPr>
    </w:p>
    <w:p>
      <w:pPr>
        <w:ind w:right="20" w:firstLine="249"/>
        <w:spacing w:after="0" w:line="269" w:lineRule="auto"/>
        <w:rPr>
          <w:sz w:val="20"/>
          <w:szCs w:val="20"/>
          <w:color w:val="auto"/>
        </w:rPr>
      </w:pPr>
      <w:r>
        <w:rPr>
          <w:rFonts w:ascii="Arial" w:cs="Arial" w:eastAsia="Arial" w:hAnsi="Arial"/>
          <w:sz w:val="18"/>
          <w:szCs w:val="18"/>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w:t>
      </w:r>
    </w:p>
    <w:p>
      <w:pPr>
        <w:sectPr>
          <w:pgSz w:w="11900" w:h="16938" w:orient="portrait"/>
          <w:cols w:equalWidth="0" w:num="1">
            <w:col w:w="11420"/>
          </w:cols>
          <w:pgMar w:left="240" w:top="120" w:right="239" w:bottom="0" w:gutter="0" w:footer="0" w:header="0"/>
        </w:sectPr>
      </w:pPr>
    </w:p>
    <w:bookmarkStart w:id="38" w:name="page39"/>
    <w:bookmarkEnd w:id="38"/>
    <w:p>
      <w:pPr>
        <w:ind w:right="240"/>
        <w:spacing w:after="0" w:line="259" w:lineRule="auto"/>
        <w:rPr>
          <w:sz w:val="20"/>
          <w:szCs w:val="20"/>
          <w:color w:val="auto"/>
        </w:rPr>
      </w:pPr>
      <w:r>
        <w:rPr>
          <w:rFonts w:ascii="Arial" w:cs="Arial" w:eastAsia="Arial" w:hAnsi="Arial"/>
          <w:sz w:val="20"/>
          <w:szCs w:val="20"/>
          <w:color w:val="auto"/>
        </w:rPr>
        <w:t>lease will be accounted for as an operating lease. As of November 1, 2009, total capital lease amounts payable were $25.8 million, of which $22.5 million represented principal and $3.3 million represented interest.</w:t>
      </w:r>
    </w:p>
    <w:p>
      <w:pPr>
        <w:spacing w:after="0" w:line="153" w:lineRule="exact"/>
        <w:rPr>
          <w:sz w:val="20"/>
          <w:szCs w:val="20"/>
          <w:color w:val="auto"/>
        </w:rPr>
      </w:pPr>
    </w:p>
    <w:p>
      <w:pPr>
        <w:ind w:right="180" w:firstLine="249"/>
        <w:spacing w:after="0" w:line="287"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30" w:lineRule="exact"/>
        <w:rPr>
          <w:sz w:val="20"/>
          <w:szCs w:val="20"/>
          <w:color w:val="auto"/>
        </w:rPr>
      </w:pPr>
    </w:p>
    <w:p>
      <w:pPr>
        <w:ind w:right="580" w:firstLine="249"/>
        <w:spacing w:after="0" w:line="285" w:lineRule="auto"/>
        <w:rPr>
          <w:sz w:val="20"/>
          <w:szCs w:val="20"/>
          <w:color w:val="auto"/>
        </w:rPr>
      </w:pPr>
      <w:r>
        <w:rPr>
          <w:rFonts w:ascii="Arial" w:cs="Arial" w:eastAsia="Arial" w:hAnsi="Arial"/>
          <w:sz w:val="19"/>
          <w:szCs w:val="19"/>
          <w:color w:val="auto"/>
        </w:rPr>
        <w:t>Interest payments were $20.8 million, $12.5 million and $8.1 million in fiscal 2009, 2008 and 2007, respectively; including deferred financing cost payments of $6.5 million, $1.6 million and $0.5 million in fiscal 2009, 2008 and 2007,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Common Stock Warrants</w:t>
      </w:r>
    </w:p>
    <w:p>
      <w:pPr>
        <w:spacing w:after="0" w:line="200" w:lineRule="exact"/>
        <w:rPr>
          <w:sz w:val="20"/>
          <w:szCs w:val="20"/>
          <w:color w:val="auto"/>
        </w:rPr>
      </w:pPr>
    </w:p>
    <w:p>
      <w:pPr>
        <w:ind w:firstLine="249"/>
        <w:spacing w:after="0" w:line="251" w:lineRule="auto"/>
        <w:rPr>
          <w:sz w:val="20"/>
          <w:szCs w:val="20"/>
          <w:color w:val="auto"/>
        </w:rPr>
      </w:pPr>
      <w:r>
        <w:rPr>
          <w:rFonts w:ascii="Arial" w:cs="Arial" w:eastAsia="Arial" w:hAnsi="Arial"/>
          <w:sz w:val="19"/>
          <w:szCs w:val="19"/>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The warrants were recorded at their fair value on their date of grant, which was determined using the Black-Scholes option pricing model.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May 15, 2009 amendment to its credit facility, the Company also entered into a warrant agreement with its lenders.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See Note 7 for further discussion of these warrants.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OPERATING LEASES</w:t>
      </w:r>
    </w:p>
    <w:p>
      <w:pPr>
        <w:spacing w:after="0" w:line="200" w:lineRule="exact"/>
        <w:rPr>
          <w:sz w:val="20"/>
          <w:szCs w:val="20"/>
          <w:color w:val="auto"/>
        </w:rPr>
      </w:pPr>
    </w:p>
    <w:p>
      <w:pPr>
        <w:jc w:val="both"/>
        <w:ind w:right="80" w:firstLine="246"/>
        <w:spacing w:after="0" w:line="278" w:lineRule="auto"/>
        <w:rPr>
          <w:sz w:val="20"/>
          <w:szCs w:val="20"/>
          <w:color w:val="auto"/>
        </w:rPr>
      </w:pPr>
      <w:r>
        <w:rPr>
          <w:rFonts w:ascii="Arial" w:cs="Arial" w:eastAsia="Arial" w:hAnsi="Arial"/>
          <w:sz w:val="18"/>
          <w:szCs w:val="18"/>
          <w:color w:val="auto"/>
        </w:rPr>
        <w:t>The Company leases various real estate and equipment under non-cancelable operating leases. Rental expense under such leases amounted to $3.6 million in fiscal 2009, $3.1 million in fiscal 2008 and $3.4 million in fiscal 2007. As discussed in Note 7, the Company entered into a new lease agreement for the U.S. nanoFab, under which the lease will be accounted for as a capital lease through December 31, 2012 (the end date of its original lease term) and, thereafter, as an operating lease through its expiration on December 31, 2014.</w:t>
      </w:r>
    </w:p>
    <w:p>
      <w:pPr>
        <w:spacing w:after="0" w:line="138" w:lineRule="exact"/>
        <w:rPr>
          <w:sz w:val="20"/>
          <w:szCs w:val="20"/>
          <w:color w:val="auto"/>
        </w:rPr>
      </w:pPr>
    </w:p>
    <w:p>
      <w:pPr>
        <w:ind w:right="160" w:firstLine="249"/>
        <w:spacing w:after="0" w:line="258" w:lineRule="auto"/>
        <w:rPr>
          <w:sz w:val="20"/>
          <w:szCs w:val="20"/>
          <w:color w:val="auto"/>
        </w:rPr>
      </w:pPr>
      <w:r>
        <w:rPr>
          <w:rFonts w:ascii="Arial" w:cs="Arial" w:eastAsia="Arial" w:hAnsi="Arial"/>
          <w:sz w:val="20"/>
          <w:szCs w:val="20"/>
          <w:color w:val="auto"/>
        </w:rPr>
        <w:t>Future minimum lease payments under non-cancelable operating leases (including lease payments in 2013 and 2014 for the U.S. nanoFab facility discussed above) with initial or remaining terms in excess of one year at November 1, 2009 follow: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2010</w:t>
            </w:r>
          </w:p>
        </w:tc>
        <w:tc>
          <w:tcPr>
            <w:tcW w:w="680" w:type="dxa"/>
            <w:vAlign w:val="bottom"/>
          </w:tcPr>
          <w:p>
            <w:pPr>
              <w:jc w:val="right"/>
              <w:spacing w:after="0"/>
              <w:rPr>
                <w:sz w:val="20"/>
                <w:szCs w:val="20"/>
                <w:color w:val="auto"/>
              </w:rPr>
            </w:pPr>
            <w:r>
              <w:rPr>
                <w:rFonts w:ascii="Arial" w:cs="Arial" w:eastAsia="Arial" w:hAnsi="Arial"/>
                <w:sz w:val="20"/>
                <w:szCs w:val="20"/>
                <w:color w:val="auto"/>
                <w:w w:val="95"/>
              </w:rPr>
              <w:t>$ 2,157</w:t>
            </w:r>
          </w:p>
        </w:tc>
      </w:tr>
      <w:tr>
        <w:trPr>
          <w:trHeight w:val="224"/>
        </w:trPr>
        <w:tc>
          <w:tcPr>
            <w:tcW w:w="980" w:type="dxa"/>
            <w:vAlign w:val="bottom"/>
          </w:tcPr>
          <w:p>
            <w:pPr>
              <w:spacing w:after="0" w:line="225" w:lineRule="exact"/>
              <w:rPr>
                <w:sz w:val="20"/>
                <w:szCs w:val="20"/>
                <w:color w:val="auto"/>
              </w:rPr>
            </w:pPr>
            <w:r>
              <w:rPr>
                <w:rFonts w:ascii="Arial" w:cs="Arial" w:eastAsia="Arial" w:hAnsi="Arial"/>
                <w:sz w:val="20"/>
                <w:szCs w:val="20"/>
                <w:color w:val="auto"/>
              </w:rPr>
              <w:t>2011</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1,715</w:t>
            </w:r>
          </w:p>
        </w:tc>
      </w:tr>
      <w:tr>
        <w:trPr>
          <w:trHeight w:val="224"/>
        </w:trPr>
        <w:tc>
          <w:tcPr>
            <w:tcW w:w="980" w:type="dxa"/>
            <w:vAlign w:val="bottom"/>
          </w:tcPr>
          <w:p>
            <w:pPr>
              <w:spacing w:after="0" w:line="225" w:lineRule="exact"/>
              <w:rPr>
                <w:sz w:val="20"/>
                <w:szCs w:val="20"/>
                <w:color w:val="auto"/>
              </w:rPr>
            </w:pPr>
            <w:r>
              <w:rPr>
                <w:rFonts w:ascii="Arial" w:cs="Arial" w:eastAsia="Arial" w:hAnsi="Arial"/>
                <w:sz w:val="20"/>
                <w:szCs w:val="20"/>
                <w:color w:val="auto"/>
              </w:rPr>
              <w:t>2012</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1,473</w:t>
            </w:r>
          </w:p>
        </w:tc>
      </w:tr>
      <w:tr>
        <w:trPr>
          <w:trHeight w:val="224"/>
        </w:trPr>
        <w:tc>
          <w:tcPr>
            <w:tcW w:w="980" w:type="dxa"/>
            <w:vAlign w:val="bottom"/>
          </w:tcPr>
          <w:p>
            <w:pPr>
              <w:spacing w:after="0" w:line="225" w:lineRule="exact"/>
              <w:rPr>
                <w:sz w:val="20"/>
                <w:szCs w:val="20"/>
                <w:color w:val="auto"/>
              </w:rPr>
            </w:pPr>
            <w:r>
              <w:rPr>
                <w:rFonts w:ascii="Arial" w:cs="Arial" w:eastAsia="Arial" w:hAnsi="Arial"/>
                <w:sz w:val="20"/>
                <w:szCs w:val="20"/>
                <w:color w:val="auto"/>
              </w:rPr>
              <w:t>2013</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7,112</w:t>
            </w:r>
          </w:p>
        </w:tc>
      </w:tr>
      <w:tr>
        <w:trPr>
          <w:trHeight w:val="224"/>
        </w:trPr>
        <w:tc>
          <w:tcPr>
            <w:tcW w:w="980" w:type="dxa"/>
            <w:vAlign w:val="bottom"/>
          </w:tcPr>
          <w:p>
            <w:pPr>
              <w:spacing w:after="0" w:line="225" w:lineRule="exact"/>
              <w:rPr>
                <w:sz w:val="20"/>
                <w:szCs w:val="20"/>
                <w:color w:val="auto"/>
              </w:rPr>
            </w:pPr>
            <w:r>
              <w:rPr>
                <w:rFonts w:ascii="Arial" w:cs="Arial" w:eastAsia="Arial" w:hAnsi="Arial"/>
                <w:sz w:val="20"/>
                <w:szCs w:val="20"/>
                <w:color w:val="auto"/>
              </w:rPr>
              <w:t>2014</w:t>
            </w:r>
          </w:p>
        </w:tc>
        <w:tc>
          <w:tcPr>
            <w:tcW w:w="680" w:type="dxa"/>
            <w:vAlign w:val="bottom"/>
          </w:tcPr>
          <w:p>
            <w:pPr>
              <w:jc w:val="right"/>
              <w:spacing w:after="0" w:line="225" w:lineRule="exact"/>
              <w:rPr>
                <w:sz w:val="20"/>
                <w:szCs w:val="20"/>
                <w:color w:val="auto"/>
              </w:rPr>
            </w:pPr>
            <w:r>
              <w:rPr>
                <w:rFonts w:ascii="Arial" w:cs="Arial" w:eastAsia="Arial" w:hAnsi="Arial"/>
                <w:sz w:val="20"/>
                <w:szCs w:val="20"/>
                <w:color w:val="auto"/>
              </w:rPr>
              <w:t>8,427</w:t>
            </w:r>
          </w:p>
        </w:tc>
      </w:tr>
      <w:tr>
        <w:trPr>
          <w:trHeight w:val="254"/>
        </w:trPr>
        <w:tc>
          <w:tcPr>
            <w:tcW w:w="980" w:type="dxa"/>
            <w:vAlign w:val="bottom"/>
          </w:tcPr>
          <w:p>
            <w:pPr>
              <w:spacing w:after="0"/>
              <w:rPr>
                <w:sz w:val="20"/>
                <w:szCs w:val="20"/>
                <w:color w:val="auto"/>
              </w:rPr>
            </w:pPr>
            <w:r>
              <w:rPr>
                <w:rFonts w:ascii="Arial" w:cs="Arial" w:eastAsia="Arial" w:hAnsi="Arial"/>
                <w:sz w:val="20"/>
                <w:szCs w:val="20"/>
                <w:color w:val="auto"/>
              </w:rPr>
              <w:t>Thereafter</w:t>
            </w:r>
          </w:p>
        </w:tc>
        <w:tc>
          <w:tcPr>
            <w:tcW w:w="680" w:type="dxa"/>
            <w:vAlign w:val="bottom"/>
          </w:tcPr>
          <w:p>
            <w:pPr>
              <w:jc w:val="right"/>
              <w:spacing w:after="0"/>
              <w:rPr>
                <w:sz w:val="20"/>
                <w:szCs w:val="20"/>
                <w:color w:val="auto"/>
              </w:rPr>
            </w:pPr>
            <w:r>
              <w:rPr>
                <w:rFonts w:ascii="Arial" w:cs="Arial" w:eastAsia="Arial" w:hAnsi="Arial"/>
                <w:sz w:val="20"/>
                <w:szCs w:val="20"/>
                <w:color w:val="auto"/>
              </w:rPr>
              <w:t>3,031</w:t>
            </w:r>
          </w:p>
        </w:tc>
      </w:tr>
      <w:tr>
        <w:trPr>
          <w:trHeight w:val="90"/>
        </w:trPr>
        <w:tc>
          <w:tcPr>
            <w:tcW w:w="980" w:type="dxa"/>
            <w:vAlign w:val="bottom"/>
          </w:tcPr>
          <w:p>
            <w:pPr>
              <w:spacing w:after="0"/>
              <w:rPr>
                <w:sz w:val="7"/>
                <w:szCs w:val="7"/>
                <w:color w:val="auto"/>
              </w:rPr>
            </w:pPr>
          </w:p>
        </w:tc>
        <w:tc>
          <w:tcPr>
            <w:tcW w:w="680" w:type="dxa"/>
            <w:vAlign w:val="bottom"/>
            <w:tcBorders>
              <w:bottom w:val="single" w:sz="8" w:color="336699"/>
            </w:tcBorders>
          </w:tcPr>
          <w:p>
            <w:pPr>
              <w:spacing w:after="0"/>
              <w:rPr>
                <w:sz w:val="7"/>
                <w:szCs w:val="7"/>
                <w:color w:val="auto"/>
              </w:rPr>
            </w:pPr>
          </w:p>
        </w:tc>
      </w:tr>
      <w:tr>
        <w:trPr>
          <w:trHeight w:val="339"/>
        </w:trPr>
        <w:tc>
          <w:tcPr>
            <w:tcW w:w="9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88"/>
              </w:rPr>
              <w:t>$23,915</w:t>
            </w:r>
          </w:p>
        </w:tc>
      </w:tr>
      <w:tr>
        <w:trPr>
          <w:trHeight w:val="111"/>
        </w:trPr>
        <w:tc>
          <w:tcPr>
            <w:tcW w:w="980" w:type="dxa"/>
            <w:vAlign w:val="bottom"/>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-27940</wp:posOffset>
            </wp:positionV>
            <wp:extent cx="12700" cy="28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-27940</wp:posOffset>
            </wp:positionV>
            <wp:extent cx="12700" cy="285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See Note 7 for disclosures related to the Company's capital lease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STOCK-BASED COMPENSATION</w:t>
      </w:r>
    </w:p>
    <w:p>
      <w:pPr>
        <w:spacing w:after="0" w:line="200" w:lineRule="exact"/>
        <w:rPr>
          <w:sz w:val="20"/>
          <w:szCs w:val="20"/>
          <w:color w:val="auto"/>
        </w:rPr>
      </w:pPr>
    </w:p>
    <w:p>
      <w:pPr>
        <w:ind w:right="40" w:firstLine="249"/>
        <w:spacing w:after="0" w:line="267" w:lineRule="auto"/>
        <w:rPr>
          <w:sz w:val="20"/>
          <w:szCs w:val="20"/>
          <w:color w:val="auto"/>
        </w:rPr>
      </w:pPr>
      <w:r>
        <w:rPr>
          <w:rFonts w:ascii="Arial" w:cs="Arial" w:eastAsia="Arial" w:hAnsi="Arial"/>
          <w:sz w:val="18"/>
          <w:szCs w:val="18"/>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officers, employees, directors, consultants, advisors, and independent contractors of the Company or its subsidiaries. The Plan, aspects of which are more fully described below, prohibits further awards from being issued under prior plans. The Company incurred compensation cost under the Plan of $2.0 million, $2.6 million and $2.9 million for fiscal 2009, 2008 and 2007, respectively. No compensation cost was capitalized as part of inventory, no income tax benefits were recorded, and no equity awards were settled in cash during the periods presented.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00" w:lineRule="exact"/>
        <w:rPr>
          <w:sz w:val="20"/>
          <w:szCs w:val="20"/>
          <w:color w:val="auto"/>
        </w:rPr>
      </w:pPr>
    </w:p>
    <w:p>
      <w:pPr>
        <w:ind w:right="60" w:firstLine="249"/>
        <w:spacing w:after="0" w:line="246" w:lineRule="auto"/>
        <w:rPr>
          <w:sz w:val="20"/>
          <w:szCs w:val="20"/>
          <w:color w:val="auto"/>
        </w:rPr>
      </w:pPr>
      <w:r>
        <w:rPr>
          <w:rFonts w:ascii="Arial" w:cs="Arial" w:eastAsia="Arial" w:hAnsi="Arial"/>
          <w:sz w:val="20"/>
          <w:szCs w:val="20"/>
          <w:color w:val="auto"/>
        </w:rPr>
        <w:t>Option awards generally vest in one to four years, and have a ten year contractual term. All incentive and non-qualified stock option grants must have an exercise price no less than the market value of the underlying common stock on the date of grant. The option and share awards provide for accelerated vesting if there is a change in control as defined in the Plan.</w:t>
      </w:r>
    </w:p>
    <w:p>
      <w:pPr>
        <w:sectPr>
          <w:pgSz w:w="11900" w:h="16838" w:orient="portrait"/>
          <w:cols w:equalWidth="0" w:num="1">
            <w:col w:w="11400"/>
          </w:cols>
          <w:pgMar w:left="240" w:top="120" w:right="259" w:bottom="0" w:gutter="0" w:footer="0" w:header="0"/>
        </w:sectPr>
      </w:pPr>
    </w:p>
    <w:bookmarkStart w:id="39" w:name="page40"/>
    <w:bookmarkEnd w:id="39"/>
    <w:p>
      <w:pPr>
        <w:spacing w:after="0" w:line="58" w:lineRule="exact"/>
        <w:rPr>
          <w:sz w:val="20"/>
          <w:szCs w:val="20"/>
          <w:color w:val="auto"/>
        </w:rPr>
      </w:pPr>
    </w:p>
    <w:p>
      <w:pPr>
        <w:ind w:right="140" w:firstLine="246"/>
        <w:spacing w:after="0" w:line="273" w:lineRule="auto"/>
        <w:rPr>
          <w:sz w:val="20"/>
          <w:szCs w:val="20"/>
          <w:color w:val="auto"/>
        </w:rPr>
      </w:pPr>
      <w:r>
        <w:rPr>
          <w:rFonts w:ascii="Arial" w:cs="Arial" w:eastAsia="Arial" w:hAnsi="Arial"/>
          <w:sz w:val="18"/>
          <w:szCs w:val="18"/>
          <w:color w:val="auto"/>
        </w:rPr>
        <w:t>The grant date fair value of options is generally based on the closing price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life of the option is based on the U.S. treasury yield curve in effect at the time of grant. The weighted average assumptions used for fiscal 2009, 2008 and 2007 are presented in the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jc w:val="right"/>
              <w:ind w:right="200"/>
              <w:spacing w:after="0"/>
              <w:rPr>
                <w:sz w:val="20"/>
                <w:szCs w:val="20"/>
                <w:color w:val="auto"/>
              </w:rPr>
            </w:pPr>
            <w:r>
              <w:rPr>
                <w:rFonts w:ascii="Arial" w:cs="Arial" w:eastAsia="Arial" w:hAnsi="Arial"/>
                <w:sz w:val="20"/>
                <w:szCs w:val="20"/>
                <w:b w:val="1"/>
                <w:bCs w:val="1"/>
                <w:color w:val="auto"/>
              </w:rPr>
              <w:t>Year Ended</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90"/>
        </w:trPr>
        <w:tc>
          <w:tcPr>
            <w:tcW w:w="25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304"/>
        </w:trPr>
        <w:tc>
          <w:tcPr>
            <w:tcW w:w="2520" w:type="dxa"/>
            <w:vAlign w:val="bottom"/>
          </w:tcPr>
          <w:p>
            <w:pPr>
              <w:spacing w:after="0"/>
              <w:rPr>
                <w:sz w:val="24"/>
                <w:szCs w:val="24"/>
                <w:color w:val="auto"/>
              </w:rPr>
            </w:pP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1,</w:t>
            </w:r>
          </w:p>
        </w:tc>
        <w:tc>
          <w:tcPr>
            <w:tcW w:w="100" w:type="dxa"/>
            <w:vAlign w:val="bottom"/>
          </w:tcPr>
          <w:p>
            <w:pPr>
              <w:spacing w:after="0"/>
              <w:rPr>
                <w:sz w:val="24"/>
                <w:szCs w:val="24"/>
                <w:color w:val="auto"/>
              </w:rPr>
            </w:pP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2,</w:t>
            </w:r>
          </w:p>
        </w:tc>
        <w:tc>
          <w:tcPr>
            <w:tcW w:w="100" w:type="dxa"/>
            <w:vAlign w:val="bottom"/>
          </w:tcPr>
          <w:p>
            <w:pPr>
              <w:spacing w:after="0"/>
              <w:rPr>
                <w:sz w:val="24"/>
                <w:szCs w:val="24"/>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b w:val="1"/>
                <w:bCs w:val="1"/>
                <w:color w:val="auto"/>
              </w:rPr>
              <w:t>October 28,</w:t>
            </w:r>
          </w:p>
        </w:tc>
      </w:tr>
      <w:tr>
        <w:trPr>
          <w:trHeight w:val="260"/>
        </w:trPr>
        <w:tc>
          <w:tcPr>
            <w:tcW w:w="2520" w:type="dxa"/>
            <w:vAlign w:val="bottom"/>
          </w:tcPr>
          <w:p>
            <w:pPr>
              <w:spacing w:after="0"/>
              <w:rPr>
                <w:sz w:val="22"/>
                <w:szCs w:val="22"/>
                <w:color w:val="auto"/>
              </w:rPr>
            </w:pPr>
          </w:p>
        </w:tc>
        <w:tc>
          <w:tcPr>
            <w:tcW w:w="1460" w:type="dxa"/>
            <w:vAlign w:val="bottom"/>
          </w:tcPr>
          <w:p>
            <w:pPr>
              <w:jc w:val="right"/>
              <w:ind w:right="440"/>
              <w:spacing w:after="0"/>
              <w:rPr>
                <w:sz w:val="20"/>
                <w:szCs w:val="20"/>
                <w:color w:val="auto"/>
              </w:rPr>
            </w:pPr>
            <w:r>
              <w:rPr>
                <w:rFonts w:ascii="Arial" w:cs="Arial" w:eastAsia="Arial" w:hAnsi="Arial"/>
                <w:sz w:val="20"/>
                <w:szCs w:val="20"/>
                <w:b w:val="1"/>
                <w:bCs w:val="1"/>
                <w:color w:val="auto"/>
              </w:rPr>
              <w:t>2009</w:t>
            </w:r>
          </w:p>
        </w:tc>
        <w:tc>
          <w:tcPr>
            <w:tcW w:w="156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rPr>
              <w:t>2008</w:t>
            </w:r>
          </w:p>
        </w:tc>
        <w:tc>
          <w:tcPr>
            <w:tcW w:w="146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rPr>
              <w:t>2007</w:t>
            </w:r>
          </w:p>
        </w:tc>
      </w:tr>
      <w:tr>
        <w:trPr>
          <w:trHeight w:val="90"/>
        </w:trPr>
        <w:tc>
          <w:tcPr>
            <w:tcW w:w="25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563"/>
        </w:trPr>
        <w:tc>
          <w:tcPr>
            <w:tcW w:w="2520" w:type="dxa"/>
            <w:vAlign w:val="bottom"/>
          </w:tcPr>
          <w:p>
            <w:pPr>
              <w:spacing w:after="0"/>
              <w:rPr>
                <w:sz w:val="20"/>
                <w:szCs w:val="20"/>
                <w:color w:val="auto"/>
              </w:rPr>
            </w:pPr>
            <w:r>
              <w:rPr>
                <w:rFonts w:ascii="Arial" w:cs="Arial" w:eastAsia="Arial" w:hAnsi="Arial"/>
                <w:sz w:val="20"/>
                <w:szCs w:val="20"/>
                <w:color w:val="auto"/>
              </w:rPr>
              <w:t>Volatility</w:t>
            </w:r>
          </w:p>
        </w:tc>
        <w:tc>
          <w:tcPr>
            <w:tcW w:w="1460" w:type="dxa"/>
            <w:vAlign w:val="bottom"/>
          </w:tcPr>
          <w:p>
            <w:pPr>
              <w:jc w:val="right"/>
              <w:spacing w:after="0"/>
              <w:rPr>
                <w:sz w:val="20"/>
                <w:szCs w:val="20"/>
                <w:color w:val="auto"/>
              </w:rPr>
            </w:pPr>
            <w:r>
              <w:rPr>
                <w:rFonts w:ascii="Arial" w:cs="Arial" w:eastAsia="Arial" w:hAnsi="Arial"/>
                <w:sz w:val="20"/>
                <w:szCs w:val="20"/>
                <w:color w:val="auto"/>
              </w:rPr>
              <w:t>69.8%</w:t>
            </w: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43.1%</w:t>
            </w: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52.4.%</w:t>
            </w:r>
          </w:p>
        </w:tc>
      </w:tr>
      <w:tr>
        <w:trPr>
          <w:trHeight w:val="449"/>
        </w:trPr>
        <w:tc>
          <w:tcPr>
            <w:tcW w:w="2520" w:type="dxa"/>
            <w:vAlign w:val="bottom"/>
          </w:tcPr>
          <w:p>
            <w:pPr>
              <w:spacing w:after="0"/>
              <w:rPr>
                <w:sz w:val="20"/>
                <w:szCs w:val="20"/>
                <w:color w:val="auto"/>
              </w:rPr>
            </w:pPr>
            <w:r>
              <w:rPr>
                <w:rFonts w:ascii="Arial" w:cs="Arial" w:eastAsia="Arial" w:hAnsi="Arial"/>
                <w:sz w:val="20"/>
                <w:szCs w:val="20"/>
                <w:color w:val="auto"/>
              </w:rPr>
              <w:t>Risk-free rate of return</w:t>
            </w:r>
          </w:p>
        </w:tc>
        <w:tc>
          <w:tcPr>
            <w:tcW w:w="1460" w:type="dxa"/>
            <w:vAlign w:val="bottom"/>
          </w:tcPr>
          <w:p>
            <w:pPr>
              <w:jc w:val="right"/>
              <w:spacing w:after="0"/>
              <w:rPr>
                <w:sz w:val="20"/>
                <w:szCs w:val="20"/>
                <w:color w:val="auto"/>
              </w:rPr>
            </w:pPr>
            <w:r>
              <w:rPr>
                <w:rFonts w:ascii="Arial" w:cs="Arial" w:eastAsia="Arial" w:hAnsi="Arial"/>
                <w:sz w:val="20"/>
                <w:szCs w:val="20"/>
                <w:color w:val="auto"/>
              </w:rPr>
              <w:t>1.9 - 2.5%</w:t>
            </w: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2.99%</w:t>
            </w: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4.5%</w:t>
            </w:r>
          </w:p>
        </w:tc>
      </w:tr>
      <w:tr>
        <w:trPr>
          <w:trHeight w:val="449"/>
        </w:trPr>
        <w:tc>
          <w:tcPr>
            <w:tcW w:w="2520" w:type="dxa"/>
            <w:vAlign w:val="bottom"/>
          </w:tcPr>
          <w:p>
            <w:pPr>
              <w:spacing w:after="0"/>
              <w:rPr>
                <w:sz w:val="20"/>
                <w:szCs w:val="20"/>
                <w:color w:val="auto"/>
              </w:rPr>
            </w:pPr>
            <w:r>
              <w:rPr>
                <w:rFonts w:ascii="Arial" w:cs="Arial" w:eastAsia="Arial" w:hAnsi="Arial"/>
                <w:sz w:val="20"/>
                <w:szCs w:val="20"/>
                <w:color w:val="auto"/>
              </w:rPr>
              <w:t>Dividend yield</w:t>
            </w:r>
          </w:p>
        </w:tc>
        <w:tc>
          <w:tcPr>
            <w:tcW w:w="1460" w:type="dxa"/>
            <w:vAlign w:val="bottom"/>
          </w:tcPr>
          <w:p>
            <w:pPr>
              <w:jc w:val="right"/>
              <w:spacing w:after="0"/>
              <w:rPr>
                <w:sz w:val="20"/>
                <w:szCs w:val="20"/>
                <w:color w:val="auto"/>
              </w:rPr>
            </w:pPr>
            <w:r>
              <w:rPr>
                <w:rFonts w:ascii="Arial" w:cs="Arial" w:eastAsia="Arial" w:hAnsi="Arial"/>
                <w:sz w:val="20"/>
                <w:szCs w:val="20"/>
                <w:color w:val="auto"/>
              </w:rPr>
              <w:t>0.0%</w:t>
            </w: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0.0%</w:t>
            </w: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0.0%</w:t>
            </w:r>
          </w:p>
        </w:tc>
      </w:tr>
      <w:tr>
        <w:trPr>
          <w:trHeight w:val="449"/>
        </w:trPr>
        <w:tc>
          <w:tcPr>
            <w:tcW w:w="2520" w:type="dxa"/>
            <w:vAlign w:val="bottom"/>
          </w:tcPr>
          <w:p>
            <w:pPr>
              <w:spacing w:after="0"/>
              <w:rPr>
                <w:sz w:val="20"/>
                <w:szCs w:val="20"/>
                <w:color w:val="auto"/>
              </w:rPr>
            </w:pPr>
            <w:r>
              <w:rPr>
                <w:rFonts w:ascii="Arial" w:cs="Arial" w:eastAsia="Arial" w:hAnsi="Arial"/>
                <w:sz w:val="20"/>
                <w:szCs w:val="20"/>
                <w:color w:val="auto"/>
              </w:rPr>
              <w:t>Expected term</w:t>
            </w:r>
          </w:p>
        </w:tc>
        <w:tc>
          <w:tcPr>
            <w:tcW w:w="1460" w:type="dxa"/>
            <w:vAlign w:val="bottom"/>
          </w:tcPr>
          <w:p>
            <w:pPr>
              <w:jc w:val="right"/>
              <w:spacing w:after="0"/>
              <w:rPr>
                <w:sz w:val="20"/>
                <w:szCs w:val="20"/>
                <w:color w:val="auto"/>
              </w:rPr>
            </w:pPr>
            <w:r>
              <w:rPr>
                <w:rFonts w:ascii="Arial" w:cs="Arial" w:eastAsia="Arial" w:hAnsi="Arial"/>
                <w:sz w:val="20"/>
                <w:szCs w:val="20"/>
                <w:color w:val="auto"/>
              </w:rPr>
              <w:t>4.7 years</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4.7 years</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4.6 years</w:t>
            </w:r>
          </w:p>
        </w:tc>
      </w:tr>
    </w:tbl>
    <w:p>
      <w:pPr>
        <w:spacing w:after="0" w:line="200" w:lineRule="exact"/>
        <w:rPr>
          <w:sz w:val="20"/>
          <w:szCs w:val="20"/>
          <w:color w:val="auto"/>
        </w:rPr>
      </w:pP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option activity under the Plan as of November 1, 2009 and changes during the year then ended is presented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8"/>
              </w:rPr>
              <w:t>Weighted</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8"/>
              </w:rPr>
              <w:t>Weighted</w:t>
            </w:r>
          </w:p>
        </w:tc>
        <w:tc>
          <w:tcPr>
            <w:tcW w:w="80" w:type="dxa"/>
            <w:vAlign w:val="bottom"/>
          </w:tcPr>
          <w:p>
            <w:pPr>
              <w:spacing w:after="0"/>
              <w:rPr>
                <w:sz w:val="19"/>
                <w:szCs w:val="19"/>
                <w:color w:val="auto"/>
              </w:rPr>
            </w:pPr>
          </w:p>
        </w:tc>
        <w:tc>
          <w:tcPr>
            <w:tcW w:w="12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8"/>
              </w:rPr>
              <w:t>Average</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6"/>
              </w:rPr>
              <w:t>Average</w:t>
            </w:r>
          </w:p>
        </w:tc>
        <w:tc>
          <w:tcPr>
            <w:tcW w:w="80" w:type="dxa"/>
            <w:vAlign w:val="bottom"/>
          </w:tcPr>
          <w:p>
            <w:pPr>
              <w:spacing w:after="0"/>
              <w:rPr>
                <w:sz w:val="19"/>
                <w:szCs w:val="19"/>
                <w:color w:val="auto"/>
              </w:rPr>
            </w:pPr>
          </w:p>
        </w:tc>
        <w:tc>
          <w:tcPr>
            <w:tcW w:w="12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1"/>
              </w:rPr>
              <w:t>Remaining</w:t>
            </w:r>
          </w:p>
        </w:tc>
        <w:tc>
          <w:tcPr>
            <w:tcW w:w="80" w:type="dxa"/>
            <w:vAlign w:val="bottom"/>
          </w:tcPr>
          <w:p>
            <w:pPr>
              <w:spacing w:after="0"/>
              <w:rPr>
                <w:sz w:val="19"/>
                <w:szCs w:val="19"/>
                <w:color w:val="auto"/>
              </w:rPr>
            </w:pPr>
          </w:p>
        </w:tc>
        <w:tc>
          <w:tcPr>
            <w:tcW w:w="106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88"/>
              </w:rPr>
              <w:t>Aggregate</w:t>
            </w:r>
          </w:p>
        </w:tc>
        <w:tc>
          <w:tcPr>
            <w:tcW w:w="20" w:type="dxa"/>
            <w:vAlign w:val="bottom"/>
          </w:tcPr>
          <w:p>
            <w:pPr>
              <w:spacing w:after="0"/>
              <w:rPr>
                <w:sz w:val="19"/>
                <w:szCs w:val="19"/>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7"/>
              </w:rPr>
              <w:t>Exercise</w:t>
            </w:r>
          </w:p>
        </w:tc>
        <w:tc>
          <w:tcPr>
            <w:tcW w:w="80" w:type="dxa"/>
            <w:vAlign w:val="bottom"/>
          </w:tcPr>
          <w:p>
            <w:pPr>
              <w:spacing w:after="0"/>
              <w:rPr>
                <w:sz w:val="19"/>
                <w:szCs w:val="19"/>
                <w:color w:val="auto"/>
              </w:rPr>
            </w:pPr>
          </w:p>
        </w:tc>
        <w:tc>
          <w:tcPr>
            <w:tcW w:w="12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1"/>
              </w:rPr>
              <w:t>Contractual</w:t>
            </w:r>
          </w:p>
        </w:tc>
        <w:tc>
          <w:tcPr>
            <w:tcW w:w="80" w:type="dxa"/>
            <w:vAlign w:val="bottom"/>
          </w:tcPr>
          <w:p>
            <w:pPr>
              <w:spacing w:after="0"/>
              <w:rPr>
                <w:sz w:val="19"/>
                <w:szCs w:val="19"/>
                <w:color w:val="auto"/>
              </w:rPr>
            </w:pPr>
          </w:p>
        </w:tc>
        <w:tc>
          <w:tcPr>
            <w:tcW w:w="106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92"/>
              </w:rPr>
              <w:t>Intrinsic</w:t>
            </w:r>
          </w:p>
        </w:tc>
        <w:tc>
          <w:tcPr>
            <w:tcW w:w="20" w:type="dxa"/>
            <w:vAlign w:val="bottom"/>
          </w:tcPr>
          <w:p>
            <w:pPr>
              <w:spacing w:after="0"/>
              <w:rPr>
                <w:sz w:val="19"/>
                <w:szCs w:val="19"/>
                <w:color w:val="auto"/>
              </w:rPr>
            </w:pPr>
          </w:p>
        </w:tc>
      </w:tr>
      <w:tr>
        <w:trPr>
          <w:trHeight w:val="260"/>
        </w:trPr>
        <w:tc>
          <w:tcPr>
            <w:tcW w:w="3880" w:type="dxa"/>
            <w:vAlign w:val="bottom"/>
          </w:tcPr>
          <w:p>
            <w:pPr>
              <w:ind w:left="1600"/>
              <w:spacing w:after="0"/>
              <w:rPr>
                <w:sz w:val="20"/>
                <w:szCs w:val="20"/>
                <w:color w:val="auto"/>
              </w:rPr>
            </w:pPr>
            <w:r>
              <w:rPr>
                <w:rFonts w:ascii="Arial" w:cs="Arial" w:eastAsia="Arial" w:hAnsi="Arial"/>
                <w:sz w:val="20"/>
                <w:szCs w:val="20"/>
                <w:b w:val="1"/>
                <w:bCs w:val="1"/>
                <w:color w:val="auto"/>
              </w:rPr>
              <w:t>Options</w:t>
            </w:r>
          </w:p>
        </w:tc>
        <w:tc>
          <w:tcPr>
            <w:tcW w:w="100" w:type="dxa"/>
            <w:vAlign w:val="bottom"/>
          </w:tcPr>
          <w:p>
            <w:pPr>
              <w:spacing w:after="0"/>
              <w:rPr>
                <w:sz w:val="22"/>
                <w:szCs w:val="22"/>
                <w:color w:val="auto"/>
              </w:rPr>
            </w:pPr>
          </w:p>
        </w:tc>
        <w:tc>
          <w:tcPr>
            <w:tcW w:w="1020" w:type="dxa"/>
            <w:vAlign w:val="bottom"/>
          </w:tcPr>
          <w:p>
            <w:pPr>
              <w:ind w:left="200"/>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20"/>
                <w:szCs w:val="20"/>
                <w:b w:val="1"/>
                <w:bCs w:val="1"/>
                <w:color w:val="auto"/>
                <w:w w:val="89"/>
              </w:rPr>
              <w:t>Price</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5"/>
              </w:rPr>
              <w:t>Life</w:t>
            </w:r>
          </w:p>
        </w:tc>
        <w:tc>
          <w:tcPr>
            <w:tcW w:w="8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Value</w:t>
            </w:r>
          </w:p>
        </w:tc>
        <w:tc>
          <w:tcPr>
            <w:tcW w:w="20" w:type="dxa"/>
            <w:vAlign w:val="bottom"/>
          </w:tcPr>
          <w:p>
            <w:pPr>
              <w:spacing w:after="0"/>
              <w:rPr>
                <w:sz w:val="22"/>
                <w:szCs w:val="22"/>
                <w:color w:val="auto"/>
              </w:rPr>
            </w:pPr>
          </w:p>
        </w:tc>
      </w:tr>
      <w:tr>
        <w:trPr>
          <w:trHeight w:val="90"/>
        </w:trPr>
        <w:tc>
          <w:tcPr>
            <w:tcW w:w="3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534"/>
        </w:trPr>
        <w:tc>
          <w:tcPr>
            <w:tcW w:w="3880" w:type="dxa"/>
            <w:vAlign w:val="bottom"/>
          </w:tcPr>
          <w:p>
            <w:pPr>
              <w:spacing w:after="0"/>
              <w:rPr>
                <w:sz w:val="20"/>
                <w:szCs w:val="20"/>
                <w:color w:val="auto"/>
              </w:rPr>
            </w:pPr>
            <w:r>
              <w:rPr>
                <w:rFonts w:ascii="Arial" w:cs="Arial" w:eastAsia="Arial" w:hAnsi="Arial"/>
                <w:sz w:val="20"/>
                <w:szCs w:val="20"/>
                <w:color w:val="auto"/>
              </w:rPr>
              <w:t>Outstanding at November 2, 2008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2,172,207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$18.21</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880" w:type="dxa"/>
            <w:vAlign w:val="bottom"/>
          </w:tcPr>
          <w:p>
            <w:pPr>
              <w:spacing w:after="0" w:line="225" w:lineRule="exact"/>
              <w:rPr>
                <w:sz w:val="20"/>
                <w:szCs w:val="20"/>
                <w:color w:val="auto"/>
              </w:rPr>
            </w:pPr>
            <w:r>
              <w:rPr>
                <w:rFonts w:ascii="Arial" w:cs="Arial" w:eastAsia="Arial" w:hAnsi="Arial"/>
                <w:sz w:val="20"/>
                <w:szCs w:val="20"/>
                <w:color w:val="auto"/>
              </w:rPr>
              <w:t>Granted</w:t>
            </w:r>
          </w:p>
        </w:tc>
        <w:tc>
          <w:tcPr>
            <w:tcW w:w="11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1,350,250</w:t>
            </w:r>
          </w:p>
        </w:tc>
        <w:tc>
          <w:tcPr>
            <w:tcW w:w="10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0.77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880" w:type="dxa"/>
            <w:vAlign w:val="bottom"/>
          </w:tcPr>
          <w:p>
            <w:pPr>
              <w:spacing w:after="0" w:line="225" w:lineRule="exact"/>
              <w:rPr>
                <w:sz w:val="20"/>
                <w:szCs w:val="20"/>
                <w:color w:val="auto"/>
              </w:rPr>
            </w:pPr>
            <w:r>
              <w:rPr>
                <w:rFonts w:ascii="Arial" w:cs="Arial" w:eastAsia="Arial" w:hAnsi="Arial"/>
                <w:sz w:val="20"/>
                <w:szCs w:val="20"/>
                <w:color w:val="auto"/>
              </w:rPr>
              <w:t>Exercised</w:t>
            </w:r>
          </w:p>
        </w:tc>
        <w:tc>
          <w:tcPr>
            <w:tcW w:w="11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106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4"/>
        </w:trPr>
        <w:tc>
          <w:tcPr>
            <w:tcW w:w="3880" w:type="dxa"/>
            <w:vAlign w:val="bottom"/>
          </w:tcPr>
          <w:p>
            <w:pPr>
              <w:spacing w:after="0"/>
              <w:rPr>
                <w:sz w:val="20"/>
                <w:szCs w:val="20"/>
                <w:color w:val="auto"/>
              </w:rPr>
            </w:pPr>
            <w:r>
              <w:rPr>
                <w:rFonts w:ascii="Arial" w:cs="Arial" w:eastAsia="Arial" w:hAnsi="Arial"/>
                <w:sz w:val="20"/>
                <w:szCs w:val="20"/>
                <w:color w:val="auto"/>
              </w:rPr>
              <w:t>Cancelled and forfeited</w:t>
            </w:r>
          </w:p>
        </w:tc>
        <w:tc>
          <w:tcPr>
            <w:tcW w:w="1120" w:type="dxa"/>
            <w:vAlign w:val="bottom"/>
            <w:gridSpan w:val="2"/>
          </w:tcPr>
          <w:p>
            <w:pPr>
              <w:ind w:left="320"/>
              <w:spacing w:after="0"/>
              <w:rPr>
                <w:sz w:val="20"/>
                <w:szCs w:val="20"/>
                <w:color w:val="auto"/>
              </w:rPr>
            </w:pPr>
            <w:r>
              <w:rPr>
                <w:rFonts w:ascii="Arial" w:cs="Arial" w:eastAsia="Arial" w:hAnsi="Arial"/>
                <w:sz w:val="20"/>
                <w:szCs w:val="20"/>
                <w:color w:val="auto"/>
                <w:w w:val="91"/>
              </w:rPr>
              <w:t>(188,599)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15.75</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0"/>
        </w:trPr>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39"/>
        </w:trPr>
        <w:tc>
          <w:tcPr>
            <w:tcW w:w="3880" w:type="dxa"/>
            <w:vAlign w:val="bottom"/>
          </w:tcPr>
          <w:p>
            <w:pPr>
              <w:spacing w:after="0"/>
              <w:rPr>
                <w:sz w:val="20"/>
                <w:szCs w:val="20"/>
                <w:color w:val="auto"/>
              </w:rPr>
            </w:pPr>
            <w:r>
              <w:rPr>
                <w:rFonts w:ascii="Arial" w:cs="Arial" w:eastAsia="Arial" w:hAnsi="Arial"/>
                <w:sz w:val="20"/>
                <w:szCs w:val="20"/>
                <w:color w:val="auto"/>
              </w:rPr>
              <w:t>Outstanding at November 1, 2009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3,333,858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$11.21</w:t>
            </w:r>
          </w:p>
        </w:tc>
        <w:tc>
          <w:tcPr>
            <w:tcW w:w="8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0"/>
                <w:szCs w:val="20"/>
                <w:color w:val="auto"/>
                <w:w w:val="89"/>
              </w:rPr>
              <w:t>6.4 years</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87"/>
              </w:rPr>
              <w:t>4,618</w:t>
            </w:r>
          </w:p>
        </w:tc>
        <w:tc>
          <w:tcPr>
            <w:tcW w:w="20" w:type="dxa"/>
            <w:vAlign w:val="bottom"/>
          </w:tcPr>
          <w:p>
            <w:pPr>
              <w:spacing w:after="0"/>
              <w:rPr>
                <w:sz w:val="24"/>
                <w:szCs w:val="24"/>
                <w:color w:val="auto"/>
              </w:rPr>
            </w:pPr>
          </w:p>
        </w:tc>
      </w:tr>
      <w:tr>
        <w:trPr>
          <w:trHeight w:val="111"/>
        </w:trPr>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336699"/>
            </w:tcBorders>
          </w:tcPr>
          <w:p>
            <w:pPr>
              <w:spacing w:after="0"/>
              <w:rPr>
                <w:sz w:val="9"/>
                <w:szCs w:val="9"/>
                <w:color w:val="auto"/>
              </w:rPr>
            </w:pPr>
          </w:p>
        </w:tc>
        <w:tc>
          <w:tcPr>
            <w:tcW w:w="5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r>
        <w:trPr>
          <w:trHeight w:val="330"/>
        </w:trPr>
        <w:tc>
          <w:tcPr>
            <w:tcW w:w="3880" w:type="dxa"/>
            <w:vAlign w:val="bottom"/>
          </w:tcPr>
          <w:p>
            <w:pPr>
              <w:spacing w:after="0"/>
              <w:rPr>
                <w:sz w:val="20"/>
                <w:szCs w:val="20"/>
                <w:color w:val="auto"/>
              </w:rPr>
            </w:pPr>
            <w:r>
              <w:rPr>
                <w:rFonts w:ascii="Arial" w:cs="Arial" w:eastAsia="Arial" w:hAnsi="Arial"/>
                <w:sz w:val="20"/>
                <w:szCs w:val="20"/>
                <w:color w:val="auto"/>
              </w:rPr>
              <w:t>Exercisable at November 1, 2009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1,819,039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$18.79</w:t>
            </w:r>
          </w:p>
        </w:tc>
        <w:tc>
          <w:tcPr>
            <w:tcW w:w="8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0"/>
                <w:szCs w:val="20"/>
                <w:color w:val="auto"/>
                <w:w w:val="89"/>
              </w:rPr>
              <w:t>4.4 years</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4"/>
                <w:szCs w:val="24"/>
                <w:color w:val="auto"/>
              </w:rPr>
            </w:pPr>
          </w:p>
        </w:tc>
      </w:tr>
      <w:tr>
        <w:trPr>
          <w:trHeight w:val="111"/>
        </w:trPr>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336699"/>
            </w:tcBorders>
          </w:tcPr>
          <w:p>
            <w:pPr>
              <w:spacing w:after="0"/>
              <w:rPr>
                <w:sz w:val="9"/>
                <w:szCs w:val="9"/>
                <w:color w:val="auto"/>
              </w:rPr>
            </w:pPr>
          </w:p>
        </w:tc>
        <w:tc>
          <w:tcPr>
            <w:tcW w:w="5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r>
        <w:trPr>
          <w:trHeight w:val="330"/>
        </w:trPr>
        <w:tc>
          <w:tcPr>
            <w:tcW w:w="3880" w:type="dxa"/>
            <w:vAlign w:val="bottom"/>
          </w:tcPr>
          <w:p>
            <w:pPr>
              <w:spacing w:after="0"/>
              <w:rPr>
                <w:sz w:val="20"/>
                <w:szCs w:val="20"/>
                <w:color w:val="auto"/>
              </w:rPr>
            </w:pPr>
            <w:r>
              <w:rPr>
                <w:rFonts w:ascii="Arial" w:cs="Arial" w:eastAsia="Arial" w:hAnsi="Arial"/>
                <w:sz w:val="20"/>
                <w:szCs w:val="20"/>
                <w:color w:val="auto"/>
              </w:rPr>
              <w:t>Expected to vest as of November 1, 2009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1,447,196</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$ 1.92</w:t>
            </w:r>
          </w:p>
        </w:tc>
        <w:tc>
          <w:tcPr>
            <w:tcW w:w="8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0"/>
                <w:szCs w:val="20"/>
                <w:color w:val="auto"/>
                <w:w w:val="89"/>
              </w:rPr>
              <w:t>8.9 years</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87"/>
              </w:rPr>
              <w:t>4,458</w:t>
            </w:r>
          </w:p>
        </w:tc>
        <w:tc>
          <w:tcPr>
            <w:tcW w:w="20" w:type="dxa"/>
            <w:vAlign w:val="bottom"/>
          </w:tcPr>
          <w:p>
            <w:pPr>
              <w:spacing w:after="0"/>
              <w:rPr>
                <w:sz w:val="24"/>
                <w:szCs w:val="24"/>
                <w:color w:val="auto"/>
              </w:rPr>
            </w:pPr>
          </w:p>
        </w:tc>
      </w:tr>
      <w:tr>
        <w:trPr>
          <w:trHeight w:val="111"/>
        </w:trPr>
        <w:tc>
          <w:tcPr>
            <w:tcW w:w="3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336699"/>
            </w:tcBorders>
          </w:tcPr>
          <w:p>
            <w:pPr>
              <w:spacing w:after="0"/>
              <w:rPr>
                <w:sz w:val="9"/>
                <w:szCs w:val="9"/>
                <w:color w:val="auto"/>
              </w:rPr>
            </w:pPr>
          </w:p>
        </w:tc>
        <w:tc>
          <w:tcPr>
            <w:tcW w:w="5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-613410</wp:posOffset>
            </wp:positionV>
            <wp:extent cx="12700" cy="28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-613410</wp:posOffset>
            </wp:positionV>
            <wp:extent cx="12700" cy="28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-613410</wp:posOffset>
            </wp:positionV>
            <wp:extent cx="12700" cy="28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-613410</wp:posOffset>
            </wp:positionV>
            <wp:extent cx="12700" cy="28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-613410</wp:posOffset>
            </wp:positionV>
            <wp:extent cx="12700" cy="285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-613410</wp:posOffset>
            </wp:positionV>
            <wp:extent cx="12700" cy="28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-613410</wp:posOffset>
            </wp:positionV>
            <wp:extent cx="12700" cy="28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-613410</wp:posOffset>
            </wp:positionV>
            <wp:extent cx="12700" cy="28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-320675</wp:posOffset>
            </wp:positionV>
            <wp:extent cx="12700" cy="285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-320675</wp:posOffset>
            </wp:positionV>
            <wp:extent cx="12700" cy="28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-320675</wp:posOffset>
            </wp:positionV>
            <wp:extent cx="12700" cy="285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-320675</wp:posOffset>
            </wp:positionV>
            <wp:extent cx="12700" cy="28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-320675</wp:posOffset>
            </wp:positionV>
            <wp:extent cx="12700" cy="285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-320675</wp:posOffset>
            </wp:positionV>
            <wp:extent cx="12700" cy="28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-320675</wp:posOffset>
            </wp:positionV>
            <wp:extent cx="12700" cy="28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-320675</wp:posOffset>
            </wp:positionV>
            <wp:extent cx="12700" cy="285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3162935</wp:posOffset>
            </wp:positionH>
            <wp:positionV relativeFrom="paragraph">
              <wp:posOffset>-27940</wp:posOffset>
            </wp:positionV>
            <wp:extent cx="12700" cy="28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-27940</wp:posOffset>
            </wp:positionV>
            <wp:extent cx="12700" cy="28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-27940</wp:posOffset>
            </wp:positionV>
            <wp:extent cx="12700" cy="285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-27940</wp:posOffset>
            </wp:positionV>
            <wp:extent cx="12700" cy="28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-27940</wp:posOffset>
            </wp:positionV>
            <wp:extent cx="12700" cy="285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-27940</wp:posOffset>
            </wp:positionV>
            <wp:extent cx="12700" cy="28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-27940</wp:posOffset>
            </wp:positionV>
            <wp:extent cx="12700" cy="285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-27940</wp:posOffset>
            </wp:positionV>
            <wp:extent cx="12700" cy="285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0" w:firstLine="246"/>
        <w:spacing w:after="0" w:line="287" w:lineRule="auto"/>
        <w:rPr>
          <w:sz w:val="20"/>
          <w:szCs w:val="20"/>
          <w:color w:val="auto"/>
        </w:rPr>
      </w:pPr>
      <w:r>
        <w:rPr>
          <w:rFonts w:ascii="Arial" w:cs="Arial" w:eastAsia="Arial" w:hAnsi="Arial"/>
          <w:sz w:val="18"/>
          <w:szCs w:val="18"/>
          <w:color w:val="auto"/>
        </w:rPr>
        <w:t>The weighted average grant date fair value of options granted during the fiscal years 2009, 2008 and 2007 was $0.44, $1.86 and $7.15 respectively. The total intrinsic value of options exercised during fiscal years 2009, 2008, and 2007 was $0.0 million, $0.0 million, and $0.1 million, respectively. A summary of the status of the Company's non-vested options as of November 1, 2009 is presented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91"/>
              </w:rPr>
              <w:t>Weighted</w:t>
            </w:r>
          </w:p>
        </w:tc>
      </w:tr>
      <w:tr>
        <w:trPr>
          <w:trHeight w:val="224"/>
        </w:trPr>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8"/>
              </w:rPr>
              <w:t>Average</w:t>
            </w:r>
          </w:p>
        </w:tc>
      </w:tr>
      <w:tr>
        <w:trPr>
          <w:trHeight w:val="224"/>
        </w:trPr>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4"/>
              </w:rPr>
              <w:t>Fair Value</w:t>
            </w:r>
          </w:p>
        </w:tc>
      </w:tr>
      <w:tr>
        <w:trPr>
          <w:trHeight w:val="224"/>
        </w:trPr>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6"/>
              </w:rPr>
              <w:t>at Grant</w:t>
            </w:r>
          </w:p>
        </w:tc>
      </w:tr>
      <w:tr>
        <w:trPr>
          <w:trHeight w:val="260"/>
        </w:trPr>
        <w:tc>
          <w:tcPr>
            <w:tcW w:w="2680" w:type="dxa"/>
            <w:vAlign w:val="bottom"/>
          </w:tcPr>
          <w:p>
            <w:pPr>
              <w:ind w:left="480"/>
              <w:spacing w:after="0"/>
              <w:rPr>
                <w:sz w:val="20"/>
                <w:szCs w:val="20"/>
                <w:color w:val="auto"/>
              </w:rPr>
            </w:pPr>
            <w:r>
              <w:rPr>
                <w:rFonts w:ascii="Arial" w:cs="Arial" w:eastAsia="Arial" w:hAnsi="Arial"/>
                <w:sz w:val="20"/>
                <w:szCs w:val="20"/>
                <w:b w:val="1"/>
                <w:bCs w:val="1"/>
                <w:color w:val="auto"/>
              </w:rPr>
              <w:t>Non-vested Options</w:t>
            </w:r>
          </w:p>
        </w:tc>
        <w:tc>
          <w:tcPr>
            <w:tcW w:w="80" w:type="dxa"/>
            <w:vAlign w:val="bottom"/>
          </w:tcPr>
          <w:p>
            <w:pPr>
              <w:spacing w:after="0"/>
              <w:rPr>
                <w:sz w:val="22"/>
                <w:szCs w:val="22"/>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b w:val="1"/>
                <w:bCs w:val="1"/>
                <w:color w:val="auto"/>
              </w:rPr>
              <w:t>Shares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87"/>
              </w:rPr>
              <w:t>Date</w:t>
            </w:r>
          </w:p>
        </w:tc>
      </w:tr>
      <w:tr>
        <w:trPr>
          <w:trHeight w:val="90"/>
        </w:trPr>
        <w:tc>
          <w:tcPr>
            <w:tcW w:w="26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534"/>
        </w:trPr>
        <w:tc>
          <w:tcPr>
            <w:tcW w:w="2680" w:type="dxa"/>
            <w:vAlign w:val="bottom"/>
          </w:tcPr>
          <w:p>
            <w:pPr>
              <w:spacing w:after="0"/>
              <w:rPr>
                <w:sz w:val="20"/>
                <w:szCs w:val="20"/>
                <w:color w:val="auto"/>
              </w:rPr>
            </w:pPr>
            <w:r>
              <w:rPr>
                <w:rFonts w:ascii="Arial" w:cs="Arial" w:eastAsia="Arial" w:hAnsi="Arial"/>
                <w:sz w:val="20"/>
                <w:szCs w:val="20"/>
                <w:color w:val="auto"/>
                <w:w w:val="90"/>
              </w:rPr>
              <w:t>Non-vested at November 2, 2008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418,763</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$6.92</w:t>
            </w:r>
          </w:p>
        </w:tc>
      </w:tr>
      <w:tr>
        <w:trPr>
          <w:trHeight w:val="224"/>
        </w:trPr>
        <w:tc>
          <w:tcPr>
            <w:tcW w:w="2680" w:type="dxa"/>
            <w:vAlign w:val="bottom"/>
          </w:tcPr>
          <w:p>
            <w:pPr>
              <w:spacing w:after="0" w:line="225" w:lineRule="exact"/>
              <w:rPr>
                <w:sz w:val="20"/>
                <w:szCs w:val="20"/>
                <w:color w:val="auto"/>
              </w:rPr>
            </w:pPr>
            <w:r>
              <w:rPr>
                <w:rFonts w:ascii="Arial" w:cs="Arial" w:eastAsia="Arial" w:hAnsi="Arial"/>
                <w:sz w:val="20"/>
                <w:szCs w:val="20"/>
                <w:color w:val="auto"/>
              </w:rPr>
              <w:t>Granted</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w w:val="96"/>
              </w:rPr>
              <w:t>1,350,250</w:t>
            </w:r>
          </w:p>
        </w:tc>
        <w:tc>
          <w:tcPr>
            <w:tcW w:w="10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0.44</w:t>
            </w:r>
          </w:p>
        </w:tc>
      </w:tr>
      <w:tr>
        <w:trPr>
          <w:trHeight w:val="224"/>
        </w:trPr>
        <w:tc>
          <w:tcPr>
            <w:tcW w:w="2680" w:type="dxa"/>
            <w:vAlign w:val="bottom"/>
          </w:tcPr>
          <w:p>
            <w:pPr>
              <w:spacing w:after="0" w:line="225" w:lineRule="exact"/>
              <w:rPr>
                <w:sz w:val="20"/>
                <w:szCs w:val="20"/>
                <w:color w:val="auto"/>
              </w:rPr>
            </w:pPr>
            <w:r>
              <w:rPr>
                <w:rFonts w:ascii="Arial" w:cs="Arial" w:eastAsia="Arial" w:hAnsi="Arial"/>
                <w:sz w:val="20"/>
                <w:szCs w:val="20"/>
                <w:color w:val="auto"/>
              </w:rPr>
              <w:t>Vested</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(141,769)</w:t>
            </w:r>
          </w:p>
        </w:tc>
        <w:tc>
          <w:tcPr>
            <w:tcW w:w="10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7.47</w:t>
            </w:r>
          </w:p>
        </w:tc>
      </w:tr>
      <w:tr>
        <w:trPr>
          <w:trHeight w:val="254"/>
        </w:trPr>
        <w:tc>
          <w:tcPr>
            <w:tcW w:w="2680" w:type="dxa"/>
            <w:vAlign w:val="bottom"/>
          </w:tcPr>
          <w:p>
            <w:pPr>
              <w:spacing w:after="0"/>
              <w:rPr>
                <w:sz w:val="20"/>
                <w:szCs w:val="20"/>
                <w:color w:val="auto"/>
              </w:rPr>
            </w:pPr>
            <w:r>
              <w:rPr>
                <w:rFonts w:ascii="Arial" w:cs="Arial" w:eastAsia="Arial" w:hAnsi="Arial"/>
                <w:sz w:val="20"/>
                <w:szCs w:val="20"/>
                <w:color w:val="auto"/>
              </w:rPr>
              <w:t>Cancelled and forfeited</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(112,425)</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7.07</w:t>
            </w:r>
          </w:p>
        </w:tc>
      </w:tr>
      <w:tr>
        <w:trPr>
          <w:trHeight w:val="90"/>
        </w:trPr>
        <w:tc>
          <w:tcPr>
            <w:tcW w:w="2760" w:type="dxa"/>
            <w:vAlign w:val="bottom"/>
            <w:gridSpan w:val="2"/>
          </w:tcPr>
          <w:p>
            <w:pPr>
              <w:spacing w:after="0"/>
              <w:rPr>
                <w:sz w:val="7"/>
                <w:szCs w:val="7"/>
                <w:color w:val="auto"/>
              </w:rPr>
            </w:pPr>
          </w:p>
        </w:tc>
        <w:tc>
          <w:tcPr>
            <w:tcW w:w="8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339"/>
        </w:trPr>
        <w:tc>
          <w:tcPr>
            <w:tcW w:w="3620" w:type="dxa"/>
            <w:vAlign w:val="bottom"/>
            <w:gridSpan w:val="3"/>
          </w:tcPr>
          <w:p>
            <w:pPr>
              <w:spacing w:after="0"/>
              <w:rPr>
                <w:sz w:val="20"/>
                <w:szCs w:val="20"/>
                <w:color w:val="auto"/>
              </w:rPr>
            </w:pPr>
            <w:r>
              <w:rPr>
                <w:rFonts w:ascii="Arial" w:cs="Arial" w:eastAsia="Arial" w:hAnsi="Arial"/>
                <w:sz w:val="20"/>
                <w:szCs w:val="20"/>
                <w:color w:val="auto"/>
                <w:w w:val="92"/>
              </w:rPr>
              <w:t>Non-vested at November 1, 2009 1,514,819</w:t>
            </w: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$1.09</w:t>
            </w:r>
          </w:p>
        </w:tc>
      </w:tr>
      <w:tr>
        <w:trPr>
          <w:trHeight w:val="111"/>
        </w:trPr>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-27940</wp:posOffset>
            </wp:positionV>
            <wp:extent cx="12700" cy="285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-27940</wp:posOffset>
            </wp:positionV>
            <wp:extent cx="12700" cy="28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-27940</wp:posOffset>
            </wp:positionV>
            <wp:extent cx="12700" cy="285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-27940</wp:posOffset>
            </wp:positionV>
            <wp:extent cx="12700" cy="285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38"/>
        <w:spacing w:after="0" w:line="258" w:lineRule="auto"/>
        <w:rPr>
          <w:sz w:val="20"/>
          <w:szCs w:val="20"/>
          <w:color w:val="auto"/>
        </w:rPr>
      </w:pPr>
      <w:r>
        <w:rPr>
          <w:rFonts w:ascii="Arial" w:cs="Arial" w:eastAsia="Arial" w:hAnsi="Arial"/>
          <w:sz w:val="20"/>
          <w:szCs w:val="20"/>
          <w:color w:val="auto"/>
        </w:rPr>
        <w:t>As of November 1, 2009 the total compensation cost for non-vested option awards not yet recognized was approximately $1.2 million. That cost is expected to be recognized over a weighted average amortization period of 1.8 years.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ectPr>
          <w:pgSz w:w="11900" w:h="16896" w:orient="portrait"/>
          <w:cols w:equalWidth="0" w:num="1">
            <w:col w:w="11400"/>
          </w:cols>
          <w:pgMar w:left="240" w:top="120" w:right="259" w:bottom="0" w:gutter="0" w:footer="0" w:header="0"/>
        </w:sectPr>
      </w:pPr>
    </w:p>
    <w:bookmarkStart w:id="40" w:name="page41"/>
    <w:bookmarkEnd w:id="40"/>
    <w:p>
      <w:pPr>
        <w:ind w:firstLine="246"/>
        <w:spacing w:after="0" w:line="271" w:lineRule="auto"/>
        <w:rPr>
          <w:sz w:val="20"/>
          <w:szCs w:val="20"/>
          <w:color w:val="auto"/>
        </w:rPr>
      </w:pPr>
      <w:r>
        <w:rPr>
          <w:rFonts w:ascii="Arial" w:cs="Arial" w:eastAsia="Arial" w:hAnsi="Arial"/>
          <w:sz w:val="18"/>
          <w:szCs w:val="18"/>
          <w:color w:val="auto"/>
        </w:rPr>
        <w:t>The Company periodically grants restricted stock awards. The restrictions on these awards lapse over a service period that has ranged from less than one to eight years. The weighted average grant date fair value of restricted stock grants during the fiscal years 2009, 2008 and 2007 was $0.76, $11.72 and $13.75, respectively. The total value of awards for which restrictions lapsed during fiscal years 2009, 2008 and 2007 was $0.3 million, $0.6 million and $0.1 million, respectively. As of November 1, 2009, the total compensation cost for non-vested option awards not yet recognized was approximately $1.9 million. That cost is expected to be recognized over a weighted average amortization period of 3.7 years. A summary of the status of the Company's non-vested restricted shares as of November 1, 2009 is presented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88"/>
              </w:rPr>
              <w:t>Weighted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1"/>
              </w:rPr>
              <w:t>Weighted</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6"/>
              </w:rPr>
              <w:t>Average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8"/>
              </w:rPr>
              <w:t>Average</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4"/>
              </w:rPr>
              <w:t>Fair Value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1"/>
              </w:rPr>
              <w:t>Remaining</w:t>
            </w:r>
          </w:p>
        </w:tc>
        <w:tc>
          <w:tcPr>
            <w:tcW w:w="6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w w:val="86"/>
              </w:rPr>
              <w:t>Aggregate</w:t>
            </w:r>
          </w:p>
        </w:tc>
      </w:tr>
      <w:tr>
        <w:trPr>
          <w:trHeight w:val="224"/>
        </w:trPr>
        <w:tc>
          <w:tcPr>
            <w:tcW w:w="3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6"/>
              </w:rPr>
              <w:t>at Grant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1"/>
              </w:rPr>
              <w:t>Contractual</w:t>
            </w:r>
          </w:p>
        </w:tc>
        <w:tc>
          <w:tcPr>
            <w:tcW w:w="6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Intrinsic</w:t>
            </w:r>
          </w:p>
        </w:tc>
      </w:tr>
      <w:tr>
        <w:trPr>
          <w:trHeight w:val="260"/>
        </w:trPr>
        <w:tc>
          <w:tcPr>
            <w:tcW w:w="3580" w:type="dxa"/>
            <w:vAlign w:val="bottom"/>
          </w:tcPr>
          <w:p>
            <w:pPr>
              <w:ind w:left="940"/>
              <w:spacing w:after="0"/>
              <w:rPr>
                <w:sz w:val="20"/>
                <w:szCs w:val="20"/>
                <w:color w:val="auto"/>
              </w:rPr>
            </w:pPr>
            <w:r>
              <w:rPr>
                <w:rFonts w:ascii="Arial" w:cs="Arial" w:eastAsia="Arial" w:hAnsi="Arial"/>
                <w:sz w:val="20"/>
                <w:szCs w:val="20"/>
                <w:b w:val="1"/>
                <w:bCs w:val="1"/>
                <w:color w:val="auto"/>
              </w:rPr>
              <w:t>Restricted Stock</w:t>
            </w:r>
          </w:p>
        </w:tc>
        <w:tc>
          <w:tcPr>
            <w:tcW w:w="820" w:type="dxa"/>
            <w:vAlign w:val="bottom"/>
          </w:tcPr>
          <w:p>
            <w:pPr>
              <w:jc w:val="right"/>
              <w:ind w:right="40"/>
              <w:spacing w:after="0"/>
              <w:rPr>
                <w:sz w:val="20"/>
                <w:szCs w:val="20"/>
                <w:color w:val="auto"/>
              </w:rPr>
            </w:pPr>
            <w:r>
              <w:rPr>
                <w:rFonts w:ascii="Arial" w:cs="Arial" w:eastAsia="Arial" w:hAnsi="Arial"/>
                <w:sz w:val="20"/>
                <w:szCs w:val="20"/>
                <w:b w:val="1"/>
                <w:bCs w:val="1"/>
                <w:color w:val="auto"/>
                <w:w w:val="98"/>
              </w:rPr>
              <w:t>Shares</w:t>
            </w:r>
          </w:p>
        </w:tc>
        <w:tc>
          <w:tcPr>
            <w:tcW w:w="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92"/>
              </w:rPr>
              <w:t>Date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5"/>
              </w:rPr>
              <w:t>Life</w:t>
            </w:r>
          </w:p>
        </w:tc>
        <w:tc>
          <w:tcPr>
            <w:tcW w:w="60" w:type="dxa"/>
            <w:vAlign w:val="bottom"/>
          </w:tcPr>
          <w:p>
            <w:pPr>
              <w:spacing w:after="0"/>
              <w:rPr>
                <w:sz w:val="22"/>
                <w:szCs w:val="22"/>
                <w:color w:val="auto"/>
              </w:rPr>
            </w:pPr>
          </w:p>
        </w:tc>
        <w:tc>
          <w:tcPr>
            <w:tcW w:w="900" w:type="dxa"/>
            <w:vAlign w:val="bottom"/>
          </w:tcPr>
          <w:p>
            <w:pPr>
              <w:jc w:val="right"/>
              <w:ind w:right="120"/>
              <w:spacing w:after="0"/>
              <w:rPr>
                <w:sz w:val="20"/>
                <w:szCs w:val="20"/>
                <w:color w:val="auto"/>
              </w:rPr>
            </w:pPr>
            <w:r>
              <w:rPr>
                <w:rFonts w:ascii="Arial" w:cs="Arial" w:eastAsia="Arial" w:hAnsi="Arial"/>
                <w:sz w:val="20"/>
                <w:szCs w:val="20"/>
                <w:b w:val="1"/>
                <w:bCs w:val="1"/>
                <w:color w:val="auto"/>
              </w:rPr>
              <w:t>Value</w:t>
            </w:r>
          </w:p>
        </w:tc>
      </w:tr>
      <w:tr>
        <w:trPr>
          <w:trHeight w:val="90"/>
        </w:trPr>
        <w:tc>
          <w:tcPr>
            <w:tcW w:w="35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34"/>
        </w:trPr>
        <w:tc>
          <w:tcPr>
            <w:tcW w:w="3580" w:type="dxa"/>
            <w:vAlign w:val="bottom"/>
          </w:tcPr>
          <w:p>
            <w:pPr>
              <w:spacing w:after="0"/>
              <w:rPr>
                <w:sz w:val="20"/>
                <w:szCs w:val="20"/>
                <w:color w:val="auto"/>
              </w:rPr>
            </w:pPr>
            <w:r>
              <w:rPr>
                <w:rFonts w:ascii="Arial" w:cs="Arial" w:eastAsia="Arial" w:hAnsi="Arial"/>
                <w:sz w:val="20"/>
                <w:szCs w:val="20"/>
                <w:color w:val="auto"/>
              </w:rPr>
              <w:t>Outstanding at November 2, 2008</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292,675</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$14.60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580" w:type="dxa"/>
            <w:vAlign w:val="bottom"/>
          </w:tcPr>
          <w:p>
            <w:pPr>
              <w:spacing w:after="0" w:line="225" w:lineRule="exact"/>
              <w:rPr>
                <w:sz w:val="20"/>
                <w:szCs w:val="20"/>
                <w:color w:val="auto"/>
              </w:rPr>
            </w:pPr>
            <w:r>
              <w:rPr>
                <w:rFonts w:ascii="Arial" w:cs="Arial" w:eastAsia="Arial" w:hAnsi="Arial"/>
                <w:sz w:val="20"/>
                <w:szCs w:val="20"/>
                <w:color w:val="auto"/>
              </w:rPr>
              <w:t>Granted</w:t>
            </w: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75,000</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580" w:type="dxa"/>
            <w:vAlign w:val="bottom"/>
          </w:tcPr>
          <w:p>
            <w:pPr>
              <w:spacing w:after="0" w:line="225" w:lineRule="exact"/>
              <w:rPr>
                <w:sz w:val="20"/>
                <w:szCs w:val="20"/>
                <w:color w:val="auto"/>
              </w:rPr>
            </w:pPr>
            <w:r>
              <w:rPr>
                <w:rFonts w:ascii="Arial" w:cs="Arial" w:eastAsia="Arial" w:hAnsi="Arial"/>
                <w:sz w:val="20"/>
                <w:szCs w:val="20"/>
                <w:color w:val="auto"/>
              </w:rPr>
              <w:t>Vested</w:t>
            </w: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w w:val="91"/>
              </w:rPr>
              <w:t>(121,203)</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7.70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3580" w:type="dxa"/>
            <w:vAlign w:val="bottom"/>
          </w:tcPr>
          <w:p>
            <w:pPr>
              <w:spacing w:after="0"/>
              <w:rPr>
                <w:sz w:val="20"/>
                <w:szCs w:val="20"/>
                <w:color w:val="auto"/>
              </w:rPr>
            </w:pPr>
            <w:r>
              <w:rPr>
                <w:rFonts w:ascii="Arial" w:cs="Arial" w:eastAsia="Arial" w:hAnsi="Arial"/>
                <w:sz w:val="20"/>
                <w:szCs w:val="20"/>
                <w:color w:val="auto"/>
              </w:rPr>
              <w:t>Cancelled and forfeited</w:t>
            </w:r>
          </w:p>
        </w:tc>
        <w:tc>
          <w:tcPr>
            <w:tcW w:w="820" w:type="dxa"/>
            <w:vAlign w:val="bottom"/>
          </w:tcPr>
          <w:p>
            <w:pPr>
              <w:jc w:val="right"/>
              <w:spacing w:after="0"/>
              <w:rPr>
                <w:sz w:val="20"/>
                <w:szCs w:val="20"/>
                <w:color w:val="auto"/>
              </w:rPr>
            </w:pPr>
            <w:r>
              <w:rPr>
                <w:rFonts w:ascii="Arial" w:cs="Arial" w:eastAsia="Arial" w:hAnsi="Arial"/>
                <w:sz w:val="20"/>
                <w:szCs w:val="20"/>
                <w:color w:val="auto"/>
              </w:rPr>
              <w:t>(76,187)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15.49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90"/>
        </w:trPr>
        <w:tc>
          <w:tcPr>
            <w:tcW w:w="3580" w:type="dxa"/>
            <w:vAlign w:val="bottom"/>
          </w:tcPr>
          <w:p>
            <w:pPr>
              <w:spacing w:after="0"/>
              <w:rPr>
                <w:sz w:val="7"/>
                <w:szCs w:val="7"/>
                <w:color w:val="auto"/>
              </w:rPr>
            </w:pPr>
          </w:p>
        </w:tc>
        <w:tc>
          <w:tcPr>
            <w:tcW w:w="820" w:type="dxa"/>
            <w:vAlign w:val="bottom"/>
            <w:tcBorders>
              <w:bottom w:val="single" w:sz="8" w:color="336699"/>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339"/>
        </w:trPr>
        <w:tc>
          <w:tcPr>
            <w:tcW w:w="3580" w:type="dxa"/>
            <w:vAlign w:val="bottom"/>
          </w:tcPr>
          <w:p>
            <w:pPr>
              <w:spacing w:after="0"/>
              <w:rPr>
                <w:sz w:val="20"/>
                <w:szCs w:val="20"/>
                <w:color w:val="auto"/>
              </w:rPr>
            </w:pPr>
            <w:r>
              <w:rPr>
                <w:rFonts w:ascii="Arial" w:cs="Arial" w:eastAsia="Arial" w:hAnsi="Arial"/>
                <w:sz w:val="20"/>
                <w:szCs w:val="20"/>
                <w:color w:val="auto"/>
              </w:rPr>
              <w:t>Outstanding at November 1, 2009</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170,285</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$13.02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20"/>
                <w:szCs w:val="20"/>
                <w:color w:val="auto"/>
                <w:w w:val="89"/>
              </w:rPr>
              <w:t>3.0 years</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$712</w:t>
            </w:r>
          </w:p>
        </w:tc>
      </w:tr>
      <w:tr>
        <w:trPr>
          <w:trHeight w:val="111"/>
        </w:trPr>
        <w:tc>
          <w:tcPr>
            <w:tcW w:w="3580" w:type="dxa"/>
            <w:vAlign w:val="bottom"/>
          </w:tcPr>
          <w:p>
            <w:pPr>
              <w:spacing w:after="0"/>
              <w:rPr>
                <w:sz w:val="9"/>
                <w:szCs w:val="9"/>
                <w:color w:val="auto"/>
              </w:rPr>
            </w:pPr>
          </w:p>
        </w:tc>
        <w:tc>
          <w:tcPr>
            <w:tcW w:w="8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6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r>
      <w:tr>
        <w:trPr>
          <w:trHeight w:val="330"/>
        </w:trPr>
        <w:tc>
          <w:tcPr>
            <w:tcW w:w="3580" w:type="dxa"/>
            <w:vAlign w:val="bottom"/>
          </w:tcPr>
          <w:p>
            <w:pPr>
              <w:spacing w:after="0"/>
              <w:rPr>
                <w:sz w:val="20"/>
                <w:szCs w:val="20"/>
                <w:color w:val="auto"/>
              </w:rPr>
            </w:pPr>
            <w:r>
              <w:rPr>
                <w:rFonts w:ascii="Arial" w:cs="Arial" w:eastAsia="Arial" w:hAnsi="Arial"/>
                <w:sz w:val="20"/>
                <w:szCs w:val="20"/>
                <w:color w:val="auto"/>
                <w:w w:val="97"/>
              </w:rPr>
              <w:t>Expected to vest as of November 1, 2009</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148,897</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$12.69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20"/>
                <w:szCs w:val="20"/>
                <w:color w:val="auto"/>
                <w:w w:val="89"/>
              </w:rPr>
              <w:t>2.9 years</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$622</w:t>
            </w:r>
          </w:p>
        </w:tc>
      </w:tr>
      <w:tr>
        <w:trPr>
          <w:trHeight w:val="111"/>
        </w:trPr>
        <w:tc>
          <w:tcPr>
            <w:tcW w:w="3580" w:type="dxa"/>
            <w:vAlign w:val="bottom"/>
          </w:tcPr>
          <w:p>
            <w:pPr>
              <w:spacing w:after="0"/>
              <w:rPr>
                <w:sz w:val="9"/>
                <w:szCs w:val="9"/>
                <w:color w:val="auto"/>
              </w:rPr>
            </w:pPr>
          </w:p>
        </w:tc>
        <w:tc>
          <w:tcPr>
            <w:tcW w:w="8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6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-320675</wp:posOffset>
            </wp:positionV>
            <wp:extent cx="12700" cy="285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-320675</wp:posOffset>
            </wp:positionV>
            <wp:extent cx="12700" cy="285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-320675</wp:posOffset>
            </wp:positionV>
            <wp:extent cx="12700" cy="28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-320675</wp:posOffset>
            </wp:positionV>
            <wp:extent cx="12700" cy="285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-320675</wp:posOffset>
            </wp:positionV>
            <wp:extent cx="12700" cy="285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-320675</wp:posOffset>
            </wp:positionV>
            <wp:extent cx="12700" cy="285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-320675</wp:posOffset>
            </wp:positionV>
            <wp:extent cx="12700" cy="285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-320675</wp:posOffset>
            </wp:positionV>
            <wp:extent cx="12700" cy="28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-27940</wp:posOffset>
            </wp:positionV>
            <wp:extent cx="12700" cy="285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-27940</wp:posOffset>
            </wp:positionV>
            <wp:extent cx="12700" cy="285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-27940</wp:posOffset>
            </wp:positionV>
            <wp:extent cx="12700" cy="285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-27940</wp:posOffset>
            </wp:positionV>
            <wp:extent cx="12700" cy="28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-27940</wp:posOffset>
            </wp:positionV>
            <wp:extent cx="12700" cy="285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-27940</wp:posOffset>
            </wp:positionV>
            <wp:extent cx="12700" cy="285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-27940</wp:posOffset>
            </wp:positionV>
            <wp:extent cx="12700" cy="28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-27940</wp:posOffset>
            </wp:positionV>
            <wp:extent cx="12700" cy="285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Stock Purchase Plan</w:t>
      </w:r>
    </w:p>
    <w:p>
      <w:pPr>
        <w:spacing w:after="0" w:line="194" w:lineRule="exact"/>
        <w:rPr>
          <w:sz w:val="20"/>
          <w:szCs w:val="20"/>
          <w:color w:val="auto"/>
        </w:rPr>
      </w:pPr>
    </w:p>
    <w:p>
      <w:pPr>
        <w:ind w:right="20" w:firstLine="246"/>
        <w:spacing w:after="0" w:line="259" w:lineRule="auto"/>
        <w:rPr>
          <w:sz w:val="20"/>
          <w:szCs w:val="20"/>
          <w:color w:val="auto"/>
        </w:rPr>
      </w:pPr>
      <w:r>
        <w:rPr>
          <w:rFonts w:ascii="Arial" w:cs="Arial" w:eastAsia="Arial" w:hAnsi="Arial"/>
          <w:sz w:val="19"/>
          <w:szCs w:val="19"/>
          <w:color w:val="auto"/>
        </w:rPr>
        <w:t>The Company's Employee Stock Purchase Plan ("ESPP") permits employees to purchase shares at 85% of the lower of the fair market value at the commencement of the offering or the last day of the payroll payment period. A total of 900,000 shares are currently available for purchase under the ESPP. The vesting period for the ESPP is approximately one year. Under the ESPP 777,490 shares had been issued through November 1, 2009 and an additional 143,965 shares are subject to outstanding subscriptions.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EMPLOYEE RETIREMENT PLANS</w:t>
      </w:r>
    </w:p>
    <w:p>
      <w:pPr>
        <w:spacing w:after="0" w:line="200" w:lineRule="exact"/>
        <w:rPr>
          <w:sz w:val="20"/>
          <w:szCs w:val="20"/>
          <w:color w:val="auto"/>
        </w:rPr>
      </w:pPr>
    </w:p>
    <w:p>
      <w:pPr>
        <w:ind w:right="20" w:firstLine="246"/>
        <w:spacing w:after="0" w:line="256" w:lineRule="auto"/>
        <w:rPr>
          <w:sz w:val="20"/>
          <w:szCs w:val="20"/>
          <w:color w:val="auto"/>
        </w:rPr>
      </w:pPr>
      <w:r>
        <w:rPr>
          <w:rFonts w:ascii="Arial" w:cs="Arial" w:eastAsia="Arial" w:hAnsi="Arial"/>
          <w:sz w:val="19"/>
          <w:szCs w:val="19"/>
          <w:color w:val="auto"/>
        </w:rPr>
        <w:t>The Company maintains a 401(k) Savings and Profit Sharing Plan ("401(k) Plan") which covers all full-time domestic employees who have completed 3 months of service and are 18 years of age or older. Under the terms of the 401(k) Plan, employees may contribute up to 50% of their salary, subject to certain maximum amounts, which will be matched by the Company at 50% of the employee's contributions, which are not in excess of 4% of the employee's compensation. Employee and employer contributions vest fully upon contribution. Employer contributions amounted to $0.2 million in fiscal 2009, $0.5 million in fiscal 2008 and $0.4 million in fiscal 2007.</w:t>
      </w:r>
    </w:p>
    <w:p>
      <w:pPr>
        <w:spacing w:after="0" w:line="156" w:lineRule="exact"/>
        <w:rPr>
          <w:sz w:val="20"/>
          <w:szCs w:val="20"/>
          <w:color w:val="auto"/>
        </w:rPr>
      </w:pPr>
    </w:p>
    <w:p>
      <w:pPr>
        <w:ind w:right="40" w:firstLine="246"/>
        <w:spacing w:after="0" w:line="258" w:lineRule="auto"/>
        <w:rPr>
          <w:sz w:val="20"/>
          <w:szCs w:val="20"/>
          <w:color w:val="auto"/>
        </w:rPr>
      </w:pPr>
      <w:r>
        <w:rPr>
          <w:rFonts w:ascii="Arial" w:cs="Arial" w:eastAsia="Arial" w:hAnsi="Arial"/>
          <w:sz w:val="20"/>
          <w:szCs w:val="20"/>
          <w:color w:val="auto"/>
        </w:rPr>
        <w:t>The Company's international subsidiaries maintain retirement plans for their employees, which vary by country. The obligations and cost of these plans are not significant to the Company's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CONSOLIDATION, RESTRUCTURING AND RELATED CHARGES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2009 Restructurings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Shanghai, China Facility</w:t>
      </w:r>
    </w:p>
    <w:p>
      <w:pPr>
        <w:spacing w:after="0" w:line="194" w:lineRule="exact"/>
        <w:rPr>
          <w:sz w:val="20"/>
          <w:szCs w:val="20"/>
          <w:color w:val="auto"/>
        </w:rPr>
      </w:pPr>
    </w:p>
    <w:p>
      <w:pPr>
        <w:ind w:right="120" w:firstLine="299"/>
        <w:spacing w:after="0" w:line="259" w:lineRule="auto"/>
        <w:rPr>
          <w:sz w:val="20"/>
          <w:szCs w:val="20"/>
          <w:color w:val="auto"/>
        </w:rPr>
      </w:pPr>
      <w:r>
        <w:rPr>
          <w:rFonts w:ascii="Arial" w:cs="Arial" w:eastAsia="Arial" w:hAnsi="Arial"/>
          <w:sz w:val="19"/>
          <w:szCs w:val="19"/>
          <w:color w:val="auto"/>
        </w:rPr>
        <w:t>During the three months ended August 2, 2009, the Company ceased the manufacture of photomasks at its Shanghai, China facility. In connection with this restructuring, the Company recorded a total restructure charge of $10.2 million, including $9.9 million for asset write-downs, principally related to the Company's manufacturing facility. The fair value of the assets written down was determined by management using a market approach. Approximately 75 employees were affected by this restructuring.</w:t>
      </w:r>
    </w:p>
    <w:p>
      <w:pPr>
        <w:spacing w:after="0" w:line="154" w:lineRule="exact"/>
        <w:rPr>
          <w:sz w:val="20"/>
          <w:szCs w:val="20"/>
          <w:color w:val="auto"/>
        </w:rPr>
      </w:pPr>
    </w:p>
    <w:p>
      <w:pPr>
        <w:ind w:right="40" w:firstLine="246"/>
        <w:spacing w:after="0" w:line="246" w:lineRule="auto"/>
        <w:rPr>
          <w:sz w:val="20"/>
          <w:szCs w:val="20"/>
          <w:color w:val="auto"/>
        </w:rPr>
      </w:pPr>
      <w:r>
        <w:rPr>
          <w:rFonts w:ascii="Arial" w:cs="Arial" w:eastAsia="Arial" w:hAnsi="Arial"/>
          <w:sz w:val="20"/>
          <w:szCs w:val="20"/>
          <w:color w:val="auto"/>
        </w:rPr>
        <w:t>The Company expects the total after tax cost of this restructure to range between $11 million to $13 million through its expected completion in 2010. The following table sets forth the Company's restructuring reserve as of November 1, 2009 relating to its Shanghai, China facility, and reflects the activity affecting the reserve for the year then ended.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960" w:type="dxa"/>
            <w:vAlign w:val="bottom"/>
          </w:tcPr>
          <w:p>
            <w:pPr>
              <w:spacing w:after="0"/>
              <w:rPr>
                <w:sz w:val="22"/>
                <w:szCs w:val="22"/>
                <w:color w:val="auto"/>
              </w:rPr>
            </w:pPr>
          </w:p>
        </w:tc>
        <w:tc>
          <w:tcPr>
            <w:tcW w:w="5100" w:type="dxa"/>
            <w:vAlign w:val="bottom"/>
            <w:gridSpan w:val="7"/>
          </w:tcPr>
          <w:p>
            <w:pPr>
              <w:jc w:val="right"/>
              <w:ind w:right="1160"/>
              <w:spacing w:after="0"/>
              <w:rPr>
                <w:sz w:val="20"/>
                <w:szCs w:val="20"/>
                <w:color w:val="auto"/>
              </w:rPr>
            </w:pPr>
            <w:r>
              <w:rPr>
                <w:rFonts w:ascii="Arial" w:cs="Arial" w:eastAsia="Arial" w:hAnsi="Arial"/>
                <w:sz w:val="20"/>
                <w:szCs w:val="20"/>
                <w:b w:val="1"/>
                <w:bCs w:val="1"/>
                <w:color w:val="auto"/>
              </w:rPr>
              <w:t>Year Ended November 1, 2009</w:t>
            </w:r>
          </w:p>
        </w:tc>
      </w:tr>
      <w:tr>
        <w:trPr>
          <w:trHeight w:val="90"/>
        </w:trPr>
        <w:tc>
          <w:tcPr>
            <w:tcW w:w="196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304"/>
        </w:trPr>
        <w:tc>
          <w:tcPr>
            <w:tcW w:w="1960" w:type="dxa"/>
            <w:vAlign w:val="bottom"/>
          </w:tcPr>
          <w:p>
            <w:pPr>
              <w:spacing w:after="0"/>
              <w:rPr>
                <w:sz w:val="24"/>
                <w:szCs w:val="24"/>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b w:val="1"/>
                <w:bCs w:val="1"/>
                <w:color w:val="auto"/>
              </w:rPr>
              <w:t>November 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80"/>
              <w:spacing w:after="0"/>
              <w:rPr>
                <w:sz w:val="20"/>
                <w:szCs w:val="20"/>
                <w:color w:val="auto"/>
              </w:rPr>
            </w:pPr>
            <w:r>
              <w:rPr>
                <w:rFonts w:ascii="Arial" w:cs="Arial" w:eastAsia="Arial" w:hAnsi="Arial"/>
                <w:sz w:val="20"/>
                <w:szCs w:val="20"/>
                <w:b w:val="1"/>
                <w:bCs w:val="1"/>
                <w:color w:val="auto"/>
              </w:rPr>
              <w:t>November 1,</w:t>
            </w:r>
          </w:p>
        </w:tc>
      </w:tr>
      <w:tr>
        <w:trPr>
          <w:trHeight w:val="260"/>
        </w:trPr>
        <w:tc>
          <w:tcPr>
            <w:tcW w:w="1960" w:type="dxa"/>
            <w:vAlign w:val="bottom"/>
          </w:tcPr>
          <w:p>
            <w:pPr>
              <w:spacing w:after="0"/>
              <w:rPr>
                <w:sz w:val="22"/>
                <w:szCs w:val="22"/>
                <w:color w:val="auto"/>
              </w:rPr>
            </w:pPr>
          </w:p>
        </w:tc>
        <w:tc>
          <w:tcPr>
            <w:tcW w:w="1420" w:type="dxa"/>
            <w:vAlign w:val="bottom"/>
          </w:tcPr>
          <w:p>
            <w:pPr>
              <w:jc w:val="right"/>
              <w:ind w:right="420"/>
              <w:spacing w:after="0"/>
              <w:rPr>
                <w:sz w:val="20"/>
                <w:szCs w:val="20"/>
                <w:color w:val="auto"/>
              </w:rPr>
            </w:pPr>
            <w:r>
              <w:rPr>
                <w:rFonts w:ascii="Arial" w:cs="Arial" w:eastAsia="Arial" w:hAnsi="Arial"/>
                <w:sz w:val="20"/>
                <w:szCs w:val="20"/>
                <w:b w:val="1"/>
                <w:bCs w:val="1"/>
                <w:color w:val="auto"/>
              </w:rPr>
              <w:t>2008</w:t>
            </w:r>
          </w:p>
        </w:tc>
        <w:tc>
          <w:tcPr>
            <w:tcW w:w="1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b w:val="1"/>
                <w:bCs w:val="1"/>
                <w:color w:val="auto"/>
                <w:w w:val="97"/>
              </w:rPr>
              <w:t>Charges</w:t>
            </w:r>
          </w:p>
        </w:tc>
        <w:tc>
          <w:tcPr>
            <w:tcW w:w="100" w:type="dxa"/>
            <w:vAlign w:val="bottom"/>
          </w:tcPr>
          <w:p>
            <w:pPr>
              <w:spacing w:after="0"/>
              <w:rPr>
                <w:sz w:val="22"/>
                <w:szCs w:val="22"/>
                <w:color w:val="auto"/>
              </w:rPr>
            </w:pPr>
          </w:p>
        </w:tc>
        <w:tc>
          <w:tcPr>
            <w:tcW w:w="1020" w:type="dxa"/>
            <w:vAlign w:val="bottom"/>
          </w:tcPr>
          <w:p>
            <w:pPr>
              <w:jc w:val="right"/>
              <w:ind w:right="100"/>
              <w:spacing w:after="0"/>
              <w:rPr>
                <w:sz w:val="20"/>
                <w:szCs w:val="20"/>
                <w:color w:val="auto"/>
              </w:rPr>
            </w:pPr>
            <w:r>
              <w:rPr>
                <w:rFonts w:ascii="Arial" w:cs="Arial" w:eastAsia="Arial" w:hAnsi="Arial"/>
                <w:sz w:val="20"/>
                <w:szCs w:val="20"/>
                <w:b w:val="1"/>
                <w:bCs w:val="1"/>
                <w:color w:val="auto"/>
              </w:rPr>
              <w:t>Utilized</w:t>
            </w:r>
          </w:p>
        </w:tc>
        <w:tc>
          <w:tcPr>
            <w:tcW w:w="154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2009</w:t>
            </w:r>
          </w:p>
        </w:tc>
      </w:tr>
      <w:tr>
        <w:trPr>
          <w:trHeight w:val="90"/>
        </w:trPr>
        <w:tc>
          <w:tcPr>
            <w:tcW w:w="196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563"/>
        </w:trPr>
        <w:tc>
          <w:tcPr>
            <w:tcW w:w="1960" w:type="dxa"/>
            <w:vAlign w:val="bottom"/>
          </w:tcPr>
          <w:p>
            <w:pPr>
              <w:spacing w:after="0"/>
              <w:rPr>
                <w:sz w:val="20"/>
                <w:szCs w:val="20"/>
                <w:color w:val="auto"/>
              </w:rPr>
            </w:pPr>
            <w:r>
              <w:rPr>
                <w:rFonts w:ascii="Arial" w:cs="Arial" w:eastAsia="Arial" w:hAnsi="Arial"/>
                <w:sz w:val="20"/>
                <w:szCs w:val="20"/>
                <w:color w:val="auto"/>
              </w:rPr>
              <w:t>Asset write-downs</w:t>
            </w:r>
          </w:p>
        </w:tc>
        <w:tc>
          <w:tcPr>
            <w:tcW w:w="1420" w:type="dxa"/>
            <w:vAlign w:val="bottom"/>
          </w:tcPr>
          <w:p>
            <w:pPr>
              <w:jc w:val="right"/>
              <w:spacing w:after="0"/>
              <w:rPr>
                <w:sz w:val="20"/>
                <w:szCs w:val="20"/>
                <w:color w:val="auto"/>
              </w:rPr>
            </w:pPr>
            <w:r>
              <w:rPr>
                <w:rFonts w:ascii="Arial" w:cs="Arial" w:eastAsia="Arial" w:hAnsi="Arial"/>
                <w:sz w:val="20"/>
                <w:szCs w:val="20"/>
                <w:color w:val="auto"/>
              </w:rPr>
              <w:t>$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$ 9,908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 (9,908)</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  -</w:t>
            </w:r>
          </w:p>
        </w:tc>
      </w:tr>
      <w:tr>
        <w:trPr>
          <w:trHeight w:val="449"/>
        </w:trPr>
        <w:tc>
          <w:tcPr>
            <w:tcW w:w="1960" w:type="dxa"/>
            <w:vAlign w:val="bottom"/>
          </w:tcPr>
          <w:p>
            <w:pPr>
              <w:spacing w:after="0"/>
              <w:rPr>
                <w:sz w:val="20"/>
                <w:szCs w:val="20"/>
                <w:color w:val="auto"/>
              </w:rPr>
            </w:pPr>
            <w:r>
              <w:rPr>
                <w:rFonts w:ascii="Arial" w:cs="Arial" w:eastAsia="Arial" w:hAnsi="Arial"/>
                <w:sz w:val="20"/>
                <w:szCs w:val="20"/>
                <w:color w:val="auto"/>
              </w:rPr>
              <w:t>Other</w:t>
            </w: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324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(190)</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134</w:t>
            </w:r>
          </w:p>
        </w:tc>
      </w:tr>
      <w:tr>
        <w:trPr>
          <w:trHeight w:val="90"/>
        </w:trPr>
        <w:tc>
          <w:tcPr>
            <w:tcW w:w="196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336699"/>
            </w:tcBorders>
          </w:tcPr>
          <w:p>
            <w:pPr>
              <w:spacing w:after="0"/>
              <w:rPr>
                <w:sz w:val="7"/>
                <w:szCs w:val="7"/>
                <w:color w:val="auto"/>
              </w:rPr>
            </w:pPr>
          </w:p>
        </w:tc>
      </w:tr>
      <w:tr>
        <w:trPr>
          <w:trHeight w:val="339"/>
        </w:trPr>
        <w:tc>
          <w:tcPr>
            <w:tcW w:w="19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 -</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$10,232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$(10,098)</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$134</w:t>
            </w:r>
          </w:p>
        </w:tc>
      </w:tr>
    </w:tbl>
    <w:p>
      <w:pPr>
        <w:sectPr>
          <w:pgSz w:w="11900" w:h="16838" w:orient="portrait"/>
          <w:cols w:equalWidth="0" w:num="1">
            <w:col w:w="11420"/>
          </w:cols>
          <w:pgMar w:left="240" w:top="120" w:right="239" w:bottom="0" w:gutter="0" w:footer="0" w:header="0"/>
        </w:sectPr>
      </w:pPr>
    </w:p>
    <w:bookmarkStart w:id="41" w:name="page42"/>
    <w:bookmarkEnd w:id="41"/>
    <w:p>
      <w:pPr>
        <w:ind w:left="2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1392555</wp:posOffset>
            </wp:positionH>
            <wp:positionV relativeFrom="page">
              <wp:posOffset>88900</wp:posOffset>
            </wp:positionV>
            <wp:extent cx="324929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49295" cy="26035"/>
                    </a:xfrm>
                    <a:prstGeom prst="rect">
                      <a:avLst/>
                    </a:prstGeom>
                    <a:noFill/>
                  </pic:spPr>
                </pic:pic>
              </a:graphicData>
            </a:graphic>
          </wp:anchor>
        </w:drawing>
        <w:t>The Company is currently in negotiations to sell its Shanghai, China facility.</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Manchester, U.K. Facility</w:t>
      </w:r>
    </w:p>
    <w:p>
      <w:pPr>
        <w:spacing w:after="0" w:line="194" w:lineRule="exact"/>
        <w:rPr>
          <w:sz w:val="20"/>
          <w:szCs w:val="20"/>
          <w:color w:val="auto"/>
        </w:rPr>
      </w:pPr>
    </w:p>
    <w:p>
      <w:pPr>
        <w:ind w:firstLine="249"/>
        <w:spacing w:after="0"/>
        <w:rPr>
          <w:sz w:val="20"/>
          <w:szCs w:val="20"/>
          <w:color w:val="auto"/>
        </w:rPr>
      </w:pPr>
      <w:r>
        <w:rPr>
          <w:rFonts w:ascii="Arial" w:cs="Arial" w:eastAsia="Arial" w:hAnsi="Arial"/>
          <w:sz w:val="20"/>
          <w:szCs w:val="20"/>
          <w:color w:val="auto"/>
        </w:rPr>
        <w:t>During the three months ended February 1, 2009, the Company ceased the manufacture of photomasks at its Manchester, U.K. facility, and in connection therewith incurred restructuring charges of $3.3 million in fiscal 2009, primarily for employee termination costs and asset write-downs. Approximately 85 employees were affected by this plan, which was completed in the fourth quarter of fiscal 2009. The following table sets forth the Company's 2009 restructuring reserve related to its Manchester, U.K. facility as of November 1, 2009, and reflects the activity affecting the reserve for the year then ended.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gridSpan w:val="8"/>
          </w:tcPr>
          <w:p>
            <w:pPr>
              <w:jc w:val="right"/>
              <w:ind w:right="1080"/>
              <w:spacing w:after="0"/>
              <w:rPr>
                <w:sz w:val="20"/>
                <w:szCs w:val="20"/>
                <w:color w:val="auto"/>
              </w:rPr>
            </w:pPr>
            <w:r>
              <w:rPr>
                <w:rFonts w:ascii="Arial" w:cs="Arial" w:eastAsia="Arial" w:hAnsi="Arial"/>
                <w:sz w:val="20"/>
                <w:szCs w:val="20"/>
                <w:b w:val="1"/>
                <w:bCs w:val="1"/>
                <w:color w:val="auto"/>
              </w:rPr>
              <w:t>Year Ended November 1, 2009</w:t>
            </w:r>
          </w:p>
        </w:tc>
      </w:tr>
      <w:tr>
        <w:trPr>
          <w:trHeight w:val="90"/>
        </w:trPr>
        <w:tc>
          <w:tcPr>
            <w:tcW w:w="3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304"/>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ind w:right="60"/>
              <w:spacing w:after="0"/>
              <w:rPr>
                <w:sz w:val="20"/>
                <w:szCs w:val="20"/>
                <w:color w:val="auto"/>
              </w:rPr>
            </w:pPr>
            <w:r>
              <w:rPr>
                <w:rFonts w:ascii="Arial" w:cs="Arial" w:eastAsia="Arial" w:hAnsi="Arial"/>
                <w:sz w:val="20"/>
                <w:szCs w:val="20"/>
                <w:b w:val="1"/>
                <w:bCs w:val="1"/>
                <w:color w:val="auto"/>
                <w:w w:val="99"/>
              </w:rPr>
              <w:t>November 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80"/>
              <w:spacing w:after="0"/>
              <w:rPr>
                <w:sz w:val="20"/>
                <w:szCs w:val="20"/>
                <w:color w:val="auto"/>
              </w:rPr>
            </w:pPr>
            <w:r>
              <w:rPr>
                <w:rFonts w:ascii="Arial" w:cs="Arial" w:eastAsia="Arial" w:hAnsi="Arial"/>
                <w:sz w:val="20"/>
                <w:szCs w:val="20"/>
                <w:b w:val="1"/>
                <w:bCs w:val="1"/>
                <w:color w:val="auto"/>
              </w:rPr>
              <w:t>November 1,</w:t>
            </w:r>
          </w:p>
        </w:tc>
      </w:tr>
      <w:tr>
        <w:trPr>
          <w:trHeight w:val="260"/>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jc w:val="right"/>
              <w:ind w:right="400"/>
              <w:spacing w:after="0"/>
              <w:rPr>
                <w:sz w:val="20"/>
                <w:szCs w:val="20"/>
                <w:color w:val="auto"/>
              </w:rPr>
            </w:pPr>
            <w:r>
              <w:rPr>
                <w:rFonts w:ascii="Arial" w:cs="Arial" w:eastAsia="Arial" w:hAnsi="Arial"/>
                <w:sz w:val="20"/>
                <w:szCs w:val="20"/>
                <w:b w:val="1"/>
                <w:bCs w:val="1"/>
                <w:color w:val="auto"/>
              </w:rPr>
              <w:t>2008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b w:val="1"/>
                <w:bCs w:val="1"/>
                <w:color w:val="auto"/>
                <w:w w:val="97"/>
              </w:rPr>
              <w:t>Charges</w:t>
            </w:r>
          </w:p>
        </w:tc>
        <w:tc>
          <w:tcPr>
            <w:tcW w:w="10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Utilized</w:t>
            </w:r>
          </w:p>
        </w:tc>
        <w:tc>
          <w:tcPr>
            <w:tcW w:w="152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2009</w:t>
            </w:r>
          </w:p>
        </w:tc>
      </w:tr>
      <w:tr>
        <w:trPr>
          <w:trHeight w:val="90"/>
        </w:trPr>
        <w:tc>
          <w:tcPr>
            <w:tcW w:w="3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r>
      <w:tr>
        <w:trPr>
          <w:trHeight w:val="563"/>
        </w:trPr>
        <w:tc>
          <w:tcPr>
            <w:tcW w:w="3060" w:type="dxa"/>
            <w:vAlign w:val="bottom"/>
            <w:gridSpan w:val="2"/>
          </w:tcPr>
          <w:p>
            <w:pPr>
              <w:spacing w:after="0"/>
              <w:rPr>
                <w:sz w:val="20"/>
                <w:szCs w:val="20"/>
                <w:color w:val="auto"/>
              </w:rPr>
            </w:pPr>
            <w:r>
              <w:rPr>
                <w:rFonts w:ascii="Arial" w:cs="Arial" w:eastAsia="Arial" w:hAnsi="Arial"/>
                <w:sz w:val="20"/>
                <w:szCs w:val="20"/>
                <w:color w:val="auto"/>
              </w:rPr>
              <w:t>Employee terminations</w:t>
            </w:r>
          </w:p>
        </w:tc>
        <w:tc>
          <w:tcPr>
            <w:tcW w:w="1380" w:type="dxa"/>
            <w:vAlign w:val="bottom"/>
          </w:tcPr>
          <w:p>
            <w:pPr>
              <w:jc w:val="right"/>
              <w:spacing w:after="0"/>
              <w:rPr>
                <w:sz w:val="20"/>
                <w:szCs w:val="20"/>
                <w:color w:val="auto"/>
              </w:rPr>
            </w:pPr>
            <w:r>
              <w:rPr>
                <w:rFonts w:ascii="Arial" w:cs="Arial" w:eastAsia="Arial" w:hAnsi="Arial"/>
                <w:sz w:val="20"/>
                <w:szCs w:val="20"/>
                <w:color w:val="auto"/>
              </w:rPr>
              <w:t>$ -</w:t>
            </w:r>
          </w:p>
        </w:tc>
        <w:tc>
          <w:tcPr>
            <w:tcW w:w="1020" w:type="dxa"/>
            <w:vAlign w:val="bottom"/>
            <w:gridSpan w:val="3"/>
          </w:tcPr>
          <w:p>
            <w:pPr>
              <w:jc w:val="right"/>
              <w:spacing w:after="0"/>
              <w:rPr>
                <w:sz w:val="20"/>
                <w:szCs w:val="20"/>
                <w:color w:val="auto"/>
              </w:rPr>
            </w:pPr>
            <w:r>
              <w:rPr>
                <w:rFonts w:ascii="Arial" w:cs="Arial" w:eastAsia="Arial" w:hAnsi="Arial"/>
                <w:sz w:val="20"/>
                <w:szCs w:val="20"/>
                <w:color w:val="auto"/>
              </w:rPr>
              <w:t>$2,375</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$(2,375)</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 -</w:t>
            </w:r>
          </w:p>
        </w:tc>
      </w:tr>
      <w:tr>
        <w:trPr>
          <w:trHeight w:val="449"/>
        </w:trPr>
        <w:tc>
          <w:tcPr>
            <w:tcW w:w="3060" w:type="dxa"/>
            <w:vAlign w:val="bottom"/>
            <w:gridSpan w:val="2"/>
          </w:tcPr>
          <w:p>
            <w:pPr>
              <w:spacing w:after="0"/>
              <w:rPr>
                <w:sz w:val="20"/>
                <w:szCs w:val="20"/>
                <w:color w:val="auto"/>
              </w:rPr>
            </w:pPr>
            <w:r>
              <w:rPr>
                <w:rFonts w:ascii="Arial" w:cs="Arial" w:eastAsia="Arial" w:hAnsi="Arial"/>
                <w:sz w:val="20"/>
                <w:szCs w:val="20"/>
                <w:color w:val="auto"/>
              </w:rPr>
              <w:t>Asset write-downs and other</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3"/>
          </w:tcPr>
          <w:p>
            <w:pPr>
              <w:jc w:val="right"/>
              <w:spacing w:after="0"/>
              <w:rPr>
                <w:sz w:val="20"/>
                <w:szCs w:val="20"/>
                <w:color w:val="auto"/>
              </w:rPr>
            </w:pPr>
            <w:r>
              <w:rPr>
                <w:rFonts w:ascii="Arial" w:cs="Arial" w:eastAsia="Arial" w:hAnsi="Arial"/>
                <w:sz w:val="20"/>
                <w:szCs w:val="20"/>
                <w:color w:val="auto"/>
              </w:rPr>
              <w:t>950</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(950)</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90"/>
        </w:trPr>
        <w:tc>
          <w:tcPr>
            <w:tcW w:w="3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336699"/>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336699"/>
            </w:tcBorders>
          </w:tcPr>
          <w:p>
            <w:pPr>
              <w:spacing w:after="0"/>
              <w:rPr>
                <w:sz w:val="7"/>
                <w:szCs w:val="7"/>
                <w:color w:val="auto"/>
              </w:rPr>
            </w:pPr>
          </w:p>
        </w:tc>
      </w:tr>
      <w:tr>
        <w:trPr>
          <w:trHeight w:val="339"/>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 -</w:t>
            </w:r>
          </w:p>
        </w:tc>
        <w:tc>
          <w:tcPr>
            <w:tcW w:w="1020" w:type="dxa"/>
            <w:vAlign w:val="bottom"/>
            <w:gridSpan w:val="3"/>
          </w:tcPr>
          <w:p>
            <w:pPr>
              <w:jc w:val="right"/>
              <w:spacing w:after="0"/>
              <w:rPr>
                <w:sz w:val="20"/>
                <w:szCs w:val="20"/>
                <w:color w:val="auto"/>
              </w:rPr>
            </w:pPr>
            <w:r>
              <w:rPr>
                <w:rFonts w:ascii="Arial" w:cs="Arial" w:eastAsia="Arial" w:hAnsi="Arial"/>
                <w:sz w:val="20"/>
                <w:szCs w:val="20"/>
                <w:color w:val="auto"/>
              </w:rPr>
              <w:t>$3,325</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$(3,325)</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 -</w:t>
            </w:r>
          </w:p>
        </w:tc>
      </w:tr>
      <w:tr>
        <w:trPr>
          <w:trHeight w:val="111"/>
        </w:trPr>
        <w:tc>
          <w:tcPr>
            <w:tcW w:w="304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38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336699"/>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-27940</wp:posOffset>
            </wp:positionV>
            <wp:extent cx="12700" cy="28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-27940</wp:posOffset>
            </wp:positionV>
            <wp:extent cx="12700" cy="285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-27940</wp:posOffset>
            </wp:positionV>
            <wp:extent cx="12700" cy="285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-27940</wp:posOffset>
            </wp:positionV>
            <wp:extent cx="12700" cy="28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-27940</wp:posOffset>
            </wp:positionV>
            <wp:extent cx="12700" cy="28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-27940</wp:posOffset>
            </wp:positionV>
            <wp:extent cx="12700" cy="285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-27940</wp:posOffset>
            </wp:positionV>
            <wp:extent cx="12700" cy="285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-27940</wp:posOffset>
            </wp:positionV>
            <wp:extent cx="12700" cy="285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 Restructurings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May 2006, the Company closed its Austin, Texas manufacturing and research and development facility, and in March 2003 closed its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Phoenix, Arizona manufacturing facility. The following tables set forth the Company's restructuring reserves as of November 1, 2009,</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November 2, 2008, and October 28, 2007, and reflect the activity affecting the reserves for the years then ended.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00" w:type="dxa"/>
            <w:vAlign w:val="bottom"/>
            <w:gridSpan w:val="13"/>
          </w:tcPr>
          <w:p>
            <w:pPr>
              <w:jc w:val="center"/>
              <w:spacing w:after="0"/>
              <w:rPr>
                <w:sz w:val="20"/>
                <w:szCs w:val="20"/>
                <w:color w:val="auto"/>
              </w:rPr>
            </w:pPr>
            <w:r>
              <w:rPr>
                <w:rFonts w:ascii="Arial" w:cs="Arial" w:eastAsia="Arial" w:hAnsi="Arial"/>
                <w:sz w:val="20"/>
                <w:szCs w:val="20"/>
                <w:b w:val="1"/>
                <w:bCs w:val="1"/>
                <w:color w:val="auto"/>
                <w:w w:val="90"/>
              </w:rPr>
              <w:t>Year Ended November 1, 2009</w:t>
            </w:r>
          </w:p>
        </w:tc>
        <w:tc>
          <w:tcPr>
            <w:tcW w:w="20" w:type="dxa"/>
            <w:vAlign w:val="bottom"/>
          </w:tcPr>
          <w:p>
            <w:pPr>
              <w:spacing w:after="0"/>
              <w:rPr>
                <w:sz w:val="22"/>
                <w:szCs w:val="22"/>
                <w:color w:val="auto"/>
              </w:rPr>
            </w:pPr>
          </w:p>
        </w:tc>
      </w:tr>
      <w:tr>
        <w:trPr>
          <w:trHeight w:val="30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1"/>
              </w:rPr>
              <w:t>November 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November 1,</w:t>
            </w:r>
          </w:p>
        </w:tc>
        <w:tc>
          <w:tcPr>
            <w:tcW w:w="20" w:type="dxa"/>
            <w:vAlign w:val="bottom"/>
          </w:tcPr>
          <w:p>
            <w:pPr>
              <w:spacing w:after="0"/>
              <w:rPr>
                <w:sz w:val="24"/>
                <w:szCs w:val="24"/>
                <w:color w:val="auto"/>
              </w:rPr>
            </w:pPr>
          </w:p>
        </w:tc>
      </w:tr>
      <w:tr>
        <w:trPr>
          <w:trHeight w:val="224"/>
        </w:trPr>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9"/>
              </w:rPr>
              <w:t>2008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center"/>
              <w:spacing w:after="0" w:line="225" w:lineRule="exact"/>
              <w:rPr>
                <w:sz w:val="20"/>
                <w:szCs w:val="20"/>
                <w:color w:val="auto"/>
              </w:rPr>
            </w:pPr>
            <w:r>
              <w:rPr>
                <w:rFonts w:ascii="Arial" w:cs="Arial" w:eastAsia="Arial" w:hAnsi="Arial"/>
                <w:sz w:val="20"/>
                <w:szCs w:val="20"/>
                <w:b w:val="1"/>
                <w:bCs w:val="1"/>
                <w:color w:val="auto"/>
                <w:w w:val="89"/>
              </w:rPr>
              <w:t>2009</w:t>
            </w:r>
          </w:p>
        </w:tc>
        <w:tc>
          <w:tcPr>
            <w:tcW w:w="20" w:type="dxa"/>
            <w:vAlign w:val="bottom"/>
          </w:tcPr>
          <w:p>
            <w:pPr>
              <w:spacing w:after="0"/>
              <w:rPr>
                <w:sz w:val="19"/>
                <w:szCs w:val="19"/>
                <w:color w:val="auto"/>
              </w:rPr>
            </w:pPr>
          </w:p>
        </w:tc>
      </w:tr>
      <w:tr>
        <w:trPr>
          <w:trHeight w:val="260"/>
        </w:trPr>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89"/>
              </w:rPr>
              <w:t>Charges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20"/>
                <w:szCs w:val="20"/>
                <w:b w:val="1"/>
                <w:bCs w:val="1"/>
                <w:color w:val="auto"/>
              </w:rPr>
              <w:t>Utilized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r>
      <w:tr>
        <w:trPr>
          <w:trHeight w:val="90"/>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563"/>
        </w:trPr>
        <w:tc>
          <w:tcPr>
            <w:tcW w:w="3880" w:type="dxa"/>
            <w:vAlign w:val="bottom"/>
            <w:gridSpan w:val="2"/>
          </w:tcPr>
          <w:p>
            <w:pPr>
              <w:spacing w:after="0"/>
              <w:rPr>
                <w:sz w:val="20"/>
                <w:szCs w:val="20"/>
                <w:color w:val="auto"/>
              </w:rPr>
            </w:pPr>
            <w:r>
              <w:rPr>
                <w:rFonts w:ascii="Arial" w:cs="Arial" w:eastAsia="Arial" w:hAnsi="Arial"/>
                <w:sz w:val="20"/>
                <w:szCs w:val="20"/>
                <w:color w:val="auto"/>
              </w:rPr>
              <w:t>Manufacturing capacity reduction and other</w:t>
            </w:r>
          </w:p>
        </w:tc>
        <w:tc>
          <w:tcPr>
            <w:tcW w:w="1220" w:type="dxa"/>
            <w:vAlign w:val="bottom"/>
          </w:tcPr>
          <w:p>
            <w:pPr>
              <w:jc w:val="right"/>
              <w:spacing w:after="0"/>
              <w:rPr>
                <w:sz w:val="20"/>
                <w:szCs w:val="20"/>
                <w:color w:val="auto"/>
              </w:rPr>
            </w:pPr>
            <w:r>
              <w:rPr>
                <w:rFonts w:ascii="Arial" w:cs="Arial" w:eastAsia="Arial" w:hAnsi="Arial"/>
                <w:sz w:val="20"/>
                <w:szCs w:val="20"/>
                <w:color w:val="auto"/>
              </w:rPr>
              <w:t>$1,134</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$(854)</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$280</w:t>
            </w:r>
          </w:p>
        </w:tc>
        <w:tc>
          <w:tcPr>
            <w:tcW w:w="20" w:type="dxa"/>
            <w:vAlign w:val="bottom"/>
          </w:tcPr>
          <w:p>
            <w:pPr>
              <w:spacing w:after="0"/>
              <w:rPr>
                <w:sz w:val="24"/>
                <w:szCs w:val="24"/>
                <w:color w:val="auto"/>
              </w:rPr>
            </w:pPr>
          </w:p>
        </w:tc>
      </w:tr>
      <w:tr>
        <w:trPr>
          <w:trHeight w:val="90"/>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39"/>
        </w:trPr>
        <w:tc>
          <w:tcPr>
            <w:tcW w:w="38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220" w:type="dxa"/>
            <w:vAlign w:val="bottom"/>
          </w:tcPr>
          <w:p>
            <w:pPr>
              <w:jc w:val="right"/>
              <w:spacing w:after="0"/>
              <w:rPr>
                <w:sz w:val="20"/>
                <w:szCs w:val="20"/>
                <w:color w:val="auto"/>
              </w:rPr>
            </w:pPr>
            <w:r>
              <w:rPr>
                <w:rFonts w:ascii="Arial" w:cs="Arial" w:eastAsia="Arial" w:hAnsi="Arial"/>
                <w:sz w:val="20"/>
                <w:szCs w:val="20"/>
                <w:color w:val="auto"/>
              </w:rPr>
              <w:t>$1,134</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$(854)</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$280</w:t>
            </w:r>
          </w:p>
        </w:tc>
        <w:tc>
          <w:tcPr>
            <w:tcW w:w="20" w:type="dxa"/>
            <w:vAlign w:val="bottom"/>
          </w:tcPr>
          <w:p>
            <w:pPr>
              <w:spacing w:after="0"/>
              <w:rPr>
                <w:sz w:val="24"/>
                <w:szCs w:val="24"/>
                <w:color w:val="auto"/>
              </w:rPr>
            </w:pPr>
          </w:p>
        </w:tc>
      </w:tr>
      <w:tr>
        <w:trPr>
          <w:trHeight w:val="111"/>
        </w:trPr>
        <w:tc>
          <w:tcPr>
            <w:tcW w:w="38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40" w:type="dxa"/>
            <w:vAlign w:val="bottom"/>
            <w:tcBorders>
              <w:bottom w:val="single" w:sz="8" w:color="336699"/>
            </w:tcBorders>
            <w:gridSpan w:val="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336699"/>
            </w:tcBorders>
            <w:gridSpan w:val="3"/>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336699"/>
            </w:tcBorders>
            <w:gridSpan w:val="2"/>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r>
        <w:trPr>
          <w:trHeight w:val="555"/>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3"/>
          </w:tcPr>
          <w:p>
            <w:pPr>
              <w:jc w:val="center"/>
              <w:spacing w:after="0"/>
              <w:rPr>
                <w:sz w:val="20"/>
                <w:szCs w:val="20"/>
                <w:color w:val="auto"/>
              </w:rPr>
            </w:pPr>
            <w:r>
              <w:rPr>
                <w:rFonts w:ascii="Arial" w:cs="Arial" w:eastAsia="Arial" w:hAnsi="Arial"/>
                <w:sz w:val="20"/>
                <w:szCs w:val="20"/>
                <w:b w:val="1"/>
                <w:bCs w:val="1"/>
                <w:color w:val="auto"/>
                <w:w w:val="90"/>
              </w:rPr>
              <w:t>Year Ended November 2, 2008</w:t>
            </w:r>
          </w:p>
        </w:tc>
        <w:tc>
          <w:tcPr>
            <w:tcW w:w="20" w:type="dxa"/>
            <w:vAlign w:val="bottom"/>
          </w:tcPr>
          <w:p>
            <w:pPr>
              <w:spacing w:after="0"/>
              <w:rPr>
                <w:sz w:val="24"/>
                <w:szCs w:val="24"/>
                <w:color w:val="auto"/>
              </w:rPr>
            </w:pPr>
          </w:p>
        </w:tc>
      </w:tr>
      <w:tr>
        <w:trPr>
          <w:trHeight w:val="90"/>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0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0"/>
              </w:rPr>
              <w:t>October 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9"/>
              </w:rPr>
              <w:t>November 2,</w:t>
            </w:r>
          </w:p>
        </w:tc>
        <w:tc>
          <w:tcPr>
            <w:tcW w:w="20" w:type="dxa"/>
            <w:vAlign w:val="bottom"/>
          </w:tcPr>
          <w:p>
            <w:pPr>
              <w:spacing w:after="0"/>
              <w:rPr>
                <w:sz w:val="24"/>
                <w:szCs w:val="24"/>
                <w:color w:val="auto"/>
              </w:rPr>
            </w:pPr>
          </w:p>
        </w:tc>
      </w:tr>
      <w:tr>
        <w:trPr>
          <w:trHeight w:val="224"/>
        </w:trPr>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9"/>
              </w:rPr>
              <w:t>2007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center"/>
              <w:spacing w:after="0" w:line="225" w:lineRule="exact"/>
              <w:rPr>
                <w:sz w:val="20"/>
                <w:szCs w:val="20"/>
                <w:color w:val="auto"/>
              </w:rPr>
            </w:pPr>
            <w:r>
              <w:rPr>
                <w:rFonts w:ascii="Arial" w:cs="Arial" w:eastAsia="Arial" w:hAnsi="Arial"/>
                <w:sz w:val="20"/>
                <w:szCs w:val="20"/>
                <w:b w:val="1"/>
                <w:bCs w:val="1"/>
                <w:color w:val="auto"/>
                <w:w w:val="89"/>
              </w:rPr>
              <w:t>2008</w:t>
            </w:r>
          </w:p>
        </w:tc>
        <w:tc>
          <w:tcPr>
            <w:tcW w:w="20" w:type="dxa"/>
            <w:vAlign w:val="bottom"/>
          </w:tcPr>
          <w:p>
            <w:pPr>
              <w:spacing w:after="0"/>
              <w:rPr>
                <w:sz w:val="19"/>
                <w:szCs w:val="19"/>
                <w:color w:val="auto"/>
              </w:rPr>
            </w:pPr>
          </w:p>
        </w:tc>
      </w:tr>
      <w:tr>
        <w:trPr>
          <w:trHeight w:val="260"/>
        </w:trPr>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89"/>
              </w:rPr>
              <w:t>Charges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20"/>
                <w:szCs w:val="20"/>
                <w:b w:val="1"/>
                <w:bCs w:val="1"/>
                <w:color w:val="auto"/>
              </w:rPr>
              <w:t>Utilized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r>
      <w:tr>
        <w:trPr>
          <w:trHeight w:val="90"/>
        </w:trPr>
        <w:tc>
          <w:tcPr>
            <w:tcW w:w="3880" w:type="dxa"/>
            <w:vAlign w:val="bottom"/>
            <w:gridSpan w:val="2"/>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0" w:type="dxa"/>
            <w:vAlign w:val="bottom"/>
            <w:gridSpan w:val="3"/>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gridSpan w:val="3"/>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563"/>
        </w:trPr>
        <w:tc>
          <w:tcPr>
            <w:tcW w:w="3880" w:type="dxa"/>
            <w:vAlign w:val="bottom"/>
            <w:gridSpan w:val="2"/>
          </w:tcPr>
          <w:p>
            <w:pPr>
              <w:spacing w:after="0"/>
              <w:rPr>
                <w:sz w:val="20"/>
                <w:szCs w:val="20"/>
                <w:color w:val="auto"/>
              </w:rPr>
            </w:pPr>
            <w:r>
              <w:rPr>
                <w:rFonts w:ascii="Arial" w:cs="Arial" w:eastAsia="Arial" w:hAnsi="Arial"/>
                <w:sz w:val="20"/>
                <w:szCs w:val="20"/>
                <w:color w:val="auto"/>
              </w:rPr>
              <w:t>Manufacturing capacity reduction and other</w:t>
            </w:r>
          </w:p>
        </w:tc>
        <w:tc>
          <w:tcPr>
            <w:tcW w:w="1220" w:type="dxa"/>
            <w:vAlign w:val="bottom"/>
          </w:tcPr>
          <w:p>
            <w:pPr>
              <w:jc w:val="right"/>
              <w:spacing w:after="0"/>
              <w:rPr>
                <w:sz w:val="20"/>
                <w:szCs w:val="20"/>
                <w:color w:val="auto"/>
              </w:rPr>
            </w:pPr>
            <w:r>
              <w:rPr>
                <w:rFonts w:ascii="Arial" w:cs="Arial" w:eastAsia="Arial" w:hAnsi="Arial"/>
                <w:sz w:val="20"/>
                <w:szCs w:val="20"/>
                <w:color w:val="auto"/>
              </w:rPr>
              <w:t>$1,687</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$(553)</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$1,134</w:t>
            </w:r>
          </w:p>
        </w:tc>
        <w:tc>
          <w:tcPr>
            <w:tcW w:w="20" w:type="dxa"/>
            <w:vAlign w:val="bottom"/>
          </w:tcPr>
          <w:p>
            <w:pPr>
              <w:spacing w:after="0"/>
              <w:rPr>
                <w:sz w:val="24"/>
                <w:szCs w:val="24"/>
                <w:color w:val="auto"/>
              </w:rPr>
            </w:pPr>
          </w:p>
        </w:tc>
      </w:tr>
      <w:tr>
        <w:trPr>
          <w:trHeight w:val="90"/>
        </w:trPr>
        <w:tc>
          <w:tcPr>
            <w:tcW w:w="3880" w:type="dxa"/>
            <w:vAlign w:val="bottom"/>
            <w:gridSpan w:val="2"/>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80" w:type="dxa"/>
            <w:vAlign w:val="bottom"/>
            <w:gridSpan w:val="3"/>
          </w:tcPr>
          <w:p>
            <w:pPr>
              <w:spacing w:after="0"/>
              <w:rPr>
                <w:sz w:val="7"/>
                <w:szCs w:val="7"/>
                <w:color w:val="auto"/>
              </w:rPr>
            </w:pPr>
          </w:p>
        </w:tc>
        <w:tc>
          <w:tcPr>
            <w:tcW w:w="800" w:type="dxa"/>
            <w:vAlign w:val="bottom"/>
            <w:tcBorders>
              <w:bottom w:val="single" w:sz="8" w:color="336699"/>
            </w:tcBorders>
          </w:tcPr>
          <w:p>
            <w:pPr>
              <w:spacing w:after="0"/>
              <w:rPr>
                <w:sz w:val="7"/>
                <w:szCs w:val="7"/>
                <w:color w:val="auto"/>
              </w:rPr>
            </w:pPr>
          </w:p>
        </w:tc>
        <w:tc>
          <w:tcPr>
            <w:tcW w:w="100" w:type="dxa"/>
            <w:vAlign w:val="bottom"/>
            <w:gridSpan w:val="3"/>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336699"/>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339"/>
        </w:trPr>
        <w:tc>
          <w:tcPr>
            <w:tcW w:w="38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220" w:type="dxa"/>
            <w:vAlign w:val="bottom"/>
          </w:tcPr>
          <w:p>
            <w:pPr>
              <w:jc w:val="right"/>
              <w:spacing w:after="0"/>
              <w:rPr>
                <w:sz w:val="20"/>
                <w:szCs w:val="20"/>
                <w:color w:val="auto"/>
              </w:rPr>
            </w:pPr>
            <w:r>
              <w:rPr>
                <w:rFonts w:ascii="Arial" w:cs="Arial" w:eastAsia="Arial" w:hAnsi="Arial"/>
                <w:sz w:val="20"/>
                <w:szCs w:val="20"/>
                <w:color w:val="auto"/>
              </w:rPr>
              <w:t>$1,687</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$(553)</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$1,134</w:t>
            </w:r>
          </w:p>
        </w:tc>
        <w:tc>
          <w:tcPr>
            <w:tcW w:w="20" w:type="dxa"/>
            <w:vAlign w:val="bottom"/>
          </w:tcPr>
          <w:p>
            <w:pPr>
              <w:spacing w:after="0"/>
              <w:rPr>
                <w:sz w:val="24"/>
                <w:szCs w:val="24"/>
                <w:color w:val="auto"/>
              </w:rPr>
            </w:pPr>
          </w:p>
        </w:tc>
      </w:tr>
      <w:tr>
        <w:trPr>
          <w:trHeight w:val="111"/>
        </w:trPr>
        <w:tc>
          <w:tcPr>
            <w:tcW w:w="38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40" w:type="dxa"/>
            <w:vAlign w:val="bottom"/>
            <w:tcBorders>
              <w:bottom w:val="single" w:sz="8" w:color="336699"/>
            </w:tcBorders>
            <w:gridSpan w:val="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336699"/>
            </w:tcBorders>
            <w:gridSpan w:val="3"/>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336699"/>
            </w:tcBorders>
            <w:gridSpan w:val="3"/>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336699"/>
            </w:tcBorders>
            <w:gridSpan w:val="2"/>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r>
        <w:trPr>
          <w:trHeight w:val="555"/>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3"/>
          </w:tcPr>
          <w:p>
            <w:pPr>
              <w:jc w:val="center"/>
              <w:spacing w:after="0"/>
              <w:rPr>
                <w:sz w:val="20"/>
                <w:szCs w:val="20"/>
                <w:color w:val="auto"/>
              </w:rPr>
            </w:pPr>
            <w:r>
              <w:rPr>
                <w:rFonts w:ascii="Arial" w:cs="Arial" w:eastAsia="Arial" w:hAnsi="Arial"/>
                <w:sz w:val="20"/>
                <w:szCs w:val="20"/>
                <w:b w:val="1"/>
                <w:bCs w:val="1"/>
                <w:color w:val="auto"/>
                <w:w w:val="90"/>
              </w:rPr>
              <w:t>Year Ended October 28, 2007</w:t>
            </w:r>
          </w:p>
        </w:tc>
        <w:tc>
          <w:tcPr>
            <w:tcW w:w="20" w:type="dxa"/>
            <w:vAlign w:val="bottom"/>
          </w:tcPr>
          <w:p>
            <w:pPr>
              <w:spacing w:after="0"/>
              <w:rPr>
                <w:sz w:val="24"/>
                <w:szCs w:val="24"/>
                <w:color w:val="auto"/>
              </w:rPr>
            </w:pPr>
          </w:p>
        </w:tc>
      </w:tr>
      <w:tr>
        <w:trPr>
          <w:trHeight w:val="90"/>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0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0"/>
              </w:rPr>
              <w:t>October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0"/>
              </w:rPr>
              <w:t>October 28,</w:t>
            </w:r>
          </w:p>
        </w:tc>
        <w:tc>
          <w:tcPr>
            <w:tcW w:w="20" w:type="dxa"/>
            <w:vAlign w:val="bottom"/>
          </w:tcPr>
          <w:p>
            <w:pPr>
              <w:spacing w:after="0"/>
              <w:rPr>
                <w:sz w:val="24"/>
                <w:szCs w:val="24"/>
                <w:color w:val="auto"/>
              </w:rPr>
            </w:pPr>
          </w:p>
        </w:tc>
      </w:tr>
      <w:tr>
        <w:trPr>
          <w:trHeight w:val="224"/>
        </w:trPr>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9"/>
              </w:rPr>
              <w:t>2006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jc w:val="center"/>
              <w:spacing w:after="0" w:line="225" w:lineRule="exact"/>
              <w:rPr>
                <w:sz w:val="20"/>
                <w:szCs w:val="20"/>
                <w:color w:val="auto"/>
              </w:rPr>
            </w:pPr>
            <w:r>
              <w:rPr>
                <w:rFonts w:ascii="Arial" w:cs="Arial" w:eastAsia="Arial" w:hAnsi="Arial"/>
                <w:sz w:val="20"/>
                <w:szCs w:val="20"/>
                <w:b w:val="1"/>
                <w:bCs w:val="1"/>
                <w:color w:val="auto"/>
                <w:w w:val="89"/>
              </w:rPr>
              <w:t>2007</w:t>
            </w:r>
          </w:p>
        </w:tc>
        <w:tc>
          <w:tcPr>
            <w:tcW w:w="20" w:type="dxa"/>
            <w:vAlign w:val="bottom"/>
          </w:tcPr>
          <w:p>
            <w:pPr>
              <w:spacing w:after="0"/>
              <w:rPr>
                <w:sz w:val="19"/>
                <w:szCs w:val="19"/>
                <w:color w:val="auto"/>
              </w:rPr>
            </w:pPr>
          </w:p>
        </w:tc>
      </w:tr>
      <w:tr>
        <w:trPr>
          <w:trHeight w:val="260"/>
        </w:trPr>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w w:val="89"/>
              </w:rPr>
              <w:t>Charges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20"/>
                <w:szCs w:val="20"/>
                <w:b w:val="1"/>
                <w:bCs w:val="1"/>
                <w:color w:val="auto"/>
              </w:rPr>
              <w:t>Utilized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0" w:type="dxa"/>
            <w:vAlign w:val="bottom"/>
          </w:tcPr>
          <w:p>
            <w:pPr>
              <w:spacing w:after="0"/>
              <w:rPr>
                <w:sz w:val="22"/>
                <w:szCs w:val="22"/>
                <w:color w:val="auto"/>
              </w:rPr>
            </w:pPr>
          </w:p>
        </w:tc>
      </w:tr>
      <w:tr>
        <w:trPr>
          <w:trHeight w:val="90"/>
        </w:trPr>
        <w:tc>
          <w:tcPr>
            <w:tcW w:w="3880" w:type="dxa"/>
            <w:vAlign w:val="bottom"/>
            <w:gridSpan w:val="2"/>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0" w:type="dxa"/>
            <w:vAlign w:val="bottom"/>
            <w:gridSpan w:val="3"/>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gridSpan w:val="3"/>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r>
      <w:tr>
        <w:trPr>
          <w:trHeight w:val="563"/>
        </w:trPr>
        <w:tc>
          <w:tcPr>
            <w:tcW w:w="3880" w:type="dxa"/>
            <w:vAlign w:val="bottom"/>
            <w:gridSpan w:val="2"/>
          </w:tcPr>
          <w:p>
            <w:pPr>
              <w:spacing w:after="0"/>
              <w:rPr>
                <w:sz w:val="20"/>
                <w:szCs w:val="20"/>
                <w:color w:val="auto"/>
              </w:rPr>
            </w:pPr>
            <w:r>
              <w:rPr>
                <w:rFonts w:ascii="Arial" w:cs="Arial" w:eastAsia="Arial" w:hAnsi="Arial"/>
                <w:sz w:val="20"/>
                <w:szCs w:val="20"/>
                <w:color w:val="auto"/>
              </w:rPr>
              <w:t>Manufacturing capacity reduction and other</w:t>
            </w:r>
          </w:p>
        </w:tc>
        <w:tc>
          <w:tcPr>
            <w:tcW w:w="1220" w:type="dxa"/>
            <w:vAlign w:val="bottom"/>
          </w:tcPr>
          <w:p>
            <w:pPr>
              <w:jc w:val="right"/>
              <w:spacing w:after="0"/>
              <w:rPr>
                <w:sz w:val="20"/>
                <w:szCs w:val="20"/>
                <w:color w:val="auto"/>
              </w:rPr>
            </w:pPr>
            <w:r>
              <w:rPr>
                <w:rFonts w:ascii="Arial" w:cs="Arial" w:eastAsia="Arial" w:hAnsi="Arial"/>
                <w:sz w:val="20"/>
                <w:szCs w:val="20"/>
                <w:color w:val="auto"/>
              </w:rPr>
              <w:t>$2,528</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 -</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$(841)</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$1,687</w:t>
            </w:r>
          </w:p>
        </w:tc>
        <w:tc>
          <w:tcPr>
            <w:tcW w:w="20" w:type="dxa"/>
            <w:vAlign w:val="bottom"/>
          </w:tcPr>
          <w:p>
            <w:pPr>
              <w:spacing w:after="0"/>
              <w:rPr>
                <w:sz w:val="24"/>
                <w:szCs w:val="24"/>
                <w:color w:val="auto"/>
              </w:rPr>
            </w:pPr>
          </w:p>
        </w:tc>
      </w:tr>
      <w:tr>
        <w:trPr>
          <w:trHeight w:val="449"/>
        </w:trPr>
        <w:tc>
          <w:tcPr>
            <w:tcW w:w="3880" w:type="dxa"/>
            <w:vAlign w:val="bottom"/>
            <w:gridSpan w:val="2"/>
          </w:tcPr>
          <w:p>
            <w:pPr>
              <w:spacing w:after="0"/>
              <w:rPr>
                <w:sz w:val="20"/>
                <w:szCs w:val="20"/>
                <w:color w:val="auto"/>
              </w:rPr>
            </w:pPr>
            <w:r>
              <w:rPr>
                <w:rFonts w:ascii="Arial" w:cs="Arial" w:eastAsia="Arial" w:hAnsi="Arial"/>
                <w:sz w:val="20"/>
                <w:szCs w:val="20"/>
                <w:color w:val="auto"/>
              </w:rPr>
              <w:t>Workforce reductions</w:t>
            </w:r>
          </w:p>
        </w:tc>
        <w:tc>
          <w:tcPr>
            <w:tcW w:w="1220" w:type="dxa"/>
            <w:vAlign w:val="bottom"/>
          </w:tcPr>
          <w:p>
            <w:pPr>
              <w:jc w:val="right"/>
              <w:spacing w:after="0"/>
              <w:rPr>
                <w:sz w:val="20"/>
                <w:szCs w:val="20"/>
                <w:color w:val="auto"/>
              </w:rPr>
            </w:pPr>
            <w:r>
              <w:rPr>
                <w:rFonts w:ascii="Arial" w:cs="Arial" w:eastAsia="Arial" w:hAnsi="Arial"/>
                <w:sz w:val="20"/>
                <w:szCs w:val="20"/>
                <w:color w:val="auto"/>
              </w:rPr>
              <w:t>126</w:t>
            </w:r>
          </w:p>
        </w:tc>
        <w:tc>
          <w:tcPr>
            <w:tcW w:w="88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(126)</w:t>
            </w:r>
          </w:p>
        </w:tc>
        <w:tc>
          <w:tcPr>
            <w:tcW w:w="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90"/>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336699"/>
            </w:tcBorders>
          </w:tcPr>
          <w:p>
            <w:pPr>
              <w:spacing w:after="0"/>
              <w:rPr>
                <w:sz w:val="7"/>
                <w:szCs w:val="7"/>
                <w:color w:val="auto"/>
              </w:rPr>
            </w:pPr>
          </w:p>
        </w:tc>
        <w:tc>
          <w:tcPr>
            <w:tcW w:w="12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-3444240</wp:posOffset>
            </wp:positionV>
            <wp:extent cx="12700" cy="285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-3444240</wp:posOffset>
            </wp:positionV>
            <wp:extent cx="12700" cy="28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-3444240</wp:posOffset>
            </wp:positionV>
            <wp:extent cx="12700" cy="285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-3444240</wp:posOffset>
            </wp:positionV>
            <wp:extent cx="12700" cy="285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-3444240</wp:posOffset>
            </wp:positionV>
            <wp:extent cx="12700" cy="285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-3444240</wp:posOffset>
            </wp:positionV>
            <wp:extent cx="12700" cy="285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-3444240</wp:posOffset>
            </wp:positionV>
            <wp:extent cx="12700" cy="285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-3444240</wp:posOffset>
            </wp:positionV>
            <wp:extent cx="12700" cy="28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-1727200</wp:posOffset>
            </wp:positionV>
            <wp:extent cx="12700" cy="285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-1727200</wp:posOffset>
            </wp:positionV>
            <wp:extent cx="12700" cy="285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-1727200</wp:posOffset>
            </wp:positionV>
            <wp:extent cx="12700" cy="285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-1727200</wp:posOffset>
            </wp:positionV>
            <wp:extent cx="12700" cy="285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-1727200</wp:posOffset>
            </wp:positionV>
            <wp:extent cx="12700" cy="285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-1727200</wp:posOffset>
            </wp:positionV>
            <wp:extent cx="12700" cy="285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-1727200</wp:posOffset>
            </wp:positionV>
            <wp:extent cx="12700" cy="285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-1727200</wp:posOffset>
            </wp:positionV>
            <wp:extent cx="12700" cy="285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380"/>
          </w:cols>
          <w:pgMar w:left="240" w:top="968" w:right="279" w:bottom="0" w:gutter="0" w:footer="0" w:header="0"/>
        </w:sectPr>
      </w:pPr>
    </w:p>
    <w:bookmarkStart w:id="42" w:name="page43"/>
    <w:bookmarkEnd w:id="42"/>
    <w:p>
      <w:pPr>
        <w:spacing w:after="0"/>
        <w:tabs>
          <w:tab w:leader="none" w:pos="4500" w:val="left"/>
          <w:tab w:leader="none" w:pos="5720" w:val="left"/>
          <w:tab w:leader="none" w:pos="6260" w:val="left"/>
          <w:tab w:leader="none" w:pos="7600" w:val="left"/>
        </w:tabs>
        <w:rPr>
          <w:sz w:val="20"/>
          <w:szCs w:val="20"/>
          <w:color w:val="auto"/>
        </w:rPr>
      </w:pPr>
      <w:r>
        <w:rPr>
          <w:rFonts w:ascii="Arial" w:cs="Arial" w:eastAsia="Arial" w:hAnsi="Arial"/>
          <w:sz w:val="20"/>
          <w:szCs w:val="20"/>
          <w:color w:val="auto"/>
        </w:rPr>
        <w:t>Total</w:t>
      </w:r>
      <w:r>
        <w:rPr>
          <w:sz w:val="20"/>
          <w:szCs w:val="20"/>
          <w:color w:val="auto"/>
        </w:rPr>
        <w:tab/>
      </w:r>
      <w:r>
        <w:rPr>
          <w:rFonts w:ascii="Arial" w:cs="Arial" w:eastAsia="Arial" w:hAnsi="Arial"/>
          <w:sz w:val="20"/>
          <w:szCs w:val="20"/>
          <w:color w:val="auto"/>
        </w:rPr>
        <w:t>$2,654</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$(967)</w:t>
      </w:r>
      <w:r>
        <w:rPr>
          <w:sz w:val="20"/>
          <w:szCs w:val="20"/>
          <w:color w:val="auto"/>
        </w:rPr>
        <w:tab/>
      </w:r>
      <w:r>
        <w:rPr>
          <w:rFonts w:ascii="Arial" w:cs="Arial" w:eastAsia="Arial" w:hAnsi="Arial"/>
          <w:sz w:val="17"/>
          <w:szCs w:val="17"/>
          <w:color w:val="auto"/>
        </w:rPr>
        <w:t>$1,687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69215</wp:posOffset>
            </wp:positionV>
            <wp:extent cx="2750820" cy="285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75082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IMPAIRMENTS OF GOODWILL AND LONG-LIVED ASSETS</w:t>
      </w:r>
    </w:p>
    <w:p>
      <w:pPr>
        <w:spacing w:after="0" w:line="200" w:lineRule="exact"/>
        <w:rPr>
          <w:sz w:val="20"/>
          <w:szCs w:val="20"/>
          <w:color w:val="auto"/>
        </w:rPr>
      </w:pPr>
    </w:p>
    <w:p>
      <w:pPr>
        <w:ind w:right="80" w:firstLine="246"/>
        <w:spacing w:after="0" w:line="246" w:lineRule="auto"/>
        <w:rPr>
          <w:sz w:val="20"/>
          <w:szCs w:val="20"/>
          <w:color w:val="auto"/>
        </w:rPr>
      </w:pPr>
      <w:r>
        <w:rPr>
          <w:rFonts w:ascii="Arial" w:cs="Arial" w:eastAsia="Arial" w:hAnsi="Arial"/>
          <w:sz w:val="20"/>
          <w:szCs w:val="20"/>
          <w:color w:val="auto"/>
        </w:rPr>
        <w:t>The Company, as of July 27, 2008, the Company performed an interim impairment test of its goodwill and certain of its long-lived assets (principally machinery and equipment, and buildings and improvements) due to events and changes in circumstances through the third quarter of fiscal 2008 that indicated an impairment might have occurred.</w:t>
      </w:r>
    </w:p>
    <w:p>
      <w:pPr>
        <w:spacing w:after="0" w:line="165" w:lineRule="exact"/>
        <w:rPr>
          <w:sz w:val="20"/>
          <w:szCs w:val="20"/>
          <w:color w:val="auto"/>
        </w:rPr>
      </w:pPr>
    </w:p>
    <w:p>
      <w:pPr>
        <w:ind w:firstLine="249"/>
        <w:spacing w:after="0" w:line="242" w:lineRule="auto"/>
        <w:rPr>
          <w:sz w:val="20"/>
          <w:szCs w:val="20"/>
          <w:color w:val="auto"/>
        </w:rPr>
      </w:pPr>
      <w:r>
        <w:rPr>
          <w:rFonts w:ascii="Arial" w:cs="Arial" w:eastAsia="Arial" w:hAnsi="Arial"/>
          <w:sz w:val="20"/>
          <w:szCs w:val="20"/>
          <w:color w:val="auto"/>
        </w:rPr>
        <w:t>Factors deemed by management to have collectively constituted an impairment triggering event included net losses in each of three quarters of fiscal 2008, and a significant decrease in the Company's market capitalization through the third quarter of fiscal 2008 which was significantly below its consolidated net assets. As a result of this impairment testing, the Company recorded the following impairment charges during the three and nine months ended July 27,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spacing w:after="0"/>
              <w:rPr>
                <w:sz w:val="20"/>
                <w:szCs w:val="20"/>
                <w:color w:val="auto"/>
              </w:rPr>
            </w:pPr>
            <w:r>
              <w:rPr>
                <w:rFonts w:ascii="Arial" w:cs="Arial" w:eastAsia="Arial" w:hAnsi="Arial"/>
                <w:sz w:val="20"/>
                <w:szCs w:val="20"/>
                <w:color w:val="auto"/>
              </w:rPr>
              <w:t>Impairment of goodwill</w:t>
            </w:r>
          </w:p>
        </w:tc>
        <w:tc>
          <w:tcPr>
            <w:tcW w:w="760" w:type="dxa"/>
            <w:vAlign w:val="bottom"/>
          </w:tcPr>
          <w:p>
            <w:pPr>
              <w:jc w:val="right"/>
              <w:spacing w:after="0"/>
              <w:rPr>
                <w:sz w:val="20"/>
                <w:szCs w:val="20"/>
                <w:color w:val="auto"/>
              </w:rPr>
            </w:pPr>
            <w:r>
              <w:rPr>
                <w:rFonts w:ascii="Arial" w:cs="Arial" w:eastAsia="Arial" w:hAnsi="Arial"/>
                <w:sz w:val="20"/>
                <w:szCs w:val="20"/>
                <w:color w:val="auto"/>
                <w:w w:val="86"/>
              </w:rPr>
              <w:t>$138,534</w:t>
            </w:r>
          </w:p>
        </w:tc>
      </w:tr>
      <w:tr>
        <w:trPr>
          <w:trHeight w:val="254"/>
        </w:trPr>
        <w:tc>
          <w:tcPr>
            <w:tcW w:w="2700" w:type="dxa"/>
            <w:vAlign w:val="bottom"/>
            <w:gridSpan w:val="2"/>
          </w:tcPr>
          <w:p>
            <w:pPr>
              <w:spacing w:after="0"/>
              <w:rPr>
                <w:sz w:val="20"/>
                <w:szCs w:val="20"/>
                <w:color w:val="auto"/>
              </w:rPr>
            </w:pPr>
            <w:r>
              <w:rPr>
                <w:rFonts w:ascii="Arial" w:cs="Arial" w:eastAsia="Arial" w:hAnsi="Arial"/>
                <w:sz w:val="20"/>
                <w:szCs w:val="20"/>
                <w:color w:val="auto"/>
                <w:w w:val="96"/>
              </w:rPr>
              <w:t>Impairment of long-lived assets</w:t>
            </w:r>
          </w:p>
        </w:tc>
        <w:tc>
          <w:tcPr>
            <w:tcW w:w="760" w:type="dxa"/>
            <w:vAlign w:val="bottom"/>
          </w:tcPr>
          <w:p>
            <w:pPr>
              <w:jc w:val="right"/>
              <w:spacing w:after="0"/>
              <w:rPr>
                <w:sz w:val="20"/>
                <w:szCs w:val="20"/>
                <w:color w:val="auto"/>
              </w:rPr>
            </w:pPr>
            <w:r>
              <w:rPr>
                <w:rFonts w:ascii="Arial" w:cs="Arial" w:eastAsia="Arial" w:hAnsi="Arial"/>
                <w:sz w:val="20"/>
                <w:szCs w:val="20"/>
                <w:color w:val="auto"/>
              </w:rPr>
              <w:t>66,874</w:t>
            </w:r>
          </w:p>
        </w:tc>
      </w:tr>
      <w:tr>
        <w:trPr>
          <w:trHeight w:val="90"/>
        </w:trPr>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336699"/>
            </w:tcBorders>
          </w:tcPr>
          <w:p>
            <w:pPr>
              <w:spacing w:after="0"/>
              <w:rPr>
                <w:sz w:val="7"/>
                <w:szCs w:val="7"/>
                <w:color w:val="auto"/>
              </w:rPr>
            </w:pPr>
          </w:p>
        </w:tc>
      </w:tr>
      <w:tr>
        <w:trPr>
          <w:trHeight w:val="339"/>
        </w:trPr>
        <w:tc>
          <w:tcPr>
            <w:tcW w:w="2700" w:type="dxa"/>
            <w:vAlign w:val="bottom"/>
            <w:gridSpan w:val="2"/>
          </w:tcPr>
          <w:p>
            <w:pPr>
              <w:spacing w:after="0"/>
              <w:rPr>
                <w:sz w:val="20"/>
                <w:szCs w:val="20"/>
                <w:color w:val="auto"/>
              </w:rPr>
            </w:pPr>
            <w:r>
              <w:rPr>
                <w:rFonts w:ascii="Arial" w:cs="Arial" w:eastAsia="Arial" w:hAnsi="Arial"/>
                <w:sz w:val="20"/>
                <w:szCs w:val="20"/>
                <w:color w:val="auto"/>
              </w:rPr>
              <w:t>Total impairments</w:t>
            </w:r>
          </w:p>
        </w:tc>
        <w:tc>
          <w:tcPr>
            <w:tcW w:w="760" w:type="dxa"/>
            <w:vAlign w:val="bottom"/>
          </w:tcPr>
          <w:p>
            <w:pPr>
              <w:jc w:val="right"/>
              <w:spacing w:after="0"/>
              <w:rPr>
                <w:sz w:val="20"/>
                <w:szCs w:val="20"/>
                <w:color w:val="auto"/>
              </w:rPr>
            </w:pPr>
            <w:r>
              <w:rPr>
                <w:rFonts w:ascii="Arial" w:cs="Arial" w:eastAsia="Arial" w:hAnsi="Arial"/>
                <w:sz w:val="20"/>
                <w:szCs w:val="20"/>
                <w:color w:val="auto"/>
                <w:w w:val="86"/>
              </w:rPr>
              <w:t>$205,408</w:t>
            </w:r>
          </w:p>
        </w:tc>
      </w:tr>
      <w:tr>
        <w:trPr>
          <w:trHeight w:val="111"/>
        </w:trPr>
        <w:tc>
          <w:tcPr>
            <w:tcW w:w="268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76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-27940</wp:posOffset>
            </wp:positionV>
            <wp:extent cx="12700" cy="285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-27940</wp:posOffset>
            </wp:positionV>
            <wp:extent cx="12700" cy="285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200" w:lineRule="exact"/>
        <w:rPr>
          <w:sz w:val="20"/>
          <w:szCs w:val="20"/>
          <w:color w:val="auto"/>
        </w:rPr>
      </w:pPr>
    </w:p>
    <w:p>
      <w:pPr>
        <w:ind w:firstLine="246"/>
        <w:spacing w:after="0" w:line="266" w:lineRule="auto"/>
        <w:rPr>
          <w:sz w:val="20"/>
          <w:szCs w:val="20"/>
          <w:color w:val="auto"/>
        </w:rPr>
      </w:pPr>
      <w:r>
        <w:rPr>
          <w:rFonts w:ascii="Arial" w:cs="Arial" w:eastAsia="Arial" w:hAnsi="Arial"/>
          <w:sz w:val="18"/>
          <w:szCs w:val="18"/>
          <w:color w:val="auto"/>
        </w:rPr>
        <w:t>The Company tested goodwill for impairment annually and if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The Company, for purposes of testing its goodwill for impairment, was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54" w:lineRule="exact"/>
        <w:rPr>
          <w:sz w:val="20"/>
          <w:szCs w:val="20"/>
          <w:color w:val="auto"/>
        </w:rPr>
      </w:pPr>
    </w:p>
    <w:p>
      <w:pPr>
        <w:ind w:right="100" w:firstLine="246"/>
        <w:spacing w:after="0" w:line="269" w:lineRule="auto"/>
        <w:rPr>
          <w:sz w:val="20"/>
          <w:szCs w:val="20"/>
          <w:color w:val="auto"/>
        </w:rPr>
      </w:pPr>
      <w:r>
        <w:rPr>
          <w:rFonts w:ascii="Arial" w:cs="Arial" w:eastAsia="Arial" w:hAnsi="Arial"/>
          <w:sz w:val="18"/>
          <w:szCs w:val="18"/>
          <w:color w:val="auto"/>
        </w:rPr>
        <w:t>Through the third quarter of fiscal 2008, the Company experienced a sustained, significant decline in its stock price. As a result of the decline in stock price, the Company's market capitalization fell significantly below the recorded value of its consolidated net assets during the third quarter of fiscal 2008. Accordingly, in the third quarter of fiscal 2008, the Company performed an assessment of goodwill for impairment. Based on the results of the Company's initial assessment of impairment of its goodwill, it was determined that the consolidated carrying value of the Company exceeded its estimated fair value. Therefore, the Company performed a second step of the impairment test to determine the implied fair value of its goodwill. The result of the analysis indicated that there would be no remaining implied value attributable to the Company's goodwill and, accordingly, the Company wrote off all of its $138.5 million of goodwill as of July 27, 2008.</w:t>
      </w:r>
    </w:p>
    <w:p>
      <w:pPr>
        <w:spacing w:after="0" w:line="146" w:lineRule="exact"/>
        <w:rPr>
          <w:sz w:val="20"/>
          <w:szCs w:val="20"/>
          <w:color w:val="auto"/>
        </w:rPr>
      </w:pPr>
    </w:p>
    <w:p>
      <w:pPr>
        <w:ind w:right="20" w:firstLine="249"/>
        <w:spacing w:after="0" w:line="314" w:lineRule="auto"/>
        <w:rPr>
          <w:sz w:val="20"/>
          <w:szCs w:val="20"/>
          <w:color w:val="auto"/>
        </w:rPr>
      </w:pPr>
      <w:r>
        <w:rPr>
          <w:rFonts w:ascii="Arial" w:cs="Arial" w:eastAsia="Arial" w:hAnsi="Arial"/>
          <w:sz w:val="18"/>
          <w:szCs w:val="18"/>
          <w:color w:val="auto"/>
        </w:rPr>
        <w:t>In performing the goodwill assessment, the Company used current market capitalization, discounted cash flows and other factors as the best evidence of fair value. There are inherent uncertainties in an analysis of goodwill for impairment and management judgment is required.</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00" w:lineRule="exact"/>
        <w:rPr>
          <w:sz w:val="20"/>
          <w:szCs w:val="20"/>
          <w:color w:val="auto"/>
        </w:rPr>
      </w:pPr>
    </w:p>
    <w:p>
      <w:pPr>
        <w:ind w:right="20" w:firstLine="246"/>
        <w:spacing w:after="0" w:line="266" w:lineRule="auto"/>
        <w:rPr>
          <w:sz w:val="20"/>
          <w:szCs w:val="20"/>
          <w:color w:val="auto"/>
        </w:rPr>
      </w:pPr>
      <w:r>
        <w:rPr>
          <w:rFonts w:ascii="Arial" w:cs="Arial" w:eastAsia="Arial" w:hAnsi="Arial"/>
          <w:sz w:val="18"/>
          <w:szCs w:val="18"/>
          <w:color w:val="auto"/>
        </w:rPr>
        <w:t>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connection with the triggering events discussed above, during the third quarter of fiscal year 2008 the Company determined that long-lived assets were impaired for certain groups of its assets. The determination was based on reviewing estimated undiscounted cash flows for these groups of assets, which were less than their carrying values. The Company considers its asset groups to be the long-lived assets at each of its locations, primarily consisting of machinery and equipment, and buildings and improvements. As a result, the Company recorded an impairment charge of $66.9 million as of July 27, 2008, which represented the difference between the estimated fair values of these long-lived assets as compared to their carrying values for certain asset groups located in Asia and Europe. In addition, an impairment charge of $1.5 million was incurred in 2009 relating to the Manchester, U.K. facility. Fair values were determined based upon market conditions, the income approach which utilized cash flow projections, and other factors.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INCOME TAXES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income (loss) before income taxes and minority interest consists of the following:</w:t>
      </w:r>
    </w:p>
    <w:p>
      <w:pPr>
        <w:sectPr>
          <w:pgSz w:w="11900" w:h="16838" w:orient="portrait"/>
          <w:cols w:equalWidth="0" w:num="1">
            <w:col w:w="11420"/>
          </w:cols>
          <w:pgMar w:left="240" w:top="345" w:right="23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60"/>
        </w:trPr>
        <w:tc>
          <w:tcPr>
            <w:tcW w:w="1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0"/>
              <w:spacing w:after="0"/>
              <w:rPr>
                <w:sz w:val="20"/>
                <w:szCs w:val="20"/>
                <w:color w:val="auto"/>
              </w:rPr>
            </w:pPr>
            <w:r>
              <w:rPr>
                <w:rFonts w:ascii="Arial" w:cs="Arial" w:eastAsia="Arial" w:hAnsi="Arial"/>
                <w:sz w:val="20"/>
                <w:szCs w:val="20"/>
                <w:b w:val="1"/>
                <w:bCs w:val="1"/>
                <w:color w:val="auto"/>
              </w:rPr>
              <w:t>Year Ended</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90"/>
        </w:trPr>
        <w:tc>
          <w:tcPr>
            <w:tcW w:w="176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r>
        <w:trPr>
          <w:trHeight w:val="304"/>
        </w:trPr>
        <w:tc>
          <w:tcPr>
            <w:tcW w:w="1760" w:type="dxa"/>
            <w:vAlign w:val="bottom"/>
          </w:tcPr>
          <w:p>
            <w:pPr>
              <w:spacing w:after="0"/>
              <w:rPr>
                <w:sz w:val="24"/>
                <w:szCs w:val="24"/>
                <w:color w:val="auto"/>
              </w:rPr>
            </w:pPr>
          </w:p>
        </w:tc>
        <w:tc>
          <w:tcPr>
            <w:tcW w:w="1620" w:type="dxa"/>
            <w:vAlign w:val="bottom"/>
          </w:tcPr>
          <w:p>
            <w:pPr>
              <w:jc w:val="right"/>
              <w:ind w:right="180"/>
              <w:spacing w:after="0"/>
              <w:rPr>
                <w:sz w:val="20"/>
                <w:szCs w:val="20"/>
                <w:color w:val="auto"/>
              </w:rPr>
            </w:pPr>
            <w:r>
              <w:rPr>
                <w:rFonts w:ascii="Arial" w:cs="Arial" w:eastAsia="Arial" w:hAnsi="Arial"/>
                <w:sz w:val="20"/>
                <w:szCs w:val="20"/>
                <w:b w:val="1"/>
                <w:bCs w:val="1"/>
                <w:color w:val="auto"/>
              </w:rPr>
              <w:t>November 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80"/>
              <w:spacing w:after="0"/>
              <w:rPr>
                <w:sz w:val="20"/>
                <w:szCs w:val="20"/>
                <w:color w:val="auto"/>
              </w:rPr>
            </w:pPr>
            <w:r>
              <w:rPr>
                <w:rFonts w:ascii="Arial" w:cs="Arial" w:eastAsia="Arial" w:hAnsi="Arial"/>
                <w:sz w:val="20"/>
                <w:szCs w:val="20"/>
                <w:b w:val="1"/>
                <w:bCs w:val="1"/>
                <w:color w:val="auto"/>
              </w:rPr>
              <w:t>November 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160"/>
              <w:spacing w:after="0"/>
              <w:rPr>
                <w:sz w:val="20"/>
                <w:szCs w:val="20"/>
                <w:color w:val="auto"/>
              </w:rPr>
            </w:pPr>
            <w:r>
              <w:rPr>
                <w:rFonts w:ascii="Arial" w:cs="Arial" w:eastAsia="Arial" w:hAnsi="Arial"/>
                <w:sz w:val="20"/>
                <w:szCs w:val="20"/>
                <w:b w:val="1"/>
                <w:bCs w:val="1"/>
                <w:color w:val="auto"/>
              </w:rPr>
              <w:t>October 28,</w:t>
            </w:r>
          </w:p>
        </w:tc>
      </w:tr>
      <w:tr>
        <w:trPr>
          <w:trHeight w:val="260"/>
        </w:trPr>
        <w:tc>
          <w:tcPr>
            <w:tcW w:w="1760" w:type="dxa"/>
            <w:vAlign w:val="bottom"/>
          </w:tcPr>
          <w:p>
            <w:pPr>
              <w:spacing w:after="0"/>
              <w:rPr>
                <w:sz w:val="22"/>
                <w:szCs w:val="22"/>
                <w:color w:val="auto"/>
              </w:rPr>
            </w:pPr>
          </w:p>
        </w:tc>
        <w:tc>
          <w:tcPr>
            <w:tcW w:w="1620" w:type="dxa"/>
            <w:vAlign w:val="bottom"/>
          </w:tcPr>
          <w:p>
            <w:pPr>
              <w:jc w:val="right"/>
              <w:ind w:right="520"/>
              <w:spacing w:after="0"/>
              <w:rPr>
                <w:sz w:val="20"/>
                <w:szCs w:val="20"/>
                <w:color w:val="auto"/>
              </w:rPr>
            </w:pPr>
            <w:r>
              <w:rPr>
                <w:rFonts w:ascii="Arial" w:cs="Arial" w:eastAsia="Arial" w:hAnsi="Arial"/>
                <w:sz w:val="20"/>
                <w:szCs w:val="20"/>
                <w:b w:val="1"/>
                <w:bCs w:val="1"/>
                <w:color w:val="auto"/>
              </w:rPr>
              <w:t>2009</w:t>
            </w:r>
          </w:p>
        </w:tc>
        <w:tc>
          <w:tcPr>
            <w:tcW w:w="1820" w:type="dxa"/>
            <w:vAlign w:val="bottom"/>
            <w:gridSpan w:val="3"/>
          </w:tcPr>
          <w:p>
            <w:pPr>
              <w:jc w:val="right"/>
              <w:ind w:right="520"/>
              <w:spacing w:after="0"/>
              <w:rPr>
                <w:sz w:val="20"/>
                <w:szCs w:val="20"/>
                <w:color w:val="auto"/>
              </w:rPr>
            </w:pPr>
            <w:r>
              <w:rPr>
                <w:rFonts w:ascii="Arial" w:cs="Arial" w:eastAsia="Arial" w:hAnsi="Arial"/>
                <w:sz w:val="20"/>
                <w:szCs w:val="20"/>
                <w:b w:val="1"/>
                <w:bCs w:val="1"/>
                <w:color w:val="auto"/>
              </w:rPr>
              <w:t>2008</w:t>
            </w:r>
          </w:p>
        </w:tc>
        <w:tc>
          <w:tcPr>
            <w:tcW w:w="170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auto"/>
              </w:rPr>
              <w:t>2007</w:t>
            </w:r>
          </w:p>
        </w:tc>
      </w:tr>
      <w:tr>
        <w:trPr>
          <w:trHeight w:val="90"/>
        </w:trPr>
        <w:tc>
          <w:tcPr>
            <w:tcW w:w="176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r>
        <w:trPr>
          <w:trHeight w:val="534"/>
        </w:trPr>
        <w:tc>
          <w:tcPr>
            <w:tcW w:w="1760" w:type="dxa"/>
            <w:vAlign w:val="bottom"/>
          </w:tcPr>
          <w:p>
            <w:pPr>
              <w:spacing w:after="0"/>
              <w:rPr>
                <w:sz w:val="20"/>
                <w:szCs w:val="20"/>
                <w:color w:val="auto"/>
              </w:rPr>
            </w:pPr>
            <w:r>
              <w:rPr>
                <w:rFonts w:ascii="Arial" w:cs="Arial" w:eastAsia="Arial" w:hAnsi="Arial"/>
                <w:sz w:val="20"/>
                <w:szCs w:val="20"/>
                <w:color w:val="auto"/>
              </w:rPr>
              <w:t>United States</w:t>
            </w:r>
          </w:p>
        </w:tc>
        <w:tc>
          <w:tcPr>
            <w:tcW w:w="1620" w:type="dxa"/>
            <w:vAlign w:val="bottom"/>
          </w:tcPr>
          <w:p>
            <w:pPr>
              <w:jc w:val="right"/>
              <w:spacing w:after="0"/>
              <w:rPr>
                <w:sz w:val="20"/>
                <w:szCs w:val="20"/>
                <w:color w:val="auto"/>
              </w:rPr>
            </w:pPr>
            <w:r>
              <w:rPr>
                <w:rFonts w:ascii="Arial" w:cs="Arial" w:eastAsia="Arial" w:hAnsi="Arial"/>
                <w:sz w:val="20"/>
                <w:szCs w:val="20"/>
                <w:color w:val="auto"/>
              </w:rPr>
              <w:t>$(35,228)</w:t>
            </w:r>
          </w:p>
        </w:tc>
        <w:tc>
          <w:tcPr>
            <w:tcW w:w="1820" w:type="dxa"/>
            <w:vAlign w:val="bottom"/>
            <w:gridSpan w:val="3"/>
          </w:tcPr>
          <w:p>
            <w:pPr>
              <w:jc w:val="right"/>
              <w:spacing w:after="0"/>
              <w:rPr>
                <w:sz w:val="20"/>
                <w:szCs w:val="20"/>
                <w:color w:val="auto"/>
              </w:rPr>
            </w:pPr>
            <w:r>
              <w:rPr>
                <w:rFonts w:ascii="Arial" w:cs="Arial" w:eastAsia="Arial" w:hAnsi="Arial"/>
                <w:sz w:val="20"/>
                <w:szCs w:val="20"/>
                <w:color w:val="auto"/>
              </w:rPr>
              <w:t>$(32,880)</w:t>
            </w:r>
          </w:p>
        </w:tc>
        <w:tc>
          <w:tcPr>
            <w:tcW w:w="1700" w:type="dxa"/>
            <w:vAlign w:val="bottom"/>
            <w:gridSpan w:val="3"/>
          </w:tcPr>
          <w:p>
            <w:pPr>
              <w:jc w:val="right"/>
              <w:spacing w:after="0"/>
              <w:rPr>
                <w:sz w:val="20"/>
                <w:szCs w:val="20"/>
                <w:color w:val="auto"/>
              </w:rPr>
            </w:pPr>
            <w:r>
              <w:rPr>
                <w:rFonts w:ascii="Arial" w:cs="Arial" w:eastAsia="Arial" w:hAnsi="Arial"/>
                <w:sz w:val="20"/>
                <w:szCs w:val="20"/>
                <w:color w:val="auto"/>
              </w:rPr>
              <w:t>$16,529</w:t>
            </w:r>
          </w:p>
        </w:tc>
      </w:tr>
      <w:tr>
        <w:trPr>
          <w:trHeight w:val="254"/>
        </w:trPr>
        <w:tc>
          <w:tcPr>
            <w:tcW w:w="1760" w:type="dxa"/>
            <w:vAlign w:val="bottom"/>
          </w:tcPr>
          <w:p>
            <w:pPr>
              <w:spacing w:after="0"/>
              <w:rPr>
                <w:sz w:val="20"/>
                <w:szCs w:val="20"/>
                <w:color w:val="auto"/>
              </w:rPr>
            </w:pPr>
            <w:r>
              <w:rPr>
                <w:rFonts w:ascii="Arial" w:cs="Arial" w:eastAsia="Arial" w:hAnsi="Arial"/>
                <w:sz w:val="20"/>
                <w:szCs w:val="20"/>
                <w:color w:val="auto"/>
              </w:rPr>
              <w:t>Foreign</w:t>
            </w:r>
          </w:p>
        </w:tc>
        <w:tc>
          <w:tcPr>
            <w:tcW w:w="1620" w:type="dxa"/>
            <w:vAlign w:val="bottom"/>
          </w:tcPr>
          <w:p>
            <w:pPr>
              <w:jc w:val="right"/>
              <w:spacing w:after="0"/>
              <w:rPr>
                <w:sz w:val="20"/>
                <w:szCs w:val="20"/>
                <w:color w:val="auto"/>
              </w:rPr>
            </w:pPr>
            <w:r>
              <w:rPr>
                <w:rFonts w:ascii="Arial" w:cs="Arial" w:eastAsia="Arial" w:hAnsi="Arial"/>
                <w:sz w:val="20"/>
                <w:szCs w:val="20"/>
                <w:color w:val="auto"/>
              </w:rPr>
              <w:t>(1,876)</w:t>
            </w:r>
          </w:p>
        </w:tc>
        <w:tc>
          <w:tcPr>
            <w:tcW w:w="1820" w:type="dxa"/>
            <w:vAlign w:val="bottom"/>
            <w:gridSpan w:val="3"/>
          </w:tcPr>
          <w:p>
            <w:pPr>
              <w:jc w:val="right"/>
              <w:spacing w:after="0"/>
              <w:rPr>
                <w:sz w:val="20"/>
                <w:szCs w:val="20"/>
                <w:color w:val="auto"/>
              </w:rPr>
            </w:pPr>
            <w:r>
              <w:rPr>
                <w:rFonts w:ascii="Arial" w:cs="Arial" w:eastAsia="Arial" w:hAnsi="Arial"/>
                <w:sz w:val="20"/>
                <w:szCs w:val="20"/>
                <w:color w:val="auto"/>
              </w:rPr>
              <w:t>(179,289)</w:t>
            </w:r>
          </w:p>
        </w:tc>
        <w:tc>
          <w:tcPr>
            <w:tcW w:w="1700" w:type="dxa"/>
            <w:vAlign w:val="bottom"/>
            <w:gridSpan w:val="3"/>
          </w:tcPr>
          <w:p>
            <w:pPr>
              <w:jc w:val="right"/>
              <w:spacing w:after="0"/>
              <w:rPr>
                <w:sz w:val="20"/>
                <w:szCs w:val="20"/>
                <w:color w:val="auto"/>
              </w:rPr>
            </w:pPr>
            <w:r>
              <w:rPr>
                <w:rFonts w:ascii="Arial" w:cs="Arial" w:eastAsia="Arial" w:hAnsi="Arial"/>
                <w:sz w:val="20"/>
                <w:szCs w:val="20"/>
                <w:color w:val="auto"/>
              </w:rPr>
              <w:t>7,355</w:t>
            </w:r>
          </w:p>
        </w:tc>
      </w:tr>
      <w:tr>
        <w:trPr>
          <w:trHeight w:val="90"/>
        </w:trPr>
        <w:tc>
          <w:tcPr>
            <w:tcW w:w="1760" w:type="dxa"/>
            <w:vAlign w:val="bottom"/>
          </w:tcPr>
          <w:p>
            <w:pPr>
              <w:spacing w:after="0"/>
              <w:rPr>
                <w:sz w:val="7"/>
                <w:szCs w:val="7"/>
                <w:color w:val="auto"/>
              </w:rPr>
            </w:pPr>
          </w:p>
        </w:tc>
        <w:tc>
          <w:tcPr>
            <w:tcW w:w="16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Borders>
              <w:bottom w:val="single" w:sz="8" w:color="336699"/>
            </w:tcBorders>
          </w:tcPr>
          <w:p>
            <w:pPr>
              <w:spacing w:after="0"/>
              <w:rPr>
                <w:sz w:val="7"/>
                <w:szCs w:val="7"/>
                <w:color w:val="auto"/>
              </w:rPr>
            </w:pPr>
          </w:p>
        </w:tc>
      </w:tr>
      <w:tr>
        <w:trPr>
          <w:trHeight w:val="339"/>
        </w:trPr>
        <w:tc>
          <w:tcPr>
            <w:tcW w:w="17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$(37,104)</w:t>
            </w:r>
          </w:p>
        </w:tc>
        <w:tc>
          <w:tcPr>
            <w:tcW w:w="1820" w:type="dxa"/>
            <w:vAlign w:val="bottom"/>
            <w:gridSpan w:val="3"/>
          </w:tcPr>
          <w:p>
            <w:pPr>
              <w:jc w:val="right"/>
              <w:spacing w:after="0"/>
              <w:rPr>
                <w:sz w:val="20"/>
                <w:szCs w:val="20"/>
                <w:color w:val="auto"/>
              </w:rPr>
            </w:pPr>
            <w:r>
              <w:rPr>
                <w:rFonts w:ascii="Arial" w:cs="Arial" w:eastAsia="Arial" w:hAnsi="Arial"/>
                <w:sz w:val="20"/>
                <w:szCs w:val="20"/>
                <w:color w:val="auto"/>
              </w:rPr>
              <w:t>$(212,169)</w:t>
            </w:r>
          </w:p>
        </w:tc>
        <w:tc>
          <w:tcPr>
            <w:tcW w:w="1700" w:type="dxa"/>
            <w:vAlign w:val="bottom"/>
            <w:gridSpan w:val="3"/>
          </w:tcPr>
          <w:p>
            <w:pPr>
              <w:jc w:val="right"/>
              <w:spacing w:after="0"/>
              <w:rPr>
                <w:sz w:val="20"/>
                <w:szCs w:val="20"/>
                <w:color w:val="auto"/>
              </w:rPr>
            </w:pPr>
            <w:r>
              <w:rPr>
                <w:rFonts w:ascii="Arial" w:cs="Arial" w:eastAsia="Arial" w:hAnsi="Arial"/>
                <w:sz w:val="20"/>
                <w:szCs w:val="20"/>
                <w:color w:val="auto"/>
              </w:rPr>
              <w:t>$23,884</w:t>
            </w:r>
          </w:p>
        </w:tc>
      </w:tr>
      <w:tr>
        <w:trPr>
          <w:trHeight w:val="111"/>
        </w:trPr>
        <w:tc>
          <w:tcPr>
            <w:tcW w:w="1760" w:type="dxa"/>
            <w:vAlign w:val="bottom"/>
          </w:tcPr>
          <w:p>
            <w:pPr>
              <w:spacing w:after="0"/>
              <w:rPr>
                <w:sz w:val="9"/>
                <w:szCs w:val="9"/>
                <w:color w:val="auto"/>
              </w:rPr>
            </w:pPr>
          </w:p>
        </w:tc>
        <w:tc>
          <w:tcPr>
            <w:tcW w:w="16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-27940</wp:posOffset>
            </wp:positionV>
            <wp:extent cx="12700" cy="28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-27940</wp:posOffset>
            </wp:positionV>
            <wp:extent cx="12700" cy="285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-27940</wp:posOffset>
            </wp:positionV>
            <wp:extent cx="12700" cy="285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-27940</wp:posOffset>
            </wp:positionV>
            <wp:extent cx="12700" cy="28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-27940</wp:posOffset>
            </wp:positionV>
            <wp:extent cx="12700" cy="285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-27940</wp:posOffset>
            </wp:positionV>
            <wp:extent cx="12700" cy="285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income tax provision (benefit) consists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rPr>
              <w:t>Year Ended</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ind w:left="80"/>
              <w:spacing w:after="0"/>
              <w:rPr>
                <w:sz w:val="20"/>
                <w:szCs w:val="20"/>
                <w:color w:val="auto"/>
              </w:rPr>
            </w:pPr>
            <w:r>
              <w:rPr>
                <w:rFonts w:ascii="Arial" w:cs="Arial" w:eastAsia="Arial" w:hAnsi="Arial"/>
                <w:sz w:val="20"/>
                <w:szCs w:val="20"/>
                <w:b w:val="1"/>
                <w:bCs w:val="1"/>
                <w:color w:val="auto"/>
                <w:w w:val="89"/>
              </w:rPr>
              <w:t>November 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November 2,</w:t>
            </w:r>
          </w:p>
        </w:tc>
        <w:tc>
          <w:tcPr>
            <w:tcW w:w="200" w:type="dxa"/>
            <w:vAlign w:val="bottom"/>
          </w:tcPr>
          <w:p>
            <w:pPr>
              <w:spacing w:after="0"/>
              <w:rPr>
                <w:sz w:val="24"/>
                <w:szCs w:val="24"/>
                <w:color w:val="auto"/>
              </w:rPr>
            </w:pPr>
          </w:p>
        </w:tc>
        <w:tc>
          <w:tcPr>
            <w:tcW w:w="1520" w:type="dxa"/>
            <w:vAlign w:val="bottom"/>
          </w:tcPr>
          <w:p>
            <w:pPr>
              <w:jc w:val="right"/>
              <w:ind w:right="160"/>
              <w:spacing w:after="0"/>
              <w:rPr>
                <w:sz w:val="20"/>
                <w:szCs w:val="20"/>
                <w:color w:val="auto"/>
              </w:rPr>
            </w:pPr>
            <w:r>
              <w:rPr>
                <w:rFonts w:ascii="Arial" w:cs="Arial" w:eastAsia="Arial" w:hAnsi="Arial"/>
                <w:sz w:val="20"/>
                <w:szCs w:val="20"/>
                <w:b w:val="1"/>
                <w:bCs w:val="1"/>
                <w:color w:val="auto"/>
              </w:rPr>
              <w:t>October 28,</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jc w:val="right"/>
              <w:ind w:right="320"/>
              <w:spacing w:after="0"/>
              <w:rPr>
                <w:sz w:val="20"/>
                <w:szCs w:val="20"/>
                <w:color w:val="auto"/>
              </w:rPr>
            </w:pPr>
            <w:r>
              <w:rPr>
                <w:rFonts w:ascii="Arial" w:cs="Arial" w:eastAsia="Arial" w:hAnsi="Arial"/>
                <w:sz w:val="20"/>
                <w:szCs w:val="20"/>
                <w:b w:val="1"/>
                <w:bCs w:val="1"/>
                <w:color w:val="auto"/>
              </w:rPr>
              <w:t>2009</w:t>
            </w:r>
          </w:p>
        </w:tc>
        <w:tc>
          <w:tcPr>
            <w:tcW w:w="22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2008</w:t>
            </w:r>
          </w:p>
        </w:tc>
        <w:tc>
          <w:tcPr>
            <w:tcW w:w="520" w:type="dxa"/>
            <w:vAlign w:val="bottom"/>
          </w:tcPr>
          <w:p>
            <w:pPr>
              <w:spacing w:after="0"/>
              <w:rPr>
                <w:sz w:val="22"/>
                <w:szCs w:val="22"/>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20"/>
                <w:szCs w:val="20"/>
                <w:b w:val="1"/>
                <w:bCs w:val="1"/>
                <w:color w:val="auto"/>
              </w:rPr>
              <w:t>2007</w:t>
            </w:r>
          </w:p>
        </w:tc>
        <w:tc>
          <w:tcPr>
            <w:tcW w:w="0" w:type="dxa"/>
            <w:vAlign w:val="bottom"/>
          </w:tcPr>
          <w:p>
            <w:pPr>
              <w:spacing w:after="0"/>
              <w:rPr>
                <w:sz w:val="1"/>
                <w:szCs w:val="1"/>
                <w:color w:val="auto"/>
              </w:rPr>
            </w:pPr>
          </w:p>
        </w:tc>
      </w:tr>
      <w:tr>
        <w:trPr>
          <w:trHeight w:val="90"/>
        </w:trPr>
        <w:tc>
          <w:tcPr>
            <w:tcW w:w="1680" w:type="dxa"/>
            <w:vAlign w:val="bottom"/>
            <w:gridSpan w:val="2"/>
            <w:vMerge w:val="restart"/>
          </w:tcPr>
          <w:p>
            <w:pPr>
              <w:spacing w:after="0"/>
              <w:rPr>
                <w:sz w:val="20"/>
                <w:szCs w:val="20"/>
                <w:color w:val="auto"/>
              </w:rPr>
            </w:pPr>
            <w:r>
              <w:rPr>
                <w:rFonts w:ascii="Arial" w:cs="Arial" w:eastAsia="Arial" w:hAnsi="Arial"/>
                <w:sz w:val="20"/>
                <w:szCs w:val="20"/>
                <w:color w:val="auto"/>
              </w:rPr>
              <w:t>Current:</w:t>
            </w:r>
          </w:p>
        </w:tc>
        <w:tc>
          <w:tcPr>
            <w:tcW w:w="1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6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80" w:type="dxa"/>
            <w:vAlign w:val="bottom"/>
            <w:gridSpan w:val="2"/>
          </w:tcPr>
          <w:p>
            <w:pPr>
              <w:ind w:left="340"/>
              <w:spacing w:after="0" w:line="225" w:lineRule="exact"/>
              <w:rPr>
                <w:sz w:val="20"/>
                <w:szCs w:val="20"/>
                <w:color w:val="auto"/>
              </w:rPr>
            </w:pPr>
            <w:r>
              <w:rPr>
                <w:rFonts w:ascii="Arial" w:cs="Arial" w:eastAsia="Arial" w:hAnsi="Arial"/>
                <w:sz w:val="20"/>
                <w:szCs w:val="20"/>
                <w:color w:val="auto"/>
              </w:rPr>
              <w:t>Federal</w:t>
            </w:r>
          </w:p>
        </w:tc>
        <w:tc>
          <w:tcPr>
            <w:tcW w:w="1420" w:type="dxa"/>
            <w:vAlign w:val="bottom"/>
          </w:tcPr>
          <w:p>
            <w:pPr>
              <w:jc w:val="right"/>
              <w:ind w:right="180"/>
              <w:spacing w:after="0" w:line="225" w:lineRule="exact"/>
              <w:rPr>
                <w:sz w:val="20"/>
                <w:szCs w:val="20"/>
                <w:color w:val="auto"/>
              </w:rPr>
            </w:pPr>
            <w:r>
              <w:rPr>
                <w:rFonts w:ascii="Arial" w:cs="Arial" w:eastAsia="Arial" w:hAnsi="Arial"/>
                <w:sz w:val="20"/>
                <w:szCs w:val="20"/>
                <w:color w:val="auto"/>
              </w:rPr>
              <w:t>$</w:t>
            </w: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$(8,430)</w:t>
            </w:r>
          </w:p>
        </w:tc>
        <w:tc>
          <w:tcPr>
            <w:tcW w:w="0" w:type="dxa"/>
            <w:vAlign w:val="bottom"/>
          </w:tcPr>
          <w:p>
            <w:pPr>
              <w:spacing w:after="0"/>
              <w:rPr>
                <w:sz w:val="1"/>
                <w:szCs w:val="1"/>
                <w:color w:val="auto"/>
              </w:rPr>
            </w:pPr>
          </w:p>
        </w:tc>
      </w:tr>
      <w:tr>
        <w:trPr>
          <w:trHeight w:val="224"/>
        </w:trPr>
        <w:tc>
          <w:tcPr>
            <w:tcW w:w="1680" w:type="dxa"/>
            <w:vAlign w:val="bottom"/>
            <w:gridSpan w:val="2"/>
          </w:tcPr>
          <w:p>
            <w:pPr>
              <w:ind w:left="340"/>
              <w:spacing w:after="0" w:line="225" w:lineRule="exact"/>
              <w:rPr>
                <w:sz w:val="20"/>
                <w:szCs w:val="20"/>
                <w:color w:val="auto"/>
              </w:rPr>
            </w:pPr>
            <w:r>
              <w:rPr>
                <w:rFonts w:ascii="Arial" w:cs="Arial" w:eastAsia="Arial" w:hAnsi="Arial"/>
                <w:sz w:val="20"/>
                <w:szCs w:val="20"/>
                <w:color w:val="auto"/>
              </w:rPr>
              <w:t>State</w:t>
            </w:r>
          </w:p>
        </w:tc>
        <w:tc>
          <w:tcPr>
            <w:tcW w:w="142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1680" w:type="dxa"/>
            <w:vAlign w:val="bottom"/>
            <w:gridSpan w:val="2"/>
          </w:tcPr>
          <w:p>
            <w:pPr>
              <w:ind w:left="340"/>
              <w:spacing w:after="0"/>
              <w:rPr>
                <w:sz w:val="20"/>
                <w:szCs w:val="20"/>
                <w:color w:val="auto"/>
              </w:rPr>
            </w:pPr>
            <w:r>
              <w:rPr>
                <w:rFonts w:ascii="Arial" w:cs="Arial" w:eastAsia="Arial" w:hAnsi="Arial"/>
                <w:sz w:val="20"/>
                <w:szCs w:val="20"/>
                <w:color w:val="auto"/>
              </w:rPr>
              <w:t>Foreign</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7,266</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(834)</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6,213</w:t>
            </w: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tcBorders>
              <w:bottom w:val="single" w:sz="8" w:color="336699"/>
            </w:tcBorders>
            <w:gridSpan w:val="2"/>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520" w:type="dxa"/>
            <w:vAlign w:val="bottom"/>
            <w:tcBorders>
              <w:bottom w:val="single" w:sz="8" w:color="336699"/>
            </w:tcBorders>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1680" w:type="dxa"/>
            <w:vAlign w:val="bottom"/>
            <w:gridSpan w:val="2"/>
            <w:vMerge w:val="restart"/>
          </w:tcPr>
          <w:p>
            <w:pPr>
              <w:spacing w:after="0"/>
              <w:rPr>
                <w:sz w:val="20"/>
                <w:szCs w:val="20"/>
                <w:color w:val="auto"/>
              </w:rPr>
            </w:pPr>
            <w:r>
              <w:rPr>
                <w:rFonts w:ascii="Arial" w:cs="Arial" w:eastAsia="Arial" w:hAnsi="Arial"/>
                <w:sz w:val="20"/>
                <w:szCs w:val="20"/>
                <w:color w:val="auto"/>
              </w:rPr>
              <w:t>Deferred:</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7,266</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(834)</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(2,217)</w:t>
            </w:r>
          </w:p>
        </w:tc>
        <w:tc>
          <w:tcPr>
            <w:tcW w:w="0" w:type="dxa"/>
            <w:vAlign w:val="bottom"/>
          </w:tcPr>
          <w:p>
            <w:pPr>
              <w:spacing w:after="0"/>
              <w:rPr>
                <w:sz w:val="1"/>
                <w:szCs w:val="1"/>
                <w:color w:val="auto"/>
              </w:rPr>
            </w:pPr>
          </w:p>
        </w:tc>
      </w:tr>
      <w:tr>
        <w:trPr>
          <w:trHeight w:val="195"/>
        </w:trPr>
        <w:tc>
          <w:tcPr>
            <w:tcW w:w="168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80" w:type="dxa"/>
            <w:vAlign w:val="bottom"/>
            <w:gridSpan w:val="2"/>
          </w:tcPr>
          <w:p>
            <w:pPr>
              <w:ind w:left="340"/>
              <w:spacing w:after="0" w:line="225" w:lineRule="exact"/>
              <w:rPr>
                <w:sz w:val="20"/>
                <w:szCs w:val="20"/>
                <w:color w:val="auto"/>
              </w:rPr>
            </w:pPr>
            <w:r>
              <w:rPr>
                <w:rFonts w:ascii="Arial" w:cs="Arial" w:eastAsia="Arial" w:hAnsi="Arial"/>
                <w:sz w:val="20"/>
                <w:szCs w:val="20"/>
                <w:color w:val="auto"/>
              </w:rPr>
              <w:t>Federal</w:t>
            </w:r>
          </w:p>
        </w:tc>
        <w:tc>
          <w:tcPr>
            <w:tcW w:w="142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1680" w:type="dxa"/>
            <w:vAlign w:val="bottom"/>
            <w:gridSpan w:val="2"/>
          </w:tcPr>
          <w:p>
            <w:pPr>
              <w:ind w:left="340"/>
              <w:spacing w:after="0" w:line="225" w:lineRule="exact"/>
              <w:rPr>
                <w:sz w:val="20"/>
                <w:szCs w:val="20"/>
                <w:color w:val="auto"/>
              </w:rPr>
            </w:pPr>
            <w:r>
              <w:rPr>
                <w:rFonts w:ascii="Arial" w:cs="Arial" w:eastAsia="Arial" w:hAnsi="Arial"/>
                <w:sz w:val="20"/>
                <w:szCs w:val="20"/>
                <w:color w:val="auto"/>
              </w:rPr>
              <w:t>State</w:t>
            </w:r>
          </w:p>
        </w:tc>
        <w:tc>
          <w:tcPr>
            <w:tcW w:w="142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72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1680" w:type="dxa"/>
            <w:vAlign w:val="bottom"/>
            <w:gridSpan w:val="2"/>
          </w:tcPr>
          <w:p>
            <w:pPr>
              <w:ind w:left="340"/>
              <w:spacing w:after="0"/>
              <w:rPr>
                <w:sz w:val="20"/>
                <w:szCs w:val="20"/>
                <w:color w:val="auto"/>
              </w:rPr>
            </w:pPr>
            <w:r>
              <w:rPr>
                <w:rFonts w:ascii="Arial" w:cs="Arial" w:eastAsia="Arial" w:hAnsi="Arial"/>
                <w:sz w:val="20"/>
                <w:szCs w:val="20"/>
                <w:color w:val="auto"/>
              </w:rPr>
              <w:t>Foreign</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(2,943)</w:t>
            </w:r>
          </w:p>
        </w:tc>
        <w:tc>
          <w:tcPr>
            <w:tcW w:w="1860" w:type="dxa"/>
            <w:vAlign w:val="bottom"/>
            <w:gridSpan w:val="3"/>
          </w:tcPr>
          <w:p>
            <w:pPr>
              <w:jc w:val="right"/>
              <w:spacing w:after="0"/>
              <w:rPr>
                <w:sz w:val="20"/>
                <w:szCs w:val="20"/>
                <w:color w:val="auto"/>
              </w:rPr>
            </w:pPr>
            <w:r>
              <w:rPr>
                <w:rFonts w:ascii="Arial" w:cs="Arial" w:eastAsia="Arial" w:hAnsi="Arial"/>
                <w:sz w:val="20"/>
                <w:szCs w:val="20"/>
                <w:color w:val="auto"/>
              </w:rPr>
              <w:t>(1,944)</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(961)</w:t>
            </w: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tcBorders>
              <w:bottom w:val="single" w:sz="8" w:color="336699"/>
            </w:tcBorders>
            <w:gridSpan w:val="2"/>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Borders>
              <w:bottom w:val="single" w:sz="8" w:color="336699"/>
            </w:tcBorders>
            <w:gridSpan w:val="2"/>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(2,943)</w:t>
            </w:r>
          </w:p>
        </w:tc>
        <w:tc>
          <w:tcPr>
            <w:tcW w:w="1860" w:type="dxa"/>
            <w:vAlign w:val="bottom"/>
            <w:gridSpan w:val="3"/>
          </w:tcPr>
          <w:p>
            <w:pPr>
              <w:jc w:val="right"/>
              <w:spacing w:after="0"/>
              <w:rPr>
                <w:sz w:val="20"/>
                <w:szCs w:val="20"/>
                <w:color w:val="auto"/>
              </w:rPr>
            </w:pPr>
            <w:r>
              <w:rPr>
                <w:rFonts w:ascii="Arial" w:cs="Arial" w:eastAsia="Arial" w:hAnsi="Arial"/>
                <w:sz w:val="20"/>
                <w:szCs w:val="20"/>
                <w:color w:val="auto"/>
              </w:rPr>
              <w:t>(1,944)</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(961)</w:t>
            </w: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tcBorders>
              <w:bottom w:val="single" w:sz="8" w:color="336699"/>
            </w:tcBorders>
            <w:gridSpan w:val="2"/>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Borders>
              <w:bottom w:val="single" w:sz="8" w:color="336699"/>
            </w:tcBorders>
            <w:gridSpan w:val="2"/>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16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$4,323</w:t>
            </w:r>
          </w:p>
        </w:tc>
        <w:tc>
          <w:tcPr>
            <w:tcW w:w="1860" w:type="dxa"/>
            <w:vAlign w:val="bottom"/>
            <w:gridSpan w:val="3"/>
          </w:tcPr>
          <w:p>
            <w:pPr>
              <w:jc w:val="right"/>
              <w:spacing w:after="0"/>
              <w:rPr>
                <w:sz w:val="20"/>
                <w:szCs w:val="20"/>
                <w:color w:val="auto"/>
              </w:rPr>
            </w:pPr>
            <w:r>
              <w:rPr>
                <w:rFonts w:ascii="Arial" w:cs="Arial" w:eastAsia="Arial" w:hAnsi="Arial"/>
                <w:sz w:val="20"/>
                <w:szCs w:val="20"/>
                <w:color w:val="auto"/>
              </w:rPr>
              <w:t>$(2,778)</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$(3,178)</w:t>
            </w:r>
          </w:p>
        </w:tc>
        <w:tc>
          <w:tcPr>
            <w:tcW w:w="0" w:type="dxa"/>
            <w:vAlign w:val="bottom"/>
          </w:tcPr>
          <w:p>
            <w:pPr>
              <w:spacing w:after="0"/>
              <w:rPr>
                <w:sz w:val="1"/>
                <w:szCs w:val="1"/>
                <w:color w:val="auto"/>
              </w:rPr>
            </w:pPr>
          </w:p>
        </w:tc>
      </w:tr>
      <w:tr>
        <w:trPr>
          <w:trHeight w:val="111"/>
        </w:trPr>
        <w:tc>
          <w:tcPr>
            <w:tcW w:w="166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20" w:type="dxa"/>
            <w:vAlign w:val="bottom"/>
            <w:tcBorders>
              <w:bottom w:val="single" w:sz="8" w:color="336699"/>
            </w:tcBorders>
          </w:tcPr>
          <w:p>
            <w:pPr>
              <w:spacing w:after="0"/>
              <w:rPr>
                <w:sz w:val="9"/>
                <w:szCs w:val="9"/>
                <w:color w:val="auto"/>
              </w:rPr>
            </w:pPr>
          </w:p>
        </w:tc>
        <w:tc>
          <w:tcPr>
            <w:tcW w:w="220" w:type="dxa"/>
            <w:vAlign w:val="bottom"/>
            <w:tcBorders>
              <w:bottom w:val="single" w:sz="8" w:color="336699"/>
            </w:tcBorders>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Borders>
              <w:bottom w:val="single" w:sz="8" w:color="336699"/>
            </w:tcBorders>
          </w:tcPr>
          <w:p>
            <w:pPr>
              <w:spacing w:after="0"/>
              <w:rPr>
                <w:sz w:val="9"/>
                <w:szCs w:val="9"/>
                <w:color w:val="auto"/>
              </w:rPr>
            </w:pPr>
          </w:p>
        </w:tc>
        <w:tc>
          <w:tcPr>
            <w:tcW w:w="520" w:type="dxa"/>
            <w:vAlign w:val="bottom"/>
            <w:tcBorders>
              <w:bottom w:val="single" w:sz="8" w:color="336699"/>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-27940</wp:posOffset>
            </wp:positionV>
            <wp:extent cx="12700" cy="285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-27940</wp:posOffset>
            </wp:positionV>
            <wp:extent cx="12700" cy="285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-27940</wp:posOffset>
            </wp:positionV>
            <wp:extent cx="12700" cy="28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-27940</wp:posOffset>
            </wp:positionV>
            <wp:extent cx="12700" cy="285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-27940</wp:posOffset>
            </wp:positionV>
            <wp:extent cx="12700" cy="285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-27940</wp:posOffset>
            </wp:positionV>
            <wp:extent cx="12700" cy="285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6"/>
        <w:spacing w:after="0" w:line="258" w:lineRule="auto"/>
        <w:rPr>
          <w:sz w:val="20"/>
          <w:szCs w:val="20"/>
          <w:color w:val="auto"/>
        </w:rPr>
      </w:pPr>
      <w:r>
        <w:rPr>
          <w:rFonts w:ascii="Arial" w:cs="Arial" w:eastAsia="Arial" w:hAnsi="Arial"/>
          <w:sz w:val="20"/>
          <w:szCs w:val="20"/>
          <w:color w:val="auto"/>
        </w:rPr>
        <w:t>The income tax (benefit) provision differs from the amount computed by applying the statutory U.S. federal income tax rate to the income before taxes as a result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20"/>
                <w:szCs w:val="20"/>
                <w:b w:val="1"/>
                <w:bCs w:val="1"/>
                <w:color w:val="auto"/>
                <w:w w:val="99"/>
              </w:rPr>
              <w:t>Year Ended</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90"/>
        </w:trPr>
        <w:tc>
          <w:tcPr>
            <w:tcW w:w="340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04"/>
        </w:trPr>
        <w:tc>
          <w:tcPr>
            <w:tcW w:w="340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b w:val="1"/>
                <w:bCs w:val="1"/>
                <w:color w:val="auto"/>
                <w:w w:val="98"/>
              </w:rPr>
              <w:t>November</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20"/>
                <w:szCs w:val="20"/>
                <w:b w:val="1"/>
                <w:bCs w:val="1"/>
                <w:color w:val="auto"/>
                <w:w w:val="91"/>
              </w:rPr>
              <w:t>November 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w w:val="89"/>
              </w:rPr>
              <w:t>October 28,</w:t>
            </w:r>
          </w:p>
        </w:tc>
      </w:tr>
      <w:tr>
        <w:trPr>
          <w:trHeight w:val="224"/>
        </w:trPr>
        <w:tc>
          <w:tcPr>
            <w:tcW w:w="3400" w:type="dxa"/>
            <w:vAlign w:val="bottom"/>
          </w:tcPr>
          <w:p>
            <w:pPr>
              <w:spacing w:after="0"/>
              <w:rPr>
                <w:sz w:val="19"/>
                <w:szCs w:val="19"/>
                <w:color w:val="auto"/>
              </w:rPr>
            </w:pPr>
          </w:p>
        </w:tc>
        <w:tc>
          <w:tcPr>
            <w:tcW w:w="1120" w:type="dxa"/>
            <w:vAlign w:val="bottom"/>
          </w:tcPr>
          <w:p>
            <w:pPr>
              <w:jc w:val="right"/>
              <w:ind w:right="400"/>
              <w:spacing w:after="0" w:line="225" w:lineRule="exact"/>
              <w:rPr>
                <w:sz w:val="20"/>
                <w:szCs w:val="20"/>
                <w:color w:val="auto"/>
              </w:rPr>
            </w:pPr>
            <w:r>
              <w:rPr>
                <w:rFonts w:ascii="Arial" w:cs="Arial" w:eastAsia="Arial" w:hAnsi="Arial"/>
                <w:sz w:val="20"/>
                <w:szCs w:val="20"/>
                <w:b w:val="1"/>
                <w:bCs w:val="1"/>
                <w:color w:val="auto"/>
              </w:rPr>
              <w:t>1,</w:t>
            </w:r>
          </w:p>
        </w:tc>
        <w:tc>
          <w:tcPr>
            <w:tcW w:w="1240" w:type="dxa"/>
            <w:vAlign w:val="bottom"/>
            <w:gridSpan w:val="2"/>
          </w:tcPr>
          <w:p>
            <w:pPr>
              <w:jc w:val="right"/>
              <w:ind w:right="280"/>
              <w:spacing w:after="0" w:line="225" w:lineRule="exact"/>
              <w:rPr>
                <w:sz w:val="20"/>
                <w:szCs w:val="20"/>
                <w:color w:val="auto"/>
              </w:rPr>
            </w:pPr>
            <w:r>
              <w:rPr>
                <w:rFonts w:ascii="Arial" w:cs="Arial" w:eastAsia="Arial" w:hAnsi="Arial"/>
                <w:sz w:val="20"/>
                <w:szCs w:val="20"/>
                <w:b w:val="1"/>
                <w:bCs w:val="1"/>
                <w:color w:val="auto"/>
              </w:rPr>
              <w:t>2008</w:t>
            </w:r>
          </w:p>
        </w:tc>
        <w:tc>
          <w:tcPr>
            <w:tcW w:w="1140" w:type="dxa"/>
            <w:vAlign w:val="bottom"/>
            <w:gridSpan w:val="2"/>
          </w:tcPr>
          <w:p>
            <w:pPr>
              <w:jc w:val="right"/>
              <w:ind w:right="220"/>
              <w:spacing w:after="0" w:line="225" w:lineRule="exact"/>
              <w:rPr>
                <w:sz w:val="20"/>
                <w:szCs w:val="20"/>
                <w:color w:val="auto"/>
              </w:rPr>
            </w:pPr>
            <w:r>
              <w:rPr>
                <w:rFonts w:ascii="Arial" w:cs="Arial" w:eastAsia="Arial" w:hAnsi="Arial"/>
                <w:sz w:val="20"/>
                <w:szCs w:val="20"/>
                <w:b w:val="1"/>
                <w:bCs w:val="1"/>
                <w:color w:val="auto"/>
              </w:rPr>
              <w:t>2007</w:t>
            </w:r>
          </w:p>
        </w:tc>
      </w:tr>
      <w:tr>
        <w:trPr>
          <w:trHeight w:val="260"/>
        </w:trPr>
        <w:tc>
          <w:tcPr>
            <w:tcW w:w="3400" w:type="dxa"/>
            <w:vAlign w:val="bottom"/>
          </w:tcPr>
          <w:p>
            <w:pPr>
              <w:spacing w:after="0"/>
              <w:rPr>
                <w:sz w:val="22"/>
                <w:szCs w:val="22"/>
                <w:color w:val="auto"/>
              </w:rPr>
            </w:pPr>
          </w:p>
        </w:tc>
        <w:tc>
          <w:tcPr>
            <w:tcW w:w="1120" w:type="dxa"/>
            <w:vAlign w:val="bottom"/>
          </w:tcPr>
          <w:p>
            <w:pPr>
              <w:jc w:val="right"/>
              <w:ind w:right="280"/>
              <w:spacing w:after="0"/>
              <w:rPr>
                <w:sz w:val="20"/>
                <w:szCs w:val="20"/>
                <w:color w:val="auto"/>
              </w:rPr>
            </w:pPr>
            <w:r>
              <w:rPr>
                <w:rFonts w:ascii="Arial" w:cs="Arial" w:eastAsia="Arial" w:hAnsi="Arial"/>
                <w:sz w:val="20"/>
                <w:szCs w:val="20"/>
                <w:b w:val="1"/>
                <w:bCs w:val="1"/>
                <w:color w:val="auto"/>
              </w:rPr>
              <w:t>2009</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90"/>
        </w:trPr>
        <w:tc>
          <w:tcPr>
            <w:tcW w:w="340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534"/>
        </w:trPr>
        <w:tc>
          <w:tcPr>
            <w:tcW w:w="3400" w:type="dxa"/>
            <w:vAlign w:val="bottom"/>
          </w:tcPr>
          <w:p>
            <w:pPr>
              <w:spacing w:after="0"/>
              <w:rPr>
                <w:sz w:val="20"/>
                <w:szCs w:val="20"/>
                <w:color w:val="auto"/>
              </w:rPr>
            </w:pPr>
            <w:r>
              <w:rPr>
                <w:rFonts w:ascii="Arial" w:cs="Arial" w:eastAsia="Arial" w:hAnsi="Arial"/>
                <w:sz w:val="20"/>
                <w:szCs w:val="20"/>
                <w:color w:val="auto"/>
                <w:w w:val="95"/>
              </w:rPr>
              <w:t>U.S. federal income tax at statutory rate</w:t>
            </w:r>
          </w:p>
        </w:tc>
        <w:tc>
          <w:tcPr>
            <w:tcW w:w="1120" w:type="dxa"/>
            <w:vAlign w:val="bottom"/>
          </w:tcPr>
          <w:p>
            <w:pPr>
              <w:jc w:val="right"/>
              <w:spacing w:after="0"/>
              <w:rPr>
                <w:sz w:val="20"/>
                <w:szCs w:val="20"/>
                <w:color w:val="auto"/>
              </w:rPr>
            </w:pPr>
            <w:r>
              <w:rPr>
                <w:rFonts w:ascii="Arial" w:cs="Arial" w:eastAsia="Arial" w:hAnsi="Arial"/>
                <w:sz w:val="20"/>
                <w:szCs w:val="20"/>
                <w:color w:val="auto"/>
              </w:rPr>
              <w:t>$(12,986)</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$(74,259)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$ 8,359</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Goodwill and other impairments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42,416</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Distributions from foreign subsidiaries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10,203</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10,937</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State income taxes, net of federal</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(447)</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(1,255)</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108</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benefit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Change in valuation allowance</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6,585</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8,757</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2,399</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rPr>
              <w:t>Foreign tax rate differential</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1,917</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9,982</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(6,973)</w:t>
            </w:r>
          </w:p>
        </w:tc>
      </w:tr>
      <w:tr>
        <w:trPr>
          <w:trHeight w:val="224"/>
        </w:trPr>
        <w:tc>
          <w:tcPr>
            <w:tcW w:w="3400" w:type="dxa"/>
            <w:vAlign w:val="bottom"/>
          </w:tcPr>
          <w:p>
            <w:pPr>
              <w:spacing w:after="0" w:line="225" w:lineRule="exact"/>
              <w:rPr>
                <w:sz w:val="20"/>
                <w:szCs w:val="20"/>
                <w:color w:val="auto"/>
              </w:rPr>
            </w:pPr>
            <w:r>
              <w:rPr>
                <w:rFonts w:ascii="Arial" w:cs="Arial" w:eastAsia="Arial" w:hAnsi="Arial"/>
                <w:sz w:val="20"/>
                <w:szCs w:val="20"/>
                <w:color w:val="auto"/>
                <w:w w:val="94"/>
              </w:rPr>
              <w:t>Resolution and settlement of tax matters</w:t>
            </w:r>
          </w:p>
        </w:tc>
        <w:tc>
          <w:tcPr>
            <w:tcW w:w="1120" w:type="dxa"/>
            <w:vAlign w:val="bottom"/>
          </w:tcPr>
          <w:p>
            <w:pPr>
              <w:jc w:val="right"/>
              <w:spacing w:after="0" w:line="225" w:lineRule="exact"/>
              <w:rPr>
                <w:sz w:val="20"/>
                <w:szCs w:val="20"/>
                <w:color w:val="auto"/>
              </w:rPr>
            </w:pPr>
            <w:r>
              <w:rPr>
                <w:rFonts w:ascii="Arial" w:cs="Arial" w:eastAsia="Arial" w:hAnsi="Arial"/>
                <w:sz w:val="20"/>
                <w:szCs w:val="20"/>
                <w:color w:val="auto"/>
              </w:rPr>
              <w:t>(1,218)</w:t>
            </w:r>
          </w:p>
        </w:tc>
        <w:tc>
          <w:tcPr>
            <w:tcW w:w="12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(192)</w:t>
            </w:r>
          </w:p>
        </w:tc>
        <w:tc>
          <w:tcPr>
            <w:tcW w:w="11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(7,394)</w:t>
            </w:r>
          </w:p>
        </w:tc>
      </w:tr>
      <w:tr>
        <w:trPr>
          <w:trHeight w:val="254"/>
        </w:trPr>
        <w:tc>
          <w:tcPr>
            <w:tcW w:w="3400" w:type="dxa"/>
            <w:vAlign w:val="bottom"/>
          </w:tcPr>
          <w:p>
            <w:pPr>
              <w:spacing w:after="0"/>
              <w:rPr>
                <w:sz w:val="20"/>
                <w:szCs w:val="20"/>
                <w:color w:val="auto"/>
              </w:rPr>
            </w:pPr>
            <w:r>
              <w:rPr>
                <w:rFonts w:ascii="Arial" w:cs="Arial" w:eastAsia="Arial" w:hAnsi="Arial"/>
                <w:sz w:val="20"/>
                <w:szCs w:val="20"/>
                <w:color w:val="auto"/>
              </w:rPr>
              <w:t>Other, net</w:t>
            </w:r>
          </w:p>
        </w:tc>
        <w:tc>
          <w:tcPr>
            <w:tcW w:w="1120" w:type="dxa"/>
            <w:vAlign w:val="bottom"/>
          </w:tcPr>
          <w:p>
            <w:pPr>
              <w:jc w:val="right"/>
              <w:spacing w:after="0"/>
              <w:rPr>
                <w:sz w:val="20"/>
                <w:szCs w:val="20"/>
                <w:color w:val="auto"/>
              </w:rPr>
            </w:pPr>
            <w:r>
              <w:rPr>
                <w:rFonts w:ascii="Arial" w:cs="Arial" w:eastAsia="Arial" w:hAnsi="Arial"/>
                <w:sz w:val="20"/>
                <w:szCs w:val="20"/>
                <w:color w:val="auto"/>
              </w:rPr>
              <w:t>269</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836</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323</w:t>
            </w:r>
          </w:p>
        </w:tc>
      </w:tr>
      <w:tr>
        <w:trPr>
          <w:trHeight w:val="90"/>
        </w:trPr>
        <w:tc>
          <w:tcPr>
            <w:tcW w:w="340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336699"/>
            </w:tcBorders>
          </w:tcPr>
          <w:p>
            <w:pPr>
              <w:spacing w:after="0"/>
              <w:rPr>
                <w:sz w:val="7"/>
                <w:szCs w:val="7"/>
                <w:color w:val="auto"/>
              </w:rPr>
            </w:pPr>
          </w:p>
        </w:tc>
      </w:tr>
      <w:tr>
        <w:trPr>
          <w:trHeight w:val="339"/>
        </w:trPr>
        <w:tc>
          <w:tcPr>
            <w:tcW w:w="3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$ 4,323</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 (2,778)</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$(3,178)</w:t>
            </w:r>
          </w:p>
        </w:tc>
      </w:tr>
      <w:tr>
        <w:trPr>
          <w:trHeight w:val="111"/>
        </w:trPr>
        <w:tc>
          <w:tcPr>
            <w:tcW w:w="34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-27940</wp:posOffset>
            </wp:positionV>
            <wp:extent cx="12700" cy="285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-27940</wp:posOffset>
            </wp:positionV>
            <wp:extent cx="12700" cy="285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-27940</wp:posOffset>
            </wp:positionV>
            <wp:extent cx="12700" cy="285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-27940</wp:posOffset>
            </wp:positionV>
            <wp:extent cx="12700" cy="285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-27940</wp:posOffset>
            </wp:positionV>
            <wp:extent cx="12700" cy="285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-27940</wp:posOffset>
            </wp:positionV>
            <wp:extent cx="12700" cy="285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9"/>
        <w:spacing w:after="0" w:line="246" w:lineRule="auto"/>
        <w:rPr>
          <w:sz w:val="20"/>
          <w:szCs w:val="20"/>
          <w:color w:val="auto"/>
        </w:rPr>
      </w:pPr>
      <w:r>
        <w:rPr>
          <w:rFonts w:ascii="Arial" w:cs="Arial" w:eastAsia="Arial" w:hAnsi="Arial"/>
          <w:sz w:val="20"/>
          <w:szCs w:val="20"/>
          <w:color w:val="auto"/>
        </w:rPr>
        <w:t>During the fiscal years ended November 1, 2009 and October 28, 2007, the Company recorded tax benefits in the amounts of $1.2 million and $7.4 million, respectively, relating to the resolutions and settlements of U.S. and foreign tax matters that were associated with uncertain tax positions in prior years.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60"/>
          </w:cols>
          <w:pgMar w:left="240" w:top="114"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net deferred income tax asset consists of the following:</w:t>
      </w:r>
    </w:p>
    <w:p>
      <w:pPr>
        <w:sectPr>
          <w:pgSz w:w="11900" w:h="16838" w:orient="portrait"/>
          <w:cols w:equalWidth="0" w:num="1">
            <w:col w:w="11260"/>
          </w:cols>
          <w:pgMar w:left="240" w:top="114" w:right="39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ind w:right="100"/>
              <w:spacing w:after="0"/>
              <w:rPr>
                <w:sz w:val="20"/>
                <w:szCs w:val="20"/>
                <w:color w:val="auto"/>
              </w:rPr>
            </w:pPr>
            <w:r>
              <w:rPr>
                <w:rFonts w:ascii="Arial" w:cs="Arial" w:eastAsia="Arial" w:hAnsi="Arial"/>
                <w:sz w:val="20"/>
                <w:szCs w:val="20"/>
                <w:b w:val="1"/>
                <w:bCs w:val="1"/>
                <w:color w:val="auto"/>
              </w:rPr>
              <w:t>November 2,</w:t>
            </w: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jc w:val="right"/>
              <w:ind w:right="460"/>
              <w:spacing w:after="0"/>
              <w:rPr>
                <w:sz w:val="20"/>
                <w:szCs w:val="20"/>
                <w:color w:val="auto"/>
              </w:rPr>
            </w:pPr>
            <w:r>
              <w:rPr>
                <w:rFonts w:ascii="Arial" w:cs="Arial" w:eastAsia="Arial" w:hAnsi="Arial"/>
                <w:sz w:val="20"/>
                <w:szCs w:val="20"/>
                <w:b w:val="1"/>
                <w:bCs w:val="1"/>
                <w:color w:val="auto"/>
              </w:rPr>
              <w:t>2009</w:t>
            </w:r>
          </w:p>
        </w:tc>
        <w:tc>
          <w:tcPr>
            <w:tcW w:w="1620" w:type="dxa"/>
            <w:vAlign w:val="bottom"/>
            <w:gridSpan w:val="4"/>
          </w:tcPr>
          <w:p>
            <w:pPr>
              <w:jc w:val="right"/>
              <w:ind w:right="440"/>
              <w:spacing w:after="0"/>
              <w:rPr>
                <w:sz w:val="20"/>
                <w:szCs w:val="20"/>
                <w:color w:val="auto"/>
              </w:rPr>
            </w:pPr>
            <w:r>
              <w:rPr>
                <w:rFonts w:ascii="Arial" w:cs="Arial" w:eastAsia="Arial" w:hAnsi="Arial"/>
                <w:sz w:val="20"/>
                <w:szCs w:val="20"/>
                <w:b w:val="1"/>
                <w:bCs w:val="1"/>
                <w:color w:val="auto"/>
              </w:rPr>
              <w:t>2008</w:t>
            </w:r>
          </w:p>
        </w:tc>
        <w:tc>
          <w:tcPr>
            <w:tcW w:w="0" w:type="dxa"/>
            <w:vAlign w:val="bottom"/>
          </w:tcPr>
          <w:p>
            <w:pPr>
              <w:spacing w:after="0"/>
              <w:rPr>
                <w:sz w:val="1"/>
                <w:szCs w:val="1"/>
                <w:color w:val="auto"/>
              </w:rPr>
            </w:pPr>
          </w:p>
        </w:tc>
      </w:tr>
      <w:tr>
        <w:trPr>
          <w:trHeight w:val="90"/>
        </w:trPr>
        <w:tc>
          <w:tcPr>
            <w:tcW w:w="38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Deferred income tax assets</w:t>
            </w:r>
            <w:r>
              <w:rPr>
                <w:rFonts w:ascii="Arial" w:cs="Arial" w:eastAsia="Arial" w:hAnsi="Arial"/>
                <w:sz w:val="20"/>
                <w:szCs w:val="20"/>
                <w:color w:val="auto"/>
              </w:rPr>
              <w:t>:</w:t>
            </w:r>
          </w:p>
        </w:tc>
        <w:tc>
          <w:tcPr>
            <w:tcW w:w="1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8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Reserves not currently deductible</w:t>
            </w:r>
          </w:p>
        </w:tc>
        <w:tc>
          <w:tcPr>
            <w:tcW w:w="1460" w:type="dxa"/>
            <w:vAlign w:val="bottom"/>
          </w:tcPr>
          <w:p>
            <w:pPr>
              <w:jc w:val="right"/>
              <w:spacing w:after="0"/>
              <w:rPr>
                <w:sz w:val="20"/>
                <w:szCs w:val="20"/>
                <w:color w:val="auto"/>
              </w:rPr>
            </w:pPr>
            <w:r>
              <w:rPr>
                <w:rFonts w:ascii="Arial" w:cs="Arial" w:eastAsia="Arial" w:hAnsi="Arial"/>
                <w:sz w:val="20"/>
                <w:szCs w:val="20"/>
                <w:color w:val="auto"/>
              </w:rPr>
              <w:t>$ 6,455</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$4,369</w:t>
            </w:r>
          </w:p>
        </w:tc>
        <w:tc>
          <w:tcPr>
            <w:tcW w:w="0" w:type="dxa"/>
            <w:vAlign w:val="bottom"/>
          </w:tcPr>
          <w:p>
            <w:pPr>
              <w:spacing w:after="0"/>
              <w:rPr>
                <w:sz w:val="1"/>
                <w:szCs w:val="1"/>
                <w:color w:val="auto"/>
              </w:rPr>
            </w:pPr>
          </w:p>
        </w:tc>
      </w:tr>
      <w:tr>
        <w:trPr>
          <w:trHeight w:val="224"/>
        </w:trPr>
        <w:tc>
          <w:tcPr>
            <w:tcW w:w="382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Net operating losses</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65,123</w:t>
            </w:r>
          </w:p>
        </w:tc>
        <w:tc>
          <w:tcPr>
            <w:tcW w:w="162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52,143</w:t>
            </w:r>
          </w:p>
        </w:tc>
        <w:tc>
          <w:tcPr>
            <w:tcW w:w="0" w:type="dxa"/>
            <w:vAlign w:val="bottom"/>
          </w:tcPr>
          <w:p>
            <w:pPr>
              <w:spacing w:after="0"/>
              <w:rPr>
                <w:sz w:val="1"/>
                <w:szCs w:val="1"/>
                <w:color w:val="auto"/>
              </w:rPr>
            </w:pPr>
          </w:p>
        </w:tc>
      </w:tr>
      <w:tr>
        <w:trPr>
          <w:trHeight w:val="224"/>
        </w:trPr>
        <w:tc>
          <w:tcPr>
            <w:tcW w:w="3820" w:type="dxa"/>
            <w:vAlign w:val="bottom"/>
            <w:gridSpan w:val="2"/>
          </w:tcPr>
          <w:p>
            <w:pPr>
              <w:ind w:left="80"/>
              <w:spacing w:after="0" w:line="225" w:lineRule="exact"/>
              <w:rPr>
                <w:sz w:val="20"/>
                <w:szCs w:val="20"/>
                <w:color w:val="auto"/>
              </w:rPr>
            </w:pPr>
            <w:r>
              <w:rPr>
                <w:rFonts w:ascii="Arial" w:cs="Arial" w:eastAsia="Arial" w:hAnsi="Arial"/>
                <w:sz w:val="20"/>
                <w:szCs w:val="20"/>
                <w:color w:val="auto"/>
              </w:rPr>
              <w:t>Alternative minimum tax credits</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2,926</w:t>
            </w:r>
          </w:p>
        </w:tc>
        <w:tc>
          <w:tcPr>
            <w:tcW w:w="162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2,926</w:t>
            </w:r>
          </w:p>
        </w:tc>
        <w:tc>
          <w:tcPr>
            <w:tcW w:w="0" w:type="dxa"/>
            <w:vAlign w:val="bottom"/>
          </w:tcPr>
          <w:p>
            <w:pPr>
              <w:spacing w:after="0"/>
              <w:rPr>
                <w:sz w:val="1"/>
                <w:szCs w:val="1"/>
                <w:color w:val="auto"/>
              </w:rPr>
            </w:pPr>
          </w:p>
        </w:tc>
      </w:tr>
      <w:tr>
        <w:trPr>
          <w:trHeight w:val="224"/>
        </w:trPr>
        <w:tc>
          <w:tcPr>
            <w:tcW w:w="382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Tax credit carryforwards</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4,495</w:t>
            </w:r>
          </w:p>
        </w:tc>
        <w:tc>
          <w:tcPr>
            <w:tcW w:w="162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10,051</w:t>
            </w:r>
          </w:p>
        </w:tc>
        <w:tc>
          <w:tcPr>
            <w:tcW w:w="0" w:type="dxa"/>
            <w:vAlign w:val="bottom"/>
          </w:tcPr>
          <w:p>
            <w:pPr>
              <w:spacing w:after="0"/>
              <w:rPr>
                <w:sz w:val="1"/>
                <w:szCs w:val="1"/>
                <w:color w:val="auto"/>
              </w:rPr>
            </w:pPr>
          </w:p>
        </w:tc>
      </w:tr>
      <w:tr>
        <w:trPr>
          <w:trHeight w:val="254"/>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Other</w:t>
            </w:r>
          </w:p>
        </w:tc>
        <w:tc>
          <w:tcPr>
            <w:tcW w:w="1460" w:type="dxa"/>
            <w:vAlign w:val="bottom"/>
          </w:tcPr>
          <w:p>
            <w:pPr>
              <w:jc w:val="right"/>
              <w:spacing w:after="0"/>
              <w:rPr>
                <w:sz w:val="20"/>
                <w:szCs w:val="20"/>
                <w:color w:val="auto"/>
              </w:rPr>
            </w:pPr>
            <w:r>
              <w:rPr>
                <w:rFonts w:ascii="Arial" w:cs="Arial" w:eastAsia="Arial" w:hAnsi="Arial"/>
                <w:sz w:val="20"/>
                <w:szCs w:val="20"/>
                <w:color w:val="auto"/>
              </w:rPr>
              <w:t>4,531</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4,175</w:t>
            </w:r>
          </w:p>
        </w:tc>
        <w:tc>
          <w:tcPr>
            <w:tcW w:w="0" w:type="dxa"/>
            <w:vAlign w:val="bottom"/>
          </w:tcPr>
          <w:p>
            <w:pPr>
              <w:spacing w:after="0"/>
              <w:rPr>
                <w:sz w:val="1"/>
                <w:szCs w:val="1"/>
                <w:color w:val="auto"/>
              </w:rPr>
            </w:pPr>
          </w:p>
        </w:tc>
      </w:tr>
      <w:tr>
        <w:trPr>
          <w:trHeight w:val="90"/>
        </w:trPr>
        <w:tc>
          <w:tcPr>
            <w:tcW w:w="3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83,530</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73,664</w:t>
            </w:r>
          </w:p>
        </w:tc>
        <w:tc>
          <w:tcPr>
            <w:tcW w:w="0" w:type="dxa"/>
            <w:vAlign w:val="bottom"/>
          </w:tcPr>
          <w:p>
            <w:pPr>
              <w:spacing w:after="0"/>
              <w:rPr>
                <w:sz w:val="1"/>
                <w:szCs w:val="1"/>
                <w:color w:val="auto"/>
              </w:rPr>
            </w:pPr>
          </w:p>
        </w:tc>
      </w:tr>
      <w:tr>
        <w:trPr>
          <w:trHeight w:val="254"/>
        </w:trPr>
        <w:tc>
          <w:tcPr>
            <w:tcW w:w="3820" w:type="dxa"/>
            <w:vAlign w:val="bottom"/>
            <w:gridSpan w:val="2"/>
          </w:tcPr>
          <w:p>
            <w:pPr>
              <w:spacing w:after="0"/>
              <w:rPr>
                <w:sz w:val="20"/>
                <w:szCs w:val="20"/>
                <w:color w:val="auto"/>
              </w:rPr>
            </w:pPr>
            <w:r>
              <w:rPr>
                <w:rFonts w:ascii="Arial" w:cs="Arial" w:eastAsia="Arial" w:hAnsi="Arial"/>
                <w:sz w:val="20"/>
                <w:szCs w:val="20"/>
                <w:color w:val="auto"/>
              </w:rPr>
              <w:t>Valuation allowance</w:t>
            </w:r>
          </w:p>
        </w:tc>
        <w:tc>
          <w:tcPr>
            <w:tcW w:w="1460" w:type="dxa"/>
            <w:vAlign w:val="bottom"/>
          </w:tcPr>
          <w:p>
            <w:pPr>
              <w:jc w:val="right"/>
              <w:spacing w:after="0"/>
              <w:rPr>
                <w:sz w:val="20"/>
                <w:szCs w:val="20"/>
                <w:color w:val="auto"/>
              </w:rPr>
            </w:pPr>
            <w:r>
              <w:rPr>
                <w:rFonts w:ascii="Arial" w:cs="Arial" w:eastAsia="Arial" w:hAnsi="Arial"/>
                <w:sz w:val="20"/>
                <w:szCs w:val="20"/>
                <w:color w:val="auto"/>
              </w:rPr>
              <w:t>(54,734)</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(48,149)</w:t>
            </w:r>
          </w:p>
        </w:tc>
        <w:tc>
          <w:tcPr>
            <w:tcW w:w="0" w:type="dxa"/>
            <w:vAlign w:val="bottom"/>
          </w:tcPr>
          <w:p>
            <w:pPr>
              <w:spacing w:after="0"/>
              <w:rPr>
                <w:sz w:val="1"/>
                <w:szCs w:val="1"/>
                <w:color w:val="auto"/>
              </w:rPr>
            </w:pPr>
          </w:p>
        </w:tc>
      </w:tr>
      <w:tr>
        <w:trPr>
          <w:trHeight w:val="90"/>
        </w:trPr>
        <w:tc>
          <w:tcPr>
            <w:tcW w:w="3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8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Deferred income tax liabilities:</w:t>
            </w:r>
          </w:p>
        </w:tc>
        <w:tc>
          <w:tcPr>
            <w:tcW w:w="1460" w:type="dxa"/>
            <w:vAlign w:val="bottom"/>
          </w:tcPr>
          <w:p>
            <w:pPr>
              <w:jc w:val="right"/>
              <w:spacing w:after="0"/>
              <w:rPr>
                <w:sz w:val="20"/>
                <w:szCs w:val="20"/>
                <w:color w:val="auto"/>
              </w:rPr>
            </w:pPr>
            <w:r>
              <w:rPr>
                <w:rFonts w:ascii="Arial" w:cs="Arial" w:eastAsia="Arial" w:hAnsi="Arial"/>
                <w:sz w:val="20"/>
                <w:szCs w:val="20"/>
                <w:color w:val="auto"/>
              </w:rPr>
              <w:t>28,796</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25,515</w:t>
            </w:r>
          </w:p>
        </w:tc>
        <w:tc>
          <w:tcPr>
            <w:tcW w:w="0" w:type="dxa"/>
            <w:vAlign w:val="bottom"/>
          </w:tcPr>
          <w:p>
            <w:pPr>
              <w:spacing w:after="0"/>
              <w:rPr>
                <w:sz w:val="1"/>
                <w:szCs w:val="1"/>
                <w:color w:val="auto"/>
              </w:rPr>
            </w:pPr>
          </w:p>
        </w:tc>
      </w:tr>
      <w:tr>
        <w:trPr>
          <w:trHeight w:val="224"/>
        </w:trPr>
        <w:tc>
          <w:tcPr>
            <w:tcW w:w="382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Property, plant and equipment</w:t>
            </w:r>
          </w:p>
        </w:tc>
        <w:tc>
          <w:tcPr>
            <w:tcW w:w="1460" w:type="dxa"/>
            <w:vAlign w:val="bottom"/>
          </w:tcPr>
          <w:p>
            <w:pPr>
              <w:jc w:val="right"/>
              <w:spacing w:after="0"/>
              <w:rPr>
                <w:sz w:val="20"/>
                <w:szCs w:val="20"/>
                <w:color w:val="auto"/>
              </w:rPr>
            </w:pPr>
            <w:r>
              <w:rPr>
                <w:rFonts w:ascii="Arial" w:cs="Arial" w:eastAsia="Arial" w:hAnsi="Arial"/>
                <w:sz w:val="20"/>
                <w:szCs w:val="20"/>
                <w:color w:val="auto"/>
              </w:rPr>
              <w:t>(16,169)</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(15,921)</w:t>
            </w:r>
          </w:p>
        </w:tc>
        <w:tc>
          <w:tcPr>
            <w:tcW w:w="0" w:type="dxa"/>
            <w:vAlign w:val="bottom"/>
          </w:tcPr>
          <w:p>
            <w:pPr>
              <w:spacing w:after="0"/>
              <w:rPr>
                <w:sz w:val="1"/>
                <w:szCs w:val="1"/>
                <w:color w:val="auto"/>
              </w:rPr>
            </w:pPr>
          </w:p>
        </w:tc>
      </w:tr>
      <w:tr>
        <w:trPr>
          <w:trHeight w:val="224"/>
        </w:trPr>
        <w:tc>
          <w:tcPr>
            <w:tcW w:w="382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Investments and other</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(1,139)</w:t>
            </w:r>
          </w:p>
        </w:tc>
        <w:tc>
          <w:tcPr>
            <w:tcW w:w="162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(1,139)</w:t>
            </w:r>
          </w:p>
        </w:tc>
        <w:tc>
          <w:tcPr>
            <w:tcW w:w="0" w:type="dxa"/>
            <w:vAlign w:val="bottom"/>
          </w:tcPr>
          <w:p>
            <w:pPr>
              <w:spacing w:after="0"/>
              <w:rPr>
                <w:sz w:val="1"/>
                <w:szCs w:val="1"/>
                <w:color w:val="auto"/>
              </w:rPr>
            </w:pPr>
          </w:p>
        </w:tc>
      </w:tr>
      <w:tr>
        <w:trPr>
          <w:trHeight w:val="254"/>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Other</w:t>
            </w:r>
          </w:p>
        </w:tc>
        <w:tc>
          <w:tcPr>
            <w:tcW w:w="1460" w:type="dxa"/>
            <w:vAlign w:val="bottom"/>
          </w:tcPr>
          <w:p>
            <w:pPr>
              <w:jc w:val="right"/>
              <w:spacing w:after="0"/>
              <w:rPr>
                <w:sz w:val="20"/>
                <w:szCs w:val="20"/>
                <w:color w:val="auto"/>
              </w:rPr>
            </w:pPr>
            <w:r>
              <w:rPr>
                <w:rFonts w:ascii="Arial" w:cs="Arial" w:eastAsia="Arial" w:hAnsi="Arial"/>
                <w:sz w:val="20"/>
                <w:szCs w:val="20"/>
                <w:color w:val="auto"/>
              </w:rPr>
              <w:t>(824)</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(1,307)</w:t>
            </w:r>
          </w:p>
        </w:tc>
        <w:tc>
          <w:tcPr>
            <w:tcW w:w="0" w:type="dxa"/>
            <w:vAlign w:val="bottom"/>
          </w:tcPr>
          <w:p>
            <w:pPr>
              <w:spacing w:after="0"/>
              <w:rPr>
                <w:sz w:val="1"/>
                <w:szCs w:val="1"/>
                <w:color w:val="auto"/>
              </w:rPr>
            </w:pPr>
          </w:p>
        </w:tc>
      </w:tr>
      <w:tr>
        <w:trPr>
          <w:trHeight w:val="90"/>
        </w:trPr>
        <w:tc>
          <w:tcPr>
            <w:tcW w:w="3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(18,132)</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(18,367)</w:t>
            </w:r>
          </w:p>
        </w:tc>
        <w:tc>
          <w:tcPr>
            <w:tcW w:w="0" w:type="dxa"/>
            <w:vAlign w:val="bottom"/>
          </w:tcPr>
          <w:p>
            <w:pPr>
              <w:spacing w:after="0"/>
              <w:rPr>
                <w:sz w:val="1"/>
                <w:szCs w:val="1"/>
                <w:color w:val="auto"/>
              </w:rPr>
            </w:pPr>
          </w:p>
        </w:tc>
      </w:tr>
      <w:tr>
        <w:trPr>
          <w:trHeight w:val="90"/>
        </w:trPr>
        <w:tc>
          <w:tcPr>
            <w:tcW w:w="38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deferred income tax asset</w:t>
            </w:r>
          </w:p>
        </w:tc>
        <w:tc>
          <w:tcPr>
            <w:tcW w:w="14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820" w:type="dxa"/>
            <w:vAlign w:val="bottom"/>
            <w:gridSpan w:val="2"/>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$10,664</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$7,148</w:t>
            </w:r>
          </w:p>
        </w:tc>
        <w:tc>
          <w:tcPr>
            <w:tcW w:w="0" w:type="dxa"/>
            <w:vAlign w:val="bottom"/>
          </w:tcPr>
          <w:p>
            <w:pPr>
              <w:spacing w:after="0"/>
              <w:rPr>
                <w:sz w:val="1"/>
                <w:szCs w:val="1"/>
                <w:color w:val="auto"/>
              </w:rPr>
            </w:pPr>
          </w:p>
        </w:tc>
      </w:tr>
      <w:tr>
        <w:trPr>
          <w:trHeight w:val="111"/>
        </w:trPr>
        <w:tc>
          <w:tcPr>
            <w:tcW w:w="38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6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20"/>
                <w:szCs w:val="20"/>
                <w:b w:val="1"/>
                <w:bCs w:val="1"/>
                <w:color w:val="auto"/>
              </w:rPr>
              <w:t>Reported as: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Current deferred tax assets</w:t>
            </w:r>
          </w:p>
        </w:tc>
        <w:tc>
          <w:tcPr>
            <w:tcW w:w="1460" w:type="dxa"/>
            <w:vAlign w:val="bottom"/>
          </w:tcPr>
          <w:p>
            <w:pPr>
              <w:jc w:val="right"/>
              <w:spacing w:after="0"/>
              <w:rPr>
                <w:sz w:val="20"/>
                <w:szCs w:val="20"/>
                <w:color w:val="auto"/>
              </w:rPr>
            </w:pPr>
            <w:r>
              <w:rPr>
                <w:rFonts w:ascii="Arial" w:cs="Arial" w:eastAsia="Arial" w:hAnsi="Arial"/>
                <w:sz w:val="20"/>
                <w:szCs w:val="20"/>
                <w:color w:val="auto"/>
              </w:rPr>
              <w:t>$ 3,264</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$2,843</w:t>
            </w:r>
          </w:p>
        </w:tc>
        <w:tc>
          <w:tcPr>
            <w:tcW w:w="0" w:type="dxa"/>
            <w:vAlign w:val="bottom"/>
          </w:tcPr>
          <w:p>
            <w:pPr>
              <w:spacing w:after="0"/>
              <w:rPr>
                <w:sz w:val="1"/>
                <w:szCs w:val="1"/>
                <w:color w:val="auto"/>
              </w:rPr>
            </w:pPr>
          </w:p>
        </w:tc>
      </w:tr>
      <w:tr>
        <w:trPr>
          <w:trHeight w:val="224"/>
        </w:trPr>
        <w:tc>
          <w:tcPr>
            <w:tcW w:w="3820" w:type="dxa"/>
            <w:vAlign w:val="bottom"/>
            <w:gridSpan w:val="2"/>
          </w:tcPr>
          <w:p>
            <w:pPr>
              <w:ind w:left="100"/>
              <w:spacing w:after="0" w:line="225" w:lineRule="exact"/>
              <w:rPr>
                <w:sz w:val="20"/>
                <w:szCs w:val="20"/>
                <w:color w:val="auto"/>
              </w:rPr>
            </w:pPr>
            <w:r>
              <w:rPr>
                <w:rFonts w:ascii="Arial" w:cs="Arial" w:eastAsia="Arial" w:hAnsi="Arial"/>
                <w:sz w:val="20"/>
                <w:szCs w:val="20"/>
                <w:color w:val="auto"/>
              </w:rPr>
              <w:t>Long-term deferred tax assets</w:t>
            </w:r>
          </w:p>
        </w:tc>
        <w:tc>
          <w:tcPr>
            <w:tcW w:w="1460" w:type="dxa"/>
            <w:vAlign w:val="bottom"/>
          </w:tcPr>
          <w:p>
            <w:pPr>
              <w:jc w:val="right"/>
              <w:spacing w:after="0" w:line="225" w:lineRule="exact"/>
              <w:rPr>
                <w:sz w:val="20"/>
                <w:szCs w:val="20"/>
                <w:color w:val="auto"/>
              </w:rPr>
            </w:pPr>
            <w:r>
              <w:rPr>
                <w:rFonts w:ascii="Arial" w:cs="Arial" w:eastAsia="Arial" w:hAnsi="Arial"/>
                <w:sz w:val="20"/>
                <w:szCs w:val="20"/>
                <w:color w:val="auto"/>
              </w:rPr>
              <w:t>8,887</w:t>
            </w:r>
          </w:p>
        </w:tc>
        <w:tc>
          <w:tcPr>
            <w:tcW w:w="1620" w:type="dxa"/>
            <w:vAlign w:val="bottom"/>
            <w:gridSpan w:val="4"/>
          </w:tcPr>
          <w:p>
            <w:pPr>
              <w:jc w:val="right"/>
              <w:spacing w:after="0" w:line="225" w:lineRule="exact"/>
              <w:rPr>
                <w:sz w:val="20"/>
                <w:szCs w:val="20"/>
                <w:color w:val="auto"/>
              </w:rPr>
            </w:pPr>
            <w:r>
              <w:rPr>
                <w:rFonts w:ascii="Arial" w:cs="Arial" w:eastAsia="Arial" w:hAnsi="Arial"/>
                <w:sz w:val="20"/>
                <w:szCs w:val="20"/>
                <w:color w:val="auto"/>
              </w:rPr>
              <w:t>6,118</w:t>
            </w:r>
          </w:p>
        </w:tc>
        <w:tc>
          <w:tcPr>
            <w:tcW w:w="0" w:type="dxa"/>
            <w:vAlign w:val="bottom"/>
          </w:tcPr>
          <w:p>
            <w:pPr>
              <w:spacing w:after="0"/>
              <w:rPr>
                <w:sz w:val="1"/>
                <w:szCs w:val="1"/>
                <w:color w:val="auto"/>
              </w:rPr>
            </w:pPr>
          </w:p>
        </w:tc>
      </w:tr>
      <w:tr>
        <w:trPr>
          <w:trHeight w:val="254"/>
        </w:trPr>
        <w:tc>
          <w:tcPr>
            <w:tcW w:w="3820" w:type="dxa"/>
            <w:vAlign w:val="bottom"/>
            <w:gridSpan w:val="2"/>
          </w:tcPr>
          <w:p>
            <w:pPr>
              <w:ind w:left="100"/>
              <w:spacing w:after="0"/>
              <w:rPr>
                <w:sz w:val="20"/>
                <w:szCs w:val="20"/>
                <w:color w:val="auto"/>
              </w:rPr>
            </w:pPr>
            <w:r>
              <w:rPr>
                <w:rFonts w:ascii="Arial" w:cs="Arial" w:eastAsia="Arial" w:hAnsi="Arial"/>
                <w:sz w:val="20"/>
                <w:szCs w:val="20"/>
                <w:color w:val="auto"/>
              </w:rPr>
              <w:t>Long-term deferred tax liabilities</w:t>
            </w:r>
          </w:p>
        </w:tc>
        <w:tc>
          <w:tcPr>
            <w:tcW w:w="1460" w:type="dxa"/>
            <w:vAlign w:val="bottom"/>
          </w:tcPr>
          <w:p>
            <w:pPr>
              <w:jc w:val="right"/>
              <w:spacing w:after="0"/>
              <w:rPr>
                <w:sz w:val="20"/>
                <w:szCs w:val="20"/>
                <w:color w:val="auto"/>
              </w:rPr>
            </w:pPr>
            <w:r>
              <w:rPr>
                <w:rFonts w:ascii="Arial" w:cs="Arial" w:eastAsia="Arial" w:hAnsi="Arial"/>
                <w:sz w:val="20"/>
                <w:szCs w:val="20"/>
                <w:color w:val="auto"/>
              </w:rPr>
              <w:t>(1,487)</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(1,813)</w:t>
            </w:r>
          </w:p>
        </w:tc>
        <w:tc>
          <w:tcPr>
            <w:tcW w:w="0" w:type="dxa"/>
            <w:vAlign w:val="bottom"/>
          </w:tcPr>
          <w:p>
            <w:pPr>
              <w:spacing w:after="0"/>
              <w:rPr>
                <w:sz w:val="1"/>
                <w:szCs w:val="1"/>
                <w:color w:val="auto"/>
              </w:rPr>
            </w:pPr>
          </w:p>
        </w:tc>
      </w:tr>
      <w:tr>
        <w:trPr>
          <w:trHeight w:val="90"/>
        </w:trPr>
        <w:tc>
          <w:tcPr>
            <w:tcW w:w="3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160" w:type="dxa"/>
            <w:vAlign w:val="bottom"/>
            <w:gridSpan w:val="3"/>
          </w:tcPr>
          <w:p>
            <w:pPr>
              <w:spacing w:after="0"/>
              <w:rPr>
                <w:sz w:val="7"/>
                <w:szCs w:val="7"/>
                <w:color w:val="auto"/>
              </w:rPr>
            </w:pPr>
          </w:p>
        </w:tc>
        <w:tc>
          <w:tcPr>
            <w:tcW w:w="146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$10,664</w:t>
            </w:r>
          </w:p>
        </w:tc>
        <w:tc>
          <w:tcPr>
            <w:tcW w:w="1620" w:type="dxa"/>
            <w:vAlign w:val="bottom"/>
            <w:gridSpan w:val="4"/>
          </w:tcPr>
          <w:p>
            <w:pPr>
              <w:jc w:val="right"/>
              <w:spacing w:after="0"/>
              <w:rPr>
                <w:sz w:val="20"/>
                <w:szCs w:val="20"/>
                <w:color w:val="auto"/>
              </w:rPr>
            </w:pPr>
            <w:r>
              <w:rPr>
                <w:rFonts w:ascii="Arial" w:cs="Arial" w:eastAsia="Arial" w:hAnsi="Arial"/>
                <w:sz w:val="20"/>
                <w:szCs w:val="20"/>
                <w:color w:val="auto"/>
              </w:rPr>
              <w:t>$7,148</w:t>
            </w:r>
          </w:p>
        </w:tc>
        <w:tc>
          <w:tcPr>
            <w:tcW w:w="0" w:type="dxa"/>
            <w:vAlign w:val="bottom"/>
          </w:tcPr>
          <w:p>
            <w:pPr>
              <w:spacing w:after="0"/>
              <w:rPr>
                <w:sz w:val="1"/>
                <w:szCs w:val="1"/>
                <w:color w:val="auto"/>
              </w:rPr>
            </w:pPr>
          </w:p>
        </w:tc>
      </w:tr>
      <w:tr>
        <w:trPr>
          <w:trHeight w:val="111"/>
        </w:trPr>
        <w:tc>
          <w:tcPr>
            <w:tcW w:w="380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46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-1175385</wp:posOffset>
            </wp:positionV>
            <wp:extent cx="12700" cy="285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-1175385</wp:posOffset>
            </wp:positionV>
            <wp:extent cx="12700" cy="285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-1175385</wp:posOffset>
            </wp:positionV>
            <wp:extent cx="12700" cy="285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-1175385</wp:posOffset>
            </wp:positionV>
            <wp:extent cx="12700" cy="285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-27940</wp:posOffset>
            </wp:positionV>
            <wp:extent cx="12700" cy="285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-27940</wp:posOffset>
            </wp:positionV>
            <wp:extent cx="12700" cy="285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-27940</wp:posOffset>
            </wp:positionV>
            <wp:extent cx="12700" cy="285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-27940</wp:posOffset>
            </wp:positionV>
            <wp:extent cx="12700" cy="285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9"/>
        <w:spacing w:after="0" w:line="263" w:lineRule="auto"/>
        <w:rPr>
          <w:sz w:val="20"/>
          <w:szCs w:val="20"/>
          <w:color w:val="auto"/>
        </w:rPr>
      </w:pPr>
      <w:r>
        <w:rPr>
          <w:rFonts w:ascii="Arial" w:cs="Arial" w:eastAsia="Arial" w:hAnsi="Arial"/>
          <w:sz w:val="18"/>
          <w:szCs w:val="18"/>
          <w:color w:val="auto"/>
        </w:rPr>
        <w:t>On July 13, 2006, the FASB issued FASB Interpretation Number 48 (FIN 48), "Accounting for Uncertainty in Income Taxes - an Interpretation of FASB Statement No. 109" (SFAS 109) (primarily codified under ASC 740). The interpretation contains a two-step approach to recognizing and measuring uncertain tax positions accounted for under ACS 740. The Company adopted this guidance as of the beginning of its 2008 fiscal year. The total amount of the liability accrued for unrecognized tax benefits as of the adoption date was approximately $3.9 million, which includes interest and penalties. As compared to the Company's historical approach, the application of this guidance resulted in a net increase to accrued income taxes payable of approximately $1.0 million (including interest and penalties of approximately $0.2 million), and a decrease to retained earnings of the same amount. In addition, the majority of the liability for unrecognized tax benefits was reclassified from accrued income taxes to other long-term liabilities on the Company's consolidated balance sheet. As of the date of adoption of this guidance the Company has elected to include any applicable interest and penalties related to uncertain tax positions in its income tax provision in its consolidated statements of operations. The gross unrecognized tax benefits for income taxes associated with uncertain tax positions totaled approximately $2.0 million (including interest and penalties of $0.4 million) and $3.1 million (including interest and penalties of $1.1 million) at November 1, 2009 and November 2, 2008, respectively. If recognized, the benefits would favorably affect the Company's effective tax rate in future periods. As of November 1, 2009, the Company believes it is not reasonably possible that the total amounts of unrecognized benefits will significantly increase or decrease in the next twelve months. Currently, the statutes of limitations remain open subsequent to and including 2006 in the U.S., 2007 in the U.K., 2008 in Germany and 2005 in Korea.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 reconciliation of the beginning and ending amount of unrecognized tax benefits, excluding interest and penalties,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120" w:type="dxa"/>
            <w:vAlign w:val="bottom"/>
          </w:tcPr>
          <w:p>
            <w:pPr>
              <w:spacing w:after="0"/>
              <w:rPr>
                <w:sz w:val="22"/>
                <w:szCs w:val="22"/>
                <w:color w:val="auto"/>
              </w:rPr>
            </w:pPr>
          </w:p>
        </w:tc>
        <w:tc>
          <w:tcPr>
            <w:tcW w:w="2480" w:type="dxa"/>
            <w:vAlign w:val="bottom"/>
            <w:gridSpan w:val="3"/>
          </w:tcPr>
          <w:p>
            <w:pPr>
              <w:jc w:val="right"/>
              <w:ind w:right="660"/>
              <w:spacing w:after="0"/>
              <w:rPr>
                <w:sz w:val="20"/>
                <w:szCs w:val="20"/>
                <w:color w:val="auto"/>
              </w:rPr>
            </w:pPr>
            <w:r>
              <w:rPr>
                <w:rFonts w:ascii="Arial" w:cs="Arial" w:eastAsia="Arial" w:hAnsi="Arial"/>
                <w:sz w:val="20"/>
                <w:szCs w:val="20"/>
                <w:b w:val="1"/>
                <w:bCs w:val="1"/>
                <w:color w:val="auto"/>
              </w:rPr>
              <w:t>Year Ended</w:t>
            </w:r>
          </w:p>
        </w:tc>
      </w:tr>
      <w:tr>
        <w:trPr>
          <w:trHeight w:val="90"/>
        </w:trPr>
        <w:tc>
          <w:tcPr>
            <w:tcW w:w="41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304"/>
        </w:trPr>
        <w:tc>
          <w:tcPr>
            <w:tcW w:w="4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w w:val="93"/>
              </w:rPr>
              <w:t>November 1,</w:t>
            </w: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w w:val="94"/>
              </w:rPr>
              <w:t>November 2,</w:t>
            </w:r>
          </w:p>
        </w:tc>
      </w:tr>
      <w:tr>
        <w:trPr>
          <w:trHeight w:val="260"/>
        </w:trPr>
        <w:tc>
          <w:tcPr>
            <w:tcW w:w="4120" w:type="dxa"/>
            <w:vAlign w:val="bottom"/>
          </w:tcPr>
          <w:p>
            <w:pPr>
              <w:spacing w:after="0"/>
              <w:rPr>
                <w:sz w:val="22"/>
                <w:szCs w:val="22"/>
                <w:color w:val="auto"/>
              </w:rPr>
            </w:pPr>
          </w:p>
        </w:tc>
        <w:tc>
          <w:tcPr>
            <w:tcW w:w="1220" w:type="dxa"/>
            <w:vAlign w:val="bottom"/>
          </w:tcPr>
          <w:p>
            <w:pPr>
              <w:jc w:val="right"/>
              <w:ind w:right="320"/>
              <w:spacing w:after="0"/>
              <w:rPr>
                <w:sz w:val="20"/>
                <w:szCs w:val="20"/>
                <w:color w:val="auto"/>
              </w:rPr>
            </w:pPr>
            <w:r>
              <w:rPr>
                <w:rFonts w:ascii="Arial" w:cs="Arial" w:eastAsia="Arial" w:hAnsi="Arial"/>
                <w:sz w:val="20"/>
                <w:szCs w:val="20"/>
                <w:b w:val="1"/>
                <w:bCs w:val="1"/>
                <w:color w:val="auto"/>
              </w:rPr>
              <w:t>2009</w:t>
            </w:r>
          </w:p>
        </w:tc>
        <w:tc>
          <w:tcPr>
            <w:tcW w:w="126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2008</w:t>
            </w:r>
          </w:p>
        </w:tc>
      </w:tr>
      <w:tr>
        <w:trPr>
          <w:trHeight w:val="90"/>
        </w:trPr>
        <w:tc>
          <w:tcPr>
            <w:tcW w:w="41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r>
        <w:trPr>
          <w:trHeight w:val="339"/>
        </w:trPr>
        <w:tc>
          <w:tcPr>
            <w:tcW w:w="4120" w:type="dxa"/>
            <w:vAlign w:val="bottom"/>
          </w:tcPr>
          <w:p>
            <w:pPr>
              <w:spacing w:after="0"/>
              <w:rPr>
                <w:sz w:val="20"/>
                <w:szCs w:val="20"/>
                <w:color w:val="auto"/>
              </w:rPr>
            </w:pPr>
            <w:r>
              <w:rPr>
                <w:rFonts w:ascii="Arial" w:cs="Arial" w:eastAsia="Arial" w:hAnsi="Arial"/>
                <w:sz w:val="20"/>
                <w:szCs w:val="20"/>
                <w:color w:val="auto"/>
              </w:rPr>
              <w:t>Balance at beginning of year</w:t>
            </w:r>
          </w:p>
        </w:tc>
        <w:tc>
          <w:tcPr>
            <w:tcW w:w="1220" w:type="dxa"/>
            <w:vAlign w:val="bottom"/>
          </w:tcPr>
          <w:p>
            <w:pPr>
              <w:jc w:val="right"/>
              <w:spacing w:after="0"/>
              <w:rPr>
                <w:sz w:val="20"/>
                <w:szCs w:val="20"/>
                <w:color w:val="auto"/>
              </w:rPr>
            </w:pPr>
            <w:r>
              <w:rPr>
                <w:rFonts w:ascii="Arial" w:cs="Arial" w:eastAsia="Arial" w:hAnsi="Arial"/>
                <w:sz w:val="20"/>
                <w:szCs w:val="20"/>
                <w:color w:val="auto"/>
              </w:rPr>
              <w:t>$1,988</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$2,280</w:t>
            </w:r>
          </w:p>
        </w:tc>
      </w:tr>
      <w:tr>
        <w:trPr>
          <w:trHeight w:val="449"/>
        </w:trPr>
        <w:tc>
          <w:tcPr>
            <w:tcW w:w="4120" w:type="dxa"/>
            <w:vAlign w:val="bottom"/>
          </w:tcPr>
          <w:p>
            <w:pPr>
              <w:spacing w:after="0"/>
              <w:rPr>
                <w:sz w:val="20"/>
                <w:szCs w:val="20"/>
                <w:color w:val="auto"/>
              </w:rPr>
            </w:pPr>
            <w:r>
              <w:rPr>
                <w:rFonts w:ascii="Arial" w:cs="Arial" w:eastAsia="Arial" w:hAnsi="Arial"/>
                <w:sz w:val="20"/>
                <w:szCs w:val="20"/>
                <w:color w:val="auto"/>
              </w:rPr>
              <w:t>Decreases for tax positions in prior years</w:t>
            </w: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(301)</w:t>
            </w:r>
          </w:p>
        </w:tc>
      </w:tr>
      <w:tr>
        <w:trPr>
          <w:trHeight w:val="449"/>
        </w:trPr>
        <w:tc>
          <w:tcPr>
            <w:tcW w:w="4120" w:type="dxa"/>
            <w:vAlign w:val="bottom"/>
          </w:tcPr>
          <w:p>
            <w:pPr>
              <w:spacing w:after="0"/>
              <w:rPr>
                <w:sz w:val="20"/>
                <w:szCs w:val="20"/>
                <w:color w:val="auto"/>
              </w:rPr>
            </w:pPr>
            <w:r>
              <w:rPr>
                <w:rFonts w:ascii="Arial" w:cs="Arial" w:eastAsia="Arial" w:hAnsi="Arial"/>
                <w:sz w:val="20"/>
                <w:szCs w:val="20"/>
                <w:color w:val="auto"/>
              </w:rPr>
              <w:t>Additions based on current year tax positions</w:t>
            </w:r>
          </w:p>
        </w:tc>
        <w:tc>
          <w:tcPr>
            <w:tcW w:w="1220" w:type="dxa"/>
            <w:vAlign w:val="bottom"/>
          </w:tcPr>
          <w:p>
            <w:pPr>
              <w:jc w:val="right"/>
              <w:spacing w:after="0"/>
              <w:rPr>
                <w:sz w:val="20"/>
                <w:szCs w:val="20"/>
                <w:color w:val="auto"/>
              </w:rPr>
            </w:pPr>
            <w:r>
              <w:rPr>
                <w:rFonts w:ascii="Arial" w:cs="Arial" w:eastAsia="Arial" w:hAnsi="Arial"/>
                <w:sz w:val="20"/>
                <w:szCs w:val="20"/>
                <w:color w:val="auto"/>
              </w:rPr>
              <w:t>377</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294</w:t>
            </w:r>
          </w:p>
        </w:tc>
      </w:tr>
      <w:tr>
        <w:trPr>
          <w:trHeight w:val="449"/>
        </w:trPr>
        <w:tc>
          <w:tcPr>
            <w:tcW w:w="4120" w:type="dxa"/>
            <w:vAlign w:val="bottom"/>
          </w:tcPr>
          <w:p>
            <w:pPr>
              <w:spacing w:after="0"/>
              <w:rPr>
                <w:sz w:val="20"/>
                <w:szCs w:val="20"/>
                <w:color w:val="auto"/>
              </w:rPr>
            </w:pPr>
            <w:r>
              <w:rPr>
                <w:rFonts w:ascii="Arial" w:cs="Arial" w:eastAsia="Arial" w:hAnsi="Arial"/>
                <w:sz w:val="20"/>
                <w:szCs w:val="20"/>
                <w:color w:val="auto"/>
              </w:rPr>
              <w:t>Settlements</w:t>
            </w:r>
          </w:p>
        </w:tc>
        <w:tc>
          <w:tcPr>
            <w:tcW w:w="1220" w:type="dxa"/>
            <w:vAlign w:val="bottom"/>
          </w:tcPr>
          <w:p>
            <w:pPr>
              <w:jc w:val="right"/>
              <w:spacing w:after="0"/>
              <w:rPr>
                <w:sz w:val="20"/>
                <w:szCs w:val="20"/>
                <w:color w:val="auto"/>
              </w:rPr>
            </w:pPr>
            <w:r>
              <w:rPr>
                <w:rFonts w:ascii="Arial" w:cs="Arial" w:eastAsia="Arial" w:hAnsi="Arial"/>
                <w:sz w:val="20"/>
                <w:szCs w:val="20"/>
                <w:color w:val="auto"/>
              </w:rPr>
              <w:t>(685)</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(194)</w:t>
            </w:r>
          </w:p>
        </w:tc>
      </w:tr>
      <w:tr>
        <w:trPr>
          <w:trHeight w:val="449"/>
        </w:trPr>
        <w:tc>
          <w:tcPr>
            <w:tcW w:w="4120" w:type="dxa"/>
            <w:vAlign w:val="bottom"/>
          </w:tcPr>
          <w:p>
            <w:pPr>
              <w:spacing w:after="0"/>
              <w:rPr>
                <w:sz w:val="20"/>
                <w:szCs w:val="20"/>
                <w:color w:val="auto"/>
              </w:rPr>
            </w:pPr>
            <w:r>
              <w:rPr>
                <w:rFonts w:ascii="Arial" w:cs="Arial" w:eastAsia="Arial" w:hAnsi="Arial"/>
                <w:sz w:val="20"/>
                <w:szCs w:val="20"/>
                <w:color w:val="auto"/>
              </w:rPr>
              <w:t>Lapse of statutes of limitations</w:t>
            </w:r>
          </w:p>
        </w:tc>
        <w:tc>
          <w:tcPr>
            <w:tcW w:w="1220" w:type="dxa"/>
            <w:vAlign w:val="bottom"/>
          </w:tcPr>
          <w:p>
            <w:pPr>
              <w:jc w:val="right"/>
              <w:spacing w:after="0"/>
              <w:rPr>
                <w:sz w:val="20"/>
                <w:szCs w:val="20"/>
                <w:color w:val="auto"/>
              </w:rPr>
            </w:pPr>
            <w:r>
              <w:rPr>
                <w:rFonts w:ascii="Arial" w:cs="Arial" w:eastAsia="Arial" w:hAnsi="Arial"/>
                <w:sz w:val="20"/>
                <w:szCs w:val="20"/>
                <w:color w:val="auto"/>
              </w:rPr>
              <w:t>(107)</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(91)</w:t>
            </w:r>
          </w:p>
        </w:tc>
      </w:tr>
      <w:tr>
        <w:trPr>
          <w:trHeight w:val="90"/>
        </w:trPr>
        <w:tc>
          <w:tcPr>
            <w:tcW w:w="4120" w:type="dxa"/>
            <w:vAlign w:val="bottom"/>
          </w:tcPr>
          <w:p>
            <w:pPr>
              <w:spacing w:after="0"/>
              <w:rPr>
                <w:sz w:val="7"/>
                <w:szCs w:val="7"/>
                <w:color w:val="auto"/>
              </w:rPr>
            </w:pPr>
          </w:p>
        </w:tc>
        <w:tc>
          <w:tcPr>
            <w:tcW w:w="122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336699"/>
            </w:tcBorders>
          </w:tcPr>
          <w:p>
            <w:pPr>
              <w:spacing w:after="0"/>
              <w:rPr>
                <w:sz w:val="7"/>
                <w:szCs w:val="7"/>
                <w:color w:val="auto"/>
              </w:rPr>
            </w:pPr>
          </w:p>
        </w:tc>
      </w:tr>
    </w:tbl>
    <w:p>
      <w:pPr>
        <w:sectPr>
          <w:pgSz w:w="11900" w:h="16838" w:orient="portrait"/>
          <w:cols w:equalWidth="0" w:num="1">
            <w:col w:w="11400"/>
          </w:cols>
          <w:pgMar w:left="240" w:top="109" w:right="25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100" w:type="dxa"/>
            <w:vAlign w:val="bottom"/>
          </w:tcPr>
          <w:p>
            <w:pPr>
              <w:spacing w:after="0"/>
              <w:rPr>
                <w:sz w:val="20"/>
                <w:szCs w:val="20"/>
                <w:color w:val="auto"/>
              </w:rPr>
            </w:pPr>
            <w:r>
              <w:rPr>
                <w:rFonts w:ascii="Arial" w:cs="Arial" w:eastAsia="Arial" w:hAnsi="Arial"/>
                <w:sz w:val="20"/>
                <w:szCs w:val="20"/>
                <w:color w:val="auto"/>
              </w:rPr>
              <w:t>Balance at end of year</w:t>
            </w:r>
          </w:p>
        </w:tc>
        <w:tc>
          <w:tcPr>
            <w:tcW w:w="1240" w:type="dxa"/>
            <w:vAlign w:val="bottom"/>
          </w:tcPr>
          <w:p>
            <w:pPr>
              <w:jc w:val="right"/>
              <w:spacing w:after="0"/>
              <w:rPr>
                <w:sz w:val="20"/>
                <w:szCs w:val="20"/>
                <w:color w:val="auto"/>
              </w:rPr>
            </w:pPr>
            <w:r>
              <w:rPr>
                <w:rFonts w:ascii="Arial" w:cs="Arial" w:eastAsia="Arial" w:hAnsi="Arial"/>
                <w:sz w:val="20"/>
                <w:szCs w:val="20"/>
                <w:color w:val="auto"/>
              </w:rPr>
              <w:t>$1,573</w:t>
            </w:r>
          </w:p>
        </w:tc>
        <w:tc>
          <w:tcPr>
            <w:tcW w:w="1260" w:type="dxa"/>
            <w:vAlign w:val="bottom"/>
            <w:gridSpan w:val="2"/>
          </w:tcPr>
          <w:p>
            <w:pPr>
              <w:jc w:val="right"/>
              <w:ind w:right="60"/>
              <w:spacing w:after="0"/>
              <w:rPr>
                <w:sz w:val="20"/>
                <w:szCs w:val="20"/>
                <w:color w:val="auto"/>
              </w:rPr>
            </w:pPr>
            <w:r>
              <w:rPr>
                <w:rFonts w:ascii="Arial" w:cs="Arial" w:eastAsia="Arial" w:hAnsi="Arial"/>
                <w:sz w:val="20"/>
                <w:szCs w:val="20"/>
                <w:color w:val="auto"/>
              </w:rPr>
              <w:t>$1,988</w:t>
            </w:r>
          </w:p>
        </w:tc>
      </w:tr>
      <w:tr>
        <w:trPr>
          <w:trHeight w:val="111"/>
        </w:trPr>
        <w:tc>
          <w:tcPr>
            <w:tcW w:w="4100" w:type="dxa"/>
            <w:vAlign w:val="bottom"/>
          </w:tcPr>
          <w:p>
            <w:pPr>
              <w:spacing w:after="0"/>
              <w:rPr>
                <w:sz w:val="9"/>
                <w:szCs w:val="9"/>
                <w:color w:val="auto"/>
              </w:rPr>
            </w:pPr>
          </w:p>
        </w:tc>
        <w:tc>
          <w:tcPr>
            <w:tcW w:w="1240" w:type="dxa"/>
            <w:vAlign w:val="bottom"/>
            <w:tcBorders>
              <w:bottom w:val="single" w:sz="8" w:color="336699"/>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-27940</wp:posOffset>
            </wp:positionV>
            <wp:extent cx="12700" cy="285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-27940</wp:posOffset>
            </wp:positionV>
            <wp:extent cx="12700" cy="28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-27940</wp:posOffset>
            </wp:positionV>
            <wp:extent cx="12700" cy="28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-27940</wp:posOffset>
            </wp:positionV>
            <wp:extent cx="12700" cy="285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firstLine="238"/>
        <w:spacing w:after="0" w:line="258" w:lineRule="auto"/>
        <w:rPr>
          <w:sz w:val="20"/>
          <w:szCs w:val="20"/>
          <w:color w:val="auto"/>
        </w:rPr>
      </w:pPr>
      <w:r>
        <w:rPr>
          <w:rFonts w:ascii="Arial" w:cs="Arial" w:eastAsia="Arial" w:hAnsi="Arial"/>
          <w:sz w:val="20"/>
          <w:szCs w:val="20"/>
          <w:color w:val="auto"/>
        </w:rPr>
        <w:t>As of November 1, 2009 the Company had available U.S. Federal tax operating loss and tax credit carryforwards subject to expiration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center"/>
              <w:spacing w:after="0"/>
              <w:rPr>
                <w:sz w:val="20"/>
                <w:szCs w:val="20"/>
                <w:color w:val="auto"/>
              </w:rPr>
            </w:pPr>
            <w:r>
              <w:rPr>
                <w:rFonts w:ascii="Arial" w:cs="Arial" w:eastAsia="Arial" w:hAnsi="Arial"/>
                <w:sz w:val="20"/>
                <w:szCs w:val="20"/>
                <w:b w:val="1"/>
                <w:bCs w:val="1"/>
                <w:color w:val="auto"/>
                <w:w w:val="88"/>
              </w:rPr>
              <w:t>Year of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b w:val="1"/>
                <w:bCs w:val="1"/>
                <w:color w:val="auto"/>
                <w:w w:val="90"/>
              </w:rPr>
              <w:t>Operating</w:t>
            </w:r>
          </w:p>
        </w:tc>
        <w:tc>
          <w:tcPr>
            <w:tcW w:w="120" w:type="dxa"/>
            <w:vAlign w:val="bottom"/>
          </w:tcPr>
          <w:p>
            <w:pPr>
              <w:spacing w:after="0"/>
              <w:rPr>
                <w:sz w:val="19"/>
                <w:szCs w:val="19"/>
                <w:color w:val="auto"/>
              </w:rPr>
            </w:pPr>
          </w:p>
        </w:tc>
        <w:tc>
          <w:tcPr>
            <w:tcW w:w="660" w:type="dxa"/>
            <w:vAlign w:val="bottom"/>
          </w:tcPr>
          <w:p>
            <w:pPr>
              <w:jc w:val="right"/>
              <w:ind w:right="80"/>
              <w:spacing w:after="0"/>
              <w:rPr>
                <w:sz w:val="20"/>
                <w:szCs w:val="20"/>
                <w:color w:val="auto"/>
              </w:rPr>
            </w:pPr>
            <w:r>
              <w:rPr>
                <w:rFonts w:ascii="Arial" w:cs="Arial" w:eastAsia="Arial" w:hAnsi="Arial"/>
                <w:sz w:val="20"/>
                <w:szCs w:val="20"/>
                <w:b w:val="1"/>
                <w:bCs w:val="1"/>
                <w:color w:val="auto"/>
              </w:rPr>
              <w:t>Tax</w:t>
            </w:r>
          </w:p>
        </w:tc>
        <w:tc>
          <w:tcPr>
            <w:tcW w:w="20" w:type="dxa"/>
            <w:vAlign w:val="bottom"/>
          </w:tcPr>
          <w:p>
            <w:pPr>
              <w:spacing w:after="0"/>
              <w:rPr>
                <w:sz w:val="19"/>
                <w:szCs w:val="19"/>
                <w:color w:val="auto"/>
              </w:rPr>
            </w:pPr>
          </w:p>
        </w:tc>
      </w:tr>
      <w:tr>
        <w:trPr>
          <w:trHeight w:val="260"/>
        </w:trPr>
        <w:tc>
          <w:tcPr>
            <w:tcW w:w="940" w:type="dxa"/>
            <w:vAlign w:val="bottom"/>
          </w:tcPr>
          <w:p>
            <w:pPr>
              <w:jc w:val="center"/>
              <w:spacing w:after="0"/>
              <w:rPr>
                <w:sz w:val="20"/>
                <w:szCs w:val="20"/>
                <w:color w:val="auto"/>
              </w:rPr>
            </w:pPr>
            <w:r>
              <w:rPr>
                <w:rFonts w:ascii="Arial" w:cs="Arial" w:eastAsia="Arial" w:hAnsi="Arial"/>
                <w:sz w:val="20"/>
                <w:szCs w:val="20"/>
                <w:b w:val="1"/>
                <w:bCs w:val="1"/>
                <w:color w:val="auto"/>
                <w:w w:val="94"/>
              </w:rPr>
              <w:t>Expiration</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Losses</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w w:val="89"/>
              </w:rPr>
              <w:t>Credits</w:t>
            </w:r>
          </w:p>
        </w:tc>
        <w:tc>
          <w:tcPr>
            <w:tcW w:w="20" w:type="dxa"/>
            <w:vAlign w:val="bottom"/>
          </w:tcPr>
          <w:p>
            <w:pPr>
              <w:spacing w:after="0"/>
              <w:rPr>
                <w:sz w:val="22"/>
                <w:szCs w:val="22"/>
                <w:color w:val="auto"/>
              </w:rPr>
            </w:pPr>
          </w:p>
        </w:tc>
      </w:tr>
      <w:tr>
        <w:trPr>
          <w:trHeight w:val="90"/>
        </w:trPr>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534"/>
        </w:trPr>
        <w:tc>
          <w:tcPr>
            <w:tcW w:w="940" w:type="dxa"/>
            <w:vAlign w:val="bottom"/>
          </w:tcPr>
          <w:p>
            <w:pPr>
              <w:jc w:val="center"/>
              <w:spacing w:after="0"/>
              <w:rPr>
                <w:sz w:val="20"/>
                <w:szCs w:val="20"/>
                <w:color w:val="auto"/>
              </w:rPr>
            </w:pPr>
            <w:r>
              <w:rPr>
                <w:rFonts w:ascii="Arial" w:cs="Arial" w:eastAsia="Arial" w:hAnsi="Arial"/>
                <w:sz w:val="20"/>
                <w:szCs w:val="20"/>
                <w:color w:val="auto"/>
                <w:w w:val="89"/>
              </w:rPr>
              <w:t>2018</w:t>
            </w:r>
          </w:p>
        </w:tc>
        <w:tc>
          <w:tcPr>
            <w:tcW w:w="46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$1,272</w:t>
            </w:r>
          </w:p>
        </w:tc>
        <w:tc>
          <w:tcPr>
            <w:tcW w:w="20" w:type="dxa"/>
            <w:vAlign w:val="bottom"/>
          </w:tcPr>
          <w:p>
            <w:pPr>
              <w:spacing w:after="0"/>
              <w:rPr>
                <w:sz w:val="24"/>
                <w:szCs w:val="24"/>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rPr>
              <w:t>7,797</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w w:val="88"/>
              </w:rPr>
              <w:t>36,242</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w w:val="88"/>
              </w:rPr>
              <w:t>22,325</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300</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w w:val="88"/>
              </w:rPr>
              <w:t>12,130</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510</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rPr>
              <w:t>4,888</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378</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rPr>
              <w:t>1,506</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138</w:t>
            </w:r>
          </w:p>
        </w:tc>
        <w:tc>
          <w:tcPr>
            <w:tcW w:w="20" w:type="dxa"/>
            <w:vAlign w:val="bottom"/>
          </w:tcPr>
          <w:p>
            <w:pPr>
              <w:spacing w:after="0"/>
              <w:rPr>
                <w:sz w:val="19"/>
                <w:szCs w:val="19"/>
                <w:color w:val="auto"/>
              </w:rPr>
            </w:pPr>
          </w:p>
        </w:tc>
      </w:tr>
      <w:tr>
        <w:trPr>
          <w:trHeight w:val="224"/>
        </w:trPr>
        <w:tc>
          <w:tcPr>
            <w:tcW w:w="940" w:type="dxa"/>
            <w:vAlign w:val="bottom"/>
          </w:tcPr>
          <w:p>
            <w:pPr>
              <w:jc w:val="center"/>
              <w:spacing w:after="0" w:line="225" w:lineRule="exact"/>
              <w:rPr>
                <w:sz w:val="20"/>
                <w:szCs w:val="20"/>
                <w:color w:val="auto"/>
              </w:rPr>
            </w:pPr>
            <w:r>
              <w:rPr>
                <w:rFonts w:ascii="Arial" w:cs="Arial" w:eastAsia="Arial" w:hAnsi="Arial"/>
                <w:sz w:val="20"/>
                <w:szCs w:val="20"/>
                <w:color w:val="auto"/>
                <w:w w:val="89"/>
              </w:rPr>
              <w:t>2028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line="225" w:lineRule="exact"/>
              <w:rPr>
                <w:sz w:val="20"/>
                <w:szCs w:val="20"/>
                <w:color w:val="auto"/>
              </w:rPr>
            </w:pPr>
            <w:r>
              <w:rPr>
                <w:rFonts w:ascii="Arial" w:cs="Arial" w:eastAsia="Arial" w:hAnsi="Arial"/>
                <w:sz w:val="20"/>
                <w:szCs w:val="20"/>
                <w:color w:val="auto"/>
              </w:rPr>
              <w:t>7,529</w:t>
            </w:r>
          </w:p>
        </w:tc>
        <w:tc>
          <w:tcPr>
            <w:tcW w:w="78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19"/>
                <w:szCs w:val="19"/>
                <w:color w:val="auto"/>
              </w:rPr>
            </w:pPr>
          </w:p>
        </w:tc>
      </w:tr>
      <w:tr>
        <w:trPr>
          <w:trHeight w:val="254"/>
        </w:trPr>
        <w:tc>
          <w:tcPr>
            <w:tcW w:w="940" w:type="dxa"/>
            <w:vAlign w:val="bottom"/>
          </w:tcPr>
          <w:p>
            <w:pPr>
              <w:jc w:val="center"/>
              <w:spacing w:after="0"/>
              <w:rPr>
                <w:sz w:val="20"/>
                <w:szCs w:val="20"/>
                <w:color w:val="auto"/>
              </w:rPr>
            </w:pPr>
            <w:r>
              <w:rPr>
                <w:rFonts w:ascii="Arial" w:cs="Arial" w:eastAsia="Arial" w:hAnsi="Arial"/>
                <w:sz w:val="20"/>
                <w:szCs w:val="20"/>
                <w:color w:val="auto"/>
                <w:w w:val="89"/>
              </w:rPr>
              <w:t>2029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12,630</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90"/>
        </w:trPr>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Borders>
              <w:bottom w:val="single" w:sz="8" w:color="336699"/>
            </w:tcBorders>
            <w:gridSpan w:val="2"/>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r>
      <w:tr>
        <w:trPr>
          <w:trHeight w:val="339"/>
        </w:trPr>
        <w:tc>
          <w:tcPr>
            <w:tcW w:w="94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20"/>
                <w:szCs w:val="20"/>
                <w:color w:val="auto"/>
              </w:rPr>
              <w:t>$105,047</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$2,712</w:t>
            </w:r>
          </w:p>
        </w:tc>
        <w:tc>
          <w:tcPr>
            <w:tcW w:w="20" w:type="dxa"/>
            <w:vAlign w:val="bottom"/>
          </w:tcPr>
          <w:p>
            <w:pPr>
              <w:spacing w:after="0"/>
              <w:rPr>
                <w:sz w:val="24"/>
                <w:szCs w:val="24"/>
                <w:color w:val="auto"/>
              </w:rPr>
            </w:pPr>
          </w:p>
        </w:tc>
      </w:tr>
      <w:tr>
        <w:trPr>
          <w:trHeight w:val="111"/>
        </w:trPr>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320" w:type="dxa"/>
            <w:vAlign w:val="bottom"/>
            <w:tcBorders>
              <w:bottom w:val="single" w:sz="8" w:color="336699"/>
            </w:tcBorders>
          </w:tcPr>
          <w:p>
            <w:pPr>
              <w:spacing w:after="0"/>
              <w:rPr>
                <w:sz w:val="9"/>
                <w:szCs w:val="9"/>
                <w:color w:val="auto"/>
              </w:rPr>
            </w:pPr>
          </w:p>
        </w:tc>
        <w:tc>
          <w:tcPr>
            <w:tcW w:w="5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-27940</wp:posOffset>
            </wp:positionV>
            <wp:extent cx="12700" cy="285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-27940</wp:posOffset>
            </wp:positionV>
            <wp:extent cx="12700" cy="285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-27940</wp:posOffset>
            </wp:positionV>
            <wp:extent cx="12700" cy="285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-27940</wp:posOffset>
            </wp:positionV>
            <wp:extent cx="12700" cy="285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6"/>
        <w:spacing w:after="0" w:line="246" w:lineRule="auto"/>
        <w:rPr>
          <w:sz w:val="20"/>
          <w:szCs w:val="20"/>
          <w:color w:val="auto"/>
        </w:rPr>
      </w:pPr>
      <w:r>
        <w:rPr>
          <w:rFonts w:ascii="Arial" w:cs="Arial" w:eastAsia="Arial" w:hAnsi="Arial"/>
          <w:sz w:val="20"/>
          <w:szCs w:val="20"/>
          <w:color w:val="auto"/>
        </w:rPr>
        <w:t>The Company has established a valuation allowance for a portion of its deferred tax assets, because it is more likely than not that a portion of its net operating loss carryforwards may expire prior to utilization. The valuation allowance increased by $6.6 million, $8.8 million and $2.4 million in fiscal 2009, 2008 and 2007, respectively.</w:t>
      </w:r>
    </w:p>
    <w:p>
      <w:pPr>
        <w:spacing w:after="0" w:line="165" w:lineRule="exact"/>
        <w:rPr>
          <w:sz w:val="20"/>
          <w:szCs w:val="20"/>
          <w:color w:val="auto"/>
        </w:rPr>
      </w:pPr>
    </w:p>
    <w:p>
      <w:pPr>
        <w:ind w:right="140" w:firstLine="238"/>
        <w:spacing w:after="0" w:line="246" w:lineRule="auto"/>
        <w:rPr>
          <w:sz w:val="20"/>
          <w:szCs w:val="20"/>
          <w:color w:val="auto"/>
        </w:rPr>
      </w:pPr>
      <w:r>
        <w:rPr>
          <w:rFonts w:ascii="Arial" w:cs="Arial" w:eastAsia="Arial" w:hAnsi="Arial"/>
          <w:sz w:val="20"/>
          <w:szCs w:val="20"/>
          <w:color w:val="auto"/>
        </w:rPr>
        <w:t>As of November 1, 2009, the Company had $2.9 million of alternative minimum tax credit carryforwards that are available to offset future federal taxes payable. The Company also has state tax credits available of $1.8 million which, if they are not utilized, will begin to expire in 2010.</w:t>
      </w:r>
    </w:p>
    <w:p>
      <w:pPr>
        <w:spacing w:after="0" w:line="165" w:lineRule="exact"/>
        <w:rPr>
          <w:sz w:val="20"/>
          <w:szCs w:val="20"/>
          <w:color w:val="auto"/>
        </w:rPr>
      </w:pPr>
    </w:p>
    <w:p>
      <w:pPr>
        <w:ind w:firstLine="238"/>
        <w:spacing w:after="0" w:line="269" w:lineRule="auto"/>
        <w:rPr>
          <w:sz w:val="20"/>
          <w:szCs w:val="20"/>
          <w:color w:val="auto"/>
        </w:rPr>
      </w:pPr>
      <w:r>
        <w:rPr>
          <w:rFonts w:ascii="Arial" w:cs="Arial" w:eastAsia="Arial" w:hAnsi="Arial"/>
          <w:sz w:val="18"/>
          <w:szCs w:val="18"/>
          <w:color w:val="auto"/>
        </w:rPr>
        <w:t>As of November 1, 2009, the undistributed earnings of foreign subsidiaries included in consolidated retained earnings amounted to $81.2 million. During 2008 a decision was made to not indefinitely reinvest earnings in certain foreign jurisdictions. For the year ended November 2, 2008, $12 million of earnings that were previously considered to be permanently reinvested in foreign operations were determined to no longer be indefinitely reinvested. This decision resulted in no impact to the consolidated statement of operations since the Company has a full valuation allowance against its net U.S. deferred tax assets. The remaining undistributed earnings of foreign subsidiaries are considered to be permanently reinvested. Accordingly, no provision has been made for taxes due on the remittance of these earnings. Should the Company elect in the future to repatriate the foreign earnings so invested, it may incur additional income tax expense on those foreign earnings.</w:t>
      </w:r>
    </w:p>
    <w:p>
      <w:pPr>
        <w:spacing w:after="0" w:line="146" w:lineRule="exact"/>
        <w:rPr>
          <w:sz w:val="20"/>
          <w:szCs w:val="20"/>
          <w:color w:val="auto"/>
        </w:rPr>
      </w:pPr>
    </w:p>
    <w:p>
      <w:pPr>
        <w:ind w:firstLine="249"/>
        <w:spacing w:after="0" w:line="242" w:lineRule="auto"/>
        <w:rPr>
          <w:sz w:val="20"/>
          <w:szCs w:val="20"/>
          <w:color w:val="auto"/>
        </w:rPr>
      </w:pPr>
      <w:r>
        <w:rPr>
          <w:rFonts w:ascii="Arial" w:cs="Arial" w:eastAsia="Arial" w:hAnsi="Arial"/>
          <w:sz w:val="20"/>
          <w:szCs w:val="20"/>
          <w:color w:val="auto"/>
        </w:rPr>
        <w:t>PKLT, the Company's FPD manufacturing facility in Taiwan, is accorded a tax holiday, which expires in December 2012. In addition, the Company has been accorded a tax holiday in China which is expected to expire in 2011. These tax holidays had no dollar or per share effect in the fiscal years ended November 1, 2009, November 2, 2008 and October 28, 2007. In Korea, various investment tax credits have been utilized to reduce the Company's effective income tax rate.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80" w:firstLine="249"/>
        <w:spacing w:after="0" w:line="246" w:lineRule="auto"/>
        <w:rPr>
          <w:sz w:val="20"/>
          <w:szCs w:val="20"/>
          <w:color w:val="auto"/>
        </w:rPr>
      </w:pPr>
      <w:r>
        <w:rPr>
          <w:rFonts w:ascii="Arial" w:cs="Arial" w:eastAsia="Arial" w:hAnsi="Arial"/>
          <w:sz w:val="20"/>
          <w:szCs w:val="20"/>
          <w:color w:val="auto"/>
        </w:rPr>
        <w:t>Income tax payments were $9.6 million, $4.4 million and $12.8 million in fiscal 2009, 2008 and 2007, respectively. Cash received for refunds of income taxes paid in prior years amounted to $0.1 million, $1.3 million and $0.1 million in fiscal 2009, 2008 and 2007, respectively.</w:t>
      </w:r>
    </w:p>
    <w:p>
      <w:pPr>
        <w:spacing w:after="0" w:line="165" w:lineRule="exact"/>
        <w:rPr>
          <w:sz w:val="20"/>
          <w:szCs w:val="20"/>
          <w:color w:val="auto"/>
        </w:rPr>
      </w:pPr>
    </w:p>
    <w:p>
      <w:pPr>
        <w:ind w:right="140" w:firstLine="246"/>
        <w:spacing w:after="0" w:line="265" w:lineRule="auto"/>
        <w:rPr>
          <w:sz w:val="20"/>
          <w:szCs w:val="20"/>
          <w:color w:val="auto"/>
        </w:rPr>
      </w:pPr>
      <w:r>
        <w:rPr>
          <w:rFonts w:ascii="Arial" w:cs="Arial" w:eastAsia="Arial" w:hAnsi="Arial"/>
          <w:sz w:val="19"/>
          <w:szCs w:val="19"/>
          <w:color w:val="auto"/>
        </w:rPr>
        <w:t>The Company has elected the alternative transition method provided in FASB Staff Position No. 123(R)-3, "Transition Election Related to Accounting for the Tax Effects of Share-Based Payment Awards," for calculating the tax effects of share-based compensation. As of November 1, 2009 the deferred income tax expenses resulting from this method amounted to $1.5 million.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EARNINGS PER SHARE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calculation of basic and diluted earnings per share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ind w:left="40"/>
              <w:spacing w:after="0"/>
              <w:rPr>
                <w:sz w:val="20"/>
                <w:szCs w:val="20"/>
                <w:color w:val="auto"/>
              </w:rPr>
            </w:pPr>
            <w:r>
              <w:rPr>
                <w:rFonts w:ascii="Arial" w:cs="Arial" w:eastAsia="Arial" w:hAnsi="Arial"/>
                <w:sz w:val="20"/>
                <w:szCs w:val="20"/>
                <w:b w:val="1"/>
                <w:bCs w:val="1"/>
                <w:color w:val="auto"/>
                <w:w w:val="99"/>
              </w:rPr>
              <w:t>Year Ended</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90"/>
        </w:trPr>
        <w:tc>
          <w:tcPr>
            <w:tcW w:w="418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304"/>
        </w:trPr>
        <w:tc>
          <w:tcPr>
            <w:tcW w:w="41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20"/>
                <w:szCs w:val="20"/>
                <w:b w:val="1"/>
                <w:bCs w:val="1"/>
                <w:color w:val="auto"/>
                <w:w w:val="91"/>
              </w:rPr>
              <w:t>November 1,</w:t>
            </w:r>
          </w:p>
        </w:tc>
        <w:tc>
          <w:tcPr>
            <w:tcW w:w="1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20"/>
                <w:szCs w:val="20"/>
                <w:b w:val="1"/>
                <w:bCs w:val="1"/>
                <w:color w:val="auto"/>
                <w:w w:val="91"/>
              </w:rPr>
              <w:t>November 2,</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w w:val="92"/>
              </w:rPr>
              <w:t>October 28,</w:t>
            </w:r>
          </w:p>
        </w:tc>
      </w:tr>
      <w:tr>
        <w:trPr>
          <w:trHeight w:val="260"/>
        </w:trPr>
        <w:tc>
          <w:tcPr>
            <w:tcW w:w="4180" w:type="dxa"/>
            <w:vAlign w:val="bottom"/>
          </w:tcPr>
          <w:p>
            <w:pPr>
              <w:spacing w:after="0"/>
              <w:rPr>
                <w:sz w:val="22"/>
                <w:szCs w:val="22"/>
                <w:color w:val="auto"/>
              </w:rPr>
            </w:pPr>
          </w:p>
        </w:tc>
        <w:tc>
          <w:tcPr>
            <w:tcW w:w="1140" w:type="dxa"/>
            <w:vAlign w:val="bottom"/>
          </w:tcPr>
          <w:p>
            <w:pPr>
              <w:ind w:left="360"/>
              <w:spacing w:after="0"/>
              <w:rPr>
                <w:sz w:val="20"/>
                <w:szCs w:val="20"/>
                <w:color w:val="auto"/>
              </w:rPr>
            </w:pPr>
            <w:r>
              <w:rPr>
                <w:rFonts w:ascii="Arial" w:cs="Arial" w:eastAsia="Arial" w:hAnsi="Arial"/>
                <w:sz w:val="20"/>
                <w:szCs w:val="20"/>
                <w:b w:val="1"/>
                <w:bCs w:val="1"/>
                <w:color w:val="auto"/>
              </w:rPr>
              <w:t>2009</w:t>
            </w:r>
          </w:p>
        </w:tc>
        <w:tc>
          <w:tcPr>
            <w:tcW w:w="128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2008</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2007</w:t>
            </w:r>
          </w:p>
        </w:tc>
      </w:tr>
      <w:tr>
        <w:trPr>
          <w:trHeight w:val="90"/>
        </w:trPr>
        <w:tc>
          <w:tcPr>
            <w:tcW w:w="418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534"/>
        </w:trPr>
        <w:tc>
          <w:tcPr>
            <w:tcW w:w="4180" w:type="dxa"/>
            <w:vAlign w:val="bottom"/>
          </w:tcPr>
          <w:p>
            <w:pPr>
              <w:spacing w:after="0"/>
              <w:rPr>
                <w:sz w:val="20"/>
                <w:szCs w:val="20"/>
                <w:color w:val="auto"/>
              </w:rPr>
            </w:pPr>
            <w:r>
              <w:rPr>
                <w:rFonts w:ascii="Arial" w:cs="Arial" w:eastAsia="Arial" w:hAnsi="Arial"/>
                <w:sz w:val="20"/>
                <w:szCs w:val="20"/>
                <w:color w:val="auto"/>
              </w:rPr>
              <w:t>Net income (loss)</w:t>
            </w:r>
          </w:p>
        </w:tc>
        <w:tc>
          <w:tcPr>
            <w:tcW w:w="1140" w:type="dxa"/>
            <w:vAlign w:val="bottom"/>
          </w:tcPr>
          <w:p>
            <w:pPr>
              <w:ind w:left="340"/>
              <w:spacing w:after="0"/>
              <w:rPr>
                <w:sz w:val="20"/>
                <w:szCs w:val="20"/>
                <w:color w:val="auto"/>
              </w:rPr>
            </w:pPr>
            <w:r>
              <w:rPr>
                <w:rFonts w:ascii="Arial" w:cs="Arial" w:eastAsia="Arial" w:hAnsi="Arial"/>
                <w:sz w:val="20"/>
                <w:szCs w:val="20"/>
                <w:color w:val="auto"/>
                <w:w w:val="91"/>
              </w:rPr>
              <w:t>$(41,910)</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$(210,765)</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$24,523</w:t>
            </w:r>
          </w:p>
        </w:tc>
      </w:tr>
      <w:tr>
        <w:trPr>
          <w:trHeight w:val="224"/>
        </w:trPr>
        <w:tc>
          <w:tcPr>
            <w:tcW w:w="4180" w:type="dxa"/>
            <w:vAlign w:val="bottom"/>
          </w:tcPr>
          <w:p>
            <w:pPr>
              <w:spacing w:after="0" w:line="225" w:lineRule="exact"/>
              <w:rPr>
                <w:sz w:val="20"/>
                <w:szCs w:val="20"/>
                <w:color w:val="auto"/>
              </w:rPr>
            </w:pPr>
            <w:r>
              <w:rPr>
                <w:rFonts w:ascii="Arial" w:cs="Arial" w:eastAsia="Arial" w:hAnsi="Arial"/>
                <w:sz w:val="20"/>
                <w:szCs w:val="20"/>
                <w:color w:val="auto"/>
              </w:rPr>
              <w:t>Effect of dilutive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4180" w:type="dxa"/>
            <w:vAlign w:val="bottom"/>
          </w:tcPr>
          <w:p>
            <w:pPr>
              <w:ind w:left="100"/>
              <w:spacing w:after="0" w:line="225" w:lineRule="exact"/>
              <w:rPr>
                <w:sz w:val="20"/>
                <w:szCs w:val="20"/>
                <w:color w:val="auto"/>
              </w:rPr>
            </w:pPr>
            <w:r>
              <w:rPr>
                <w:rFonts w:ascii="Arial" w:cs="Arial" w:eastAsia="Arial" w:hAnsi="Arial"/>
                <w:sz w:val="20"/>
                <w:szCs w:val="20"/>
                <w:color w:val="auto"/>
              </w:rPr>
              <w:t>Interest expense on convertible notes,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4"/>
        </w:trPr>
        <w:tc>
          <w:tcPr>
            <w:tcW w:w="4180" w:type="dxa"/>
            <w:vAlign w:val="bottom"/>
          </w:tcPr>
          <w:p>
            <w:pPr>
              <w:ind w:left="140"/>
              <w:spacing w:after="0"/>
              <w:rPr>
                <w:sz w:val="20"/>
                <w:szCs w:val="20"/>
                <w:color w:val="auto"/>
              </w:rPr>
            </w:pPr>
            <w:r>
              <w:rPr>
                <w:rFonts w:ascii="Arial" w:cs="Arial" w:eastAsia="Arial" w:hAnsi="Arial"/>
                <w:sz w:val="20"/>
                <w:szCs w:val="20"/>
                <w:color w:val="auto"/>
              </w:rPr>
              <w:t>net of related tax effect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4,401</w:t>
            </w:r>
          </w:p>
        </w:tc>
      </w:tr>
    </w:tbl>
    <w:p>
      <w:pPr>
        <w:sectPr>
          <w:pgSz w:w="11900" w:h="16838" w:orient="portrait"/>
          <w:cols w:equalWidth="0" w:num="1">
            <w:col w:w="11420"/>
          </w:cols>
          <w:pgMar w:left="240" w:top="120" w:right="239" w:bottom="0" w:gutter="0" w:footer="0" w:header="0"/>
        </w:sectPr>
      </w:pPr>
    </w:p>
    <w:bookmarkStart w:id="46" w:name="page47"/>
    <w:bookmarkEnd w:id="4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2803525</wp:posOffset>
            </wp:positionH>
            <wp:positionV relativeFrom="page">
              <wp:posOffset>88900</wp:posOffset>
            </wp:positionV>
            <wp:extent cx="230314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0314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4"/>
        </w:trPr>
        <w:tc>
          <w:tcPr>
            <w:tcW w:w="4180" w:type="dxa"/>
            <w:vAlign w:val="bottom"/>
          </w:tcPr>
          <w:p>
            <w:pPr>
              <w:spacing w:after="0"/>
              <w:rPr>
                <w:sz w:val="20"/>
                <w:szCs w:val="20"/>
                <w:color w:val="auto"/>
              </w:rPr>
            </w:pPr>
            <w:r>
              <w:rPr>
                <w:rFonts w:ascii="Arial" w:cs="Arial" w:eastAsia="Arial" w:hAnsi="Arial"/>
                <w:sz w:val="20"/>
                <w:szCs w:val="20"/>
                <w:color w:val="auto"/>
              </w:rPr>
              <w:t>Earnings for diluted earnings (loss) per share</w:t>
            </w:r>
          </w:p>
        </w:tc>
        <w:tc>
          <w:tcPr>
            <w:tcW w:w="1140" w:type="dxa"/>
            <w:vAlign w:val="bottom"/>
          </w:tcPr>
          <w:p>
            <w:pPr>
              <w:jc w:val="right"/>
              <w:spacing w:after="0"/>
              <w:rPr>
                <w:sz w:val="20"/>
                <w:szCs w:val="20"/>
                <w:color w:val="auto"/>
              </w:rPr>
            </w:pPr>
            <w:r>
              <w:rPr>
                <w:rFonts w:ascii="Arial" w:cs="Arial" w:eastAsia="Arial" w:hAnsi="Arial"/>
                <w:sz w:val="20"/>
                <w:szCs w:val="20"/>
                <w:color w:val="auto"/>
              </w:rPr>
              <w:t>$(41,910)</w:t>
            </w:r>
          </w:p>
        </w:tc>
        <w:tc>
          <w:tcPr>
            <w:tcW w:w="1280" w:type="dxa"/>
            <w:vAlign w:val="bottom"/>
            <w:gridSpan w:val="3"/>
          </w:tcPr>
          <w:p>
            <w:pPr>
              <w:jc w:val="right"/>
              <w:ind w:right="20"/>
              <w:spacing w:after="0"/>
              <w:rPr>
                <w:sz w:val="20"/>
                <w:szCs w:val="20"/>
                <w:color w:val="auto"/>
              </w:rPr>
            </w:pPr>
            <w:r>
              <w:rPr>
                <w:rFonts w:ascii="Arial" w:cs="Arial" w:eastAsia="Arial" w:hAnsi="Arial"/>
                <w:sz w:val="20"/>
                <w:szCs w:val="20"/>
                <w:color w:val="auto"/>
              </w:rPr>
              <w:t>$(210,765)</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$28,924</w:t>
            </w: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4180" w:type="dxa"/>
            <w:vAlign w:val="bottom"/>
            <w:vMerge w:val="restart"/>
          </w:tcPr>
          <w:p>
            <w:pPr>
              <w:spacing w:after="0"/>
              <w:rPr>
                <w:sz w:val="20"/>
                <w:szCs w:val="20"/>
                <w:color w:val="auto"/>
              </w:rPr>
            </w:pPr>
            <w:r>
              <w:rPr>
                <w:rFonts w:ascii="Arial" w:cs="Arial" w:eastAsia="Arial" w:hAnsi="Arial"/>
                <w:sz w:val="20"/>
                <w:szCs w:val="20"/>
                <w:color w:val="auto"/>
                <w:w w:val="94"/>
              </w:rPr>
              <w:t>Weighted average common shares computations:</w:t>
            </w:r>
          </w:p>
        </w:tc>
        <w:tc>
          <w:tcPr>
            <w:tcW w:w="114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4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60" w:type="dxa"/>
            <w:vAlign w:val="bottom"/>
            <w:tcBorders>
              <w:bottom w:val="single" w:sz="8" w:color="336699"/>
            </w:tcBorders>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41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100"/>
              <w:spacing w:after="0" w:line="225" w:lineRule="exact"/>
              <w:rPr>
                <w:sz w:val="20"/>
                <w:szCs w:val="20"/>
                <w:color w:val="auto"/>
              </w:rPr>
            </w:pPr>
            <w:r>
              <w:rPr>
                <w:rFonts w:ascii="Arial" w:cs="Arial" w:eastAsia="Arial" w:hAnsi="Arial"/>
                <w:sz w:val="20"/>
                <w:szCs w:val="20"/>
                <w:color w:val="auto"/>
              </w:rPr>
              <w:t>Weighted average common shares used for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140"/>
              <w:spacing w:after="0" w:line="225" w:lineRule="exact"/>
              <w:rPr>
                <w:sz w:val="20"/>
                <w:szCs w:val="20"/>
                <w:color w:val="auto"/>
              </w:rPr>
            </w:pPr>
            <w:r>
              <w:rPr>
                <w:rFonts w:ascii="Arial" w:cs="Arial" w:eastAsia="Arial" w:hAnsi="Arial"/>
                <w:sz w:val="20"/>
                <w:szCs w:val="20"/>
                <w:color w:val="auto"/>
              </w:rPr>
              <w:t>basic earnings (loss) per share</w:t>
            </w:r>
          </w:p>
        </w:tc>
        <w:tc>
          <w:tcPr>
            <w:tcW w:w="1140" w:type="dxa"/>
            <w:vAlign w:val="bottom"/>
          </w:tcPr>
          <w:p>
            <w:pPr>
              <w:jc w:val="right"/>
              <w:spacing w:after="0" w:line="225" w:lineRule="exact"/>
              <w:rPr>
                <w:sz w:val="20"/>
                <w:szCs w:val="20"/>
                <w:color w:val="auto"/>
              </w:rPr>
            </w:pPr>
            <w:r>
              <w:rPr>
                <w:rFonts w:ascii="Arial" w:cs="Arial" w:eastAsia="Arial" w:hAnsi="Arial"/>
                <w:sz w:val="20"/>
                <w:szCs w:val="20"/>
                <w:color w:val="auto"/>
              </w:rPr>
              <w:t>43,210</w:t>
            </w:r>
          </w:p>
        </w:tc>
        <w:tc>
          <w:tcPr>
            <w:tcW w:w="1280" w:type="dxa"/>
            <w:vAlign w:val="bottom"/>
            <w:gridSpan w:val="3"/>
          </w:tcPr>
          <w:p>
            <w:pPr>
              <w:jc w:val="right"/>
              <w:ind w:right="60"/>
              <w:spacing w:after="0" w:line="225" w:lineRule="exact"/>
              <w:rPr>
                <w:sz w:val="20"/>
                <w:szCs w:val="20"/>
                <w:color w:val="auto"/>
              </w:rPr>
            </w:pPr>
            <w:r>
              <w:rPr>
                <w:rFonts w:ascii="Arial" w:cs="Arial" w:eastAsia="Arial" w:hAnsi="Arial"/>
                <w:sz w:val="20"/>
                <w:szCs w:val="20"/>
                <w:color w:val="auto"/>
              </w:rPr>
              <w:t>41,658</w:t>
            </w:r>
          </w:p>
        </w:tc>
        <w:tc>
          <w:tcPr>
            <w:tcW w:w="120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41,539</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100"/>
              <w:spacing w:after="0" w:line="225" w:lineRule="exact"/>
              <w:rPr>
                <w:sz w:val="20"/>
                <w:szCs w:val="20"/>
                <w:color w:val="auto"/>
              </w:rPr>
            </w:pPr>
            <w:r>
              <w:rPr>
                <w:rFonts w:ascii="Arial" w:cs="Arial" w:eastAsia="Arial" w:hAnsi="Arial"/>
                <w:sz w:val="20"/>
                <w:szCs w:val="20"/>
                <w:color w:val="auto"/>
              </w:rPr>
              <w:t>Effect of dilutive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100"/>
              <w:spacing w:after="0" w:line="225" w:lineRule="exact"/>
              <w:rPr>
                <w:sz w:val="20"/>
                <w:szCs w:val="20"/>
                <w:color w:val="auto"/>
              </w:rPr>
            </w:pPr>
            <w:r>
              <w:rPr>
                <w:rFonts w:ascii="Arial" w:cs="Arial" w:eastAsia="Arial" w:hAnsi="Arial"/>
                <w:sz w:val="20"/>
                <w:szCs w:val="20"/>
                <w:color w:val="auto"/>
              </w:rPr>
              <w:t>Convertible notes</w:t>
            </w:r>
          </w:p>
        </w:tc>
        <w:tc>
          <w:tcPr>
            <w:tcW w:w="114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1280" w:type="dxa"/>
            <w:vAlign w:val="bottom"/>
            <w:gridSpan w:val="3"/>
          </w:tcPr>
          <w:p>
            <w:pPr>
              <w:jc w:val="right"/>
              <w:ind w:right="60"/>
              <w:spacing w:after="0" w:line="225" w:lineRule="exact"/>
              <w:rPr>
                <w:sz w:val="20"/>
                <w:szCs w:val="20"/>
                <w:color w:val="auto"/>
              </w:rPr>
            </w:pPr>
            <w:r>
              <w:rPr>
                <w:rFonts w:ascii="Arial" w:cs="Arial" w:eastAsia="Arial" w:hAnsi="Arial"/>
                <w:sz w:val="20"/>
                <w:szCs w:val="20"/>
                <w:color w:val="auto"/>
              </w:rPr>
              <w:t>-</w:t>
            </w:r>
          </w:p>
        </w:tc>
        <w:tc>
          <w:tcPr>
            <w:tcW w:w="1200" w:type="dxa"/>
            <w:vAlign w:val="bottom"/>
            <w:gridSpan w:val="3"/>
          </w:tcPr>
          <w:p>
            <w:pPr>
              <w:jc w:val="right"/>
              <w:ind w:right="20"/>
              <w:spacing w:after="0" w:line="225" w:lineRule="exact"/>
              <w:rPr>
                <w:sz w:val="20"/>
                <w:szCs w:val="20"/>
                <w:color w:val="auto"/>
              </w:rPr>
            </w:pPr>
            <w:r>
              <w:rPr>
                <w:rFonts w:ascii="Arial" w:cs="Arial" w:eastAsia="Arial" w:hAnsi="Arial"/>
                <w:sz w:val="20"/>
                <w:szCs w:val="20"/>
                <w:color w:val="auto"/>
              </w:rPr>
              <w:t>9,441</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180" w:type="dxa"/>
            <w:vAlign w:val="bottom"/>
          </w:tcPr>
          <w:p>
            <w:pPr>
              <w:ind w:left="100"/>
              <w:spacing w:after="0"/>
              <w:rPr>
                <w:sz w:val="20"/>
                <w:szCs w:val="20"/>
                <w:color w:val="auto"/>
              </w:rPr>
            </w:pPr>
            <w:r>
              <w:rPr>
                <w:rFonts w:ascii="Arial" w:cs="Arial" w:eastAsia="Arial" w:hAnsi="Arial"/>
                <w:sz w:val="20"/>
                <w:szCs w:val="20"/>
                <w:color w:val="auto"/>
              </w:rPr>
              <w:t>Employee stock options</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302</w:t>
            </w: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180" w:type="dxa"/>
            <w:vAlign w:val="bottom"/>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140" w:type="dxa"/>
            <w:vAlign w:val="bottom"/>
            <w:gridSpan w:val="2"/>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140" w:type="dxa"/>
            <w:vAlign w:val="bottom"/>
            <w:gridSpan w:val="2"/>
          </w:tcPr>
          <w:p>
            <w:pPr>
              <w:spacing w:after="0"/>
              <w:rPr>
                <w:sz w:val="7"/>
                <w:szCs w:val="7"/>
                <w:color w:val="auto"/>
              </w:rPr>
            </w:pPr>
          </w:p>
        </w:tc>
        <w:tc>
          <w:tcPr>
            <w:tcW w:w="1060" w:type="dxa"/>
            <w:vAlign w:val="bottom"/>
            <w:tcBorders>
              <w:bottom w:val="single" w:sz="8" w:color="336699"/>
            </w:tcBorders>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4180" w:type="dxa"/>
            <w:vAlign w:val="bottom"/>
          </w:tcPr>
          <w:p>
            <w:pPr>
              <w:ind w:left="100"/>
              <w:spacing w:after="0"/>
              <w:rPr>
                <w:sz w:val="20"/>
                <w:szCs w:val="20"/>
                <w:color w:val="auto"/>
              </w:rPr>
            </w:pPr>
            <w:r>
              <w:rPr>
                <w:rFonts w:ascii="Arial" w:cs="Arial" w:eastAsia="Arial" w:hAnsi="Arial"/>
                <w:sz w:val="20"/>
                <w:szCs w:val="20"/>
                <w:color w:val="auto"/>
              </w:rPr>
              <w:t>Dilutive potential common shares</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9,743</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180" w:type="dxa"/>
            <w:vAlign w:val="bottom"/>
            <w:vMerge w:val="restart"/>
          </w:tcPr>
          <w:p>
            <w:pPr>
              <w:spacing w:after="0"/>
              <w:rPr>
                <w:sz w:val="20"/>
                <w:szCs w:val="20"/>
                <w:color w:val="auto"/>
              </w:rPr>
            </w:pPr>
            <w:r>
              <w:rPr>
                <w:rFonts w:ascii="Arial" w:cs="Arial" w:eastAsia="Arial" w:hAnsi="Arial"/>
                <w:sz w:val="20"/>
                <w:szCs w:val="20"/>
                <w:color w:val="auto"/>
              </w:rPr>
              <w:t>Weighted average common shares used for</w:t>
            </w:r>
          </w:p>
        </w:tc>
        <w:tc>
          <w:tcPr>
            <w:tcW w:w="11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336699"/>
            </w:tcBorders>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1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180" w:type="dxa"/>
            <w:vAlign w:val="bottom"/>
          </w:tcPr>
          <w:p>
            <w:pPr>
              <w:ind w:left="100"/>
              <w:spacing w:after="0"/>
              <w:rPr>
                <w:sz w:val="20"/>
                <w:szCs w:val="20"/>
                <w:color w:val="auto"/>
              </w:rPr>
            </w:pPr>
            <w:r>
              <w:rPr>
                <w:rFonts w:ascii="Arial" w:cs="Arial" w:eastAsia="Arial" w:hAnsi="Arial"/>
                <w:sz w:val="20"/>
                <w:szCs w:val="20"/>
                <w:color w:val="auto"/>
              </w:rPr>
              <w:t>diluted earnings (loss) per share</w:t>
            </w:r>
          </w:p>
        </w:tc>
        <w:tc>
          <w:tcPr>
            <w:tcW w:w="1140" w:type="dxa"/>
            <w:vAlign w:val="bottom"/>
          </w:tcPr>
          <w:p>
            <w:pPr>
              <w:jc w:val="right"/>
              <w:spacing w:after="0"/>
              <w:rPr>
                <w:sz w:val="20"/>
                <w:szCs w:val="20"/>
                <w:color w:val="auto"/>
              </w:rPr>
            </w:pPr>
            <w:r>
              <w:rPr>
                <w:rFonts w:ascii="Arial" w:cs="Arial" w:eastAsia="Arial" w:hAnsi="Arial"/>
                <w:sz w:val="20"/>
                <w:szCs w:val="20"/>
                <w:color w:val="auto"/>
              </w:rPr>
              <w:t>43,210</w:t>
            </w:r>
          </w:p>
        </w:tc>
        <w:tc>
          <w:tcPr>
            <w:tcW w:w="1280" w:type="dxa"/>
            <w:vAlign w:val="bottom"/>
            <w:gridSpan w:val="3"/>
          </w:tcPr>
          <w:p>
            <w:pPr>
              <w:jc w:val="right"/>
              <w:ind w:right="60"/>
              <w:spacing w:after="0"/>
              <w:rPr>
                <w:sz w:val="20"/>
                <w:szCs w:val="20"/>
                <w:color w:val="auto"/>
              </w:rPr>
            </w:pPr>
            <w:r>
              <w:rPr>
                <w:rFonts w:ascii="Arial" w:cs="Arial" w:eastAsia="Arial" w:hAnsi="Arial"/>
                <w:sz w:val="20"/>
                <w:szCs w:val="20"/>
                <w:color w:val="auto"/>
              </w:rPr>
              <w:t>41,658</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51,282</w:t>
            </w: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4180" w:type="dxa"/>
            <w:vAlign w:val="bottom"/>
          </w:tcPr>
          <w:p>
            <w:pPr>
              <w:spacing w:after="0"/>
              <w:rPr>
                <w:sz w:val="9"/>
                <w:szCs w:val="9"/>
                <w:color w:val="auto"/>
              </w:rPr>
            </w:pPr>
          </w:p>
        </w:tc>
        <w:tc>
          <w:tcPr>
            <w:tcW w:w="114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336699"/>
            </w:tcBorders>
            <w:gridSpan w:val="2"/>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336699"/>
            </w:tcBorders>
            <w:gridSpan w:val="2"/>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180" w:type="dxa"/>
            <w:vAlign w:val="bottom"/>
          </w:tcPr>
          <w:p>
            <w:pPr>
              <w:spacing w:after="0"/>
              <w:rPr>
                <w:sz w:val="20"/>
                <w:szCs w:val="20"/>
                <w:color w:val="auto"/>
              </w:rPr>
            </w:pPr>
            <w:r>
              <w:rPr>
                <w:rFonts w:ascii="Arial" w:cs="Arial" w:eastAsia="Arial" w:hAnsi="Arial"/>
                <w:sz w:val="20"/>
                <w:szCs w:val="20"/>
                <w:color w:val="auto"/>
              </w:rPr>
              <w:t>Basic earnings per share</w:t>
            </w:r>
          </w:p>
        </w:tc>
        <w:tc>
          <w:tcPr>
            <w:tcW w:w="1140" w:type="dxa"/>
            <w:vAlign w:val="bottom"/>
          </w:tcPr>
          <w:p>
            <w:pPr>
              <w:jc w:val="right"/>
              <w:spacing w:after="0"/>
              <w:rPr>
                <w:sz w:val="20"/>
                <w:szCs w:val="20"/>
                <w:color w:val="auto"/>
              </w:rPr>
            </w:pPr>
            <w:r>
              <w:rPr>
                <w:rFonts w:ascii="Arial" w:cs="Arial" w:eastAsia="Arial" w:hAnsi="Arial"/>
                <w:sz w:val="20"/>
                <w:szCs w:val="20"/>
                <w:color w:val="auto"/>
              </w:rPr>
              <w:t>$(0.97)</w:t>
            </w:r>
          </w:p>
        </w:tc>
        <w:tc>
          <w:tcPr>
            <w:tcW w:w="1280" w:type="dxa"/>
            <w:vAlign w:val="bottom"/>
            <w:gridSpan w:val="3"/>
          </w:tcPr>
          <w:p>
            <w:pPr>
              <w:jc w:val="right"/>
              <w:ind w:right="20"/>
              <w:spacing w:after="0"/>
              <w:rPr>
                <w:sz w:val="20"/>
                <w:szCs w:val="20"/>
                <w:color w:val="auto"/>
              </w:rPr>
            </w:pPr>
            <w:r>
              <w:rPr>
                <w:rFonts w:ascii="Arial" w:cs="Arial" w:eastAsia="Arial" w:hAnsi="Arial"/>
                <w:sz w:val="20"/>
                <w:szCs w:val="20"/>
                <w:color w:val="auto"/>
              </w:rPr>
              <w:t>$(5.06)</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$0.59</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180" w:type="dxa"/>
            <w:vAlign w:val="bottom"/>
          </w:tcPr>
          <w:p>
            <w:pPr>
              <w:spacing w:after="0"/>
              <w:rPr>
                <w:sz w:val="20"/>
                <w:szCs w:val="20"/>
                <w:color w:val="auto"/>
              </w:rPr>
            </w:pPr>
            <w:r>
              <w:rPr>
                <w:rFonts w:ascii="Arial" w:cs="Arial" w:eastAsia="Arial" w:hAnsi="Arial"/>
                <w:sz w:val="20"/>
                <w:szCs w:val="20"/>
                <w:color w:val="auto"/>
              </w:rPr>
              <w:t>Diluted earnings per share</w:t>
            </w:r>
          </w:p>
        </w:tc>
        <w:tc>
          <w:tcPr>
            <w:tcW w:w="1140" w:type="dxa"/>
            <w:vAlign w:val="bottom"/>
          </w:tcPr>
          <w:p>
            <w:pPr>
              <w:jc w:val="right"/>
              <w:spacing w:after="0"/>
              <w:rPr>
                <w:sz w:val="20"/>
                <w:szCs w:val="20"/>
                <w:color w:val="auto"/>
              </w:rPr>
            </w:pPr>
            <w:r>
              <w:rPr>
                <w:rFonts w:ascii="Arial" w:cs="Arial" w:eastAsia="Arial" w:hAnsi="Arial"/>
                <w:sz w:val="20"/>
                <w:szCs w:val="20"/>
                <w:color w:val="auto"/>
              </w:rPr>
              <w:t>$(0.97)</w:t>
            </w:r>
          </w:p>
        </w:tc>
        <w:tc>
          <w:tcPr>
            <w:tcW w:w="1280" w:type="dxa"/>
            <w:vAlign w:val="bottom"/>
            <w:gridSpan w:val="3"/>
          </w:tcPr>
          <w:p>
            <w:pPr>
              <w:jc w:val="right"/>
              <w:ind w:right="20"/>
              <w:spacing w:after="0"/>
              <w:rPr>
                <w:sz w:val="20"/>
                <w:szCs w:val="20"/>
                <w:color w:val="auto"/>
              </w:rPr>
            </w:pPr>
            <w:r>
              <w:rPr>
                <w:rFonts w:ascii="Arial" w:cs="Arial" w:eastAsia="Arial" w:hAnsi="Arial"/>
                <w:sz w:val="20"/>
                <w:szCs w:val="20"/>
                <w:color w:val="auto"/>
              </w:rPr>
              <w:t>$(5.06)</w:t>
            </w: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$0.56</w:t>
            </w:r>
          </w:p>
        </w:tc>
        <w:tc>
          <w:tcPr>
            <w:tcW w:w="3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7"/>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20"/>
                <w:szCs w:val="20"/>
                <w:color w:val="auto"/>
              </w:rPr>
              <w:t>-59-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8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36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-2914015</wp:posOffset>
            </wp:positionV>
            <wp:extent cx="12700" cy="285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-2914015</wp:posOffset>
            </wp:positionV>
            <wp:extent cx="12700" cy="285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-2914015</wp:posOffset>
            </wp:positionV>
            <wp:extent cx="12700" cy="285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-2914015</wp:posOffset>
            </wp:positionV>
            <wp:extent cx="12700" cy="285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-2914015</wp:posOffset>
            </wp:positionV>
            <wp:extent cx="12700" cy="285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-2914015</wp:posOffset>
            </wp:positionV>
            <wp:extent cx="12700" cy="285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-1196975</wp:posOffset>
            </wp:positionV>
            <wp:extent cx="12700" cy="285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-1196975</wp:posOffset>
            </wp:positionV>
            <wp:extent cx="12700" cy="285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-1196975</wp:posOffset>
            </wp:positionV>
            <wp:extent cx="12700" cy="285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-1196975</wp:posOffset>
            </wp:positionV>
            <wp:extent cx="12700" cy="28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-1196975</wp:posOffset>
            </wp:positionV>
            <wp:extent cx="12700" cy="285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-1196975</wp:posOffset>
            </wp:positionV>
            <wp:extent cx="12700" cy="285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200" w:firstLine="299"/>
        <w:spacing w:after="0" w:line="273" w:lineRule="auto"/>
        <w:rPr>
          <w:sz w:val="20"/>
          <w:szCs w:val="20"/>
          <w:color w:val="auto"/>
        </w:rPr>
      </w:pPr>
      <w:r>
        <w:rPr>
          <w:rFonts w:ascii="Arial" w:cs="Arial" w:eastAsia="Arial" w:hAnsi="Arial"/>
          <w:sz w:val="18"/>
          <w:szCs w:val="18"/>
          <w:color w:val="auto"/>
        </w:rPr>
        <w:t>In periods in which the Company incurred a net loss, the assumed exercise of certain outstanding employee stock options and the vesting of restricted shares had an antidilutive effect. The assumed exercise of all outstanding common stock warrants and the conversion of convertible senior notes to common stock would also have been antidilutive in the periods that the Company reported a net loss. The table below shows the amount of incremental weighted-average shares of these employee stock options, restricted shares, common stock warrants, and convertible debt had the Company recognized sufficient net income in the reporting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20"/>
                <w:szCs w:val="20"/>
                <w:b w:val="1"/>
                <w:bCs w:val="1"/>
                <w:color w:val="auto"/>
                <w:w w:val="96"/>
              </w:rPr>
              <w:t>Year Ended</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90"/>
        </w:trPr>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304"/>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w w:val="94"/>
              </w:rPr>
              <w:t>November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w w:val="94"/>
              </w:rPr>
              <w:t>November 2,</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w w:val="94"/>
              </w:rPr>
              <w:t>October 28,</w:t>
            </w:r>
          </w:p>
        </w:tc>
      </w:tr>
      <w:tr>
        <w:trPr>
          <w:trHeight w:val="260"/>
        </w:trPr>
        <w:tc>
          <w:tcPr>
            <w:tcW w:w="3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right"/>
              <w:ind w:right="340"/>
              <w:spacing w:after="0"/>
              <w:rPr>
                <w:sz w:val="20"/>
                <w:szCs w:val="20"/>
                <w:color w:val="auto"/>
              </w:rPr>
            </w:pPr>
            <w:r>
              <w:rPr>
                <w:rFonts w:ascii="Arial" w:cs="Arial" w:eastAsia="Arial" w:hAnsi="Arial"/>
                <w:sz w:val="20"/>
                <w:szCs w:val="20"/>
                <w:b w:val="1"/>
                <w:bCs w:val="1"/>
                <w:color w:val="auto"/>
              </w:rPr>
              <w:t>2009</w:t>
            </w:r>
          </w:p>
        </w:tc>
        <w:tc>
          <w:tcPr>
            <w:tcW w:w="140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rPr>
              <w:t>2008</w:t>
            </w:r>
          </w:p>
        </w:tc>
        <w:tc>
          <w:tcPr>
            <w:tcW w:w="130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2007</w:t>
            </w:r>
          </w:p>
        </w:tc>
      </w:tr>
      <w:tr>
        <w:trPr>
          <w:trHeight w:val="90"/>
        </w:trPr>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534"/>
        </w:trPr>
        <w:tc>
          <w:tcPr>
            <w:tcW w:w="3860" w:type="dxa"/>
            <w:vAlign w:val="bottom"/>
            <w:gridSpan w:val="2"/>
          </w:tcPr>
          <w:p>
            <w:pPr>
              <w:spacing w:after="0"/>
              <w:rPr>
                <w:sz w:val="20"/>
                <w:szCs w:val="20"/>
                <w:color w:val="auto"/>
              </w:rPr>
            </w:pPr>
            <w:r>
              <w:rPr>
                <w:rFonts w:ascii="Arial" w:cs="Arial" w:eastAsia="Arial" w:hAnsi="Arial"/>
                <w:sz w:val="20"/>
                <w:szCs w:val="20"/>
                <w:color w:val="auto"/>
              </w:rPr>
              <w:t>Convertible notes</w:t>
            </w:r>
          </w:p>
        </w:tc>
        <w:tc>
          <w:tcPr>
            <w:tcW w:w="1240" w:type="dxa"/>
            <w:vAlign w:val="bottom"/>
          </w:tcPr>
          <w:p>
            <w:pPr>
              <w:jc w:val="right"/>
              <w:spacing w:after="0"/>
              <w:rPr>
                <w:sz w:val="20"/>
                <w:szCs w:val="20"/>
                <w:color w:val="auto"/>
              </w:rPr>
            </w:pPr>
            <w:r>
              <w:rPr>
                <w:rFonts w:ascii="Arial" w:cs="Arial" w:eastAsia="Arial" w:hAnsi="Arial"/>
                <w:sz w:val="20"/>
                <w:szCs w:val="20"/>
                <w:color w:val="auto"/>
              </w:rPr>
              <w:t>1,429</w:t>
            </w:r>
          </w:p>
        </w:tc>
        <w:tc>
          <w:tcPr>
            <w:tcW w:w="1400" w:type="dxa"/>
            <w:vAlign w:val="bottom"/>
            <w:gridSpan w:val="3"/>
          </w:tcPr>
          <w:p>
            <w:pPr>
              <w:jc w:val="right"/>
              <w:spacing w:after="0"/>
              <w:rPr>
                <w:sz w:val="20"/>
                <w:szCs w:val="20"/>
                <w:color w:val="auto"/>
              </w:rPr>
            </w:pPr>
            <w:r>
              <w:rPr>
                <w:rFonts w:ascii="Arial" w:cs="Arial" w:eastAsia="Arial" w:hAnsi="Arial"/>
                <w:sz w:val="20"/>
                <w:szCs w:val="20"/>
                <w:color w:val="auto"/>
              </w:rPr>
              <w:t>4,409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304</w:t>
            </w:r>
          </w:p>
        </w:tc>
      </w:tr>
      <w:tr>
        <w:trPr>
          <w:trHeight w:val="224"/>
        </w:trPr>
        <w:tc>
          <w:tcPr>
            <w:tcW w:w="3860" w:type="dxa"/>
            <w:vAlign w:val="bottom"/>
            <w:gridSpan w:val="2"/>
          </w:tcPr>
          <w:p>
            <w:pPr>
              <w:spacing w:after="0" w:line="225" w:lineRule="exact"/>
              <w:rPr>
                <w:sz w:val="20"/>
                <w:szCs w:val="20"/>
                <w:color w:val="auto"/>
              </w:rPr>
            </w:pPr>
            <w:r>
              <w:rPr>
                <w:rFonts w:ascii="Arial" w:cs="Arial" w:eastAsia="Arial" w:hAnsi="Arial"/>
                <w:sz w:val="20"/>
                <w:szCs w:val="20"/>
                <w:color w:val="auto"/>
              </w:rPr>
              <w:t>Common stock warrants</w:t>
            </w:r>
          </w:p>
        </w:tc>
        <w:tc>
          <w:tcPr>
            <w:tcW w:w="1240" w:type="dxa"/>
            <w:vAlign w:val="bottom"/>
          </w:tcPr>
          <w:p>
            <w:pPr>
              <w:jc w:val="right"/>
              <w:spacing w:after="0" w:line="225" w:lineRule="exact"/>
              <w:rPr>
                <w:sz w:val="20"/>
                <w:szCs w:val="20"/>
                <w:color w:val="auto"/>
              </w:rPr>
            </w:pPr>
            <w:r>
              <w:rPr>
                <w:rFonts w:ascii="Arial" w:cs="Arial" w:eastAsia="Arial" w:hAnsi="Arial"/>
                <w:sz w:val="20"/>
                <w:szCs w:val="20"/>
                <w:color w:val="auto"/>
              </w:rPr>
              <w:t>804</w:t>
            </w:r>
          </w:p>
        </w:tc>
        <w:tc>
          <w:tcPr>
            <w:tcW w:w="140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w:t>
            </w:r>
          </w:p>
        </w:tc>
        <w:tc>
          <w:tcPr>
            <w:tcW w:w="13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w:t>
            </w:r>
          </w:p>
        </w:tc>
      </w:tr>
      <w:tr>
        <w:trPr>
          <w:trHeight w:val="254"/>
        </w:trPr>
        <w:tc>
          <w:tcPr>
            <w:tcW w:w="3860" w:type="dxa"/>
            <w:vAlign w:val="bottom"/>
            <w:gridSpan w:val="2"/>
          </w:tcPr>
          <w:p>
            <w:pPr>
              <w:spacing w:after="0"/>
              <w:rPr>
                <w:sz w:val="20"/>
                <w:szCs w:val="20"/>
                <w:color w:val="auto"/>
              </w:rPr>
            </w:pPr>
            <w:r>
              <w:rPr>
                <w:rFonts w:ascii="Arial" w:cs="Arial" w:eastAsia="Arial" w:hAnsi="Arial"/>
                <w:sz w:val="20"/>
                <w:szCs w:val="20"/>
                <w:color w:val="auto"/>
              </w:rPr>
              <w:t>Share based payment awards</w:t>
            </w:r>
          </w:p>
        </w:tc>
        <w:tc>
          <w:tcPr>
            <w:tcW w:w="1240" w:type="dxa"/>
            <w:vAlign w:val="bottom"/>
          </w:tcPr>
          <w:p>
            <w:pPr>
              <w:jc w:val="right"/>
              <w:spacing w:after="0"/>
              <w:rPr>
                <w:sz w:val="20"/>
                <w:szCs w:val="20"/>
                <w:color w:val="auto"/>
              </w:rPr>
            </w:pPr>
            <w:r>
              <w:rPr>
                <w:rFonts w:ascii="Arial" w:cs="Arial" w:eastAsia="Arial" w:hAnsi="Arial"/>
                <w:sz w:val="20"/>
                <w:szCs w:val="20"/>
                <w:color w:val="auto"/>
              </w:rPr>
              <w:t>793</w:t>
            </w:r>
          </w:p>
        </w:tc>
        <w:tc>
          <w:tcPr>
            <w:tcW w:w="1400" w:type="dxa"/>
            <w:vAlign w:val="bottom"/>
            <w:gridSpan w:val="3"/>
          </w:tcPr>
          <w:p>
            <w:pPr>
              <w:jc w:val="right"/>
              <w:spacing w:after="0"/>
              <w:rPr>
                <w:sz w:val="20"/>
                <w:szCs w:val="20"/>
                <w:color w:val="auto"/>
              </w:rPr>
            </w:pPr>
            <w:r>
              <w:rPr>
                <w:rFonts w:ascii="Arial" w:cs="Arial" w:eastAsia="Arial" w:hAnsi="Arial"/>
                <w:sz w:val="20"/>
                <w:szCs w:val="20"/>
                <w:color w:val="auto"/>
              </w:rPr>
              <w:t>20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90"/>
        </w:trPr>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Borders>
              <w:bottom w:val="single" w:sz="8" w:color="336699"/>
            </w:tcBorders>
          </w:tcPr>
          <w:p>
            <w:pPr>
              <w:spacing w:after="0"/>
              <w:rPr>
                <w:sz w:val="7"/>
                <w:szCs w:val="7"/>
                <w:color w:val="auto"/>
              </w:rPr>
            </w:pPr>
          </w:p>
        </w:tc>
      </w:tr>
      <w:tr>
        <w:trPr>
          <w:trHeight w:val="339"/>
        </w:trPr>
        <w:tc>
          <w:tcPr>
            <w:tcW w:w="3860" w:type="dxa"/>
            <w:vAlign w:val="bottom"/>
            <w:gridSpan w:val="2"/>
          </w:tcPr>
          <w:p>
            <w:pPr>
              <w:spacing w:after="0"/>
              <w:rPr>
                <w:sz w:val="20"/>
                <w:szCs w:val="20"/>
                <w:color w:val="auto"/>
              </w:rPr>
            </w:pPr>
            <w:r>
              <w:rPr>
                <w:rFonts w:ascii="Arial" w:cs="Arial" w:eastAsia="Arial" w:hAnsi="Arial"/>
                <w:sz w:val="20"/>
                <w:szCs w:val="20"/>
                <w:color w:val="auto"/>
              </w:rPr>
              <w:t>Total potentially dilutive shares excluded</w:t>
            </w:r>
          </w:p>
        </w:tc>
        <w:tc>
          <w:tcPr>
            <w:tcW w:w="1240" w:type="dxa"/>
            <w:vAlign w:val="bottom"/>
          </w:tcPr>
          <w:p>
            <w:pPr>
              <w:jc w:val="right"/>
              <w:spacing w:after="0"/>
              <w:rPr>
                <w:sz w:val="20"/>
                <w:szCs w:val="20"/>
                <w:color w:val="auto"/>
              </w:rPr>
            </w:pPr>
            <w:r>
              <w:rPr>
                <w:rFonts w:ascii="Arial" w:cs="Arial" w:eastAsia="Arial" w:hAnsi="Arial"/>
                <w:sz w:val="20"/>
                <w:szCs w:val="20"/>
                <w:color w:val="auto"/>
              </w:rPr>
              <w:t>3,026</w:t>
            </w:r>
          </w:p>
        </w:tc>
        <w:tc>
          <w:tcPr>
            <w:tcW w:w="1400" w:type="dxa"/>
            <w:vAlign w:val="bottom"/>
            <w:gridSpan w:val="3"/>
          </w:tcPr>
          <w:p>
            <w:pPr>
              <w:jc w:val="right"/>
              <w:spacing w:after="0"/>
              <w:rPr>
                <w:sz w:val="20"/>
                <w:szCs w:val="20"/>
                <w:color w:val="auto"/>
              </w:rPr>
            </w:pPr>
            <w:r>
              <w:rPr>
                <w:rFonts w:ascii="Arial" w:cs="Arial" w:eastAsia="Arial" w:hAnsi="Arial"/>
                <w:sz w:val="20"/>
                <w:szCs w:val="20"/>
                <w:color w:val="auto"/>
              </w:rPr>
              <w:t>4,429</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304</w:t>
            </w:r>
          </w:p>
        </w:tc>
      </w:tr>
      <w:tr>
        <w:trPr>
          <w:trHeight w:val="111"/>
        </w:trPr>
        <w:tc>
          <w:tcPr>
            <w:tcW w:w="384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4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-27940</wp:posOffset>
            </wp:positionV>
            <wp:extent cx="12700" cy="285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-27940</wp:posOffset>
            </wp:positionV>
            <wp:extent cx="12700" cy="285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-27940</wp:posOffset>
            </wp:positionV>
            <wp:extent cx="12700" cy="285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-27940</wp:posOffset>
            </wp:positionV>
            <wp:extent cx="12700" cy="285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-27940</wp:posOffset>
            </wp:positionV>
            <wp:extent cx="12700" cy="285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-27940</wp:posOffset>
            </wp:positionV>
            <wp:extent cx="12700" cy="285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firstLine="246"/>
        <w:spacing w:after="0" w:line="287" w:lineRule="auto"/>
        <w:rPr>
          <w:sz w:val="20"/>
          <w:szCs w:val="20"/>
          <w:color w:val="auto"/>
        </w:rPr>
      </w:pPr>
      <w:r>
        <w:rPr>
          <w:rFonts w:ascii="Arial" w:cs="Arial" w:eastAsia="Arial" w:hAnsi="Arial"/>
          <w:sz w:val="18"/>
          <w:szCs w:val="18"/>
          <w:color w:val="auto"/>
        </w:rPr>
        <w:t>The table below shows the outstanding weighted-average employee stock options, restricted shares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0"/>
              </w:rPr>
              <w:t>Year Ended</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90"/>
        </w:trPr>
        <w:tc>
          <w:tcPr>
            <w:tcW w:w="388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304"/>
        </w:trPr>
        <w:tc>
          <w:tcPr>
            <w:tcW w:w="38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w w:val="94"/>
              </w:rPr>
              <w:t>November 1</w:t>
            </w:r>
          </w:p>
        </w:tc>
        <w:tc>
          <w:tcPr>
            <w:tcW w:w="1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89"/>
              </w:rPr>
              <w:t>November 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w w:val="94"/>
              </w:rPr>
              <w:t>October 28,</w:t>
            </w:r>
          </w:p>
        </w:tc>
      </w:tr>
      <w:tr>
        <w:trPr>
          <w:trHeight w:val="260"/>
        </w:trPr>
        <w:tc>
          <w:tcPr>
            <w:tcW w:w="3880" w:type="dxa"/>
            <w:vAlign w:val="bottom"/>
          </w:tcPr>
          <w:p>
            <w:pPr>
              <w:spacing w:after="0"/>
              <w:rPr>
                <w:sz w:val="22"/>
                <w:szCs w:val="22"/>
                <w:color w:val="auto"/>
              </w:rPr>
            </w:pPr>
          </w:p>
        </w:tc>
        <w:tc>
          <w:tcPr>
            <w:tcW w:w="1200" w:type="dxa"/>
            <w:vAlign w:val="bottom"/>
          </w:tcPr>
          <w:p>
            <w:pPr>
              <w:jc w:val="right"/>
              <w:ind w:right="320"/>
              <w:spacing w:after="0"/>
              <w:rPr>
                <w:sz w:val="20"/>
                <w:szCs w:val="20"/>
                <w:color w:val="auto"/>
              </w:rPr>
            </w:pPr>
            <w:r>
              <w:rPr>
                <w:rFonts w:ascii="Arial" w:cs="Arial" w:eastAsia="Arial" w:hAnsi="Arial"/>
                <w:sz w:val="20"/>
                <w:szCs w:val="20"/>
                <w:b w:val="1"/>
                <w:bCs w:val="1"/>
                <w:color w:val="auto"/>
              </w:rPr>
              <w:t>2009</w:t>
            </w:r>
          </w:p>
        </w:tc>
        <w:tc>
          <w:tcPr>
            <w:tcW w:w="14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9"/>
              </w:rPr>
              <w:t>2008</w:t>
            </w:r>
          </w:p>
        </w:tc>
        <w:tc>
          <w:tcPr>
            <w:tcW w:w="1300" w:type="dxa"/>
            <w:vAlign w:val="bottom"/>
            <w:gridSpan w:val="3"/>
          </w:tcPr>
          <w:p>
            <w:pPr>
              <w:jc w:val="right"/>
              <w:ind w:right="300"/>
              <w:spacing w:after="0"/>
              <w:rPr>
                <w:sz w:val="20"/>
                <w:szCs w:val="20"/>
                <w:color w:val="auto"/>
              </w:rPr>
            </w:pPr>
            <w:r>
              <w:rPr>
                <w:rFonts w:ascii="Arial" w:cs="Arial" w:eastAsia="Arial" w:hAnsi="Arial"/>
                <w:sz w:val="20"/>
                <w:szCs w:val="20"/>
                <w:b w:val="1"/>
                <w:bCs w:val="1"/>
                <w:color w:val="auto"/>
              </w:rPr>
              <w:t>2007</w:t>
            </w:r>
          </w:p>
        </w:tc>
      </w:tr>
      <w:tr>
        <w:trPr>
          <w:trHeight w:val="90"/>
        </w:trPr>
        <w:tc>
          <w:tcPr>
            <w:tcW w:w="388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r>
        <w:trPr>
          <w:trHeight w:val="534"/>
        </w:trPr>
        <w:tc>
          <w:tcPr>
            <w:tcW w:w="3880" w:type="dxa"/>
            <w:vAlign w:val="bottom"/>
          </w:tcPr>
          <w:p>
            <w:pPr>
              <w:spacing w:after="0"/>
              <w:rPr>
                <w:sz w:val="20"/>
                <w:szCs w:val="20"/>
                <w:color w:val="auto"/>
              </w:rPr>
            </w:pPr>
            <w:r>
              <w:rPr>
                <w:rFonts w:ascii="Arial" w:cs="Arial" w:eastAsia="Arial" w:hAnsi="Arial"/>
                <w:sz w:val="20"/>
                <w:szCs w:val="20"/>
                <w:color w:val="auto"/>
              </w:rPr>
              <w:t>Share based payment awards</w:t>
            </w:r>
          </w:p>
        </w:tc>
        <w:tc>
          <w:tcPr>
            <w:tcW w:w="1200" w:type="dxa"/>
            <w:vAlign w:val="bottom"/>
          </w:tcPr>
          <w:p>
            <w:pPr>
              <w:jc w:val="right"/>
              <w:spacing w:after="0"/>
              <w:rPr>
                <w:sz w:val="20"/>
                <w:szCs w:val="20"/>
                <w:color w:val="auto"/>
              </w:rPr>
            </w:pPr>
            <w:r>
              <w:rPr>
                <w:rFonts w:ascii="Arial" w:cs="Arial" w:eastAsia="Arial" w:hAnsi="Arial"/>
                <w:sz w:val="20"/>
                <w:szCs w:val="20"/>
                <w:color w:val="auto"/>
              </w:rPr>
              <w:t>2,243</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2,340</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2,040</w:t>
            </w:r>
          </w:p>
        </w:tc>
      </w:tr>
      <w:tr>
        <w:trPr>
          <w:trHeight w:val="254"/>
        </w:trPr>
        <w:tc>
          <w:tcPr>
            <w:tcW w:w="3880" w:type="dxa"/>
            <w:vAlign w:val="bottom"/>
          </w:tcPr>
          <w:p>
            <w:pPr>
              <w:spacing w:after="0"/>
              <w:rPr>
                <w:sz w:val="20"/>
                <w:szCs w:val="20"/>
                <w:color w:val="auto"/>
              </w:rPr>
            </w:pPr>
            <w:r>
              <w:rPr>
                <w:rFonts w:ascii="Arial" w:cs="Arial" w:eastAsia="Arial" w:hAnsi="Arial"/>
                <w:sz w:val="20"/>
                <w:szCs w:val="20"/>
                <w:color w:val="auto"/>
              </w:rPr>
              <w:t>Common stock warrants</w:t>
            </w:r>
          </w:p>
        </w:tc>
        <w:tc>
          <w:tcPr>
            <w:tcW w:w="1200" w:type="dxa"/>
            <w:vAlign w:val="bottom"/>
          </w:tcPr>
          <w:p>
            <w:pPr>
              <w:jc w:val="right"/>
              <w:spacing w:after="0"/>
              <w:rPr>
                <w:sz w:val="20"/>
                <w:szCs w:val="20"/>
                <w:color w:val="auto"/>
              </w:rPr>
            </w:pPr>
            <w:r>
              <w:rPr>
                <w:rFonts w:ascii="Arial" w:cs="Arial" w:eastAsia="Arial" w:hAnsi="Arial"/>
                <w:sz w:val="20"/>
                <w:szCs w:val="20"/>
                <w:color w:val="auto"/>
              </w:rPr>
              <w:t>2</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w:t>
            </w:r>
          </w:p>
        </w:tc>
      </w:tr>
      <w:tr>
        <w:trPr>
          <w:trHeight w:val="90"/>
        </w:trPr>
        <w:tc>
          <w:tcPr>
            <w:tcW w:w="3880" w:type="dxa"/>
            <w:vAlign w:val="bottom"/>
          </w:tcPr>
          <w:p>
            <w:pPr>
              <w:spacing w:after="0"/>
              <w:rPr>
                <w:sz w:val="7"/>
                <w:szCs w:val="7"/>
                <w:color w:val="auto"/>
              </w:rPr>
            </w:pPr>
          </w:p>
        </w:tc>
        <w:tc>
          <w:tcPr>
            <w:tcW w:w="1200" w:type="dxa"/>
            <w:vAlign w:val="bottom"/>
            <w:tcBorders>
              <w:bottom w:val="single" w:sz="8" w:color="336699"/>
            </w:tcBorders>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336699"/>
            </w:tcBorders>
          </w:tcPr>
          <w:p>
            <w:pPr>
              <w:spacing w:after="0"/>
              <w:rPr>
                <w:sz w:val="7"/>
                <w:szCs w:val="7"/>
                <w:color w:val="auto"/>
              </w:rPr>
            </w:pPr>
          </w:p>
        </w:tc>
      </w:tr>
      <w:tr>
        <w:trPr>
          <w:trHeight w:val="339"/>
        </w:trPr>
        <w:tc>
          <w:tcPr>
            <w:tcW w:w="3880" w:type="dxa"/>
            <w:vAlign w:val="bottom"/>
          </w:tcPr>
          <w:p>
            <w:pPr>
              <w:spacing w:after="0"/>
              <w:rPr>
                <w:sz w:val="20"/>
                <w:szCs w:val="20"/>
                <w:color w:val="auto"/>
              </w:rPr>
            </w:pPr>
            <w:r>
              <w:rPr>
                <w:rFonts w:ascii="Arial" w:cs="Arial" w:eastAsia="Arial" w:hAnsi="Arial"/>
                <w:sz w:val="20"/>
                <w:szCs w:val="20"/>
                <w:color w:val="auto"/>
              </w:rPr>
              <w:t>Total potentially dilutive shares excluded</w:t>
            </w:r>
          </w:p>
        </w:tc>
        <w:tc>
          <w:tcPr>
            <w:tcW w:w="1200" w:type="dxa"/>
            <w:vAlign w:val="bottom"/>
          </w:tcPr>
          <w:p>
            <w:pPr>
              <w:jc w:val="right"/>
              <w:spacing w:after="0"/>
              <w:rPr>
                <w:sz w:val="20"/>
                <w:szCs w:val="20"/>
                <w:color w:val="auto"/>
              </w:rPr>
            </w:pPr>
            <w:r>
              <w:rPr>
                <w:rFonts w:ascii="Arial" w:cs="Arial" w:eastAsia="Arial" w:hAnsi="Arial"/>
                <w:sz w:val="20"/>
                <w:szCs w:val="20"/>
                <w:color w:val="auto"/>
              </w:rPr>
              <w:t>2,245</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2,340</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2,040</w:t>
            </w:r>
          </w:p>
        </w:tc>
      </w:tr>
      <w:tr>
        <w:trPr>
          <w:trHeight w:val="111"/>
        </w:trPr>
        <w:tc>
          <w:tcPr>
            <w:tcW w:w="3880" w:type="dxa"/>
            <w:vAlign w:val="bottom"/>
          </w:tcPr>
          <w:p>
            <w:pPr>
              <w:spacing w:after="0"/>
              <w:rPr>
                <w:sz w:val="9"/>
                <w:szCs w:val="9"/>
                <w:color w:val="auto"/>
              </w:rPr>
            </w:pPr>
          </w:p>
        </w:tc>
        <w:tc>
          <w:tcPr>
            <w:tcW w:w="1200" w:type="dxa"/>
            <w:vAlign w:val="bottom"/>
            <w:tcBorders>
              <w:bottom w:val="single" w:sz="8" w:color="336699"/>
            </w:tcBorders>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16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-27940</wp:posOffset>
            </wp:positionV>
            <wp:extent cx="12700" cy="285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-27940</wp:posOffset>
            </wp:positionV>
            <wp:extent cx="12700" cy="285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-27940</wp:posOffset>
            </wp:positionV>
            <wp:extent cx="12700" cy="285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-27940</wp:posOffset>
            </wp:positionV>
            <wp:extent cx="12700" cy="285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-27940</wp:posOffset>
            </wp:positionV>
            <wp:extent cx="12700" cy="285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-27940</wp:posOffset>
            </wp:positionV>
            <wp:extent cx="12700" cy="285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20" w:firstLine="249"/>
        <w:spacing w:after="0" w:line="442" w:lineRule="auto"/>
        <w:rPr>
          <w:sz w:val="20"/>
          <w:szCs w:val="20"/>
          <w:color w:val="auto"/>
        </w:rPr>
      </w:pPr>
      <w:r>
        <w:rPr>
          <w:rFonts w:ascii="Arial" w:cs="Arial" w:eastAsia="Arial" w:hAnsi="Arial"/>
          <w:sz w:val="20"/>
          <w:szCs w:val="20"/>
          <w:color w:val="auto"/>
        </w:rPr>
        <w:t xml:space="preserve">In the first quarter of fiscal year 2010, the Company awarded approximately 0.8 million stock options to its employees and directors. </w:t>
      </w:r>
      <w:r>
        <w:rPr>
          <w:rFonts w:ascii="Arial" w:cs="Arial" w:eastAsia="Arial" w:hAnsi="Arial"/>
          <w:sz w:val="20"/>
          <w:szCs w:val="20"/>
          <w:b w:val="1"/>
          <w:bCs w:val="1"/>
          <w:color w:val="auto"/>
        </w:rPr>
        <w:t>NOTE 16 - COMMITMENTS AND CONTINGENCIES</w:t>
      </w:r>
    </w:p>
    <w:p>
      <w:pPr>
        <w:ind w:right="200" w:firstLine="238"/>
        <w:spacing w:after="0" w:line="258" w:lineRule="auto"/>
        <w:rPr>
          <w:sz w:val="20"/>
          <w:szCs w:val="20"/>
          <w:color w:val="auto"/>
        </w:rPr>
      </w:pPr>
      <w:r>
        <w:rPr>
          <w:rFonts w:ascii="Arial" w:cs="Arial" w:eastAsia="Arial" w:hAnsi="Arial"/>
          <w:sz w:val="20"/>
          <w:szCs w:val="20"/>
          <w:color w:val="auto"/>
        </w:rPr>
        <w:t>At November 1, 2009, the Company had outstanding purchase commitments of approximately $42 million, which includes approximately $35 million related to capital expenditures.</w:t>
      </w:r>
    </w:p>
    <w:p>
      <w:pPr>
        <w:spacing w:after="0" w:line="154" w:lineRule="exact"/>
        <w:rPr>
          <w:sz w:val="20"/>
          <w:szCs w:val="20"/>
          <w:color w:val="auto"/>
        </w:rPr>
      </w:pPr>
    </w:p>
    <w:p>
      <w:pPr>
        <w:ind w:right="40" w:firstLine="249"/>
        <w:spacing w:after="0" w:line="287" w:lineRule="auto"/>
        <w:rPr>
          <w:sz w:val="20"/>
          <w:szCs w:val="20"/>
          <w:color w:val="auto"/>
        </w:rPr>
      </w:pPr>
      <w:r>
        <w:rPr>
          <w:rFonts w:ascii="Arial" w:cs="Arial" w:eastAsia="Arial" w:hAnsi="Arial"/>
          <w:sz w:val="18"/>
          <w:szCs w:val="18"/>
          <w:color w:val="auto"/>
        </w:rPr>
        <w:t>Financial instruments that potentially subject the Company to credit risk consist principally of trade accounts receivable and temporary cash investments. The Company sells its products primarily to manufacturers in the semiconductor and computer industries in North America, Europe and Asia. The Company believes that the concentration of credit risk in its trade receivables is substantially mitigated by the</w:t>
      </w:r>
    </w:p>
    <w:p>
      <w:pPr>
        <w:sectPr>
          <w:pgSz w:w="11900" w:h="16941" w:orient="portrait"/>
          <w:cols w:equalWidth="0" w:num="1">
            <w:col w:w="11460"/>
          </w:cols>
          <w:pgMar w:left="240" w:top="345" w:right="199" w:bottom="0" w:gutter="0" w:footer="0" w:header="0"/>
        </w:sectPr>
      </w:pPr>
    </w:p>
    <w:bookmarkStart w:id="47" w:name="page48"/>
    <w:bookmarkEnd w:id="47"/>
    <w:p>
      <w:pPr>
        <w:ind w:right="100"/>
        <w:spacing w:after="0" w:line="246" w:lineRule="auto"/>
        <w:rPr>
          <w:sz w:val="20"/>
          <w:szCs w:val="20"/>
          <w:color w:val="auto"/>
        </w:rPr>
      </w:pPr>
      <w:r>
        <w:rPr>
          <w:rFonts w:ascii="Arial" w:cs="Arial" w:eastAsia="Arial" w:hAnsi="Arial"/>
          <w:sz w:val="20"/>
          <w:szCs w:val="20"/>
          <w:color w:val="auto"/>
        </w:rPr>
        <w:t>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166" w:lineRule="exact"/>
        <w:rPr>
          <w:sz w:val="20"/>
          <w:szCs w:val="20"/>
          <w:color w:val="auto"/>
        </w:rPr>
      </w:pPr>
    </w:p>
    <w:p>
      <w:pPr>
        <w:ind w:right="100" w:firstLine="246"/>
        <w:spacing w:after="0" w:line="258" w:lineRule="auto"/>
        <w:rPr>
          <w:sz w:val="20"/>
          <w:szCs w:val="20"/>
          <w:color w:val="auto"/>
        </w:rPr>
      </w:pPr>
      <w:r>
        <w:rPr>
          <w:rFonts w:ascii="Arial" w:cs="Arial" w:eastAsia="Arial" w:hAnsi="Arial"/>
          <w:sz w:val="20"/>
          <w:szCs w:val="20"/>
          <w:color w:val="auto"/>
        </w:rPr>
        <w:t>The Company is subject to various claims that arise in the ordinary course of business. The Company believes such claims, individually or in the aggregate, will not have a material adverse effect on its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GEOGRAPHIC AND SIGNIFICANT CUSTOMER INFORMATION</w:t>
      </w:r>
    </w:p>
    <w:p>
      <w:pPr>
        <w:spacing w:after="0" w:line="200" w:lineRule="exact"/>
        <w:rPr>
          <w:sz w:val="20"/>
          <w:szCs w:val="20"/>
          <w:color w:val="auto"/>
        </w:rPr>
      </w:pPr>
    </w:p>
    <w:p>
      <w:pPr>
        <w:ind w:right="160" w:firstLine="246"/>
        <w:spacing w:after="0" w:line="242" w:lineRule="auto"/>
        <w:rPr>
          <w:sz w:val="20"/>
          <w:szCs w:val="20"/>
          <w:color w:val="auto"/>
        </w:rPr>
      </w:pPr>
      <w:r>
        <w:rPr>
          <w:rFonts w:ascii="Arial" w:cs="Arial" w:eastAsia="Arial" w:hAnsi="Arial"/>
          <w:sz w:val="20"/>
          <w:szCs w:val="20"/>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manufacturing facility is located. The Company's 2009, 2008 and 2007 net sales and total long-lived assets by geographic area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ind w:right="140"/>
              <w:spacing w:after="0"/>
              <w:rPr>
                <w:sz w:val="20"/>
                <w:szCs w:val="20"/>
                <w:color w:val="auto"/>
              </w:rPr>
            </w:pPr>
            <w:r>
              <w:rPr>
                <w:rFonts w:ascii="Arial" w:cs="Arial" w:eastAsia="Arial" w:hAnsi="Arial"/>
                <w:sz w:val="20"/>
                <w:szCs w:val="20"/>
                <w:b w:val="1"/>
                <w:bCs w:val="1"/>
                <w:color w:val="auto"/>
                <w:w w:val="93"/>
              </w:rPr>
              <w:t>Fiscal Year Ended</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jc w:val="right"/>
              <w:ind w:right="320"/>
              <w:spacing w:after="0"/>
              <w:rPr>
                <w:sz w:val="20"/>
                <w:szCs w:val="20"/>
                <w:color w:val="auto"/>
              </w:rPr>
            </w:pPr>
            <w:r>
              <w:rPr>
                <w:rFonts w:ascii="Arial" w:cs="Arial" w:eastAsia="Arial" w:hAnsi="Arial"/>
                <w:sz w:val="20"/>
                <w:szCs w:val="20"/>
                <w:b w:val="1"/>
                <w:bCs w:val="1"/>
                <w:color w:val="auto"/>
              </w:rPr>
              <w:t>November 1,</w:t>
            </w:r>
          </w:p>
        </w:tc>
        <w:tc>
          <w:tcPr>
            <w:tcW w:w="220" w:type="dxa"/>
            <w:vAlign w:val="bottom"/>
          </w:tcPr>
          <w:p>
            <w:pPr>
              <w:spacing w:after="0"/>
              <w:rPr>
                <w:sz w:val="24"/>
                <w:szCs w:val="24"/>
                <w:color w:val="auto"/>
              </w:rPr>
            </w:pPr>
          </w:p>
        </w:tc>
        <w:tc>
          <w:tcPr>
            <w:tcW w:w="1880" w:type="dxa"/>
            <w:vAlign w:val="bottom"/>
          </w:tcPr>
          <w:p>
            <w:pPr>
              <w:jc w:val="right"/>
              <w:ind w:right="300"/>
              <w:spacing w:after="0"/>
              <w:rPr>
                <w:sz w:val="20"/>
                <w:szCs w:val="20"/>
                <w:color w:val="auto"/>
              </w:rPr>
            </w:pPr>
            <w:r>
              <w:rPr>
                <w:rFonts w:ascii="Arial" w:cs="Arial" w:eastAsia="Arial" w:hAnsi="Arial"/>
                <w:sz w:val="20"/>
                <w:szCs w:val="20"/>
                <w:b w:val="1"/>
                <w:bCs w:val="1"/>
                <w:color w:val="auto"/>
              </w:rPr>
              <w:t>November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280"/>
              <w:spacing w:after="0"/>
              <w:rPr>
                <w:sz w:val="20"/>
                <w:szCs w:val="20"/>
                <w:color w:val="auto"/>
              </w:rPr>
            </w:pPr>
            <w:r>
              <w:rPr>
                <w:rFonts w:ascii="Arial" w:cs="Arial" w:eastAsia="Arial" w:hAnsi="Arial"/>
                <w:sz w:val="20"/>
                <w:szCs w:val="20"/>
                <w:b w:val="1"/>
                <w:bCs w:val="1"/>
                <w:color w:val="auto"/>
              </w:rPr>
              <w:t>October 28,</w:t>
            </w:r>
          </w:p>
        </w:tc>
        <w:tc>
          <w:tcPr>
            <w:tcW w:w="0" w:type="dxa"/>
            <w:vAlign w:val="bottom"/>
          </w:tcPr>
          <w:p>
            <w:pPr>
              <w:spacing w:after="0"/>
              <w:rPr>
                <w:sz w:val="1"/>
                <w:szCs w:val="1"/>
                <w:color w:val="auto"/>
              </w:rPr>
            </w:pPr>
          </w:p>
        </w:tc>
      </w:tr>
      <w:tr>
        <w:trPr>
          <w:trHeight w:val="260"/>
        </w:trPr>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80" w:type="dxa"/>
            <w:vAlign w:val="bottom"/>
          </w:tcPr>
          <w:p>
            <w:pPr>
              <w:jc w:val="right"/>
              <w:ind w:right="660"/>
              <w:spacing w:after="0"/>
              <w:rPr>
                <w:sz w:val="20"/>
                <w:szCs w:val="20"/>
                <w:color w:val="auto"/>
              </w:rPr>
            </w:pPr>
            <w:r>
              <w:rPr>
                <w:rFonts w:ascii="Arial" w:cs="Arial" w:eastAsia="Arial" w:hAnsi="Arial"/>
                <w:sz w:val="20"/>
                <w:szCs w:val="20"/>
                <w:b w:val="1"/>
                <w:bCs w:val="1"/>
                <w:color w:val="auto"/>
              </w:rPr>
              <w:t>2009</w:t>
            </w:r>
          </w:p>
        </w:tc>
        <w:tc>
          <w:tcPr>
            <w:tcW w:w="2100" w:type="dxa"/>
            <w:vAlign w:val="bottom"/>
            <w:gridSpan w:val="2"/>
          </w:tcPr>
          <w:p>
            <w:pPr>
              <w:jc w:val="right"/>
              <w:ind w:right="660"/>
              <w:spacing w:after="0"/>
              <w:rPr>
                <w:sz w:val="20"/>
                <w:szCs w:val="20"/>
                <w:color w:val="auto"/>
              </w:rPr>
            </w:pPr>
            <w:r>
              <w:rPr>
                <w:rFonts w:ascii="Arial" w:cs="Arial" w:eastAsia="Arial" w:hAnsi="Arial"/>
                <w:sz w:val="20"/>
                <w:szCs w:val="20"/>
                <w:b w:val="1"/>
                <w:bCs w:val="1"/>
                <w:color w:val="auto"/>
              </w:rPr>
              <w:t>2008</w:t>
            </w:r>
          </w:p>
        </w:tc>
        <w:tc>
          <w:tcPr>
            <w:tcW w:w="1980" w:type="dxa"/>
            <w:vAlign w:val="bottom"/>
            <w:gridSpan w:val="3"/>
          </w:tcPr>
          <w:p>
            <w:pPr>
              <w:jc w:val="right"/>
              <w:ind w:right="580"/>
              <w:spacing w:after="0"/>
              <w:rPr>
                <w:sz w:val="20"/>
                <w:szCs w:val="20"/>
                <w:color w:val="auto"/>
              </w:rPr>
            </w:pPr>
            <w:r>
              <w:rPr>
                <w:rFonts w:ascii="Arial" w:cs="Arial" w:eastAsia="Arial" w:hAnsi="Arial"/>
                <w:sz w:val="20"/>
                <w:szCs w:val="20"/>
                <w:b w:val="1"/>
                <w:bCs w:val="1"/>
                <w:color w:val="auto"/>
              </w:rPr>
              <w:t>2007</w:t>
            </w:r>
          </w:p>
        </w:tc>
        <w:tc>
          <w:tcPr>
            <w:tcW w:w="0" w:type="dxa"/>
            <w:vAlign w:val="bottom"/>
          </w:tcPr>
          <w:p>
            <w:pPr>
              <w:spacing w:after="0"/>
              <w:rPr>
                <w:sz w:val="1"/>
                <w:szCs w:val="1"/>
                <w:color w:val="auto"/>
              </w:rPr>
            </w:pPr>
          </w:p>
        </w:tc>
      </w:tr>
      <w:tr>
        <w:trPr>
          <w:trHeight w:val="90"/>
        </w:trPr>
        <w:tc>
          <w:tcPr>
            <w:tcW w:w="2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1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74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Asia</w:t>
            </w:r>
          </w:p>
        </w:tc>
        <w:tc>
          <w:tcPr>
            <w:tcW w:w="1880" w:type="dxa"/>
            <w:vAlign w:val="bottom"/>
          </w:tcPr>
          <w:p>
            <w:pPr>
              <w:jc w:val="right"/>
              <w:spacing w:after="0" w:line="225" w:lineRule="exact"/>
              <w:rPr>
                <w:sz w:val="20"/>
                <w:szCs w:val="20"/>
                <w:color w:val="auto"/>
              </w:rPr>
            </w:pPr>
            <w:r>
              <w:rPr>
                <w:rFonts w:ascii="Arial" w:cs="Arial" w:eastAsia="Arial" w:hAnsi="Arial"/>
                <w:sz w:val="20"/>
                <w:szCs w:val="20"/>
                <w:color w:val="auto"/>
              </w:rPr>
              <w:t>$223,138</w:t>
            </w:r>
          </w:p>
        </w:tc>
        <w:tc>
          <w:tcPr>
            <w:tcW w:w="2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$259,293</w:t>
            </w:r>
          </w:p>
        </w:tc>
        <w:tc>
          <w:tcPr>
            <w:tcW w:w="19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$242,788</w:t>
            </w:r>
          </w:p>
        </w:tc>
        <w:tc>
          <w:tcPr>
            <w:tcW w:w="0" w:type="dxa"/>
            <w:vAlign w:val="bottom"/>
          </w:tcPr>
          <w:p>
            <w:pPr>
              <w:spacing w:after="0"/>
              <w:rPr>
                <w:sz w:val="1"/>
                <w:szCs w:val="1"/>
                <w:color w:val="auto"/>
              </w:rPr>
            </w:pPr>
          </w:p>
        </w:tc>
      </w:tr>
      <w:tr>
        <w:trPr>
          <w:trHeight w:val="224"/>
        </w:trPr>
        <w:tc>
          <w:tcPr>
            <w:tcW w:w="274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Europe</w:t>
            </w:r>
          </w:p>
        </w:tc>
        <w:tc>
          <w:tcPr>
            <w:tcW w:w="1880" w:type="dxa"/>
            <w:vAlign w:val="bottom"/>
          </w:tcPr>
          <w:p>
            <w:pPr>
              <w:jc w:val="right"/>
              <w:spacing w:after="0" w:line="225" w:lineRule="exact"/>
              <w:rPr>
                <w:sz w:val="20"/>
                <w:szCs w:val="20"/>
                <w:color w:val="auto"/>
              </w:rPr>
            </w:pPr>
            <w:r>
              <w:rPr>
                <w:rFonts w:ascii="Arial" w:cs="Arial" w:eastAsia="Arial" w:hAnsi="Arial"/>
                <w:sz w:val="20"/>
                <w:szCs w:val="20"/>
                <w:color w:val="auto"/>
              </w:rPr>
              <w:t>38,344</w:t>
            </w:r>
          </w:p>
        </w:tc>
        <w:tc>
          <w:tcPr>
            <w:tcW w:w="2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66,398</w:t>
            </w:r>
          </w:p>
        </w:tc>
        <w:tc>
          <w:tcPr>
            <w:tcW w:w="19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71,421</w:t>
            </w:r>
          </w:p>
        </w:tc>
        <w:tc>
          <w:tcPr>
            <w:tcW w:w="0" w:type="dxa"/>
            <w:vAlign w:val="bottom"/>
          </w:tcPr>
          <w:p>
            <w:pPr>
              <w:spacing w:after="0"/>
              <w:rPr>
                <w:sz w:val="1"/>
                <w:szCs w:val="1"/>
                <w:color w:val="auto"/>
              </w:rPr>
            </w:pPr>
          </w:p>
        </w:tc>
      </w:tr>
      <w:tr>
        <w:trPr>
          <w:trHeight w:val="254"/>
        </w:trPr>
        <w:tc>
          <w:tcPr>
            <w:tcW w:w="2740" w:type="dxa"/>
            <w:vAlign w:val="bottom"/>
            <w:gridSpan w:val="2"/>
          </w:tcPr>
          <w:p>
            <w:pPr>
              <w:ind w:left="140"/>
              <w:spacing w:after="0"/>
              <w:rPr>
                <w:sz w:val="20"/>
                <w:szCs w:val="20"/>
                <w:color w:val="auto"/>
              </w:rPr>
            </w:pPr>
            <w:r>
              <w:rPr>
                <w:rFonts w:ascii="Arial" w:cs="Arial" w:eastAsia="Arial" w:hAnsi="Arial"/>
                <w:sz w:val="20"/>
                <w:szCs w:val="20"/>
                <w:color w:val="auto"/>
              </w:rPr>
              <w:t>North America</w:t>
            </w:r>
          </w:p>
        </w:tc>
        <w:tc>
          <w:tcPr>
            <w:tcW w:w="1880" w:type="dxa"/>
            <w:vAlign w:val="bottom"/>
          </w:tcPr>
          <w:p>
            <w:pPr>
              <w:jc w:val="right"/>
              <w:spacing w:after="0"/>
              <w:rPr>
                <w:sz w:val="20"/>
                <w:szCs w:val="20"/>
                <w:color w:val="auto"/>
              </w:rPr>
            </w:pPr>
            <w:r>
              <w:rPr>
                <w:rFonts w:ascii="Arial" w:cs="Arial" w:eastAsia="Arial" w:hAnsi="Arial"/>
                <w:sz w:val="20"/>
                <w:szCs w:val="20"/>
                <w:color w:val="auto"/>
              </w:rPr>
              <w:t>99,871</w:t>
            </w:r>
          </w:p>
        </w:tc>
        <w:tc>
          <w:tcPr>
            <w:tcW w:w="2100" w:type="dxa"/>
            <w:vAlign w:val="bottom"/>
            <w:gridSpan w:val="2"/>
          </w:tcPr>
          <w:p>
            <w:pPr>
              <w:jc w:val="right"/>
              <w:spacing w:after="0"/>
              <w:rPr>
                <w:sz w:val="20"/>
                <w:szCs w:val="20"/>
                <w:color w:val="auto"/>
              </w:rPr>
            </w:pPr>
            <w:r>
              <w:rPr>
                <w:rFonts w:ascii="Arial" w:cs="Arial" w:eastAsia="Arial" w:hAnsi="Arial"/>
                <w:sz w:val="20"/>
                <w:szCs w:val="20"/>
                <w:color w:val="auto"/>
              </w:rPr>
              <w:t>96,857</w:t>
            </w:r>
          </w:p>
        </w:tc>
        <w:tc>
          <w:tcPr>
            <w:tcW w:w="1980" w:type="dxa"/>
            <w:vAlign w:val="bottom"/>
            <w:gridSpan w:val="3"/>
          </w:tcPr>
          <w:p>
            <w:pPr>
              <w:jc w:val="right"/>
              <w:spacing w:after="0"/>
              <w:rPr>
                <w:sz w:val="20"/>
                <w:szCs w:val="20"/>
                <w:color w:val="auto"/>
              </w:rPr>
            </w:pPr>
            <w:r>
              <w:rPr>
                <w:rFonts w:ascii="Arial" w:cs="Arial" w:eastAsia="Arial" w:hAnsi="Arial"/>
                <w:sz w:val="20"/>
                <w:szCs w:val="20"/>
                <w:color w:val="auto"/>
              </w:rPr>
              <w:t>107,270</w:t>
            </w:r>
          </w:p>
        </w:tc>
        <w:tc>
          <w:tcPr>
            <w:tcW w:w="0" w:type="dxa"/>
            <w:vAlign w:val="bottom"/>
          </w:tcPr>
          <w:p>
            <w:pPr>
              <w:spacing w:after="0"/>
              <w:rPr>
                <w:sz w:val="1"/>
                <w:szCs w:val="1"/>
                <w:color w:val="auto"/>
              </w:rPr>
            </w:pPr>
          </w:p>
        </w:tc>
      </w:tr>
      <w:tr>
        <w:trPr>
          <w:trHeight w:val="90"/>
        </w:trPr>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80" w:type="dxa"/>
            <w:vAlign w:val="bottom"/>
            <w:tcBorders>
              <w:bottom w:val="single" w:sz="8" w:color="336699"/>
            </w:tcBorders>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$361,353</w:t>
            </w:r>
          </w:p>
        </w:tc>
        <w:tc>
          <w:tcPr>
            <w:tcW w:w="2100" w:type="dxa"/>
            <w:vAlign w:val="bottom"/>
            <w:gridSpan w:val="2"/>
          </w:tcPr>
          <w:p>
            <w:pPr>
              <w:jc w:val="right"/>
              <w:spacing w:after="0"/>
              <w:rPr>
                <w:sz w:val="20"/>
                <w:szCs w:val="20"/>
                <w:color w:val="auto"/>
              </w:rPr>
            </w:pPr>
            <w:r>
              <w:rPr>
                <w:rFonts w:ascii="Arial" w:cs="Arial" w:eastAsia="Arial" w:hAnsi="Arial"/>
                <w:sz w:val="20"/>
                <w:szCs w:val="20"/>
                <w:color w:val="auto"/>
              </w:rPr>
              <w:t>$422,548</w:t>
            </w:r>
          </w:p>
        </w:tc>
        <w:tc>
          <w:tcPr>
            <w:tcW w:w="1980" w:type="dxa"/>
            <w:vAlign w:val="bottom"/>
            <w:gridSpan w:val="3"/>
          </w:tcPr>
          <w:p>
            <w:pPr>
              <w:jc w:val="right"/>
              <w:spacing w:after="0"/>
              <w:rPr>
                <w:sz w:val="20"/>
                <w:szCs w:val="20"/>
                <w:color w:val="auto"/>
              </w:rPr>
            </w:pPr>
            <w:r>
              <w:rPr>
                <w:rFonts w:ascii="Arial" w:cs="Arial" w:eastAsia="Arial" w:hAnsi="Arial"/>
                <w:sz w:val="20"/>
                <w:szCs w:val="20"/>
                <w:color w:val="auto"/>
              </w:rPr>
              <w:t>$421,479</w:t>
            </w:r>
          </w:p>
        </w:tc>
        <w:tc>
          <w:tcPr>
            <w:tcW w:w="0" w:type="dxa"/>
            <w:vAlign w:val="bottom"/>
          </w:tcPr>
          <w:p>
            <w:pPr>
              <w:spacing w:after="0"/>
              <w:rPr>
                <w:sz w:val="1"/>
                <w:szCs w:val="1"/>
                <w:color w:val="auto"/>
              </w:rPr>
            </w:pPr>
          </w:p>
        </w:tc>
      </w:tr>
      <w:tr>
        <w:trPr>
          <w:trHeight w:val="111"/>
        </w:trPr>
        <w:tc>
          <w:tcPr>
            <w:tcW w:w="27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880" w:type="dxa"/>
            <w:vAlign w:val="bottom"/>
            <w:tcBorders>
              <w:bottom w:val="single" w:sz="8" w:color="336699"/>
            </w:tcBorders>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-27940</wp:posOffset>
            </wp:positionV>
            <wp:extent cx="12700" cy="285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-27940</wp:posOffset>
            </wp:positionV>
            <wp:extent cx="12700" cy="28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-27940</wp:posOffset>
            </wp:positionV>
            <wp:extent cx="12700" cy="285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-27940</wp:posOffset>
            </wp:positionV>
            <wp:extent cx="12700" cy="285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-27940</wp:posOffset>
            </wp:positionV>
            <wp:extent cx="12700" cy="285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-27940</wp:posOffset>
            </wp:positionV>
            <wp:extent cx="12700" cy="285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ind w:right="320"/>
              <w:spacing w:after="0"/>
              <w:rPr>
                <w:sz w:val="20"/>
                <w:szCs w:val="20"/>
                <w:color w:val="auto"/>
              </w:rPr>
            </w:pPr>
            <w:r>
              <w:rPr>
                <w:rFonts w:ascii="Arial" w:cs="Arial" w:eastAsia="Arial" w:hAnsi="Arial"/>
                <w:sz w:val="20"/>
                <w:szCs w:val="20"/>
                <w:b w:val="1"/>
                <w:bCs w:val="1"/>
                <w:color w:val="auto"/>
              </w:rPr>
              <w:t>November 1,</w:t>
            </w:r>
          </w:p>
        </w:tc>
        <w:tc>
          <w:tcPr>
            <w:tcW w:w="220" w:type="dxa"/>
            <w:vAlign w:val="bottom"/>
          </w:tcPr>
          <w:p>
            <w:pPr>
              <w:spacing w:after="0"/>
              <w:rPr>
                <w:sz w:val="19"/>
                <w:szCs w:val="19"/>
                <w:color w:val="auto"/>
              </w:rPr>
            </w:pPr>
          </w:p>
        </w:tc>
        <w:tc>
          <w:tcPr>
            <w:tcW w:w="1880" w:type="dxa"/>
            <w:vAlign w:val="bottom"/>
          </w:tcPr>
          <w:p>
            <w:pPr>
              <w:jc w:val="right"/>
              <w:ind w:right="300"/>
              <w:spacing w:after="0"/>
              <w:rPr>
                <w:sz w:val="20"/>
                <w:szCs w:val="20"/>
                <w:color w:val="auto"/>
              </w:rPr>
            </w:pPr>
            <w:r>
              <w:rPr>
                <w:rFonts w:ascii="Arial" w:cs="Arial" w:eastAsia="Arial" w:hAnsi="Arial"/>
                <w:sz w:val="20"/>
                <w:szCs w:val="20"/>
                <w:b w:val="1"/>
                <w:bCs w:val="1"/>
                <w:color w:val="auto"/>
              </w:rPr>
              <w:t>November 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280"/>
              <w:spacing w:after="0"/>
              <w:rPr>
                <w:sz w:val="20"/>
                <w:szCs w:val="20"/>
                <w:color w:val="auto"/>
              </w:rPr>
            </w:pPr>
            <w:r>
              <w:rPr>
                <w:rFonts w:ascii="Arial" w:cs="Arial" w:eastAsia="Arial" w:hAnsi="Arial"/>
                <w:sz w:val="20"/>
                <w:szCs w:val="20"/>
                <w:b w:val="1"/>
                <w:bCs w:val="1"/>
                <w:color w:val="auto"/>
              </w:rPr>
              <w:t>October 28,</w:t>
            </w:r>
          </w:p>
        </w:tc>
        <w:tc>
          <w:tcPr>
            <w:tcW w:w="0" w:type="dxa"/>
            <w:vAlign w:val="bottom"/>
          </w:tcPr>
          <w:p>
            <w:pPr>
              <w:spacing w:after="0"/>
              <w:rPr>
                <w:sz w:val="1"/>
                <w:szCs w:val="1"/>
                <w:color w:val="auto"/>
              </w:rPr>
            </w:pPr>
          </w:p>
        </w:tc>
      </w:tr>
      <w:tr>
        <w:trPr>
          <w:trHeight w:val="260"/>
        </w:trPr>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80" w:type="dxa"/>
            <w:vAlign w:val="bottom"/>
          </w:tcPr>
          <w:p>
            <w:pPr>
              <w:jc w:val="right"/>
              <w:ind w:right="660"/>
              <w:spacing w:after="0"/>
              <w:rPr>
                <w:sz w:val="20"/>
                <w:szCs w:val="20"/>
                <w:color w:val="auto"/>
              </w:rPr>
            </w:pPr>
            <w:r>
              <w:rPr>
                <w:rFonts w:ascii="Arial" w:cs="Arial" w:eastAsia="Arial" w:hAnsi="Arial"/>
                <w:sz w:val="20"/>
                <w:szCs w:val="20"/>
                <w:b w:val="1"/>
                <w:bCs w:val="1"/>
                <w:color w:val="auto"/>
              </w:rPr>
              <w:t>2009</w:t>
            </w:r>
          </w:p>
        </w:tc>
        <w:tc>
          <w:tcPr>
            <w:tcW w:w="2100" w:type="dxa"/>
            <w:vAlign w:val="bottom"/>
            <w:gridSpan w:val="2"/>
          </w:tcPr>
          <w:p>
            <w:pPr>
              <w:jc w:val="right"/>
              <w:ind w:right="660"/>
              <w:spacing w:after="0"/>
              <w:rPr>
                <w:sz w:val="20"/>
                <w:szCs w:val="20"/>
                <w:color w:val="auto"/>
              </w:rPr>
            </w:pPr>
            <w:r>
              <w:rPr>
                <w:rFonts w:ascii="Arial" w:cs="Arial" w:eastAsia="Arial" w:hAnsi="Arial"/>
                <w:sz w:val="20"/>
                <w:szCs w:val="20"/>
                <w:b w:val="1"/>
                <w:bCs w:val="1"/>
                <w:color w:val="auto"/>
              </w:rPr>
              <w:t>2008</w:t>
            </w:r>
          </w:p>
        </w:tc>
        <w:tc>
          <w:tcPr>
            <w:tcW w:w="1980" w:type="dxa"/>
            <w:vAlign w:val="bottom"/>
            <w:gridSpan w:val="3"/>
          </w:tcPr>
          <w:p>
            <w:pPr>
              <w:jc w:val="right"/>
              <w:ind w:right="580"/>
              <w:spacing w:after="0"/>
              <w:rPr>
                <w:sz w:val="20"/>
                <w:szCs w:val="20"/>
                <w:color w:val="auto"/>
              </w:rPr>
            </w:pPr>
            <w:r>
              <w:rPr>
                <w:rFonts w:ascii="Arial" w:cs="Arial" w:eastAsia="Arial" w:hAnsi="Arial"/>
                <w:sz w:val="20"/>
                <w:szCs w:val="20"/>
                <w:b w:val="1"/>
                <w:bCs w:val="1"/>
                <w:color w:val="auto"/>
              </w:rPr>
              <w:t>2007</w:t>
            </w:r>
          </w:p>
        </w:tc>
        <w:tc>
          <w:tcPr>
            <w:tcW w:w="0" w:type="dxa"/>
            <w:vAlign w:val="bottom"/>
          </w:tcPr>
          <w:p>
            <w:pPr>
              <w:spacing w:after="0"/>
              <w:rPr>
                <w:sz w:val="1"/>
                <w:szCs w:val="1"/>
                <w:color w:val="auto"/>
              </w:rPr>
            </w:pPr>
          </w:p>
        </w:tc>
      </w:tr>
      <w:tr>
        <w:trPr>
          <w:trHeight w:val="90"/>
        </w:trPr>
        <w:tc>
          <w:tcPr>
            <w:tcW w:w="27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Long-lived assets</w:t>
            </w:r>
          </w:p>
        </w:tc>
        <w:tc>
          <w:tcPr>
            <w:tcW w:w="18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74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Asia</w:t>
            </w:r>
          </w:p>
        </w:tc>
        <w:tc>
          <w:tcPr>
            <w:tcW w:w="1880" w:type="dxa"/>
            <w:vAlign w:val="bottom"/>
          </w:tcPr>
          <w:p>
            <w:pPr>
              <w:jc w:val="right"/>
              <w:spacing w:after="0" w:line="225" w:lineRule="exact"/>
              <w:rPr>
                <w:sz w:val="20"/>
                <w:szCs w:val="20"/>
                <w:color w:val="auto"/>
              </w:rPr>
            </w:pPr>
            <w:r>
              <w:rPr>
                <w:rFonts w:ascii="Arial" w:cs="Arial" w:eastAsia="Arial" w:hAnsi="Arial"/>
                <w:sz w:val="20"/>
                <w:szCs w:val="20"/>
                <w:color w:val="auto"/>
              </w:rPr>
              <w:t>$199,179</w:t>
            </w:r>
          </w:p>
        </w:tc>
        <w:tc>
          <w:tcPr>
            <w:tcW w:w="2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$228,009</w:t>
            </w:r>
          </w:p>
        </w:tc>
        <w:tc>
          <w:tcPr>
            <w:tcW w:w="19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$329,619</w:t>
            </w:r>
          </w:p>
        </w:tc>
        <w:tc>
          <w:tcPr>
            <w:tcW w:w="0" w:type="dxa"/>
            <w:vAlign w:val="bottom"/>
          </w:tcPr>
          <w:p>
            <w:pPr>
              <w:spacing w:after="0"/>
              <w:rPr>
                <w:sz w:val="1"/>
                <w:szCs w:val="1"/>
                <w:color w:val="auto"/>
              </w:rPr>
            </w:pPr>
          </w:p>
        </w:tc>
      </w:tr>
      <w:tr>
        <w:trPr>
          <w:trHeight w:val="224"/>
        </w:trPr>
        <w:tc>
          <w:tcPr>
            <w:tcW w:w="2740" w:type="dxa"/>
            <w:vAlign w:val="bottom"/>
            <w:gridSpan w:val="2"/>
          </w:tcPr>
          <w:p>
            <w:pPr>
              <w:ind w:left="140"/>
              <w:spacing w:after="0" w:line="225" w:lineRule="exact"/>
              <w:rPr>
                <w:sz w:val="20"/>
                <w:szCs w:val="20"/>
                <w:color w:val="auto"/>
              </w:rPr>
            </w:pPr>
            <w:r>
              <w:rPr>
                <w:rFonts w:ascii="Arial" w:cs="Arial" w:eastAsia="Arial" w:hAnsi="Arial"/>
                <w:sz w:val="20"/>
                <w:szCs w:val="20"/>
                <w:color w:val="auto"/>
              </w:rPr>
              <w:t>Europe</w:t>
            </w:r>
          </w:p>
        </w:tc>
        <w:tc>
          <w:tcPr>
            <w:tcW w:w="1880" w:type="dxa"/>
            <w:vAlign w:val="bottom"/>
          </w:tcPr>
          <w:p>
            <w:pPr>
              <w:jc w:val="right"/>
              <w:spacing w:after="0" w:line="225" w:lineRule="exact"/>
              <w:rPr>
                <w:sz w:val="20"/>
                <w:szCs w:val="20"/>
                <w:color w:val="auto"/>
              </w:rPr>
            </w:pPr>
            <w:r>
              <w:rPr>
                <w:rFonts w:ascii="Arial" w:cs="Arial" w:eastAsia="Arial" w:hAnsi="Arial"/>
                <w:sz w:val="20"/>
                <w:szCs w:val="20"/>
                <w:color w:val="auto"/>
              </w:rPr>
              <w:t>9,579</w:t>
            </w:r>
          </w:p>
        </w:tc>
        <w:tc>
          <w:tcPr>
            <w:tcW w:w="2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14,134</w:t>
            </w:r>
          </w:p>
        </w:tc>
        <w:tc>
          <w:tcPr>
            <w:tcW w:w="1980" w:type="dxa"/>
            <w:vAlign w:val="bottom"/>
            <w:gridSpan w:val="3"/>
          </w:tcPr>
          <w:p>
            <w:pPr>
              <w:jc w:val="right"/>
              <w:spacing w:after="0" w:line="225" w:lineRule="exact"/>
              <w:rPr>
                <w:sz w:val="20"/>
                <w:szCs w:val="20"/>
                <w:color w:val="auto"/>
              </w:rPr>
            </w:pPr>
            <w:r>
              <w:rPr>
                <w:rFonts w:ascii="Arial" w:cs="Arial" w:eastAsia="Arial" w:hAnsi="Arial"/>
                <w:sz w:val="20"/>
                <w:szCs w:val="20"/>
                <w:color w:val="auto"/>
              </w:rPr>
              <w:t>67,084</w:t>
            </w:r>
          </w:p>
        </w:tc>
        <w:tc>
          <w:tcPr>
            <w:tcW w:w="0" w:type="dxa"/>
            <w:vAlign w:val="bottom"/>
          </w:tcPr>
          <w:p>
            <w:pPr>
              <w:spacing w:after="0"/>
              <w:rPr>
                <w:sz w:val="1"/>
                <w:szCs w:val="1"/>
                <w:color w:val="auto"/>
              </w:rPr>
            </w:pPr>
          </w:p>
        </w:tc>
      </w:tr>
      <w:tr>
        <w:trPr>
          <w:trHeight w:val="254"/>
        </w:trPr>
        <w:tc>
          <w:tcPr>
            <w:tcW w:w="2740" w:type="dxa"/>
            <w:vAlign w:val="bottom"/>
            <w:gridSpan w:val="2"/>
          </w:tcPr>
          <w:p>
            <w:pPr>
              <w:ind w:left="140"/>
              <w:spacing w:after="0"/>
              <w:rPr>
                <w:sz w:val="20"/>
                <w:szCs w:val="20"/>
                <w:color w:val="auto"/>
              </w:rPr>
            </w:pPr>
            <w:r>
              <w:rPr>
                <w:rFonts w:ascii="Arial" w:cs="Arial" w:eastAsia="Arial" w:hAnsi="Arial"/>
                <w:sz w:val="20"/>
                <w:szCs w:val="20"/>
                <w:color w:val="auto"/>
              </w:rPr>
              <w:t>North America</w:t>
            </w:r>
          </w:p>
        </w:tc>
        <w:tc>
          <w:tcPr>
            <w:tcW w:w="1880" w:type="dxa"/>
            <w:vAlign w:val="bottom"/>
          </w:tcPr>
          <w:p>
            <w:pPr>
              <w:jc w:val="right"/>
              <w:spacing w:after="0"/>
              <w:rPr>
                <w:sz w:val="20"/>
                <w:szCs w:val="20"/>
                <w:color w:val="auto"/>
              </w:rPr>
            </w:pPr>
            <w:r>
              <w:rPr>
                <w:rFonts w:ascii="Arial" w:cs="Arial" w:eastAsia="Arial" w:hAnsi="Arial"/>
                <w:sz w:val="20"/>
                <w:szCs w:val="20"/>
                <w:color w:val="auto"/>
              </w:rPr>
              <w:t>139,131</w:t>
            </w:r>
          </w:p>
        </w:tc>
        <w:tc>
          <w:tcPr>
            <w:tcW w:w="2100" w:type="dxa"/>
            <w:vAlign w:val="bottom"/>
            <w:gridSpan w:val="2"/>
          </w:tcPr>
          <w:p>
            <w:pPr>
              <w:jc w:val="right"/>
              <w:spacing w:after="0"/>
              <w:rPr>
                <w:sz w:val="20"/>
                <w:szCs w:val="20"/>
                <w:color w:val="auto"/>
              </w:rPr>
            </w:pPr>
            <w:r>
              <w:rPr>
                <w:rFonts w:ascii="Arial" w:cs="Arial" w:eastAsia="Arial" w:hAnsi="Arial"/>
                <w:sz w:val="20"/>
                <w:szCs w:val="20"/>
                <w:color w:val="auto"/>
              </w:rPr>
              <w:t>194,385</w:t>
            </w:r>
          </w:p>
        </w:tc>
        <w:tc>
          <w:tcPr>
            <w:tcW w:w="1980" w:type="dxa"/>
            <w:vAlign w:val="bottom"/>
            <w:gridSpan w:val="3"/>
          </w:tcPr>
          <w:p>
            <w:pPr>
              <w:jc w:val="right"/>
              <w:spacing w:after="0"/>
              <w:rPr>
                <w:sz w:val="20"/>
                <w:szCs w:val="20"/>
                <w:color w:val="auto"/>
              </w:rPr>
            </w:pPr>
            <w:r>
              <w:rPr>
                <w:rFonts w:ascii="Arial" w:cs="Arial" w:eastAsia="Arial" w:hAnsi="Arial"/>
                <w:sz w:val="20"/>
                <w:szCs w:val="20"/>
                <w:color w:val="auto"/>
              </w:rPr>
              <w:t>134,875</w:t>
            </w:r>
          </w:p>
        </w:tc>
        <w:tc>
          <w:tcPr>
            <w:tcW w:w="0" w:type="dxa"/>
            <w:vAlign w:val="bottom"/>
          </w:tcPr>
          <w:p>
            <w:pPr>
              <w:spacing w:after="0"/>
              <w:rPr>
                <w:sz w:val="1"/>
                <w:szCs w:val="1"/>
                <w:color w:val="auto"/>
              </w:rPr>
            </w:pPr>
          </w:p>
        </w:tc>
      </w:tr>
      <w:tr>
        <w:trPr>
          <w:trHeight w:val="90"/>
        </w:trPr>
        <w:tc>
          <w:tcPr>
            <w:tcW w:w="2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80" w:type="dxa"/>
            <w:vAlign w:val="bottom"/>
            <w:tcBorders>
              <w:bottom w:val="single" w:sz="8" w:color="336699"/>
            </w:tcBorders>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Borders>
              <w:bottom w:val="single" w:sz="8" w:color="336699"/>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40" w:type="dxa"/>
            <w:vAlign w:val="bottom"/>
            <w:tcBorders>
              <w:bottom w:val="single" w:sz="8" w:color="336699"/>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$347,889</w:t>
            </w:r>
          </w:p>
        </w:tc>
        <w:tc>
          <w:tcPr>
            <w:tcW w:w="2100" w:type="dxa"/>
            <w:vAlign w:val="bottom"/>
            <w:gridSpan w:val="2"/>
          </w:tcPr>
          <w:p>
            <w:pPr>
              <w:jc w:val="right"/>
              <w:spacing w:after="0"/>
              <w:rPr>
                <w:sz w:val="20"/>
                <w:szCs w:val="20"/>
                <w:color w:val="auto"/>
              </w:rPr>
            </w:pPr>
            <w:r>
              <w:rPr>
                <w:rFonts w:ascii="Arial" w:cs="Arial" w:eastAsia="Arial" w:hAnsi="Arial"/>
                <w:sz w:val="20"/>
                <w:szCs w:val="20"/>
                <w:color w:val="auto"/>
              </w:rPr>
              <w:t>$436,528</w:t>
            </w:r>
          </w:p>
        </w:tc>
        <w:tc>
          <w:tcPr>
            <w:tcW w:w="1980" w:type="dxa"/>
            <w:vAlign w:val="bottom"/>
            <w:gridSpan w:val="3"/>
          </w:tcPr>
          <w:p>
            <w:pPr>
              <w:jc w:val="right"/>
              <w:spacing w:after="0"/>
              <w:rPr>
                <w:sz w:val="20"/>
                <w:szCs w:val="20"/>
                <w:color w:val="auto"/>
              </w:rPr>
            </w:pPr>
            <w:r>
              <w:rPr>
                <w:rFonts w:ascii="Arial" w:cs="Arial" w:eastAsia="Arial" w:hAnsi="Arial"/>
                <w:sz w:val="20"/>
                <w:szCs w:val="20"/>
                <w:color w:val="auto"/>
              </w:rPr>
              <w:t>$531,578</w:t>
            </w:r>
          </w:p>
        </w:tc>
        <w:tc>
          <w:tcPr>
            <w:tcW w:w="0" w:type="dxa"/>
            <w:vAlign w:val="bottom"/>
          </w:tcPr>
          <w:p>
            <w:pPr>
              <w:spacing w:after="0"/>
              <w:rPr>
                <w:sz w:val="1"/>
                <w:szCs w:val="1"/>
                <w:color w:val="auto"/>
              </w:rPr>
            </w:pPr>
          </w:p>
        </w:tc>
      </w:tr>
      <w:tr>
        <w:trPr>
          <w:trHeight w:val="111"/>
        </w:trPr>
        <w:tc>
          <w:tcPr>
            <w:tcW w:w="27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880" w:type="dxa"/>
            <w:vAlign w:val="bottom"/>
            <w:tcBorders>
              <w:bottom w:val="single" w:sz="8" w:color="336699"/>
            </w:tcBorders>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-27940</wp:posOffset>
            </wp:positionV>
            <wp:extent cx="12700" cy="285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-27940</wp:posOffset>
            </wp:positionV>
            <wp:extent cx="12700" cy="285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-27940</wp:posOffset>
            </wp:positionV>
            <wp:extent cx="12700" cy="28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-27940</wp:posOffset>
            </wp:positionV>
            <wp:extent cx="12700" cy="285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-27940</wp:posOffset>
            </wp:positionV>
            <wp:extent cx="12700" cy="285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-27940</wp:posOffset>
            </wp:positionV>
            <wp:extent cx="12700" cy="285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49"/>
        <w:spacing w:after="0" w:line="258" w:lineRule="auto"/>
        <w:rPr>
          <w:sz w:val="20"/>
          <w:szCs w:val="20"/>
          <w:color w:val="auto"/>
        </w:rPr>
      </w:pPr>
      <w:r>
        <w:rPr>
          <w:rFonts w:ascii="Arial" w:cs="Arial" w:eastAsia="Arial" w:hAnsi="Arial"/>
          <w:sz w:val="20"/>
          <w:szCs w:val="20"/>
          <w:color w:val="auto"/>
        </w:rPr>
        <w:t>Samsung Electronics Co., Ltd. accounted for approximately 19% of the Company's net sales in fiscal year 2009, and 25% of the Company's net sales in fiscal years 2008 and 2007.</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COMPREHENSIVE INCOME</w:t>
      </w:r>
    </w:p>
    <w:p>
      <w:pPr>
        <w:spacing w:after="0" w:line="200" w:lineRule="exact"/>
        <w:rPr>
          <w:sz w:val="20"/>
          <w:szCs w:val="20"/>
          <w:color w:val="auto"/>
        </w:rPr>
      </w:pPr>
    </w:p>
    <w:p>
      <w:pPr>
        <w:jc w:val="both"/>
        <w:ind w:right="200" w:firstLine="246"/>
        <w:spacing w:after="0" w:line="265" w:lineRule="auto"/>
        <w:rPr>
          <w:sz w:val="20"/>
          <w:szCs w:val="20"/>
          <w:color w:val="auto"/>
        </w:rPr>
      </w:pPr>
      <w:r>
        <w:rPr>
          <w:rFonts w:ascii="Arial" w:cs="Arial" w:eastAsia="Arial" w:hAnsi="Arial"/>
          <w:sz w:val="19"/>
          <w:szCs w:val="19"/>
          <w:color w:val="auto"/>
        </w:rPr>
        <w:t>The Company's comprehensive income as reported in the consolidated statements of shareholders' equity consists of net earnings (losses) and all changes in equity during a period except those resulting from investments by owners and distributions to owners. The components of other comprehensive income for the last three fiscal years, net of tax,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00" w:type="dxa"/>
            <w:vAlign w:val="bottom"/>
          </w:tcPr>
          <w:p>
            <w:pPr>
              <w:spacing w:after="0"/>
              <w:rPr>
                <w:sz w:val="22"/>
                <w:szCs w:val="22"/>
                <w:color w:val="auto"/>
              </w:rPr>
            </w:pPr>
          </w:p>
        </w:tc>
        <w:tc>
          <w:tcPr>
            <w:tcW w:w="2620" w:type="dxa"/>
            <w:vAlign w:val="bottom"/>
            <w:gridSpan w:val="5"/>
          </w:tcPr>
          <w:p>
            <w:pPr>
              <w:ind w:left="1060"/>
              <w:spacing w:after="0"/>
              <w:rPr>
                <w:sz w:val="20"/>
                <w:szCs w:val="20"/>
                <w:color w:val="auto"/>
              </w:rPr>
            </w:pPr>
            <w:r>
              <w:rPr>
                <w:rFonts w:ascii="Arial" w:cs="Arial" w:eastAsia="Arial" w:hAnsi="Arial"/>
                <w:sz w:val="20"/>
                <w:szCs w:val="20"/>
                <w:b w:val="1"/>
                <w:bCs w:val="1"/>
                <w:color w:val="auto"/>
                <w:w w:val="89"/>
              </w:rPr>
              <w:t>Fiscal Year Ended</w:t>
            </w:r>
          </w:p>
        </w:tc>
        <w:tc>
          <w:tcPr>
            <w:tcW w:w="1080" w:type="dxa"/>
            <w:vAlign w:val="bottom"/>
          </w:tcPr>
          <w:p>
            <w:pPr>
              <w:spacing w:after="0"/>
              <w:rPr>
                <w:sz w:val="22"/>
                <w:szCs w:val="22"/>
                <w:color w:val="auto"/>
              </w:rPr>
            </w:pPr>
          </w:p>
        </w:tc>
      </w:tr>
      <w:tr>
        <w:trPr>
          <w:trHeight w:val="90"/>
        </w:trPr>
        <w:tc>
          <w:tcPr>
            <w:tcW w:w="50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304"/>
        </w:trPr>
        <w:tc>
          <w:tcPr>
            <w:tcW w:w="5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w w:val="91"/>
              </w:rPr>
              <w:t>November 1,</w:t>
            </w:r>
          </w:p>
        </w:tc>
        <w:tc>
          <w:tcPr>
            <w:tcW w:w="12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20"/>
                <w:szCs w:val="20"/>
                <w:b w:val="1"/>
                <w:bCs w:val="1"/>
                <w:color w:val="auto"/>
              </w:rPr>
              <w:t>November 2,</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w w:val="90"/>
              </w:rPr>
              <w:t>October 28,</w:t>
            </w:r>
          </w:p>
        </w:tc>
      </w:tr>
      <w:tr>
        <w:trPr>
          <w:trHeight w:val="260"/>
        </w:trPr>
        <w:tc>
          <w:tcPr>
            <w:tcW w:w="5000" w:type="dxa"/>
            <w:vAlign w:val="bottom"/>
          </w:tcPr>
          <w:p>
            <w:pPr>
              <w:spacing w:after="0"/>
              <w:rPr>
                <w:sz w:val="22"/>
                <w:szCs w:val="22"/>
                <w:color w:val="auto"/>
              </w:rPr>
            </w:pPr>
          </w:p>
        </w:tc>
        <w:tc>
          <w:tcPr>
            <w:tcW w:w="1180" w:type="dxa"/>
            <w:vAlign w:val="bottom"/>
          </w:tcPr>
          <w:p>
            <w:pPr>
              <w:jc w:val="right"/>
              <w:ind w:right="300"/>
              <w:spacing w:after="0"/>
              <w:rPr>
                <w:sz w:val="20"/>
                <w:szCs w:val="20"/>
                <w:color w:val="auto"/>
              </w:rPr>
            </w:pPr>
            <w:r>
              <w:rPr>
                <w:rFonts w:ascii="Arial" w:cs="Arial" w:eastAsia="Arial" w:hAnsi="Arial"/>
                <w:sz w:val="20"/>
                <w:szCs w:val="20"/>
                <w:b w:val="1"/>
                <w:bCs w:val="1"/>
                <w:color w:val="auto"/>
              </w:rPr>
              <w:t>2009</w:t>
            </w:r>
          </w:p>
        </w:tc>
        <w:tc>
          <w:tcPr>
            <w:tcW w:w="130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auto"/>
              </w:rPr>
              <w:t>2008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right"/>
              <w:ind w:right="260"/>
              <w:spacing w:after="0"/>
              <w:rPr>
                <w:sz w:val="20"/>
                <w:szCs w:val="20"/>
                <w:color w:val="auto"/>
              </w:rPr>
            </w:pPr>
            <w:r>
              <w:rPr>
                <w:rFonts w:ascii="Arial" w:cs="Arial" w:eastAsia="Arial" w:hAnsi="Arial"/>
                <w:sz w:val="20"/>
                <w:szCs w:val="20"/>
                <w:b w:val="1"/>
                <w:bCs w:val="1"/>
                <w:color w:val="auto"/>
              </w:rPr>
              <w:t>2007</w:t>
            </w:r>
          </w:p>
        </w:tc>
      </w:tr>
      <w:tr>
        <w:trPr>
          <w:trHeight w:val="90"/>
        </w:trPr>
        <w:tc>
          <w:tcPr>
            <w:tcW w:w="50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534"/>
        </w:trPr>
        <w:tc>
          <w:tcPr>
            <w:tcW w:w="5000" w:type="dxa"/>
            <w:vAlign w:val="bottom"/>
          </w:tcPr>
          <w:p>
            <w:pPr>
              <w:spacing w:after="0"/>
              <w:rPr>
                <w:sz w:val="20"/>
                <w:szCs w:val="20"/>
                <w:color w:val="auto"/>
              </w:rPr>
            </w:pPr>
            <w:r>
              <w:rPr>
                <w:rFonts w:ascii="Arial" w:cs="Arial" w:eastAsia="Arial" w:hAnsi="Arial"/>
                <w:sz w:val="20"/>
                <w:szCs w:val="20"/>
                <w:color w:val="auto"/>
              </w:rPr>
              <w:t>Foreign currency translation adjustment</w:t>
            </w:r>
          </w:p>
        </w:tc>
        <w:tc>
          <w:tcPr>
            <w:tcW w:w="1180" w:type="dxa"/>
            <w:vAlign w:val="bottom"/>
          </w:tcPr>
          <w:p>
            <w:pPr>
              <w:jc w:val="right"/>
              <w:spacing w:after="0"/>
              <w:rPr>
                <w:sz w:val="20"/>
                <w:szCs w:val="20"/>
                <w:color w:val="auto"/>
              </w:rPr>
            </w:pPr>
            <w:r>
              <w:rPr>
                <w:rFonts w:ascii="Arial" w:cs="Arial" w:eastAsia="Arial" w:hAnsi="Arial"/>
                <w:sz w:val="20"/>
                <w:szCs w:val="20"/>
                <w:color w:val="auto"/>
              </w:rPr>
              <w:t>$10,712</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$(62,234)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$13,496</w:t>
            </w:r>
          </w:p>
        </w:tc>
      </w:tr>
      <w:tr>
        <w:trPr>
          <w:trHeight w:val="224"/>
        </w:trPr>
        <w:tc>
          <w:tcPr>
            <w:tcW w:w="5000" w:type="dxa"/>
            <w:vAlign w:val="bottom"/>
          </w:tcPr>
          <w:p>
            <w:pPr>
              <w:spacing w:after="0" w:line="225" w:lineRule="exact"/>
              <w:rPr>
                <w:sz w:val="20"/>
                <w:szCs w:val="20"/>
                <w:color w:val="auto"/>
              </w:rPr>
            </w:pPr>
            <w:r>
              <w:rPr>
                <w:rFonts w:ascii="Arial" w:cs="Arial" w:eastAsia="Arial" w:hAnsi="Arial"/>
                <w:sz w:val="20"/>
                <w:szCs w:val="20"/>
                <w:color w:val="auto"/>
                <w:w w:val="96"/>
              </w:rPr>
              <w:t>Change in fair value and amortization of cash flow hedges</w:t>
            </w:r>
          </w:p>
        </w:tc>
        <w:tc>
          <w:tcPr>
            <w:tcW w:w="1180" w:type="dxa"/>
            <w:vAlign w:val="bottom"/>
          </w:tcPr>
          <w:p>
            <w:pPr>
              <w:jc w:val="right"/>
              <w:spacing w:after="0" w:line="225" w:lineRule="exact"/>
              <w:rPr>
                <w:sz w:val="20"/>
                <w:szCs w:val="20"/>
                <w:color w:val="auto"/>
              </w:rPr>
            </w:pPr>
            <w:r>
              <w:rPr>
                <w:rFonts w:ascii="Arial" w:cs="Arial" w:eastAsia="Arial" w:hAnsi="Arial"/>
                <w:sz w:val="20"/>
                <w:szCs w:val="20"/>
                <w:color w:val="auto"/>
              </w:rPr>
              <w:t>576</w:t>
            </w:r>
          </w:p>
        </w:tc>
        <w:tc>
          <w:tcPr>
            <w:tcW w:w="13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Arial" w:cs="Arial" w:eastAsia="Arial" w:hAnsi="Arial"/>
                <w:sz w:val="20"/>
                <w:szCs w:val="20"/>
                <w:color w:val="auto"/>
              </w:rPr>
              <w:t>(1,024)</w:t>
            </w:r>
          </w:p>
        </w:tc>
      </w:tr>
      <w:tr>
        <w:trPr>
          <w:trHeight w:val="224"/>
        </w:trPr>
        <w:tc>
          <w:tcPr>
            <w:tcW w:w="5000" w:type="dxa"/>
            <w:vAlign w:val="bottom"/>
          </w:tcPr>
          <w:p>
            <w:pPr>
              <w:spacing w:after="0" w:line="225" w:lineRule="exact"/>
              <w:rPr>
                <w:sz w:val="20"/>
                <w:szCs w:val="20"/>
                <w:color w:val="auto"/>
              </w:rPr>
            </w:pPr>
            <w:r>
              <w:rPr>
                <w:rFonts w:ascii="Arial" w:cs="Arial" w:eastAsia="Arial" w:hAnsi="Arial"/>
                <w:sz w:val="20"/>
                <w:szCs w:val="20"/>
                <w:color w:val="auto"/>
              </w:rPr>
              <w:t>Change in unrealized gains on investments</w:t>
            </w:r>
          </w:p>
        </w:tc>
        <w:tc>
          <w:tcPr>
            <w:tcW w:w="1180" w:type="dxa"/>
            <w:vAlign w:val="bottom"/>
          </w:tcPr>
          <w:p>
            <w:pPr>
              <w:jc w:val="right"/>
              <w:spacing w:after="0" w:line="225" w:lineRule="exact"/>
              <w:rPr>
                <w:sz w:val="20"/>
                <w:szCs w:val="20"/>
                <w:color w:val="auto"/>
              </w:rPr>
            </w:pPr>
            <w:r>
              <w:rPr>
                <w:rFonts w:ascii="Arial" w:cs="Arial" w:eastAsia="Arial" w:hAnsi="Arial"/>
                <w:sz w:val="20"/>
                <w:szCs w:val="20"/>
                <w:color w:val="auto"/>
              </w:rPr>
              <w:t>62</w:t>
            </w:r>
          </w:p>
        </w:tc>
        <w:tc>
          <w:tcPr>
            <w:tcW w:w="13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(279)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Arial" w:cs="Arial" w:eastAsia="Arial" w:hAnsi="Arial"/>
                <w:sz w:val="20"/>
                <w:szCs w:val="20"/>
                <w:color w:val="auto"/>
              </w:rPr>
              <w:t>(458)</w:t>
            </w:r>
          </w:p>
        </w:tc>
      </w:tr>
      <w:tr>
        <w:trPr>
          <w:trHeight w:val="254"/>
        </w:trPr>
        <w:tc>
          <w:tcPr>
            <w:tcW w:w="5000" w:type="dxa"/>
            <w:vAlign w:val="bottom"/>
          </w:tcPr>
          <w:p>
            <w:pPr>
              <w:spacing w:after="0"/>
              <w:rPr>
                <w:sz w:val="20"/>
                <w:szCs w:val="20"/>
                <w:color w:val="auto"/>
              </w:rPr>
            </w:pPr>
            <w:r>
              <w:rPr>
                <w:rFonts w:ascii="Arial" w:cs="Arial" w:eastAsia="Arial" w:hAnsi="Arial"/>
                <w:sz w:val="20"/>
                <w:szCs w:val="20"/>
                <w:color w:val="auto"/>
              </w:rPr>
              <w:t>Other</w:t>
            </w:r>
          </w:p>
        </w:tc>
        <w:tc>
          <w:tcPr>
            <w:tcW w:w="1180" w:type="dxa"/>
            <w:vAlign w:val="bottom"/>
          </w:tcPr>
          <w:p>
            <w:pPr>
              <w:jc w:val="right"/>
              <w:spacing w:after="0"/>
              <w:rPr>
                <w:sz w:val="20"/>
                <w:szCs w:val="20"/>
                <w:color w:val="auto"/>
              </w:rPr>
            </w:pPr>
            <w:r>
              <w:rPr>
                <w:rFonts w:ascii="Arial" w:cs="Arial" w:eastAsia="Arial" w:hAnsi="Arial"/>
                <w:sz w:val="20"/>
                <w:szCs w:val="20"/>
                <w:color w:val="auto"/>
              </w:rPr>
              <w:t>(238)</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(269)</w:t>
            </w:r>
          </w:p>
        </w:tc>
      </w:tr>
      <w:tr>
        <w:trPr>
          <w:trHeight w:val="90"/>
        </w:trPr>
        <w:tc>
          <w:tcPr>
            <w:tcW w:w="5000" w:type="dxa"/>
            <w:vAlign w:val="bottom"/>
          </w:tcPr>
          <w:p>
            <w:pPr>
              <w:spacing w:after="0"/>
              <w:rPr>
                <w:sz w:val="7"/>
                <w:szCs w:val="7"/>
                <w:color w:val="auto"/>
              </w:rPr>
            </w:pPr>
          </w:p>
        </w:tc>
        <w:tc>
          <w:tcPr>
            <w:tcW w:w="11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336699"/>
            </w:tcBorders>
          </w:tcPr>
          <w:p>
            <w:pPr>
              <w:spacing w:after="0"/>
              <w:rPr>
                <w:sz w:val="7"/>
                <w:szCs w:val="7"/>
                <w:color w:val="auto"/>
              </w:rPr>
            </w:pPr>
          </w:p>
        </w:tc>
        <w:tc>
          <w:tcPr>
            <w:tcW w:w="1080" w:type="dxa"/>
            <w:vAlign w:val="bottom"/>
            <w:tcBorders>
              <w:bottom w:val="single" w:sz="8" w:color="336699"/>
            </w:tcBorders>
          </w:tcPr>
          <w:p>
            <w:pPr>
              <w:spacing w:after="0"/>
              <w:rPr>
                <w:sz w:val="7"/>
                <w:szCs w:val="7"/>
                <w:color w:val="auto"/>
              </w:rPr>
            </w:pPr>
          </w:p>
        </w:tc>
      </w:tr>
      <w:tr>
        <w:trPr>
          <w:trHeight w:val="339"/>
        </w:trPr>
        <w:tc>
          <w:tcPr>
            <w:tcW w:w="5000" w:type="dxa"/>
            <w:vAlign w:val="bottom"/>
          </w:tcPr>
          <w:p>
            <w:pPr>
              <w:spacing w:after="0"/>
              <w:rPr>
                <w:sz w:val="20"/>
                <w:szCs w:val="20"/>
                <w:color w:val="auto"/>
              </w:rPr>
            </w:pPr>
            <w:r>
              <w:rPr>
                <w:rFonts w:ascii="Arial" w:cs="Arial" w:eastAsia="Arial" w:hAnsi="Arial"/>
                <w:sz w:val="20"/>
                <w:szCs w:val="20"/>
                <w:color w:val="auto"/>
              </w:rPr>
              <w:t>Other comprehensive income (loss),net of tax</w:t>
            </w:r>
          </w:p>
        </w:tc>
        <w:tc>
          <w:tcPr>
            <w:tcW w:w="1180" w:type="dxa"/>
            <w:vAlign w:val="bottom"/>
          </w:tcPr>
          <w:p>
            <w:pPr>
              <w:jc w:val="right"/>
              <w:spacing w:after="0"/>
              <w:rPr>
                <w:sz w:val="20"/>
                <w:szCs w:val="20"/>
                <w:color w:val="auto"/>
              </w:rPr>
            </w:pPr>
            <w:r>
              <w:rPr>
                <w:rFonts w:ascii="Arial" w:cs="Arial" w:eastAsia="Arial" w:hAnsi="Arial"/>
                <w:sz w:val="20"/>
                <w:szCs w:val="20"/>
                <w:color w:val="auto"/>
              </w:rPr>
              <w:t>$11,112</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$(62,318)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$11,745</w:t>
            </w:r>
          </w:p>
        </w:tc>
      </w:tr>
      <w:tr>
        <w:trPr>
          <w:trHeight w:val="111"/>
        </w:trPr>
        <w:tc>
          <w:tcPr>
            <w:tcW w:w="5000" w:type="dxa"/>
            <w:vAlign w:val="bottom"/>
          </w:tcPr>
          <w:p>
            <w:pPr>
              <w:spacing w:after="0"/>
              <w:rPr>
                <w:sz w:val="9"/>
                <w:szCs w:val="9"/>
                <w:color w:val="auto"/>
              </w:rPr>
            </w:pPr>
          </w:p>
        </w:tc>
        <w:tc>
          <w:tcPr>
            <w:tcW w:w="11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08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-27940</wp:posOffset>
            </wp:positionV>
            <wp:extent cx="12700" cy="285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-27940</wp:posOffset>
            </wp:positionV>
            <wp:extent cx="12700" cy="285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-27940</wp:posOffset>
            </wp:positionV>
            <wp:extent cx="12700" cy="285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-27940</wp:posOffset>
            </wp:positionV>
            <wp:extent cx="12700" cy="285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-27940</wp:posOffset>
            </wp:positionV>
            <wp:extent cx="12700" cy="285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-27940</wp:posOffset>
            </wp:positionV>
            <wp:extent cx="12700" cy="285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0" w:firstLine="246"/>
        <w:spacing w:after="0" w:line="258" w:lineRule="auto"/>
        <w:rPr>
          <w:sz w:val="20"/>
          <w:szCs w:val="20"/>
          <w:color w:val="auto"/>
        </w:rPr>
      </w:pPr>
      <w:r>
        <w:rPr>
          <w:rFonts w:ascii="Arial" w:cs="Arial" w:eastAsia="Arial" w:hAnsi="Arial"/>
          <w:sz w:val="20"/>
          <w:szCs w:val="20"/>
          <w:color w:val="auto"/>
        </w:rPr>
        <w:t>The foreign currency translation adjustment of $62.2 million for the fiscal year ended November 2, 2008 was primarily due to the weakening of the Korean won against the U.S. dollar.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00"/>
          </w:cols>
          <w:pgMar w:left="240" w:top="120" w:right="259" w:bottom="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NOTE 19 - OTHER RELATED PARTY TRANSACTIONS</w:t>
      </w:r>
    </w:p>
    <w:p>
      <w:pPr>
        <w:spacing w:after="0" w:line="200" w:lineRule="exact"/>
        <w:rPr>
          <w:sz w:val="20"/>
          <w:szCs w:val="20"/>
          <w:color w:val="auto"/>
        </w:rPr>
      </w:pPr>
    </w:p>
    <w:p>
      <w:pPr>
        <w:ind w:right="40" w:firstLine="246"/>
        <w:spacing w:after="0" w:line="254" w:lineRule="auto"/>
        <w:rPr>
          <w:sz w:val="20"/>
          <w:szCs w:val="20"/>
          <w:color w:val="auto"/>
        </w:rPr>
      </w:pPr>
      <w:r>
        <w:rPr>
          <w:rFonts w:ascii="Arial" w:cs="Arial" w:eastAsia="Arial" w:hAnsi="Arial"/>
          <w:sz w:val="19"/>
          <w:szCs w:val="19"/>
          <w:color w:val="auto"/>
        </w:rPr>
        <w:t>The Chairman of the Board and Chief Executive Officer of the Company is also the Chairman of the Board and majority shareholder of a company that provides secure managed information technology services to Photronics. Another director of the Company is also a shareholder, CEO and Executive Vice Chairman of this company. Since 2002, the Company has entered into various service contracts with this company to provide services to all of the Company's worldwide facilities. The Company incurred expenses of $2.8 million in 2009, $3.3 million in 2008, and $3.8 million in 2007 related to services provided by the company. As of November 1, 2009, the Company had contracted with this service provider through 2010 for a cost of approximately $2.1 million.</w:t>
      </w:r>
    </w:p>
    <w:p>
      <w:pPr>
        <w:spacing w:after="0" w:line="158" w:lineRule="exact"/>
        <w:rPr>
          <w:sz w:val="20"/>
          <w:szCs w:val="20"/>
          <w:color w:val="auto"/>
        </w:rPr>
      </w:pPr>
    </w:p>
    <w:p>
      <w:pPr>
        <w:ind w:right="40" w:firstLine="246"/>
        <w:spacing w:after="0" w:line="265" w:lineRule="auto"/>
        <w:rPr>
          <w:sz w:val="20"/>
          <w:szCs w:val="20"/>
          <w:color w:val="auto"/>
        </w:rPr>
      </w:pPr>
      <w:r>
        <w:rPr>
          <w:rFonts w:ascii="Arial" w:cs="Arial" w:eastAsia="Arial" w:hAnsi="Arial"/>
          <w:sz w:val="19"/>
          <w:szCs w:val="19"/>
          <w:color w:val="auto"/>
        </w:rPr>
        <w:t>The Company purchases photomask blanks from a company of which an officer of the Company is a significant shareholder. The Company purchased $25.5 million, $28.5 million, and $21.6 million of photomask blanks from this company in 2009, 2008, and 2007, respectively, for which the amount owed to this company was $6.5 million at November 1, 2009 and $6.8 million at November 2, 2008.</w:t>
      </w:r>
    </w:p>
    <w:p>
      <w:pPr>
        <w:spacing w:after="0" w:line="149" w:lineRule="exact"/>
        <w:rPr>
          <w:sz w:val="20"/>
          <w:szCs w:val="20"/>
          <w:color w:val="auto"/>
        </w:rPr>
      </w:pPr>
    </w:p>
    <w:p>
      <w:pPr>
        <w:ind w:right="200" w:firstLine="246"/>
        <w:spacing w:after="0" w:line="246" w:lineRule="auto"/>
        <w:rPr>
          <w:sz w:val="20"/>
          <w:szCs w:val="20"/>
          <w:color w:val="auto"/>
        </w:rPr>
      </w:pPr>
      <w:r>
        <w:rPr>
          <w:rFonts w:ascii="Arial" w:cs="Arial" w:eastAsia="Arial" w:hAnsi="Arial"/>
          <w:sz w:val="20"/>
          <w:szCs w:val="20"/>
          <w:color w:val="auto"/>
        </w:rPr>
        <w:t>The Company believes that the terms of the transactions described above with related parties were negotiated at arm's-length and were no less favorable to the Company than the Company could have obtained from unrelated third parties. See Note 4 for other related party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FAIR VALUE MEASUREMENTS</w:t>
      </w:r>
    </w:p>
    <w:p>
      <w:pPr>
        <w:spacing w:after="0" w:line="200" w:lineRule="exact"/>
        <w:rPr>
          <w:sz w:val="20"/>
          <w:szCs w:val="20"/>
          <w:color w:val="auto"/>
        </w:rPr>
      </w:pPr>
    </w:p>
    <w:p>
      <w:pPr>
        <w:ind w:right="140" w:firstLine="246"/>
        <w:spacing w:after="0" w:line="251" w:lineRule="auto"/>
        <w:rPr>
          <w:sz w:val="20"/>
          <w:szCs w:val="20"/>
          <w:color w:val="auto"/>
        </w:rPr>
      </w:pPr>
      <w:r>
        <w:rPr>
          <w:rFonts w:ascii="Arial" w:cs="Arial" w:eastAsia="Arial" w:hAnsi="Arial"/>
          <w:sz w:val="19"/>
          <w:szCs w:val="19"/>
          <w:color w:val="auto"/>
        </w:rPr>
        <w:t>The Company adopted SFAS No. 157 "Fair Value Measurements" (primarily codified under ASC 820) as of November 3, 2008 for all financial assets and liabilities measured on both a recurring and nonrecurring basis, and for nonfinancial assets and liabilities measured on a recurring basis. This guidance defines fair value as the price that would be received to sell an asset or transfer a liability in an orderly transaction between market participants at the measurement date. It further prescribes that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162" w:lineRule="exact"/>
        <w:rPr>
          <w:sz w:val="20"/>
          <w:szCs w:val="20"/>
          <w:color w:val="auto"/>
        </w:rPr>
      </w:pPr>
    </w:p>
    <w:p>
      <w:pPr>
        <w:ind w:firstLine="238"/>
        <w:spacing w:after="0" w:line="242" w:lineRule="auto"/>
        <w:rPr>
          <w:sz w:val="20"/>
          <w:szCs w:val="20"/>
          <w:color w:val="auto"/>
        </w:rPr>
      </w:pPr>
      <w:r>
        <w:rPr>
          <w:rFonts w:ascii="Arial" w:cs="Arial" w:eastAsia="Arial" w:hAnsi="Arial"/>
          <w:sz w:val="20"/>
          <w:szCs w:val="20"/>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(in the case of an asset) or nonperformance risk.</w:t>
      </w:r>
    </w:p>
    <w:p>
      <w:pPr>
        <w:spacing w:after="0" w:line="169" w:lineRule="exact"/>
        <w:rPr>
          <w:sz w:val="20"/>
          <w:szCs w:val="20"/>
          <w:color w:val="auto"/>
        </w:rPr>
      </w:pPr>
    </w:p>
    <w:p>
      <w:pPr>
        <w:ind w:firstLine="246"/>
        <w:spacing w:after="0" w:line="267" w:lineRule="auto"/>
        <w:rPr>
          <w:sz w:val="20"/>
          <w:szCs w:val="20"/>
          <w:color w:val="auto"/>
        </w:rPr>
      </w:pPr>
      <w:r>
        <w:rPr>
          <w:rFonts w:ascii="Arial" w:cs="Arial" w:eastAsia="Arial" w:hAnsi="Arial"/>
          <w:sz w:val="18"/>
          <w:szCs w:val="18"/>
          <w:color w:val="auto"/>
        </w:rPr>
        <w:t>This guidance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Assessing the significance of a particular input to the fair value measurement in its entirety requires judgment, including the consideration of factors specific to the asset or liability. The hierarchy consists of the following three levels: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20"/>
          <w:szCs w:val="20"/>
          <w:u w:val="single" w:color="auto"/>
          <w:color w:val="auto"/>
        </w:rPr>
        <w:t>Level 1</w:t>
      </w:r>
      <w:r>
        <w:rPr>
          <w:rFonts w:ascii="Arial" w:cs="Arial" w:eastAsia="Arial" w:hAnsi="Arial"/>
          <w:sz w:val="20"/>
          <w:szCs w:val="20"/>
          <w:color w:val="auto"/>
        </w:rPr>
        <w:t xml:space="preserve"> - Inputs are prices in active markets that are accessible at the measurement date.</w:t>
      </w:r>
    </w:p>
    <w:p>
      <w:pPr>
        <w:spacing w:after="0" w:line="194" w:lineRule="exact"/>
        <w:rPr>
          <w:sz w:val="20"/>
          <w:szCs w:val="20"/>
          <w:color w:val="auto"/>
        </w:rPr>
      </w:pPr>
    </w:p>
    <w:p>
      <w:pPr>
        <w:ind w:right="240" w:firstLine="249"/>
        <w:spacing w:after="0" w:line="258" w:lineRule="auto"/>
        <w:rPr>
          <w:sz w:val="20"/>
          <w:szCs w:val="20"/>
          <w:color w:val="auto"/>
        </w:rPr>
      </w:pPr>
      <w:r>
        <w:rPr>
          <w:rFonts w:ascii="Arial" w:cs="Arial" w:eastAsia="Arial" w:hAnsi="Arial"/>
          <w:sz w:val="20"/>
          <w:szCs w:val="20"/>
          <w:u w:val="single" w:color="auto"/>
          <w:color w:val="auto"/>
        </w:rPr>
        <w:t>Level 2</w:t>
      </w:r>
      <w:r>
        <w:rPr>
          <w:rFonts w:ascii="Arial" w:cs="Arial" w:eastAsia="Arial" w:hAnsi="Arial"/>
          <w:sz w:val="20"/>
          <w:szCs w:val="20"/>
          <w:color w:val="auto"/>
        </w:rPr>
        <w:t xml:space="preserve"> - Inputs other than quoted prices included within Level 1 are observable for the asset or liability, either directly or indirectly. The Company's Level 2 liability consists of its common stock warrants.</w:t>
      </w:r>
    </w:p>
    <w:p>
      <w:pPr>
        <w:spacing w:after="0" w:line="154" w:lineRule="exact"/>
        <w:rPr>
          <w:sz w:val="20"/>
          <w:szCs w:val="20"/>
          <w:color w:val="auto"/>
        </w:rPr>
      </w:pPr>
    </w:p>
    <w:p>
      <w:pPr>
        <w:ind w:right="580" w:firstLine="249"/>
        <w:spacing w:after="0" w:line="258" w:lineRule="auto"/>
        <w:rPr>
          <w:sz w:val="20"/>
          <w:szCs w:val="20"/>
          <w:color w:val="auto"/>
        </w:rPr>
      </w:pPr>
      <w:r>
        <w:rPr>
          <w:rFonts w:ascii="Arial" w:cs="Arial" w:eastAsia="Arial" w:hAnsi="Arial"/>
          <w:sz w:val="20"/>
          <w:szCs w:val="20"/>
          <w:u w:val="single" w:color="auto"/>
          <w:color w:val="auto"/>
        </w:rPr>
        <w:t>Level 3</w:t>
      </w:r>
      <w:r>
        <w:rPr>
          <w:rFonts w:ascii="Arial" w:cs="Arial" w:eastAsia="Arial" w:hAnsi="Arial"/>
          <w:sz w:val="20"/>
          <w:szCs w:val="20"/>
          <w:color w:val="auto"/>
        </w:rPr>
        <w:t xml:space="preserve"> - Inputs are unobservable inputs for the asset or liability. The Company's Level 3 assets consist of a foreign bond fund that is reported in other current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and Liabilities Measured at Fair Value on a Recurring Basis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table below present assets and liabilities as of November 1, 2009 that are measured at fair value on a recurring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1"/>
              </w:rPr>
              <w:t>Quoted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4"/>
        </w:trPr>
        <w:tc>
          <w:tcPr>
            <w:tcW w:w="210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6"/>
              </w:rPr>
              <w:t>Prices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4"/>
        </w:trPr>
        <w:tc>
          <w:tcPr>
            <w:tcW w:w="210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1"/>
              </w:rPr>
              <w:t>in Active</w:t>
            </w:r>
          </w:p>
        </w:tc>
        <w:tc>
          <w:tcPr>
            <w:tcW w:w="120" w:type="dxa"/>
            <w:vAlign w:val="bottom"/>
          </w:tcPr>
          <w:p>
            <w:pPr>
              <w:spacing w:after="0"/>
              <w:rPr>
                <w:sz w:val="19"/>
                <w:szCs w:val="19"/>
                <w:color w:val="auto"/>
              </w:rPr>
            </w:pPr>
          </w:p>
        </w:tc>
        <w:tc>
          <w:tcPr>
            <w:tcW w:w="100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89"/>
              </w:rPr>
              <w:t>Significant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4"/>
        </w:trPr>
        <w:tc>
          <w:tcPr>
            <w:tcW w:w="210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5"/>
              </w:rPr>
              <w:t>Markets</w:t>
            </w:r>
          </w:p>
        </w:tc>
        <w:tc>
          <w:tcPr>
            <w:tcW w:w="120" w:type="dxa"/>
            <w:vAlign w:val="bottom"/>
          </w:tcPr>
          <w:p>
            <w:pPr>
              <w:spacing w:after="0"/>
              <w:rPr>
                <w:sz w:val="19"/>
                <w:szCs w:val="19"/>
                <w:color w:val="auto"/>
              </w:rPr>
            </w:pPr>
          </w:p>
        </w:tc>
        <w:tc>
          <w:tcPr>
            <w:tcW w:w="860" w:type="dxa"/>
            <w:vAlign w:val="bottom"/>
          </w:tcPr>
          <w:p>
            <w:pPr>
              <w:jc w:val="center"/>
              <w:ind w:left="20"/>
              <w:spacing w:after="0" w:line="225" w:lineRule="exact"/>
              <w:rPr>
                <w:sz w:val="20"/>
                <w:szCs w:val="20"/>
                <w:color w:val="auto"/>
              </w:rPr>
            </w:pPr>
            <w:r>
              <w:rPr>
                <w:rFonts w:ascii="Arial" w:cs="Arial" w:eastAsia="Arial" w:hAnsi="Arial"/>
                <w:sz w:val="20"/>
                <w:szCs w:val="20"/>
                <w:b w:val="1"/>
                <w:bCs w:val="1"/>
                <w:color w:val="auto"/>
                <w:w w:val="93"/>
              </w:rPr>
              <w:t>Other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89"/>
              </w:rPr>
              <w:t>Significant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4"/>
        </w:trPr>
        <w:tc>
          <w:tcPr>
            <w:tcW w:w="210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3"/>
              </w:rPr>
              <w:t>for Identical</w:t>
            </w:r>
          </w:p>
        </w:tc>
        <w:tc>
          <w:tcPr>
            <w:tcW w:w="120" w:type="dxa"/>
            <w:vAlign w:val="bottom"/>
          </w:tcPr>
          <w:p>
            <w:pPr>
              <w:spacing w:after="0"/>
              <w:rPr>
                <w:sz w:val="19"/>
                <w:szCs w:val="19"/>
                <w:color w:val="auto"/>
              </w:rPr>
            </w:pPr>
          </w:p>
        </w:tc>
        <w:tc>
          <w:tcPr>
            <w:tcW w:w="100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89"/>
              </w:rPr>
              <w:t>Observable</w:t>
            </w:r>
          </w:p>
        </w:tc>
        <w:tc>
          <w:tcPr>
            <w:tcW w:w="12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87"/>
              </w:rPr>
              <w:t>Unobservable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4"/>
        </w:trPr>
        <w:tc>
          <w:tcPr>
            <w:tcW w:w="210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90"/>
              </w:rPr>
              <w:t>Instruments</w:t>
            </w:r>
          </w:p>
        </w:tc>
        <w:tc>
          <w:tcPr>
            <w:tcW w:w="120" w:type="dxa"/>
            <w:vAlign w:val="bottom"/>
          </w:tcPr>
          <w:p>
            <w:pPr>
              <w:spacing w:after="0"/>
              <w:rPr>
                <w:sz w:val="19"/>
                <w:szCs w:val="19"/>
                <w:color w:val="auto"/>
              </w:rPr>
            </w:pPr>
          </w:p>
        </w:tc>
        <w:tc>
          <w:tcPr>
            <w:tcW w:w="860" w:type="dxa"/>
            <w:vAlign w:val="bottom"/>
          </w:tcPr>
          <w:p>
            <w:pPr>
              <w:jc w:val="center"/>
              <w:ind w:left="20"/>
              <w:spacing w:after="0" w:line="225" w:lineRule="exact"/>
              <w:rPr>
                <w:sz w:val="20"/>
                <w:szCs w:val="20"/>
                <w:color w:val="auto"/>
              </w:rPr>
            </w:pPr>
            <w:r>
              <w:rPr>
                <w:rFonts w:ascii="Arial" w:cs="Arial" w:eastAsia="Arial" w:hAnsi="Arial"/>
                <w:sz w:val="20"/>
                <w:szCs w:val="20"/>
                <w:b w:val="1"/>
                <w:bCs w:val="1"/>
                <w:color w:val="auto"/>
                <w:w w:val="89"/>
              </w:rPr>
              <w:t>Inputs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left="220"/>
              <w:spacing w:after="0" w:line="225" w:lineRule="exact"/>
              <w:rPr>
                <w:sz w:val="20"/>
                <w:szCs w:val="20"/>
                <w:color w:val="auto"/>
              </w:rPr>
            </w:pPr>
            <w:r>
              <w:rPr>
                <w:rFonts w:ascii="Arial" w:cs="Arial" w:eastAsia="Arial" w:hAnsi="Arial"/>
                <w:sz w:val="20"/>
                <w:szCs w:val="20"/>
                <w:b w:val="1"/>
                <w:bCs w:val="1"/>
                <w:color w:val="auto"/>
                <w:w w:val="93"/>
              </w:rPr>
              <w:t>Inputs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60"/>
        </w:trPr>
        <w:tc>
          <w:tcPr>
            <w:tcW w:w="2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1"/>
              </w:rPr>
              <w:t>(Level 1)</w:t>
            </w:r>
          </w:p>
        </w:tc>
        <w:tc>
          <w:tcPr>
            <w:tcW w:w="120" w:type="dxa"/>
            <w:vAlign w:val="bottom"/>
          </w:tcPr>
          <w:p>
            <w:pPr>
              <w:spacing w:after="0"/>
              <w:rPr>
                <w:sz w:val="22"/>
                <w:szCs w:val="22"/>
                <w:color w:val="auto"/>
              </w:rPr>
            </w:pPr>
          </w:p>
        </w:tc>
        <w:tc>
          <w:tcPr>
            <w:tcW w:w="860" w:type="dxa"/>
            <w:vAlign w:val="bottom"/>
          </w:tcPr>
          <w:p>
            <w:pPr>
              <w:jc w:val="center"/>
              <w:ind w:left="20"/>
              <w:spacing w:after="0"/>
              <w:rPr>
                <w:sz w:val="20"/>
                <w:szCs w:val="20"/>
                <w:color w:val="auto"/>
              </w:rPr>
            </w:pPr>
            <w:r>
              <w:rPr>
                <w:rFonts w:ascii="Arial" w:cs="Arial" w:eastAsia="Arial" w:hAnsi="Arial"/>
                <w:sz w:val="20"/>
                <w:szCs w:val="20"/>
                <w:b w:val="1"/>
                <w:bCs w:val="1"/>
                <w:color w:val="auto"/>
                <w:w w:val="91"/>
              </w:rPr>
              <w:t>(Level 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3"/>
              </w:rPr>
              <w:t>(Level 3)</w:t>
            </w:r>
          </w:p>
        </w:tc>
        <w:tc>
          <w:tcPr>
            <w:tcW w:w="1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Total</w:t>
            </w:r>
          </w:p>
        </w:tc>
      </w:tr>
      <w:tr>
        <w:trPr>
          <w:trHeight w:val="90"/>
        </w:trPr>
        <w:tc>
          <w:tcPr>
            <w:tcW w:w="21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563"/>
        </w:trPr>
        <w:tc>
          <w:tcPr>
            <w:tcW w:w="2100" w:type="dxa"/>
            <w:vAlign w:val="bottom"/>
          </w:tcPr>
          <w:p>
            <w:pPr>
              <w:spacing w:after="0"/>
              <w:rPr>
                <w:sz w:val="20"/>
                <w:szCs w:val="20"/>
                <w:color w:val="auto"/>
              </w:rPr>
            </w:pPr>
            <w:r>
              <w:rPr>
                <w:rFonts w:ascii="Arial" w:cs="Arial" w:eastAsia="Arial" w:hAnsi="Arial"/>
                <w:sz w:val="20"/>
                <w:szCs w:val="20"/>
                <w:color w:val="auto"/>
              </w:rPr>
              <w:t>Foreign bond fund</w:t>
            </w:r>
          </w:p>
        </w:tc>
        <w:tc>
          <w:tcPr>
            <w:tcW w:w="1100" w:type="dxa"/>
            <w:vAlign w:val="bottom"/>
          </w:tcPr>
          <w:p>
            <w:pPr>
              <w:jc w:val="right"/>
              <w:spacing w:after="0"/>
              <w:rPr>
                <w:sz w:val="20"/>
                <w:szCs w:val="20"/>
                <w:color w:val="auto"/>
              </w:rPr>
            </w:pPr>
            <w:r>
              <w:rPr>
                <w:rFonts w:ascii="Arial" w:cs="Arial" w:eastAsia="Arial" w:hAnsi="Arial"/>
                <w:sz w:val="20"/>
                <w:szCs w:val="20"/>
                <w:color w:val="auto"/>
              </w:rPr>
              <w:t>$ -</w:t>
            </w:r>
          </w:p>
        </w:tc>
        <w:tc>
          <w:tcPr>
            <w:tcW w:w="98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center"/>
              <w:ind w:left="320"/>
              <w:spacing w:after="0"/>
              <w:rPr>
                <w:sz w:val="20"/>
                <w:szCs w:val="20"/>
                <w:color w:val="auto"/>
              </w:rPr>
            </w:pPr>
            <w:r>
              <w:rPr>
                <w:rFonts w:ascii="Arial" w:cs="Arial" w:eastAsia="Arial" w:hAnsi="Arial"/>
                <w:sz w:val="20"/>
                <w:szCs w:val="20"/>
                <w:color w:val="auto"/>
                <w:w w:val="89"/>
              </w:rPr>
              <w:t>$</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148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90"/>
        </w:trPr>
        <w:tc>
          <w:tcPr>
            <w:tcW w:w="210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336699"/>
            </w:tcBorders>
          </w:tcPr>
          <w:p>
            <w:pPr>
              <w:spacing w:after="0"/>
              <w:rPr>
                <w:sz w:val="7"/>
                <w:szCs w:val="7"/>
                <w:color w:val="auto"/>
              </w:rPr>
            </w:pPr>
          </w:p>
        </w:tc>
        <w:tc>
          <w:tcPr>
            <w:tcW w:w="1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336699"/>
            </w:tcBorders>
          </w:tcPr>
          <w:p>
            <w:pPr>
              <w:spacing w:after="0"/>
              <w:rPr>
                <w:sz w:val="7"/>
                <w:szCs w:val="7"/>
                <w:color w:val="auto"/>
              </w:rPr>
            </w:pPr>
          </w:p>
        </w:tc>
        <w:tc>
          <w:tcPr>
            <w:tcW w:w="34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336699"/>
            </w:tcBorders>
          </w:tcPr>
          <w:p>
            <w:pPr>
              <w:spacing w:after="0"/>
              <w:rPr>
                <w:sz w:val="7"/>
                <w:szCs w:val="7"/>
                <w:color w:val="auto"/>
              </w:rPr>
            </w:pPr>
          </w:p>
        </w:tc>
        <w:tc>
          <w:tcPr>
            <w:tcW w:w="480" w:type="dxa"/>
            <w:vAlign w:val="bottom"/>
            <w:tcBorders>
              <w:bottom w:val="single" w:sz="8" w:color="336699"/>
            </w:tcBorders>
          </w:tcPr>
          <w:p>
            <w:pPr>
              <w:spacing w:after="0"/>
              <w:rPr>
                <w:sz w:val="7"/>
                <w:szCs w:val="7"/>
                <w:color w:val="auto"/>
              </w:rPr>
            </w:pPr>
          </w:p>
        </w:tc>
      </w:tr>
      <w:tr>
        <w:trPr>
          <w:trHeight w:val="339"/>
        </w:trPr>
        <w:tc>
          <w:tcPr>
            <w:tcW w:w="2100" w:type="dxa"/>
            <w:vAlign w:val="bottom"/>
          </w:tcPr>
          <w:p>
            <w:pPr>
              <w:spacing w:after="0"/>
              <w:rPr>
                <w:sz w:val="20"/>
                <w:szCs w:val="20"/>
                <w:color w:val="auto"/>
              </w:rPr>
            </w:pPr>
            <w:r>
              <w:rPr>
                <w:rFonts w:ascii="Arial" w:cs="Arial" w:eastAsia="Arial" w:hAnsi="Arial"/>
                <w:sz w:val="20"/>
                <w:szCs w:val="20"/>
                <w:color w:val="auto"/>
              </w:rPr>
              <w:t>Total assets</w:t>
            </w:r>
          </w:p>
        </w:tc>
        <w:tc>
          <w:tcPr>
            <w:tcW w:w="1100" w:type="dxa"/>
            <w:vAlign w:val="bottom"/>
          </w:tcPr>
          <w:p>
            <w:pPr>
              <w:jc w:val="right"/>
              <w:spacing w:after="0"/>
              <w:rPr>
                <w:sz w:val="20"/>
                <w:szCs w:val="20"/>
                <w:color w:val="auto"/>
              </w:rPr>
            </w:pPr>
            <w:r>
              <w:rPr>
                <w:rFonts w:ascii="Arial" w:cs="Arial" w:eastAsia="Arial" w:hAnsi="Arial"/>
                <w:sz w:val="20"/>
                <w:szCs w:val="20"/>
                <w:color w:val="auto"/>
              </w:rPr>
              <w:t>$ -</w:t>
            </w:r>
          </w:p>
        </w:tc>
        <w:tc>
          <w:tcPr>
            <w:tcW w:w="98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center"/>
              <w:ind w:left="320"/>
              <w:spacing w:after="0"/>
              <w:rPr>
                <w:sz w:val="20"/>
                <w:szCs w:val="20"/>
                <w:color w:val="auto"/>
              </w:rPr>
            </w:pPr>
            <w:r>
              <w:rPr>
                <w:rFonts w:ascii="Arial" w:cs="Arial" w:eastAsia="Arial" w:hAnsi="Arial"/>
                <w:sz w:val="20"/>
                <w:szCs w:val="20"/>
                <w:color w:val="auto"/>
                <w:w w:val="89"/>
              </w:rPr>
              <w:t>$</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148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111"/>
        </w:trPr>
        <w:tc>
          <w:tcPr>
            <w:tcW w:w="2100" w:type="dxa"/>
            <w:vAlign w:val="bottom"/>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336699"/>
            </w:tcBorders>
          </w:tcPr>
          <w:p>
            <w:pPr>
              <w:spacing w:after="0"/>
              <w:rPr>
                <w:sz w:val="9"/>
                <w:szCs w:val="9"/>
                <w:color w:val="auto"/>
              </w:rPr>
            </w:pPr>
          </w:p>
        </w:tc>
        <w:tc>
          <w:tcPr>
            <w:tcW w:w="14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34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336699"/>
            </w:tcBorders>
          </w:tcPr>
          <w:p>
            <w:pPr>
              <w:spacing w:after="0"/>
              <w:rPr>
                <w:sz w:val="9"/>
                <w:szCs w:val="9"/>
                <w:color w:val="auto"/>
              </w:rPr>
            </w:pPr>
          </w:p>
        </w:tc>
        <w:tc>
          <w:tcPr>
            <w:tcW w:w="48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-27940</wp:posOffset>
            </wp:positionV>
            <wp:extent cx="12700" cy="285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-27940</wp:posOffset>
            </wp:positionV>
            <wp:extent cx="12700" cy="285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-27940</wp:posOffset>
            </wp:positionV>
            <wp:extent cx="12700" cy="285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-27940</wp:posOffset>
            </wp:positionV>
            <wp:extent cx="12700" cy="28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-27940</wp:posOffset>
            </wp:positionV>
            <wp:extent cx="12700" cy="285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2822575</wp:posOffset>
            </wp:positionH>
            <wp:positionV relativeFrom="paragraph">
              <wp:posOffset>-27940</wp:posOffset>
            </wp:positionV>
            <wp:extent cx="12700" cy="285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-27940</wp:posOffset>
            </wp:positionV>
            <wp:extent cx="12700" cy="285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-27940</wp:posOffset>
            </wp:positionV>
            <wp:extent cx="12700" cy="285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20"/>
          </w:cols>
          <w:pgMar w:left="240" w:top="538"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5"/>
        </w:trPr>
        <w:tc>
          <w:tcPr>
            <w:tcW w:w="2100" w:type="dxa"/>
            <w:vAlign w:val="bottom"/>
          </w:tcPr>
          <w:p>
            <w:pPr>
              <w:spacing w:after="0"/>
              <w:rPr>
                <w:sz w:val="20"/>
                <w:szCs w:val="20"/>
                <w:color w:val="auto"/>
              </w:rPr>
            </w:pPr>
            <w:r>
              <w:rPr>
                <w:rFonts w:ascii="Arial" w:cs="Arial" w:eastAsia="Arial" w:hAnsi="Arial"/>
                <w:sz w:val="20"/>
                <w:szCs w:val="20"/>
                <w:color w:val="auto"/>
                <w:w w:val="96"/>
              </w:rPr>
              <w:t>Common stock warrants</w:t>
            </w:r>
          </w:p>
        </w:tc>
        <w:tc>
          <w:tcPr>
            <w:tcW w:w="1100" w:type="dxa"/>
            <w:vAlign w:val="bottom"/>
          </w:tcPr>
          <w:p>
            <w:pPr>
              <w:jc w:val="right"/>
              <w:spacing w:after="0"/>
              <w:rPr>
                <w:sz w:val="20"/>
                <w:szCs w:val="20"/>
                <w:color w:val="auto"/>
              </w:rPr>
            </w:pPr>
            <w:r>
              <w:rPr>
                <w:rFonts w:ascii="Arial" w:cs="Arial" w:eastAsia="Arial" w:hAnsi="Arial"/>
                <w:sz w:val="20"/>
                <w:szCs w:val="20"/>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$(3,205)</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20"/>
                <w:szCs w:val="20"/>
                <w:color w:val="auto"/>
              </w:rPr>
              <w:t>$(3,205)</w:t>
            </w:r>
          </w:p>
        </w:tc>
      </w:tr>
      <w:tr>
        <w:trPr>
          <w:trHeight w:val="90"/>
        </w:trPr>
        <w:tc>
          <w:tcPr>
            <w:tcW w:w="2100" w:type="dxa"/>
            <w:vAlign w:val="bottom"/>
          </w:tcPr>
          <w:p>
            <w:pPr>
              <w:spacing w:after="0"/>
              <w:rPr>
                <w:sz w:val="7"/>
                <w:szCs w:val="7"/>
                <w:color w:val="auto"/>
              </w:rPr>
            </w:pPr>
          </w:p>
        </w:tc>
        <w:tc>
          <w:tcPr>
            <w:tcW w:w="11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336699"/>
            </w:tcBorders>
          </w:tcPr>
          <w:p>
            <w:pPr>
              <w:spacing w:after="0"/>
              <w:rPr>
                <w:sz w:val="7"/>
                <w:szCs w:val="7"/>
                <w:color w:val="auto"/>
              </w:rPr>
            </w:pPr>
          </w:p>
        </w:tc>
        <w:tc>
          <w:tcPr>
            <w:tcW w:w="320" w:type="dxa"/>
            <w:vAlign w:val="bottom"/>
            <w:tcBorders>
              <w:bottom w:val="single" w:sz="8" w:color="336699"/>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336699"/>
            </w:tcBorders>
          </w:tcPr>
          <w:p>
            <w:pPr>
              <w:spacing w:after="0"/>
              <w:rPr>
                <w:sz w:val="7"/>
                <w:szCs w:val="7"/>
                <w:color w:val="auto"/>
              </w:rPr>
            </w:pPr>
          </w:p>
        </w:tc>
      </w:tr>
      <w:tr>
        <w:trPr>
          <w:trHeight w:val="339"/>
        </w:trPr>
        <w:tc>
          <w:tcPr>
            <w:tcW w:w="2100" w:type="dxa"/>
            <w:vAlign w:val="bottom"/>
          </w:tcPr>
          <w:p>
            <w:pPr>
              <w:spacing w:after="0"/>
              <w:rPr>
                <w:sz w:val="20"/>
                <w:szCs w:val="20"/>
                <w:color w:val="auto"/>
              </w:rPr>
            </w:pPr>
            <w:r>
              <w:rPr>
                <w:rFonts w:ascii="Arial" w:cs="Arial" w:eastAsia="Arial" w:hAnsi="Arial"/>
                <w:sz w:val="20"/>
                <w:szCs w:val="20"/>
                <w:color w:val="auto"/>
              </w:rPr>
              <w:t>Total liabilities</w:t>
            </w:r>
          </w:p>
        </w:tc>
        <w:tc>
          <w:tcPr>
            <w:tcW w:w="1100" w:type="dxa"/>
            <w:vAlign w:val="bottom"/>
          </w:tcPr>
          <w:p>
            <w:pPr>
              <w:jc w:val="right"/>
              <w:spacing w:after="0"/>
              <w:rPr>
                <w:sz w:val="20"/>
                <w:szCs w:val="20"/>
                <w:color w:val="auto"/>
              </w:rPr>
            </w:pPr>
            <w:r>
              <w:rPr>
                <w:rFonts w:ascii="Arial" w:cs="Arial" w:eastAsia="Arial" w:hAnsi="Arial"/>
                <w:sz w:val="20"/>
                <w:szCs w:val="20"/>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$(3,205)</w:t>
            </w:r>
          </w:p>
        </w:tc>
        <w:tc>
          <w:tcPr>
            <w:tcW w:w="10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20"/>
                <w:szCs w:val="20"/>
                <w:color w:val="auto"/>
              </w:rPr>
              <w:t>$(3,205)</w:t>
            </w:r>
          </w:p>
        </w:tc>
      </w:tr>
      <w:tr>
        <w:trPr>
          <w:trHeight w:val="111"/>
        </w:trPr>
        <w:tc>
          <w:tcPr>
            <w:tcW w:w="2100" w:type="dxa"/>
            <w:vAlign w:val="bottom"/>
          </w:tcPr>
          <w:p>
            <w:pPr>
              <w:spacing w:after="0"/>
              <w:rPr>
                <w:sz w:val="9"/>
                <w:szCs w:val="9"/>
                <w:color w:val="auto"/>
              </w:rPr>
            </w:pPr>
          </w:p>
        </w:tc>
        <w:tc>
          <w:tcPr>
            <w:tcW w:w="11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c>
          <w:tcPr>
            <w:tcW w:w="320" w:type="dxa"/>
            <w:vAlign w:val="bottom"/>
            <w:tcBorders>
              <w:bottom w:val="single" w:sz="8" w:color="336699"/>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33669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-27940</wp:posOffset>
            </wp:positionV>
            <wp:extent cx="12700" cy="285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1334770</wp:posOffset>
            </wp:positionH>
            <wp:positionV relativeFrom="paragraph">
              <wp:posOffset>-27940</wp:posOffset>
            </wp:positionV>
            <wp:extent cx="12700" cy="285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-27940</wp:posOffset>
            </wp:positionV>
            <wp:extent cx="12700" cy="285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-27940</wp:posOffset>
            </wp:positionV>
            <wp:extent cx="12700" cy="285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-27940</wp:posOffset>
            </wp:positionV>
            <wp:extent cx="12700" cy="285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2822575</wp:posOffset>
            </wp:positionH>
            <wp:positionV relativeFrom="paragraph">
              <wp:posOffset>-27940</wp:posOffset>
            </wp:positionV>
            <wp:extent cx="12700" cy="28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-27940</wp:posOffset>
            </wp:positionV>
            <wp:extent cx="12700" cy="285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-27940</wp:posOffset>
            </wp:positionV>
            <wp:extent cx="12700" cy="285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firstLine="246"/>
        <w:spacing w:after="0" w:line="242" w:lineRule="auto"/>
        <w:rPr>
          <w:sz w:val="20"/>
          <w:szCs w:val="20"/>
          <w:color w:val="auto"/>
        </w:rPr>
      </w:pPr>
      <w:r>
        <w:rPr>
          <w:rFonts w:ascii="Arial" w:cs="Arial" w:eastAsia="Arial" w:hAnsi="Arial"/>
          <w:sz w:val="20"/>
          <w:szCs w:val="20"/>
          <w:color w:val="auto"/>
        </w:rPr>
        <w:t>The foreign bond fund above represents the Company's investment in a fund for which there is currently no active market. The fair value presented represents the Company's estimate of its value based upon management's judgment. The fair value of the warrant liability was determined using the Black-Scholes option pricing model. Significant inputs to the model include the market price and volatility of the Company's common stock at the measurement date.</w:t>
      </w:r>
    </w:p>
    <w:p>
      <w:pPr>
        <w:spacing w:after="0" w:line="169" w:lineRule="exact"/>
        <w:rPr>
          <w:sz w:val="20"/>
          <w:szCs w:val="20"/>
          <w:color w:val="auto"/>
        </w:rPr>
      </w:pPr>
    </w:p>
    <w:p>
      <w:pPr>
        <w:ind w:right="220" w:firstLine="249"/>
        <w:spacing w:after="0" w:line="258" w:lineRule="auto"/>
        <w:rPr>
          <w:sz w:val="20"/>
          <w:szCs w:val="20"/>
          <w:color w:val="auto"/>
        </w:rPr>
      </w:pPr>
      <w:r>
        <w:rPr>
          <w:rFonts w:ascii="Arial" w:cs="Arial" w:eastAsia="Arial" w:hAnsi="Arial"/>
          <w:sz w:val="20"/>
          <w:szCs w:val="20"/>
          <w:color w:val="auto"/>
        </w:rPr>
        <w:t>Unrealized losses related to the foreign bond fund are included in accumulated other comprehensive income. Gains and losses related to exercises of, and fair value adjustments to, the warrant liability are included in other income (expense), net.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and Liabilities Measured at Fair Value on a Nonrecurring Basis</w:t>
      </w:r>
    </w:p>
    <w:p>
      <w:pPr>
        <w:spacing w:after="0" w:line="194" w:lineRule="exact"/>
        <w:rPr>
          <w:sz w:val="20"/>
          <w:szCs w:val="20"/>
          <w:color w:val="auto"/>
        </w:rPr>
      </w:pPr>
    </w:p>
    <w:p>
      <w:pPr>
        <w:ind w:firstLine="249"/>
        <w:spacing w:after="0" w:line="252" w:lineRule="auto"/>
        <w:rPr>
          <w:sz w:val="20"/>
          <w:szCs w:val="20"/>
          <w:color w:val="auto"/>
        </w:rPr>
      </w:pPr>
      <w:r>
        <w:rPr>
          <w:rFonts w:ascii="Arial" w:cs="Arial" w:eastAsia="Arial" w:hAnsi="Arial"/>
          <w:sz w:val="19"/>
          <w:szCs w:val="19"/>
          <w:color w:val="auto"/>
        </w:rPr>
        <w:t>Under the Company's restructuring initiatives discussed in Note 12, certain long-lived assets have been measured at and reported at their fair values. However, these are not included in the table presented above as the Company, as was allowed under FSP FAS 157-2 (codified under ASC 820), has elected to defer the effective date for applying this guidance to nonfinancial assets and liabilities that are recognized or disclosed at fair value on a nonrecurring basis until its fiscal year ending October 31, 2010. This deferral applies to such items as nonfinancial assets initially measured at fair value in a business combination and nonfinancial long-lived asset groups measured at fair value for an impairment assessment that are not measured at fair value in subsequent periods. The Company does not anticipate that its adoption of this guidance will have a material effect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Other Financial Instruments</w:t>
      </w:r>
    </w:p>
    <w:p>
      <w:pPr>
        <w:spacing w:after="0" w:line="194" w:lineRule="exact"/>
        <w:rPr>
          <w:sz w:val="20"/>
          <w:szCs w:val="20"/>
          <w:color w:val="auto"/>
        </w:rPr>
      </w:pPr>
    </w:p>
    <w:p>
      <w:pPr>
        <w:ind w:right="80" w:firstLine="246"/>
        <w:spacing w:after="0" w:line="278"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As of November 1, 2009, the estimated fair value of the Company's outstanding 5.5% convertible senior notes was approximately $63.3 million.</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080"/>
        <w:spacing w:after="0"/>
        <w:rPr>
          <w:sz w:val="20"/>
          <w:szCs w:val="20"/>
          <w:color w:val="auto"/>
        </w:rPr>
      </w:pPr>
      <w:r>
        <w:rPr>
          <w:rFonts w:ascii="Arial" w:cs="Arial" w:eastAsia="Arial" w:hAnsi="Arial"/>
          <w:sz w:val="19"/>
          <w:szCs w:val="19"/>
          <w:b w:val="1"/>
          <w:bCs w:val="1"/>
          <w:color w:val="auto"/>
        </w:rPr>
        <w:t>NOTE 21 - QUARTERLY RESULTS OF OPERATIONS (UNAUDITED)</w:t>
      </w:r>
    </w:p>
    <w:p>
      <w:pPr>
        <w:spacing w:after="0" w:line="211" w:lineRule="exact"/>
        <w:rPr>
          <w:sz w:val="20"/>
          <w:szCs w:val="20"/>
          <w:color w:val="auto"/>
        </w:rPr>
      </w:pPr>
    </w:p>
    <w:p>
      <w:pPr>
        <w:jc w:val="center"/>
        <w:ind w:right="5080"/>
        <w:spacing w:after="0"/>
        <w:rPr>
          <w:sz w:val="20"/>
          <w:szCs w:val="20"/>
          <w:color w:val="auto"/>
        </w:rPr>
      </w:pPr>
      <w:r>
        <w:rPr>
          <w:rFonts w:ascii="Arial" w:cs="Arial" w:eastAsia="Arial" w:hAnsi="Arial"/>
          <w:sz w:val="19"/>
          <w:szCs w:val="19"/>
          <w:color w:val="auto"/>
        </w:rPr>
        <w:t>The following table sets forth certain unaudited quarterly financial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200" w:type="dxa"/>
            <w:vAlign w:val="bottom"/>
          </w:tcPr>
          <w:p>
            <w:pPr>
              <w:spacing w:after="0"/>
              <w:rPr>
                <w:sz w:val="22"/>
                <w:szCs w:val="22"/>
                <w:color w:val="auto"/>
              </w:rPr>
            </w:pPr>
          </w:p>
        </w:tc>
        <w:tc>
          <w:tcPr>
            <w:tcW w:w="820" w:type="dxa"/>
            <w:vAlign w:val="bottom"/>
          </w:tcPr>
          <w:p>
            <w:pPr>
              <w:jc w:val="right"/>
              <w:ind w:right="120"/>
              <w:spacing w:after="0"/>
              <w:rPr>
                <w:sz w:val="20"/>
                <w:szCs w:val="20"/>
                <w:color w:val="auto"/>
              </w:rPr>
            </w:pPr>
            <w:r>
              <w:rPr>
                <w:rFonts w:ascii="Arial" w:cs="Arial" w:eastAsia="Arial" w:hAnsi="Arial"/>
                <w:sz w:val="20"/>
                <w:szCs w:val="20"/>
                <w:b w:val="1"/>
                <w:bCs w:val="1"/>
                <w:color w:val="auto"/>
              </w:rPr>
              <w:t>First</w:t>
            </w:r>
          </w:p>
        </w:tc>
        <w:tc>
          <w:tcPr>
            <w:tcW w:w="12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b w:val="1"/>
                <w:bCs w:val="1"/>
                <w:color w:val="auto"/>
                <w:w w:val="94"/>
              </w:rPr>
              <w:t>Second</w:t>
            </w:r>
          </w:p>
        </w:tc>
        <w:tc>
          <w:tcPr>
            <w:tcW w:w="12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20"/>
                <w:szCs w:val="20"/>
                <w:b w:val="1"/>
                <w:bCs w:val="1"/>
                <w:color w:val="auto"/>
              </w:rPr>
              <w:t>Third</w:t>
            </w:r>
          </w:p>
        </w:tc>
        <w:tc>
          <w:tcPr>
            <w:tcW w:w="120" w:type="dxa"/>
            <w:vAlign w:val="bottom"/>
          </w:tcPr>
          <w:p>
            <w:pPr>
              <w:spacing w:after="0"/>
              <w:rPr>
                <w:sz w:val="22"/>
                <w:szCs w:val="22"/>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b w:val="1"/>
                <w:bCs w:val="1"/>
                <w:color w:val="auto"/>
              </w:rPr>
              <w:t>Fourth</w:t>
            </w:r>
          </w:p>
        </w:tc>
        <w:tc>
          <w:tcPr>
            <w:tcW w:w="140" w:type="dxa"/>
            <w:vAlign w:val="bottom"/>
          </w:tcPr>
          <w:p>
            <w:pPr>
              <w:spacing w:after="0"/>
              <w:rPr>
                <w:sz w:val="22"/>
                <w:szCs w:val="22"/>
                <w:color w:val="auto"/>
              </w:rPr>
            </w:pPr>
          </w:p>
        </w:tc>
        <w:tc>
          <w:tcPr>
            <w:tcW w:w="860" w:type="dxa"/>
            <w:vAlign w:val="bottom"/>
          </w:tcPr>
          <w:p>
            <w:pPr>
              <w:jc w:val="right"/>
              <w:ind w:right="140"/>
              <w:spacing w:after="0"/>
              <w:rPr>
                <w:sz w:val="20"/>
                <w:szCs w:val="20"/>
                <w:color w:val="auto"/>
              </w:rPr>
            </w:pPr>
            <w:r>
              <w:rPr>
                <w:rFonts w:ascii="Arial" w:cs="Arial" w:eastAsia="Arial" w:hAnsi="Arial"/>
                <w:sz w:val="20"/>
                <w:szCs w:val="20"/>
                <w:b w:val="1"/>
                <w:bCs w:val="1"/>
                <w:color w:val="auto"/>
              </w:rPr>
              <w:t>Year</w:t>
            </w:r>
          </w:p>
        </w:tc>
      </w:tr>
      <w:tr>
        <w:trPr>
          <w:trHeight w:val="90"/>
        </w:trPr>
        <w:tc>
          <w:tcPr>
            <w:tcW w:w="22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339"/>
        </w:trPr>
        <w:tc>
          <w:tcPr>
            <w:tcW w:w="2200" w:type="dxa"/>
            <w:vAlign w:val="bottom"/>
          </w:tcPr>
          <w:p>
            <w:pPr>
              <w:spacing w:after="0"/>
              <w:rPr>
                <w:sz w:val="20"/>
                <w:szCs w:val="20"/>
                <w:color w:val="auto"/>
              </w:rPr>
            </w:pPr>
            <w:r>
              <w:rPr>
                <w:rFonts w:ascii="Arial" w:cs="Arial" w:eastAsia="Arial" w:hAnsi="Arial"/>
                <w:sz w:val="20"/>
                <w:szCs w:val="20"/>
                <w:b w:val="1"/>
                <w:bCs w:val="1"/>
                <w:color w:val="auto"/>
              </w:rPr>
              <w:t>Fiscal 2009:</w:t>
            </w:r>
          </w:p>
        </w:tc>
        <w:tc>
          <w:tcPr>
            <w:tcW w:w="820" w:type="dxa"/>
            <w:vAlign w:val="bottom"/>
          </w:tcPr>
          <w:p>
            <w:pPr>
              <w:jc w:val="right"/>
              <w:ind w:right="220"/>
              <w:spacing w:after="0"/>
              <w:rPr>
                <w:sz w:val="20"/>
                <w:szCs w:val="20"/>
                <w:color w:val="auto"/>
              </w:rPr>
            </w:pPr>
            <w:r>
              <w:rPr>
                <w:rFonts w:ascii="Arial" w:cs="Arial" w:eastAsia="Arial" w:hAnsi="Arial"/>
                <w:sz w:val="20"/>
                <w:szCs w:val="20"/>
                <w:b w:val="1"/>
                <w:bCs w:val="1"/>
                <w:color w:val="auto"/>
              </w:rPr>
              <w:t>(a)</w:t>
            </w:r>
          </w:p>
        </w:tc>
        <w:tc>
          <w:tcPr>
            <w:tcW w:w="12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20"/>
                <w:szCs w:val="20"/>
                <w:b w:val="1"/>
                <w:bCs w:val="1"/>
                <w:color w:val="auto"/>
              </w:rPr>
              <w:t>(b) (c)</w:t>
            </w:r>
          </w:p>
        </w:tc>
        <w:tc>
          <w:tcPr>
            <w:tcW w:w="12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Arial" w:cs="Arial" w:eastAsia="Arial" w:hAnsi="Arial"/>
                <w:sz w:val="20"/>
                <w:szCs w:val="20"/>
                <w:b w:val="1"/>
                <w:bCs w:val="1"/>
                <w:color w:val="auto"/>
              </w:rPr>
              <w:t>(d) (e)</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4"/>
              </w:rPr>
              <w:t>(f) (g) (h)</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(h) (i) (j)</w:t>
            </w:r>
          </w:p>
        </w:tc>
      </w:tr>
      <w:tr>
        <w:trPr>
          <w:trHeight w:val="419"/>
        </w:trPr>
        <w:tc>
          <w:tcPr>
            <w:tcW w:w="2200" w:type="dxa"/>
            <w:vAlign w:val="bottom"/>
          </w:tcPr>
          <w:p>
            <w:pPr>
              <w:spacing w:after="0"/>
              <w:rPr>
                <w:sz w:val="20"/>
                <w:szCs w:val="20"/>
                <w:color w:val="auto"/>
              </w:rPr>
            </w:pPr>
            <w:r>
              <w:rPr>
                <w:rFonts w:ascii="Arial" w:cs="Arial" w:eastAsia="Arial" w:hAnsi="Arial"/>
                <w:sz w:val="20"/>
                <w:szCs w:val="20"/>
                <w:color w:val="auto"/>
              </w:rPr>
              <w:t>Net sales</w:t>
            </w:r>
          </w:p>
        </w:tc>
        <w:tc>
          <w:tcPr>
            <w:tcW w:w="820" w:type="dxa"/>
            <w:vAlign w:val="bottom"/>
          </w:tcPr>
          <w:p>
            <w:pPr>
              <w:jc w:val="right"/>
              <w:spacing w:after="0"/>
              <w:rPr>
                <w:sz w:val="20"/>
                <w:szCs w:val="20"/>
                <w:color w:val="auto"/>
              </w:rPr>
            </w:pPr>
            <w:r>
              <w:rPr>
                <w:rFonts w:ascii="Arial" w:cs="Arial" w:eastAsia="Arial" w:hAnsi="Arial"/>
                <w:sz w:val="20"/>
                <w:szCs w:val="20"/>
                <w:color w:val="auto"/>
                <w:w w:val="92"/>
              </w:rPr>
              <w:t>$ 88,042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$ 83,232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$ 95,401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$94,678</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$361,353</w:t>
            </w:r>
          </w:p>
        </w:tc>
      </w:tr>
      <w:tr>
        <w:trPr>
          <w:trHeight w:val="224"/>
        </w:trPr>
        <w:tc>
          <w:tcPr>
            <w:tcW w:w="2200" w:type="dxa"/>
            <w:vAlign w:val="bottom"/>
          </w:tcPr>
          <w:p>
            <w:pPr>
              <w:spacing w:after="0" w:line="225" w:lineRule="exact"/>
              <w:rPr>
                <w:sz w:val="20"/>
                <w:szCs w:val="20"/>
                <w:color w:val="auto"/>
              </w:rPr>
            </w:pPr>
            <w:r>
              <w:rPr>
                <w:rFonts w:ascii="Arial" w:cs="Arial" w:eastAsia="Arial" w:hAnsi="Arial"/>
                <w:sz w:val="20"/>
                <w:szCs w:val="20"/>
                <w:color w:val="auto"/>
              </w:rPr>
              <w:t>Gross margin</w:t>
            </w: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10,559</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11,440</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18,054</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17,018</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57,071</w:t>
            </w:r>
          </w:p>
        </w:tc>
      </w:tr>
      <w:tr>
        <w:trPr>
          <w:trHeight w:val="254"/>
        </w:trPr>
        <w:tc>
          <w:tcPr>
            <w:tcW w:w="2200" w:type="dxa"/>
            <w:vAlign w:val="bottom"/>
          </w:tcPr>
          <w:p>
            <w:pPr>
              <w:spacing w:after="0"/>
              <w:rPr>
                <w:sz w:val="20"/>
                <w:szCs w:val="20"/>
                <w:color w:val="auto"/>
              </w:rPr>
            </w:pPr>
            <w:r>
              <w:rPr>
                <w:rFonts w:ascii="Arial" w:cs="Arial" w:eastAsia="Arial" w:hAnsi="Arial"/>
                <w:sz w:val="20"/>
                <w:szCs w:val="20"/>
                <w:color w:val="auto"/>
              </w:rPr>
              <w:t>Net income (loss)</w:t>
            </w:r>
          </w:p>
        </w:tc>
        <w:tc>
          <w:tcPr>
            <w:tcW w:w="820" w:type="dxa"/>
            <w:vAlign w:val="bottom"/>
          </w:tcPr>
          <w:p>
            <w:pPr>
              <w:jc w:val="right"/>
              <w:spacing w:after="0"/>
              <w:rPr>
                <w:sz w:val="20"/>
                <w:szCs w:val="20"/>
                <w:color w:val="auto"/>
              </w:rPr>
            </w:pPr>
            <w:r>
              <w:rPr>
                <w:rFonts w:ascii="Arial" w:cs="Arial" w:eastAsia="Arial" w:hAnsi="Arial"/>
                <w:sz w:val="20"/>
                <w:szCs w:val="20"/>
                <w:color w:val="auto"/>
              </w:rPr>
              <w:t>(10,233)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(10,072)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(22,847)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1,242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(41,910)</w:t>
            </w:r>
          </w:p>
        </w:tc>
      </w:tr>
      <w:tr>
        <w:trPr>
          <w:trHeight w:val="419"/>
        </w:trPr>
        <w:tc>
          <w:tcPr>
            <w:tcW w:w="2200" w:type="dxa"/>
            <w:vAlign w:val="bottom"/>
          </w:tcPr>
          <w:p>
            <w:pPr>
              <w:spacing w:after="0"/>
              <w:rPr>
                <w:sz w:val="20"/>
                <w:szCs w:val="20"/>
                <w:color w:val="auto"/>
              </w:rPr>
            </w:pPr>
            <w:r>
              <w:rPr>
                <w:rFonts w:ascii="Arial" w:cs="Arial" w:eastAsia="Arial" w:hAnsi="Arial"/>
                <w:sz w:val="20"/>
                <w:szCs w:val="20"/>
                <w:color w:val="auto"/>
                <w:w w:val="95"/>
              </w:rPr>
              <w:t>Earnings (loss) per share: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4"/>
        </w:trPr>
        <w:tc>
          <w:tcPr>
            <w:tcW w:w="2200" w:type="dxa"/>
            <w:vAlign w:val="bottom"/>
          </w:tcPr>
          <w:p>
            <w:pPr>
              <w:ind w:left="240"/>
              <w:spacing w:after="0" w:line="225" w:lineRule="exact"/>
              <w:rPr>
                <w:sz w:val="20"/>
                <w:szCs w:val="20"/>
                <w:color w:val="auto"/>
              </w:rPr>
            </w:pPr>
            <w:r>
              <w:rPr>
                <w:rFonts w:ascii="Arial" w:cs="Arial" w:eastAsia="Arial" w:hAnsi="Arial"/>
                <w:sz w:val="20"/>
                <w:szCs w:val="20"/>
                <w:color w:val="auto"/>
              </w:rPr>
              <w:t>Basic</w:t>
            </w:r>
          </w:p>
        </w:tc>
        <w:tc>
          <w:tcPr>
            <w:tcW w:w="820" w:type="dxa"/>
            <w:vAlign w:val="bottom"/>
          </w:tcPr>
          <w:p>
            <w:pPr>
              <w:jc w:val="right"/>
              <w:spacing w:after="0" w:line="225" w:lineRule="exact"/>
              <w:rPr>
                <w:sz w:val="20"/>
                <w:szCs w:val="20"/>
                <w:color w:val="auto"/>
              </w:rPr>
            </w:pPr>
            <w:r>
              <w:rPr>
                <w:rFonts w:ascii="Arial" w:cs="Arial" w:eastAsia="Arial" w:hAnsi="Arial"/>
                <w:sz w:val="20"/>
                <w:szCs w:val="20"/>
                <w:color w:val="auto"/>
              </w:rPr>
              <w:t>$(0.25)</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$(0.24)</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$(0.55)</w:t>
            </w:r>
          </w:p>
        </w:tc>
        <w:tc>
          <w:tcPr>
            <w:tcW w:w="94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$ 0.03</w:t>
            </w:r>
          </w:p>
        </w:tc>
        <w:tc>
          <w:tcPr>
            <w:tcW w:w="10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$(0.97)</w:t>
            </w:r>
          </w:p>
        </w:tc>
      </w:tr>
      <w:tr>
        <w:trPr>
          <w:trHeight w:val="254"/>
        </w:trPr>
        <w:tc>
          <w:tcPr>
            <w:tcW w:w="2200" w:type="dxa"/>
            <w:vAlign w:val="bottom"/>
          </w:tcPr>
          <w:p>
            <w:pPr>
              <w:ind w:left="240"/>
              <w:spacing w:after="0"/>
              <w:rPr>
                <w:sz w:val="20"/>
                <w:szCs w:val="20"/>
                <w:color w:val="auto"/>
              </w:rPr>
            </w:pPr>
            <w:r>
              <w:rPr>
                <w:rFonts w:ascii="Arial" w:cs="Arial" w:eastAsia="Arial" w:hAnsi="Arial"/>
                <w:sz w:val="20"/>
                <w:szCs w:val="20"/>
                <w:color w:val="auto"/>
              </w:rPr>
              <w:t>Diluted</w:t>
            </w:r>
          </w:p>
        </w:tc>
        <w:tc>
          <w:tcPr>
            <w:tcW w:w="820" w:type="dxa"/>
            <w:vAlign w:val="bottom"/>
          </w:tcPr>
          <w:p>
            <w:pPr>
              <w:jc w:val="right"/>
              <w:spacing w:after="0"/>
              <w:rPr>
                <w:sz w:val="20"/>
                <w:szCs w:val="20"/>
                <w:color w:val="auto"/>
              </w:rPr>
            </w:pPr>
            <w:r>
              <w:rPr>
                <w:rFonts w:ascii="Arial" w:cs="Arial" w:eastAsia="Arial" w:hAnsi="Arial"/>
                <w:sz w:val="20"/>
                <w:szCs w:val="20"/>
                <w:color w:val="auto"/>
              </w:rPr>
              <w:t>$(0.25)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$(0.24)</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$(0.55)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$(0.11)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$(0.97)</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20" w:type="dxa"/>
            <w:vAlign w:val="bottom"/>
          </w:tcPr>
          <w:p>
            <w:pPr>
              <w:spacing w:after="0"/>
              <w:rPr>
                <w:sz w:val="20"/>
                <w:szCs w:val="20"/>
                <w:color w:val="auto"/>
              </w:rPr>
            </w:pPr>
            <w:r>
              <w:rPr>
                <w:rFonts w:ascii="Arial" w:cs="Arial" w:eastAsia="Arial" w:hAnsi="Arial"/>
                <w:sz w:val="20"/>
                <w:szCs w:val="20"/>
                <w:b w:val="1"/>
                <w:bCs w:val="1"/>
                <w:color w:val="auto"/>
              </w:rPr>
              <w:t>Fiscal 2008:</w:t>
            </w: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jc w:val="right"/>
              <w:ind w:right="260"/>
              <w:spacing w:after="0"/>
              <w:rPr>
                <w:sz w:val="20"/>
                <w:szCs w:val="20"/>
                <w:color w:val="auto"/>
              </w:rPr>
            </w:pPr>
            <w:r>
              <w:rPr>
                <w:rFonts w:ascii="Arial" w:cs="Arial" w:eastAsia="Arial" w:hAnsi="Arial"/>
                <w:sz w:val="20"/>
                <w:szCs w:val="20"/>
                <w:b w:val="1"/>
                <w:bCs w:val="1"/>
                <w:color w:val="auto"/>
              </w:rPr>
              <w:t>(k)</w:t>
            </w:r>
          </w:p>
        </w:tc>
        <w:tc>
          <w:tcPr>
            <w:tcW w:w="940" w:type="dxa"/>
            <w:vAlign w:val="bottom"/>
          </w:tcPr>
          <w:p>
            <w:pPr>
              <w:jc w:val="right"/>
              <w:ind w:right="260"/>
              <w:spacing w:after="0"/>
              <w:rPr>
                <w:sz w:val="20"/>
                <w:szCs w:val="20"/>
                <w:color w:val="auto"/>
              </w:rPr>
            </w:pPr>
            <w:r>
              <w:rPr>
                <w:rFonts w:ascii="Arial" w:cs="Arial" w:eastAsia="Arial" w:hAnsi="Arial"/>
                <w:sz w:val="20"/>
                <w:szCs w:val="20"/>
                <w:b w:val="1"/>
                <w:bCs w:val="1"/>
                <w:color w:val="auto"/>
              </w:rPr>
              <w:t>(l)</w:t>
            </w:r>
          </w:p>
        </w:tc>
        <w:tc>
          <w:tcPr>
            <w:tcW w:w="940" w:type="dxa"/>
            <w:vAlign w:val="bottom"/>
          </w:tcPr>
          <w:p>
            <w:pPr>
              <w:jc w:val="right"/>
              <w:ind w:right="80"/>
              <w:spacing w:after="0"/>
              <w:rPr>
                <w:sz w:val="20"/>
                <w:szCs w:val="20"/>
                <w:color w:val="auto"/>
              </w:rPr>
            </w:pPr>
            <w:r>
              <w:rPr>
                <w:rFonts w:ascii="Arial" w:cs="Arial" w:eastAsia="Arial" w:hAnsi="Arial"/>
                <w:sz w:val="20"/>
                <w:szCs w:val="20"/>
                <w:b w:val="1"/>
                <w:bCs w:val="1"/>
                <w:color w:val="auto"/>
              </w:rPr>
              <w:t>(k) (l)</w:t>
            </w:r>
          </w:p>
        </w:tc>
      </w:tr>
      <w:tr>
        <w:trPr>
          <w:trHeight w:val="419"/>
        </w:trPr>
        <w:tc>
          <w:tcPr>
            <w:tcW w:w="2120" w:type="dxa"/>
            <w:vAlign w:val="bottom"/>
          </w:tcPr>
          <w:p>
            <w:pPr>
              <w:spacing w:after="0"/>
              <w:rPr>
                <w:sz w:val="20"/>
                <w:szCs w:val="20"/>
                <w:color w:val="auto"/>
              </w:rPr>
            </w:pPr>
            <w:r>
              <w:rPr>
                <w:rFonts w:ascii="Arial" w:cs="Arial" w:eastAsia="Arial" w:hAnsi="Arial"/>
                <w:sz w:val="20"/>
                <w:szCs w:val="20"/>
                <w:color w:val="auto"/>
              </w:rPr>
              <w:t>Net sales</w:t>
            </w:r>
          </w:p>
        </w:tc>
        <w:tc>
          <w:tcPr>
            <w:tcW w:w="940" w:type="dxa"/>
            <w:vAlign w:val="bottom"/>
          </w:tcPr>
          <w:p>
            <w:pPr>
              <w:jc w:val="right"/>
              <w:ind w:right="20"/>
              <w:spacing w:after="0"/>
              <w:rPr>
                <w:sz w:val="20"/>
                <w:szCs w:val="20"/>
                <w:color w:val="auto"/>
              </w:rPr>
            </w:pPr>
            <w:r>
              <w:rPr>
                <w:rFonts w:ascii="Arial" w:cs="Arial" w:eastAsia="Arial" w:hAnsi="Arial"/>
                <w:sz w:val="20"/>
                <w:szCs w:val="20"/>
                <w:color w:val="auto"/>
                <w:w w:val="95"/>
              </w:rPr>
              <w:t>$103,215</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w w:val="95"/>
              </w:rPr>
              <w:t>$110,330</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w w:val="94"/>
              </w:rPr>
              <w:t>$ 105,697</w:t>
            </w:r>
          </w:p>
        </w:tc>
        <w:tc>
          <w:tcPr>
            <w:tcW w:w="940" w:type="dxa"/>
            <w:vAlign w:val="bottom"/>
          </w:tcPr>
          <w:p>
            <w:pPr>
              <w:jc w:val="right"/>
              <w:spacing w:after="0"/>
              <w:rPr>
                <w:sz w:val="20"/>
                <w:szCs w:val="20"/>
                <w:color w:val="auto"/>
              </w:rPr>
            </w:pPr>
            <w:r>
              <w:rPr>
                <w:rFonts w:ascii="Arial" w:cs="Arial" w:eastAsia="Arial" w:hAnsi="Arial"/>
                <w:sz w:val="20"/>
                <w:szCs w:val="20"/>
                <w:color w:val="auto"/>
                <w:w w:val="98"/>
              </w:rPr>
              <w:t>$103,306</w:t>
            </w:r>
          </w:p>
        </w:tc>
        <w:tc>
          <w:tcPr>
            <w:tcW w:w="940" w:type="dxa"/>
            <w:vAlign w:val="bottom"/>
          </w:tcPr>
          <w:p>
            <w:pPr>
              <w:jc w:val="right"/>
              <w:spacing w:after="0"/>
              <w:rPr>
                <w:sz w:val="20"/>
                <w:szCs w:val="20"/>
                <w:color w:val="auto"/>
              </w:rPr>
            </w:pPr>
            <w:r>
              <w:rPr>
                <w:rFonts w:ascii="Arial" w:cs="Arial" w:eastAsia="Arial" w:hAnsi="Arial"/>
                <w:sz w:val="20"/>
                <w:szCs w:val="20"/>
                <w:color w:val="auto"/>
                <w:w w:val="96"/>
              </w:rPr>
              <w:t>$ 422,548</w:t>
            </w:r>
          </w:p>
        </w:tc>
      </w:tr>
      <w:tr>
        <w:trPr>
          <w:trHeight w:val="224"/>
        </w:trPr>
        <w:tc>
          <w:tcPr>
            <w:tcW w:w="2120" w:type="dxa"/>
            <w:vAlign w:val="bottom"/>
          </w:tcPr>
          <w:p>
            <w:pPr>
              <w:spacing w:after="0" w:line="225" w:lineRule="exact"/>
              <w:rPr>
                <w:sz w:val="20"/>
                <w:szCs w:val="20"/>
                <w:color w:val="auto"/>
              </w:rPr>
            </w:pPr>
            <w:r>
              <w:rPr>
                <w:rFonts w:ascii="Arial" w:cs="Arial" w:eastAsia="Arial" w:hAnsi="Arial"/>
                <w:sz w:val="20"/>
                <w:szCs w:val="20"/>
                <w:color w:val="auto"/>
              </w:rPr>
              <w:t>Gross margin</w:t>
            </w:r>
          </w:p>
        </w:tc>
        <w:tc>
          <w:tcPr>
            <w:tcW w:w="940" w:type="dxa"/>
            <w:vAlign w:val="bottom"/>
          </w:tcPr>
          <w:p>
            <w:pPr>
              <w:jc w:val="right"/>
              <w:ind w:right="20"/>
              <w:spacing w:after="0" w:line="225" w:lineRule="exact"/>
              <w:rPr>
                <w:sz w:val="20"/>
                <w:szCs w:val="20"/>
                <w:color w:val="auto"/>
              </w:rPr>
            </w:pPr>
            <w:r>
              <w:rPr>
                <w:rFonts w:ascii="Arial" w:cs="Arial" w:eastAsia="Arial" w:hAnsi="Arial"/>
                <w:sz w:val="20"/>
                <w:szCs w:val="20"/>
                <w:color w:val="auto"/>
              </w:rPr>
              <w:t>20,596</w:t>
            </w:r>
          </w:p>
        </w:tc>
        <w:tc>
          <w:tcPr>
            <w:tcW w:w="960" w:type="dxa"/>
            <w:vAlign w:val="bottom"/>
          </w:tcPr>
          <w:p>
            <w:pPr>
              <w:jc w:val="right"/>
              <w:ind w:right="40"/>
              <w:spacing w:after="0" w:line="225" w:lineRule="exact"/>
              <w:rPr>
                <w:sz w:val="20"/>
                <w:szCs w:val="20"/>
                <w:color w:val="auto"/>
              </w:rPr>
            </w:pPr>
            <w:r>
              <w:rPr>
                <w:rFonts w:ascii="Arial" w:cs="Arial" w:eastAsia="Arial" w:hAnsi="Arial"/>
                <w:sz w:val="20"/>
                <w:szCs w:val="20"/>
                <w:color w:val="auto"/>
              </w:rPr>
              <w:t>20,274</w:t>
            </w:r>
          </w:p>
        </w:tc>
        <w:tc>
          <w:tcPr>
            <w:tcW w:w="980" w:type="dxa"/>
            <w:vAlign w:val="bottom"/>
          </w:tcPr>
          <w:p>
            <w:pPr>
              <w:jc w:val="right"/>
              <w:ind w:right="20"/>
              <w:spacing w:after="0" w:line="225" w:lineRule="exact"/>
              <w:rPr>
                <w:sz w:val="20"/>
                <w:szCs w:val="20"/>
                <w:color w:val="auto"/>
              </w:rPr>
            </w:pPr>
            <w:r>
              <w:rPr>
                <w:rFonts w:ascii="Arial" w:cs="Arial" w:eastAsia="Arial" w:hAnsi="Arial"/>
                <w:sz w:val="20"/>
                <w:szCs w:val="20"/>
                <w:color w:val="auto"/>
              </w:rPr>
              <w:t>13,884</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17,953</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72,707</w:t>
            </w:r>
          </w:p>
        </w:tc>
      </w:tr>
      <w:tr>
        <w:trPr>
          <w:trHeight w:val="254"/>
        </w:trPr>
        <w:tc>
          <w:tcPr>
            <w:tcW w:w="2120" w:type="dxa"/>
            <w:vAlign w:val="bottom"/>
          </w:tcPr>
          <w:p>
            <w:pPr>
              <w:spacing w:after="0"/>
              <w:rPr>
                <w:sz w:val="20"/>
                <w:szCs w:val="20"/>
                <w:color w:val="auto"/>
              </w:rPr>
            </w:pPr>
            <w:r>
              <w:rPr>
                <w:rFonts w:ascii="Arial" w:cs="Arial" w:eastAsia="Arial" w:hAnsi="Arial"/>
                <w:sz w:val="20"/>
                <w:szCs w:val="20"/>
                <w:color w:val="auto"/>
              </w:rPr>
              <w:t>Net income (loss)</w:t>
            </w:r>
          </w:p>
        </w:tc>
        <w:tc>
          <w:tcPr>
            <w:tcW w:w="940" w:type="dxa"/>
            <w:vAlign w:val="bottom"/>
          </w:tcPr>
          <w:p>
            <w:pPr>
              <w:jc w:val="right"/>
              <w:spacing w:after="0"/>
              <w:rPr>
                <w:sz w:val="20"/>
                <w:szCs w:val="20"/>
                <w:color w:val="auto"/>
              </w:rPr>
            </w:pPr>
            <w:r>
              <w:rPr>
                <w:rFonts w:ascii="Arial" w:cs="Arial" w:eastAsia="Arial" w:hAnsi="Arial"/>
                <w:sz w:val="20"/>
                <w:szCs w:val="20"/>
                <w:color w:val="auto"/>
              </w:rPr>
              <w:t>(3,340)</w:t>
            </w:r>
          </w:p>
        </w:tc>
        <w:tc>
          <w:tcPr>
            <w:tcW w:w="960" w:type="dxa"/>
            <w:vAlign w:val="bottom"/>
          </w:tcPr>
          <w:p>
            <w:pPr>
              <w:jc w:val="right"/>
              <w:spacing w:after="0"/>
              <w:rPr>
                <w:sz w:val="20"/>
                <w:szCs w:val="20"/>
                <w:color w:val="auto"/>
              </w:rPr>
            </w:pPr>
            <w:r>
              <w:rPr>
                <w:rFonts w:ascii="Arial" w:cs="Arial" w:eastAsia="Arial" w:hAnsi="Arial"/>
                <w:sz w:val="20"/>
                <w:szCs w:val="20"/>
                <w:color w:val="auto"/>
              </w:rPr>
              <w:t>(2,069)</w:t>
            </w:r>
          </w:p>
        </w:tc>
        <w:tc>
          <w:tcPr>
            <w:tcW w:w="980" w:type="dxa"/>
            <w:vAlign w:val="bottom"/>
          </w:tcPr>
          <w:p>
            <w:pPr>
              <w:jc w:val="right"/>
              <w:spacing w:after="0"/>
              <w:rPr>
                <w:sz w:val="20"/>
                <w:szCs w:val="20"/>
                <w:color w:val="auto"/>
              </w:rPr>
            </w:pPr>
            <w:r>
              <w:rPr>
                <w:rFonts w:ascii="Arial" w:cs="Arial" w:eastAsia="Arial" w:hAnsi="Arial"/>
                <w:sz w:val="20"/>
                <w:szCs w:val="20"/>
                <w:color w:val="auto"/>
              </w:rPr>
              <w:t>(205,592)</w:t>
            </w:r>
          </w:p>
        </w:tc>
        <w:tc>
          <w:tcPr>
            <w:tcW w:w="940" w:type="dxa"/>
            <w:vAlign w:val="bottom"/>
          </w:tcPr>
          <w:p>
            <w:pPr>
              <w:jc w:val="right"/>
              <w:spacing w:after="0"/>
              <w:rPr>
                <w:sz w:val="20"/>
                <w:szCs w:val="20"/>
                <w:color w:val="auto"/>
              </w:rPr>
            </w:pPr>
            <w:r>
              <w:rPr>
                <w:rFonts w:ascii="Arial" w:cs="Arial" w:eastAsia="Arial" w:hAnsi="Arial"/>
                <w:sz w:val="20"/>
                <w:szCs w:val="20"/>
                <w:color w:val="auto"/>
              </w:rPr>
              <w:t>236</w:t>
            </w:r>
          </w:p>
        </w:tc>
        <w:tc>
          <w:tcPr>
            <w:tcW w:w="940" w:type="dxa"/>
            <w:vAlign w:val="bottom"/>
          </w:tcPr>
          <w:p>
            <w:pPr>
              <w:jc w:val="right"/>
              <w:spacing w:after="0"/>
              <w:rPr>
                <w:sz w:val="20"/>
                <w:szCs w:val="20"/>
                <w:color w:val="auto"/>
              </w:rPr>
            </w:pPr>
            <w:r>
              <w:rPr>
                <w:rFonts w:ascii="Arial" w:cs="Arial" w:eastAsia="Arial" w:hAnsi="Arial"/>
                <w:sz w:val="20"/>
                <w:szCs w:val="20"/>
                <w:color w:val="auto"/>
              </w:rPr>
              <w:t>(210,765)</w:t>
            </w:r>
          </w:p>
        </w:tc>
      </w:tr>
      <w:tr>
        <w:trPr>
          <w:trHeight w:val="419"/>
        </w:trPr>
        <w:tc>
          <w:tcPr>
            <w:tcW w:w="2120" w:type="dxa"/>
            <w:vAlign w:val="bottom"/>
          </w:tcPr>
          <w:p>
            <w:pPr>
              <w:spacing w:after="0"/>
              <w:rPr>
                <w:sz w:val="20"/>
                <w:szCs w:val="20"/>
                <w:color w:val="auto"/>
              </w:rPr>
            </w:pPr>
            <w:r>
              <w:rPr>
                <w:rFonts w:ascii="Arial" w:cs="Arial" w:eastAsia="Arial" w:hAnsi="Arial"/>
                <w:sz w:val="20"/>
                <w:szCs w:val="20"/>
                <w:color w:val="auto"/>
                <w:w w:val="91"/>
              </w:rPr>
              <w:t>Earnings (loss) per share:</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4"/>
        </w:trPr>
        <w:tc>
          <w:tcPr>
            <w:tcW w:w="2120" w:type="dxa"/>
            <w:vAlign w:val="bottom"/>
          </w:tcPr>
          <w:p>
            <w:pPr>
              <w:ind w:left="240"/>
              <w:spacing w:after="0" w:line="225" w:lineRule="exact"/>
              <w:rPr>
                <w:sz w:val="20"/>
                <w:szCs w:val="20"/>
                <w:color w:val="auto"/>
              </w:rPr>
            </w:pPr>
            <w:r>
              <w:rPr>
                <w:rFonts w:ascii="Arial" w:cs="Arial" w:eastAsia="Arial" w:hAnsi="Arial"/>
                <w:sz w:val="20"/>
                <w:szCs w:val="20"/>
                <w:color w:val="auto"/>
              </w:rPr>
              <w:t>Basic</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$(0.08)</w:t>
            </w:r>
          </w:p>
        </w:tc>
        <w:tc>
          <w:tcPr>
            <w:tcW w:w="960" w:type="dxa"/>
            <w:vAlign w:val="bottom"/>
          </w:tcPr>
          <w:p>
            <w:pPr>
              <w:jc w:val="right"/>
              <w:spacing w:after="0" w:line="225" w:lineRule="exact"/>
              <w:rPr>
                <w:sz w:val="20"/>
                <w:szCs w:val="20"/>
                <w:color w:val="auto"/>
              </w:rPr>
            </w:pPr>
            <w:r>
              <w:rPr>
                <w:rFonts w:ascii="Arial" w:cs="Arial" w:eastAsia="Arial" w:hAnsi="Arial"/>
                <w:sz w:val="20"/>
                <w:szCs w:val="20"/>
                <w:color w:val="auto"/>
              </w:rPr>
              <w:t>$(0.05)</w:t>
            </w:r>
          </w:p>
        </w:tc>
        <w:tc>
          <w:tcPr>
            <w:tcW w:w="980" w:type="dxa"/>
            <w:vAlign w:val="bottom"/>
          </w:tcPr>
          <w:p>
            <w:pPr>
              <w:jc w:val="right"/>
              <w:spacing w:after="0" w:line="225" w:lineRule="exact"/>
              <w:rPr>
                <w:sz w:val="20"/>
                <w:szCs w:val="20"/>
                <w:color w:val="auto"/>
              </w:rPr>
            </w:pPr>
            <w:r>
              <w:rPr>
                <w:rFonts w:ascii="Arial" w:cs="Arial" w:eastAsia="Arial" w:hAnsi="Arial"/>
                <w:sz w:val="20"/>
                <w:szCs w:val="20"/>
                <w:color w:val="auto"/>
              </w:rPr>
              <w:t>$(4.93)</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$0.01</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$(5.06)</w:t>
            </w:r>
          </w:p>
        </w:tc>
      </w:tr>
      <w:tr>
        <w:trPr>
          <w:trHeight w:val="254"/>
        </w:trPr>
        <w:tc>
          <w:tcPr>
            <w:tcW w:w="2120" w:type="dxa"/>
            <w:vAlign w:val="bottom"/>
          </w:tcPr>
          <w:p>
            <w:pPr>
              <w:ind w:left="240"/>
              <w:spacing w:after="0"/>
              <w:rPr>
                <w:sz w:val="20"/>
                <w:szCs w:val="20"/>
                <w:color w:val="auto"/>
              </w:rPr>
            </w:pPr>
            <w:r>
              <w:rPr>
                <w:rFonts w:ascii="Arial" w:cs="Arial" w:eastAsia="Arial" w:hAnsi="Arial"/>
                <w:sz w:val="20"/>
                <w:szCs w:val="20"/>
                <w:color w:val="auto"/>
              </w:rPr>
              <w:t>Diluted</w:t>
            </w:r>
          </w:p>
        </w:tc>
        <w:tc>
          <w:tcPr>
            <w:tcW w:w="940" w:type="dxa"/>
            <w:vAlign w:val="bottom"/>
          </w:tcPr>
          <w:p>
            <w:pPr>
              <w:jc w:val="right"/>
              <w:spacing w:after="0"/>
              <w:rPr>
                <w:sz w:val="20"/>
                <w:szCs w:val="20"/>
                <w:color w:val="auto"/>
              </w:rPr>
            </w:pPr>
            <w:r>
              <w:rPr>
                <w:rFonts w:ascii="Arial" w:cs="Arial" w:eastAsia="Arial" w:hAnsi="Arial"/>
                <w:sz w:val="20"/>
                <w:szCs w:val="20"/>
                <w:color w:val="auto"/>
              </w:rPr>
              <w:t>$(0.08)</w:t>
            </w:r>
          </w:p>
        </w:tc>
        <w:tc>
          <w:tcPr>
            <w:tcW w:w="960" w:type="dxa"/>
            <w:vAlign w:val="bottom"/>
          </w:tcPr>
          <w:p>
            <w:pPr>
              <w:jc w:val="right"/>
              <w:spacing w:after="0"/>
              <w:rPr>
                <w:sz w:val="20"/>
                <w:szCs w:val="20"/>
                <w:color w:val="auto"/>
              </w:rPr>
            </w:pPr>
            <w:r>
              <w:rPr>
                <w:rFonts w:ascii="Arial" w:cs="Arial" w:eastAsia="Arial" w:hAnsi="Arial"/>
                <w:sz w:val="20"/>
                <w:szCs w:val="20"/>
                <w:color w:val="auto"/>
              </w:rPr>
              <w:t>$(0.05)</w:t>
            </w:r>
          </w:p>
        </w:tc>
        <w:tc>
          <w:tcPr>
            <w:tcW w:w="980" w:type="dxa"/>
            <w:vAlign w:val="bottom"/>
          </w:tcPr>
          <w:p>
            <w:pPr>
              <w:jc w:val="right"/>
              <w:spacing w:after="0"/>
              <w:rPr>
                <w:sz w:val="20"/>
                <w:szCs w:val="20"/>
                <w:color w:val="auto"/>
              </w:rPr>
            </w:pPr>
            <w:r>
              <w:rPr>
                <w:rFonts w:ascii="Arial" w:cs="Arial" w:eastAsia="Arial" w:hAnsi="Arial"/>
                <w:sz w:val="20"/>
                <w:szCs w:val="20"/>
                <w:color w:val="auto"/>
              </w:rPr>
              <w:t>$(4.93)</w:t>
            </w:r>
          </w:p>
        </w:tc>
        <w:tc>
          <w:tcPr>
            <w:tcW w:w="940" w:type="dxa"/>
            <w:vAlign w:val="bottom"/>
          </w:tcPr>
          <w:p>
            <w:pPr>
              <w:jc w:val="right"/>
              <w:spacing w:after="0"/>
              <w:rPr>
                <w:sz w:val="20"/>
                <w:szCs w:val="20"/>
                <w:color w:val="auto"/>
              </w:rPr>
            </w:pPr>
            <w:r>
              <w:rPr>
                <w:rFonts w:ascii="Arial" w:cs="Arial" w:eastAsia="Arial" w:hAnsi="Arial"/>
                <w:sz w:val="20"/>
                <w:szCs w:val="20"/>
                <w:color w:val="auto"/>
              </w:rPr>
              <w:t>$0.01</w:t>
            </w:r>
          </w:p>
        </w:tc>
        <w:tc>
          <w:tcPr>
            <w:tcW w:w="940" w:type="dxa"/>
            <w:vAlign w:val="bottom"/>
          </w:tcPr>
          <w:p>
            <w:pPr>
              <w:jc w:val="right"/>
              <w:spacing w:after="0"/>
              <w:rPr>
                <w:sz w:val="20"/>
                <w:szCs w:val="20"/>
                <w:color w:val="auto"/>
              </w:rPr>
            </w:pPr>
            <w:r>
              <w:rPr>
                <w:rFonts w:ascii="Arial" w:cs="Arial" w:eastAsia="Arial" w:hAnsi="Arial"/>
                <w:sz w:val="20"/>
                <w:szCs w:val="20"/>
                <w:color w:val="auto"/>
              </w:rPr>
              <w:t>$(5.06)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 w:right="3880" w:hanging="380"/>
        <w:spacing w:after="0" w:line="246"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$1.7 million ($1.3 million net of tax) in connection with the closure of the Company's Manchester, U.K. manufacturing facility.</w:t>
      </w:r>
    </w:p>
    <w:p>
      <w:pPr>
        <w:spacing w:after="0" w:line="190" w:lineRule="exact"/>
        <w:rPr>
          <w:rFonts w:ascii="Arial" w:cs="Arial" w:eastAsia="Arial" w:hAnsi="Arial"/>
          <w:sz w:val="20"/>
          <w:szCs w:val="20"/>
          <w:color w:val="auto"/>
        </w:rPr>
      </w:pPr>
    </w:p>
    <w:p>
      <w:pPr>
        <w:ind w:left="380" w:right="3880" w:hanging="380"/>
        <w:spacing w:after="0" w:line="246"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$0.4 million ($0.3 million net of tax) in connection with the closure of the Company's Manchester, U.K. manufacturing facility.</w:t>
      </w:r>
    </w:p>
    <w:p>
      <w:pPr>
        <w:sectPr>
          <w:pgSz w:w="11900" w:h="16838" w:orient="portrait"/>
          <w:cols w:equalWidth="0" w:num="1">
            <w:col w:w="11320"/>
          </w:cols>
          <w:pgMar w:left="240" w:top="120" w:right="339" w:bottom="0" w:gutter="0" w:footer="0" w:header="0"/>
        </w:sectPr>
      </w:pPr>
    </w:p>
    <w:bookmarkStart w:id="50" w:name="page51"/>
    <w:bookmarkEnd w:id="50"/>
    <w:p>
      <w:pPr>
        <w:ind w:left="380" w:right="4440" w:hanging="380"/>
        <w:spacing w:after="0" w:line="259"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impairment charge of $1.5 million ($1.1 million net of tax) relating to the Company's Manchester, U.K. manufacturing facility.</w:t>
      </w:r>
    </w:p>
    <w:p>
      <w:pPr>
        <w:spacing w:after="0" w:line="177" w:lineRule="exact"/>
        <w:rPr>
          <w:rFonts w:ascii="Arial" w:cs="Arial" w:eastAsia="Arial" w:hAnsi="Arial"/>
          <w:sz w:val="20"/>
          <w:szCs w:val="20"/>
          <w:color w:val="auto"/>
        </w:rPr>
      </w:pPr>
    </w:p>
    <w:p>
      <w:pPr>
        <w:ind w:left="380" w:right="4000" w:hanging="380"/>
        <w:spacing w:after="0" w:line="24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$10.7 million ($10.5 million net of tax) in connection with the closures of the Company's Shanghai, China and Manchester, U.K. manufacturing facilities.</w:t>
      </w:r>
    </w:p>
    <w:p>
      <w:pPr>
        <w:spacing w:after="0" w:line="190" w:lineRule="exact"/>
        <w:rPr>
          <w:rFonts w:ascii="Arial" w:cs="Arial" w:eastAsia="Arial" w:hAnsi="Arial"/>
          <w:sz w:val="20"/>
          <w:szCs w:val="20"/>
          <w:color w:val="auto"/>
        </w:rPr>
      </w:pPr>
    </w:p>
    <w:p>
      <w:pPr>
        <w:ind w:left="380" w:right="4120" w:hanging="380"/>
        <w:spacing w:after="0" w:line="258"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non-cash mark-to-market charge of $6.8 million net of tax in connection with warrants issued to purchase the Company's common stock.</w:t>
      </w:r>
    </w:p>
    <w:p>
      <w:pPr>
        <w:spacing w:after="0" w:line="178" w:lineRule="exact"/>
        <w:rPr>
          <w:rFonts w:ascii="Arial" w:cs="Arial" w:eastAsia="Arial" w:hAnsi="Arial"/>
          <w:sz w:val="20"/>
          <w:szCs w:val="20"/>
          <w:color w:val="auto"/>
        </w:rPr>
      </w:pPr>
    </w:p>
    <w:p>
      <w:pPr>
        <w:jc w:val="both"/>
        <w:ind w:left="380" w:right="3920" w:hanging="380"/>
        <w:spacing w:after="0" w:line="24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$0.8 million ($0.6 million net of tax) in connection with the closures of the Company's Shanghai, China and Manchester, U.K. manufacturing facilities.</w:t>
      </w:r>
    </w:p>
    <w:p>
      <w:pPr>
        <w:spacing w:after="0" w:line="190" w:lineRule="exact"/>
        <w:rPr>
          <w:rFonts w:ascii="Arial" w:cs="Arial" w:eastAsia="Arial" w:hAnsi="Arial"/>
          <w:sz w:val="20"/>
          <w:szCs w:val="20"/>
          <w:color w:val="auto"/>
        </w:rPr>
      </w:pPr>
    </w:p>
    <w:p>
      <w:pPr>
        <w:ind w:left="380" w:right="3960" w:hanging="380"/>
        <w:spacing w:after="0" w:line="242"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non-cash mark-to-market gain of $6.5 million net of tax in connection with warrants issued (and a portion cancelled) to purchase the Company's common stock and deferred financing fees write-off of $3.7 million net of tax in connection with repayment of debt.</w:t>
      </w:r>
    </w:p>
    <w:p>
      <w:pPr>
        <w:spacing w:after="0" w:line="194" w:lineRule="exact"/>
        <w:rPr>
          <w:rFonts w:ascii="Arial" w:cs="Arial" w:eastAsia="Arial" w:hAnsi="Arial"/>
          <w:sz w:val="20"/>
          <w:szCs w:val="20"/>
          <w:color w:val="auto"/>
        </w:rPr>
      </w:pPr>
    </w:p>
    <w:p>
      <w:pPr>
        <w:ind w:left="380" w:right="4100" w:hanging="380"/>
        <w:spacing w:after="0" w:line="258"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gain on sale of the Company's Manchester, U.K. facility of $2.0 million ($1.5 million net of tax).</w:t>
      </w:r>
    </w:p>
    <w:p>
      <w:pPr>
        <w:spacing w:after="0" w:line="178" w:lineRule="exact"/>
        <w:rPr>
          <w:rFonts w:ascii="Arial" w:cs="Arial" w:eastAsia="Arial" w:hAnsi="Arial"/>
          <w:sz w:val="20"/>
          <w:szCs w:val="20"/>
          <w:color w:val="auto"/>
        </w:rPr>
      </w:pPr>
    </w:p>
    <w:p>
      <w:pPr>
        <w:ind w:left="380" w:right="4000" w:hanging="380"/>
        <w:spacing w:after="0" w:line="24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consolidation and restructuring charges of $13.6 million ($12.9 million net of tax) in connection with the closures of the Company's Shanghai, China and Manchester, U.K. manufacturing facilities.</w:t>
      </w:r>
    </w:p>
    <w:p>
      <w:pPr>
        <w:spacing w:after="0" w:line="190" w:lineRule="exact"/>
        <w:rPr>
          <w:rFonts w:ascii="Arial" w:cs="Arial" w:eastAsia="Arial" w:hAnsi="Arial"/>
          <w:sz w:val="20"/>
          <w:szCs w:val="20"/>
          <w:color w:val="auto"/>
        </w:rPr>
      </w:pPr>
    </w:p>
    <w:p>
      <w:pPr>
        <w:ind w:left="380" w:right="4060" w:hanging="380"/>
        <w:spacing w:after="0" w:line="258"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non-cash mark-to-market charge of $0.3 million net of tax, in connection with warrants issued to purchase the Company's common stock.</w:t>
      </w:r>
    </w:p>
    <w:p>
      <w:pPr>
        <w:spacing w:after="0" w:line="178" w:lineRule="exact"/>
        <w:rPr>
          <w:rFonts w:ascii="Arial" w:cs="Arial" w:eastAsia="Arial" w:hAnsi="Arial"/>
          <w:sz w:val="20"/>
          <w:szCs w:val="20"/>
          <w:color w:val="auto"/>
        </w:rPr>
      </w:pPr>
    </w:p>
    <w:p>
      <w:pPr>
        <w:ind w:left="380" w:right="4060" w:hanging="380"/>
        <w:spacing w:after="0" w:line="24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a $137.3 million net of tax impairment of all of the Company's goodwill and a $60.9 million net of tax impairment of long-lived assets related to certain asset groups located in Europe and Asia.</w:t>
      </w:r>
    </w:p>
    <w:p>
      <w:pPr>
        <w:spacing w:after="0" w:line="190" w:lineRule="exact"/>
        <w:rPr>
          <w:rFonts w:ascii="Arial" w:cs="Arial" w:eastAsia="Arial" w:hAnsi="Arial"/>
          <w:sz w:val="20"/>
          <w:szCs w:val="20"/>
          <w:color w:val="auto"/>
        </w:rPr>
      </w:pPr>
    </w:p>
    <w:p>
      <w:pPr>
        <w:ind w:left="380" w:right="3900" w:hanging="380"/>
        <w:spacing w:after="0" w:line="258"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Includes $0.4 million net of tax restructuring charge in connection with the closure of the Company's Manchester, U.K. manufacturing facility.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 RECENT ACCOUNTING PRONOUNCEMENTS</w:t>
      </w:r>
    </w:p>
    <w:p>
      <w:pPr>
        <w:spacing w:after="0" w:line="200" w:lineRule="exact"/>
        <w:rPr>
          <w:sz w:val="20"/>
          <w:szCs w:val="20"/>
          <w:color w:val="auto"/>
        </w:rPr>
      </w:pPr>
    </w:p>
    <w:p>
      <w:pPr>
        <w:ind w:right="40" w:firstLine="249"/>
        <w:spacing w:after="0" w:line="250" w:lineRule="auto"/>
        <w:rPr>
          <w:sz w:val="20"/>
          <w:szCs w:val="20"/>
          <w:color w:val="auto"/>
        </w:rPr>
      </w:pPr>
      <w:r>
        <w:rPr>
          <w:rFonts w:ascii="Arial" w:cs="Arial" w:eastAsia="Arial" w:hAnsi="Arial"/>
          <w:sz w:val="19"/>
          <w:szCs w:val="19"/>
          <w:color w:val="auto"/>
        </w:rPr>
        <w:t>In September 2009, the FASB issued Accounting Standards Update (ASU) No. 2009-13 which provides amended guidance for multiple-deliverable revenue arrangements. ASU No. 2009-13 changes the criteria for separating consideration in multiple-deliverable arrangements by establishing a selling price hierarchy for determining the selling price of a deliverable. Under ASU No. 2009-13, the selling price for each deliverable in a multiple-deliverable arrangement will, in order of preference and when available, be based on vendor specific objective evidence, third party evidence, or estimated selling price. ASU No. 2009-13 prescribes that estimated selling price be determined in a manner that is consistent with that used to determine the price to sell the deliverable on a stand alone basis, and eliminates the residual method of allocation and requires that arrangement consideration be allocated at the inception of the arrangement to all deliverables using the relative selling price method. ASU No. 2009-13 also significantly expands the disclosures related to multiple-deliverable arrangements, and is effective prospectively for revenue arrangements entered into or materially modified in fiscal years beginning on or after June 2010 with early adoption permitted. The Company does not expect that the adoption of ASU No. 2009-13 will have a material impact on its consolidated financial statements.</w:t>
      </w:r>
    </w:p>
    <w:p>
      <w:pPr>
        <w:spacing w:after="0" w:line="164" w:lineRule="exact"/>
        <w:rPr>
          <w:sz w:val="20"/>
          <w:szCs w:val="20"/>
          <w:color w:val="auto"/>
        </w:rPr>
      </w:pPr>
    </w:p>
    <w:p>
      <w:pPr>
        <w:ind w:right="60" w:firstLine="249"/>
        <w:spacing w:after="0"/>
        <w:rPr>
          <w:sz w:val="20"/>
          <w:szCs w:val="20"/>
          <w:color w:val="auto"/>
        </w:rPr>
      </w:pPr>
      <w:r>
        <w:rPr>
          <w:rFonts w:ascii="Arial" w:cs="Arial" w:eastAsia="Arial" w:hAnsi="Arial"/>
          <w:sz w:val="20"/>
          <w:szCs w:val="20"/>
          <w:color w:val="auto"/>
        </w:rPr>
        <w:t>In August 2009, the FASB issued ASU No. 2009-05 which provides amended guidance for the fair value measurement of liabilities. ASU No.2009-05 clarifies, among other things, that in circumstances in which a quoted market price in an active market for the identical liability is not available, a reporting entity is required to measure fair value using valuation techniques specified in the ASU. ASU No. 2009-05 was adopted by the Company on November 2, 2009. The adoption of ASU No. 2009-05 did not have a material impact on the Company's consolidated financial statements.</w:t>
      </w:r>
    </w:p>
    <w:p>
      <w:pPr>
        <w:spacing w:after="0" w:line="171" w:lineRule="exact"/>
        <w:rPr>
          <w:sz w:val="20"/>
          <w:szCs w:val="20"/>
          <w:color w:val="auto"/>
        </w:rPr>
      </w:pPr>
    </w:p>
    <w:p>
      <w:pPr>
        <w:ind w:firstLine="249"/>
        <w:spacing w:after="0" w:line="266" w:lineRule="auto"/>
        <w:rPr>
          <w:sz w:val="20"/>
          <w:szCs w:val="20"/>
          <w:color w:val="auto"/>
        </w:rPr>
      </w:pPr>
      <w:r>
        <w:rPr>
          <w:rFonts w:ascii="Arial" w:cs="Arial" w:eastAsia="Arial" w:hAnsi="Arial"/>
          <w:sz w:val="18"/>
          <w:szCs w:val="18"/>
          <w:color w:val="auto"/>
        </w:rPr>
        <w:t>In June 2009 the FASB issued SFAS No. 168, "The FASB Accounting Standards Codification and the Hierarchy of Generally Accepted Accounting Principles - a replacement of FASB Statement No. 162" (primarily codified under ASC 105). With limited "grandfathered" exceptions, SFAS No. 168 establishes the FASB Accounting Standards Codification, along with rules and interpretative releases of the Securities and Exchange Commission, as being the sources of authoritative U.S. generally accepted accounting principles (GAAP) recognized by the FASB to be applied to SEC registrants. SFAS No. 168 will also supersede SFAS No. 162 "The Hierarchy of Generally Accepted Accounting Principles" as all of the contents of the FASB Accounting Standards Codification carries the same level of authority, thereby modifying the hierarchy of GAAP to include only two levels: authoritative and non-authoritative. SFAS No. 168 is effective for financial statements issued for interim and annual periods ending after September 15, 2009. The Company adopted this guidance during the three month period ended November 1, 2009 and its adoption did not materially impact its consolidated financial statements.</w:t>
      </w:r>
    </w:p>
    <w:p>
      <w:pPr>
        <w:sectPr>
          <w:pgSz w:w="11900" w:h="16838" w:orient="portrait"/>
          <w:cols w:equalWidth="0" w:num="1">
            <w:col w:w="11400"/>
          </w:cols>
          <w:pgMar w:left="240" w:top="120" w:right="259" w:bottom="130" w:gutter="0" w:footer="0" w:header="0"/>
        </w:sectPr>
      </w:pPr>
    </w:p>
    <w:bookmarkStart w:id="51" w:name="page52"/>
    <w:bookmarkEnd w:id="51"/>
    <w:p>
      <w:pPr>
        <w:ind w:right="20" w:firstLine="249"/>
        <w:spacing w:after="0" w:line="267" w:lineRule="auto"/>
        <w:rPr>
          <w:sz w:val="20"/>
          <w:szCs w:val="20"/>
          <w:color w:val="auto"/>
        </w:rPr>
      </w:pPr>
      <w:r>
        <w:rPr>
          <w:rFonts w:ascii="Arial" w:cs="Arial" w:eastAsia="Arial" w:hAnsi="Arial"/>
          <w:sz w:val="18"/>
          <w:szCs w:val="18"/>
          <w:color w:val="auto"/>
        </w:rPr>
        <w:t>In June 2009 the FASB issued SFAS No. 167, Amendments to FASB Interpretation No. 46(R) (primarily codified under ASC 810). SFAS No. 167 amends Interpretation 46(R) to require an enterprise to perform an analysis to determine whether its variable interest or interests give it a controlling financial interest in a variable interest entity. This analysis is to identify the primary beneficiary of the variable interest entity as being the enterprise that has certain characteristics described in SFAS No. 167. SFAS No. 167, in addition to other requirements, requires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SFAS No. 167 is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147" w:lineRule="exact"/>
        <w:rPr>
          <w:sz w:val="20"/>
          <w:szCs w:val="20"/>
          <w:color w:val="auto"/>
        </w:rPr>
      </w:pPr>
    </w:p>
    <w:p>
      <w:pPr>
        <w:ind w:firstLine="249"/>
        <w:spacing w:after="0" w:line="270" w:lineRule="auto"/>
        <w:rPr>
          <w:sz w:val="20"/>
          <w:szCs w:val="20"/>
          <w:color w:val="auto"/>
        </w:rPr>
      </w:pPr>
      <w:r>
        <w:rPr>
          <w:rFonts w:ascii="Arial" w:cs="Arial" w:eastAsia="Arial" w:hAnsi="Arial"/>
          <w:sz w:val="18"/>
          <w:szCs w:val="18"/>
          <w:color w:val="auto"/>
        </w:rPr>
        <w:t>In May 2008, the FASB issued FSP No. APB 14-1, "Accounting for Convertible Debt Instruments That May Be Settled in Cash upon Conversion (Including Partial Cash Settlement) (codified under ASC 470)."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adopted this guidance on November 2, 2009. Its adoption had no effect on the Company's consolidated financial statements.</w:t>
      </w:r>
    </w:p>
    <w:p>
      <w:pPr>
        <w:spacing w:after="0" w:line="148" w:lineRule="exact"/>
        <w:rPr>
          <w:sz w:val="20"/>
          <w:szCs w:val="20"/>
          <w:color w:val="auto"/>
        </w:rPr>
      </w:pPr>
    </w:p>
    <w:p>
      <w:pPr>
        <w:jc w:val="both"/>
        <w:ind w:right="100" w:firstLine="249"/>
        <w:spacing w:after="0" w:line="242" w:lineRule="auto"/>
        <w:rPr>
          <w:sz w:val="20"/>
          <w:szCs w:val="20"/>
          <w:color w:val="auto"/>
        </w:rPr>
      </w:pPr>
      <w:r>
        <w:rPr>
          <w:rFonts w:ascii="Arial" w:cs="Arial" w:eastAsia="Arial" w:hAnsi="Arial"/>
          <w:sz w:val="20"/>
          <w:szCs w:val="20"/>
          <w:color w:val="auto"/>
        </w:rPr>
        <w:t>In February 2008, the FASB issued FSP No. 157-2 "Effective Date of FASB Statement No.157" (codified under ASC 820), which delayed the effective date of FASB Statement No. 157 "Fair Value Measurements" for nonfinancial assets and nonfinancial liabilities, except for items that are recognized or disclosed at fair value in the financial statements on a recurring basis (at least annually). The Company elected to defer the application of SFAS No. 157 to any nonfinancial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assets and nonfinancial liabilities to which it would apply. The deferral expires in the Company's first fiscal quarter of 2010, when the Company will adopt the deferred provisions of this guidance. The adoption of this guidance is not expected to have a material effect on the Company's consolidated financial statements.</w:t>
      </w:r>
    </w:p>
    <w:p>
      <w:pPr>
        <w:spacing w:after="0" w:line="165" w:lineRule="exact"/>
        <w:rPr>
          <w:sz w:val="20"/>
          <w:szCs w:val="20"/>
          <w:color w:val="auto"/>
        </w:rPr>
      </w:pPr>
    </w:p>
    <w:p>
      <w:pPr>
        <w:ind w:right="100" w:firstLine="299"/>
        <w:spacing w:after="0" w:line="278"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Accounting Research Bulletin No. 51" (codified under ASC 810). SFAS No. 160 establishes accounting and reporting standards for the noncontrolling interest in a subsidiary and for the deconsolidation of a subsidiary. The Company adopted this guidance on November 2, 2009. Its adoption resulted in the reclassification of its $49.9 million of minority interest in the consolidated balance sheet to shareholders' equity.</w:t>
      </w:r>
    </w:p>
    <w:p>
      <w:pPr>
        <w:spacing w:after="0" w:line="138" w:lineRule="exact"/>
        <w:rPr>
          <w:sz w:val="20"/>
          <w:szCs w:val="20"/>
          <w:color w:val="auto"/>
        </w:rPr>
      </w:pPr>
    </w:p>
    <w:p>
      <w:pPr>
        <w:ind w:right="20" w:firstLine="249"/>
        <w:spacing w:after="0" w:line="269" w:lineRule="auto"/>
        <w:rPr>
          <w:sz w:val="20"/>
          <w:szCs w:val="20"/>
          <w:color w:val="auto"/>
        </w:rPr>
      </w:pPr>
      <w:r>
        <w:rPr>
          <w:rFonts w:ascii="Arial" w:cs="Arial" w:eastAsia="Arial" w:hAnsi="Arial"/>
          <w:sz w:val="18"/>
          <w:szCs w:val="18"/>
          <w:color w:val="auto"/>
        </w:rPr>
        <w:t>In December 2007, the FASB issued SFAS No. 141(R), "Business Combinations" (codified under ASC 805).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The Company adopted this guidance on November 2, 2009. Its adoption had no effect on its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ON ACCOUNTING AND FINANCIAL DISCLOSURE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00" w:lineRule="exact"/>
        <w:rPr>
          <w:sz w:val="20"/>
          <w:szCs w:val="20"/>
          <w:color w:val="auto"/>
        </w:rPr>
      </w:pPr>
    </w:p>
    <w:p>
      <w:pPr>
        <w:ind w:firstLine="246"/>
        <w:spacing w:after="0" w:line="269" w:lineRule="auto"/>
        <w:rPr>
          <w:sz w:val="20"/>
          <w:szCs w:val="20"/>
          <w:color w:val="auto"/>
        </w:rPr>
      </w:pPr>
      <w:r>
        <w:rPr>
          <w:rFonts w:ascii="Arial" w:cs="Arial" w:eastAsia="Arial" w:hAnsi="Arial"/>
          <w:sz w:val="18"/>
          <w:szCs w:val="18"/>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46" w:lineRule="exact"/>
        <w:rPr>
          <w:sz w:val="20"/>
          <w:szCs w:val="20"/>
          <w:color w:val="auto"/>
        </w:rPr>
      </w:pPr>
    </w:p>
    <w:p>
      <w:pPr>
        <w:ind w:right="80" w:firstLine="246"/>
        <w:spacing w:after="0" w:line="26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financial officer, as appropriate to allow timely decisions regarding disclosure.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00" w:lineRule="exact"/>
        <w:rPr>
          <w:sz w:val="20"/>
          <w:szCs w:val="20"/>
          <w:color w:val="auto"/>
        </w:rPr>
      </w:pPr>
    </w:p>
    <w:p>
      <w:pPr>
        <w:ind w:right="80" w:firstLine="246"/>
        <w:spacing w:after="0" w:line="258" w:lineRule="auto"/>
        <w:rPr>
          <w:sz w:val="20"/>
          <w:szCs w:val="20"/>
          <w:color w:val="auto"/>
        </w:rPr>
      </w:pPr>
      <w:r>
        <w:rPr>
          <w:rFonts w:ascii="Arial" w:cs="Arial" w:eastAsia="Arial" w:hAnsi="Arial"/>
          <w:sz w:val="20"/>
          <w:szCs w:val="20"/>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120" w:right="239" w:bottom="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298690" cy="285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8690" cy="28575"/>
                    </a:xfrm>
                    <a:prstGeom prst="rect">
                      <a:avLst/>
                    </a:prstGeom>
                    <a:noFill/>
                  </pic:spPr>
                </pic:pic>
              </a:graphicData>
            </a:graphic>
          </wp:anchor>
        </w:drawing>
        <w:t>Management's Annual Report on Internal Control over Financial Reporting</w:t>
      </w:r>
    </w:p>
    <w:p>
      <w:pPr>
        <w:spacing w:after="0" w:line="200" w:lineRule="exact"/>
        <w:rPr>
          <w:sz w:val="20"/>
          <w:szCs w:val="20"/>
          <w:color w:val="auto"/>
        </w:rPr>
      </w:pPr>
    </w:p>
    <w:p>
      <w:pPr>
        <w:ind w:firstLine="249"/>
        <w:spacing w:after="0" w:line="242"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Rule 13a-15(f)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9" w:lineRule="exact"/>
        <w:rPr>
          <w:sz w:val="20"/>
          <w:szCs w:val="20"/>
          <w:color w:val="auto"/>
        </w:rPr>
      </w:pPr>
    </w:p>
    <w:p>
      <w:pPr>
        <w:ind w:firstLine="249"/>
        <w:spacing w:after="0" w:line="259" w:lineRule="auto"/>
        <w:rPr>
          <w:sz w:val="20"/>
          <w:szCs w:val="20"/>
          <w:color w:val="auto"/>
        </w:rPr>
      </w:pPr>
      <w:r>
        <w:rPr>
          <w:rFonts w:ascii="Arial" w:cs="Arial" w:eastAsia="Arial" w:hAnsi="Arial"/>
          <w:sz w:val="19"/>
          <w:szCs w:val="19"/>
          <w:color w:val="auto"/>
        </w:rPr>
        <w:t>Management assessed the effectiveness of the Company's internal control over financial reporting as of November 1, 2009 based on the criteria set forth by the Committee of Sponsoring Organizations of the Treadway Commission in "Internal Control - Integrated Framework." Management, under the supervision and with the participation of the Company's chief executive officer and chief financial officer, assessed the effectiveness of the Company's internal control over financial reporting was effective as of November 1, 2009.</w:t>
      </w:r>
    </w:p>
    <w:p>
      <w:pPr>
        <w:spacing w:after="0" w:line="154" w:lineRule="exact"/>
        <w:rPr>
          <w:sz w:val="20"/>
          <w:szCs w:val="20"/>
          <w:color w:val="auto"/>
        </w:rPr>
      </w:pPr>
    </w:p>
    <w:p>
      <w:pPr>
        <w:ind w:right="400" w:firstLine="246"/>
        <w:spacing w:after="0" w:line="314"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November 1, 2009, as stated in their attestation report on page 34 of this Form 10-K.</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January 8, 2010</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00" w:lineRule="exact"/>
        <w:rPr>
          <w:sz w:val="20"/>
          <w:szCs w:val="20"/>
          <w:color w:val="auto"/>
        </w:rPr>
      </w:pPr>
    </w:p>
    <w:p>
      <w:pPr>
        <w:ind w:right="140" w:firstLine="299"/>
        <w:spacing w:after="0" w:line="269" w:lineRule="auto"/>
        <w:rPr>
          <w:sz w:val="20"/>
          <w:szCs w:val="20"/>
          <w:color w:val="auto"/>
        </w:rPr>
      </w:pPr>
      <w:r>
        <w:rPr>
          <w:rFonts w:ascii="Arial" w:cs="Arial" w:eastAsia="Arial" w:hAnsi="Arial"/>
          <w:sz w:val="18"/>
          <w:szCs w:val="18"/>
          <w:color w:val="auto"/>
        </w:rPr>
        <w:t>On January 6, 2009, Photronics, Inc. ("Photronics") and Soo Hong Jeong extended for one additional year the Employment Agreement of Soo Hong Jeong, Chief Operating Officer, President, Asia Operations effective October 28, 2009 (October 28, 2009 through October 27,</w:t>
      </w:r>
    </w:p>
    <w:p>
      <w:pPr>
        <w:spacing w:after="0" w:line="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2010). The Employment Agreement was originally entered into between Photronics and Mr. Jeong on August 24, 2001, and was subsequently amended on March 18, 2004, November 28, 2005, June 9, 2006, December 29, 2006, November 6, 2007 and October 28, 2008. The Extension Letter Agreement was executed by Photronics on January 6, 2009 and is attached as Exhibit 10.23 to this Form 10-K.</w:t>
      </w:r>
    </w:p>
    <w:p>
      <w:pPr>
        <w:spacing w:after="0" w:line="134"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AND EXECUTIVE OFFICERS OF THE REGISTRANT</w:t>
      </w:r>
    </w:p>
    <w:p>
      <w:pPr>
        <w:spacing w:after="0" w:line="200" w:lineRule="exact"/>
        <w:rPr>
          <w:sz w:val="20"/>
          <w:szCs w:val="20"/>
          <w:color w:val="auto"/>
        </w:rPr>
      </w:pPr>
    </w:p>
    <w:p>
      <w:pPr>
        <w:ind w:right="80" w:firstLine="246"/>
        <w:spacing w:after="0" w:line="270" w:lineRule="auto"/>
        <w:rPr>
          <w:sz w:val="20"/>
          <w:szCs w:val="20"/>
          <w:color w:val="auto"/>
        </w:rPr>
      </w:pPr>
      <w:r>
        <w:rPr>
          <w:rFonts w:ascii="Arial" w:cs="Arial" w:eastAsia="Arial" w:hAnsi="Arial"/>
          <w:sz w:val="18"/>
          <w:szCs w:val="18"/>
          <w:color w:val="auto"/>
        </w:rPr>
        <w:t>The information as to Directors required by Item 401, 405 and 407(c)(3)(d)(4) and (d)(5) of Regulation S-K is set forth in the Company's 2010 definitive Proxy Statement which will be filed with the Securities and Exchange Commission pursuant to Regulation 14A within 120 days after the end of the fiscal year covered by this Form 10-K under the caption "PROPOSAL 1 - ELECTION OF DIRECTORS," "SECTION 16(a) BENEFICIAL OWNERSHIP REPORTING COMPLIANCE" and in paragraph three under the caption "MEETINGS AND COMMITTEES OF THE BOARD" and is incorporated in this report by reference. The information as to Executive Officers is included in the Company's 2010 definitive Proxy Statement under the caption "EXECUTIVE OFFICERS" and is incorporated in this report by reference.</w:t>
      </w:r>
    </w:p>
    <w:p>
      <w:pPr>
        <w:spacing w:after="0" w:line="148" w:lineRule="exact"/>
        <w:rPr>
          <w:sz w:val="20"/>
          <w:szCs w:val="20"/>
          <w:color w:val="auto"/>
        </w:rPr>
      </w:pPr>
    </w:p>
    <w:p>
      <w:pPr>
        <w:jc w:val="both"/>
        <w:ind w:right="40" w:firstLine="246"/>
        <w:spacing w:after="0" w:line="246" w:lineRule="auto"/>
        <w:rPr>
          <w:sz w:val="20"/>
          <w:szCs w:val="20"/>
          <w:color w:val="auto"/>
        </w:rPr>
      </w:pPr>
      <w:r>
        <w:rPr>
          <w:rFonts w:ascii="Arial" w:cs="Arial" w:eastAsia="Arial" w:hAnsi="Arial"/>
          <w:sz w:val="20"/>
          <w:szCs w:val="20"/>
          <w:color w:val="auto"/>
        </w:rPr>
        <w:t>The Company has adopted a code of ethics that applies to its principal executive officer, principal financial officer and principal accounting officer or controller. A copy of the code of ethics may be obtained, free of charge, by writing to the General Counsel of Photronics, Inc., at 15 Secor Road, Brookfield, Connecticut 06804.</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00" w:lineRule="exact"/>
        <w:rPr>
          <w:sz w:val="20"/>
          <w:szCs w:val="20"/>
          <w:color w:val="auto"/>
        </w:rPr>
      </w:pPr>
    </w:p>
    <w:p>
      <w:pPr>
        <w:ind w:right="340" w:firstLine="246"/>
        <w:spacing w:after="0" w:line="259" w:lineRule="auto"/>
        <w:rPr>
          <w:sz w:val="20"/>
          <w:szCs w:val="20"/>
          <w:color w:val="auto"/>
        </w:rPr>
      </w:pPr>
      <w:r>
        <w:rPr>
          <w:rFonts w:ascii="Arial" w:cs="Arial" w:eastAsia="Arial" w:hAnsi="Arial"/>
          <w:sz w:val="19"/>
          <w:szCs w:val="19"/>
          <w:color w:val="auto"/>
        </w:rPr>
        <w:t>The information required by Item 402 of Regulation S-K and paragraph (e)(4) and (e)(5) of Item 407 is set forth in the Company's 2010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AND MANAGEMENT AND RELATED SHAREHOLDER MATTERS</w:t>
      </w:r>
    </w:p>
    <w:p>
      <w:pPr>
        <w:spacing w:after="0" w:line="178" w:lineRule="exact"/>
        <w:rPr>
          <w:sz w:val="20"/>
          <w:szCs w:val="20"/>
          <w:color w:val="auto"/>
        </w:rPr>
      </w:pPr>
    </w:p>
    <w:p>
      <w:pPr>
        <w:ind w:right="160" w:firstLine="246"/>
        <w:spacing w:after="0" w:line="246" w:lineRule="auto"/>
        <w:rPr>
          <w:sz w:val="20"/>
          <w:szCs w:val="20"/>
          <w:color w:val="auto"/>
        </w:rPr>
      </w:pPr>
      <w:r>
        <w:rPr>
          <w:rFonts w:ascii="Arial" w:cs="Arial" w:eastAsia="Arial" w:hAnsi="Arial"/>
          <w:sz w:val="20"/>
          <w:szCs w:val="20"/>
          <w:color w:val="auto"/>
        </w:rPr>
        <w:t>The information required by Items 403 and 201(d) of Regulation S-K is set forth in the Company's 2010 definitive Proxy Statement under the captions "Ownership of Common Stock by Directors, Officers and Certain Beneficial Owners" and "Equity Compensation Plan Information," respectively, and is incorporated in this report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AND DIRECTOR INDEPENDENCE</w:t>
      </w:r>
    </w:p>
    <w:p>
      <w:pPr>
        <w:spacing w:after="0" w:line="178" w:lineRule="exact"/>
        <w:rPr>
          <w:sz w:val="20"/>
          <w:szCs w:val="20"/>
          <w:color w:val="auto"/>
        </w:rPr>
      </w:pPr>
    </w:p>
    <w:p>
      <w:pPr>
        <w:ind w:right="200" w:firstLine="246"/>
        <w:spacing w:after="0" w:line="246" w:lineRule="auto"/>
        <w:rPr>
          <w:sz w:val="20"/>
          <w:szCs w:val="20"/>
          <w:color w:val="auto"/>
        </w:rPr>
      </w:pPr>
      <w:r>
        <w:rPr>
          <w:rFonts w:ascii="Arial" w:cs="Arial" w:eastAsia="Arial" w:hAnsi="Arial"/>
          <w:sz w:val="20"/>
          <w:szCs w:val="20"/>
          <w:color w:val="auto"/>
        </w:rPr>
        <w:t>The information required by Item 404 of Regulation S-K and Item 407(a) of Regulation S-K is set forth in the Company's 2010 definitive Proxy Statement under the captions "MEETINGS AND COMMITTEES OF THE BOARD" and "CERTAIN RELATIONSHIPS AND RELATED TRANSACTIONS" and is incorporated in this report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00" w:lineRule="exact"/>
        <w:rPr>
          <w:sz w:val="20"/>
          <w:szCs w:val="20"/>
          <w:color w:val="auto"/>
        </w:rPr>
      </w:pPr>
    </w:p>
    <w:p>
      <w:pPr>
        <w:ind w:right="120" w:firstLine="246"/>
        <w:spacing w:after="0" w:line="246" w:lineRule="auto"/>
        <w:rPr>
          <w:sz w:val="20"/>
          <w:szCs w:val="20"/>
          <w:color w:val="auto"/>
        </w:rPr>
      </w:pPr>
      <w:r>
        <w:rPr>
          <w:rFonts w:ascii="Arial" w:cs="Arial" w:eastAsia="Arial" w:hAnsi="Arial"/>
          <w:sz w:val="20"/>
          <w:szCs w:val="20"/>
          <w:color w:val="auto"/>
        </w:rPr>
        <w:t>The information required by Item 9(e) of Schedule 14A is set forth in the Company's 2010 definitive Proxy Statement under the captions "FEES PAID TO THE INDEPENDENT AUDITORS" and "AUDIT COMMITTEE REPORT," respectively, and is incorporated in this report by reference.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ectPr>
          <w:pgSz w:w="11900" w:h="16838" w:orient="portrait"/>
          <w:cols w:equalWidth="0" w:num="1">
            <w:col w:w="11420"/>
          </w:cols>
          <w:pgMar w:left="240" w:top="762" w:right="2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61"/>
        </w:trPr>
        <w:tc>
          <w:tcPr>
            <w:tcW w:w="8080" w:type="dxa"/>
            <w:vAlign w:val="bottom"/>
            <w:gridSpan w:val="2"/>
          </w:tcPr>
          <w:p>
            <w:pPr>
              <w:spacing w:after="0"/>
              <w:rPr>
                <w:sz w:val="20"/>
                <w:szCs w:val="20"/>
                <w:color w:val="auto"/>
              </w:rPr>
            </w:pPr>
            <w:r>
              <w:rPr>
                <w:rFonts w:ascii="Arial" w:cs="Arial" w:eastAsia="Arial" w:hAnsi="Arial"/>
                <w:sz w:val="20"/>
                <w:szCs w:val="20"/>
                <w:b w:val="1"/>
                <w:bCs w:val="1"/>
                <w:color w:val="auto"/>
              </w:rPr>
              <w:t>ITEM 15. EXHIBITS AND FINANCIAL STATEMENT SCHEDULES</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00" w:type="dxa"/>
            <w:vAlign w:val="bottom"/>
          </w:tcPr>
          <w:p>
            <w:pPr>
              <w:spacing w:after="0"/>
              <w:rPr>
                <w:sz w:val="24"/>
                <w:szCs w:val="24"/>
                <w:color w:val="auto"/>
              </w:rPr>
            </w:pPr>
          </w:p>
        </w:tc>
        <w:tc>
          <w:tcPr>
            <w:tcW w:w="7880" w:type="dxa"/>
            <w:vAlign w:val="bottom"/>
          </w:tcPr>
          <w:p>
            <w:pPr>
              <w:ind w:left="40"/>
              <w:spacing w:after="0"/>
              <w:rPr>
                <w:sz w:val="20"/>
                <w:szCs w:val="20"/>
                <w:color w:val="auto"/>
              </w:rPr>
            </w:pPr>
            <w:r>
              <w:rPr>
                <w:rFonts w:ascii="Arial" w:cs="Arial" w:eastAsia="Arial" w:hAnsi="Arial"/>
                <w:sz w:val="20"/>
                <w:szCs w:val="20"/>
                <w:color w:val="auto"/>
              </w:rPr>
              <w:t>The following documents are filed as part of this report: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w w:val="87"/>
              </w:rPr>
              <w:t>Page</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b w:val="1"/>
                <w:bCs w:val="1"/>
                <w:color w:val="auto"/>
              </w:rPr>
              <w:t>No.</w:t>
            </w:r>
          </w:p>
        </w:tc>
        <w:tc>
          <w:tcPr>
            <w:tcW w:w="0" w:type="dxa"/>
            <w:vAlign w:val="bottom"/>
          </w:tcPr>
          <w:p>
            <w:pPr>
              <w:spacing w:after="0"/>
              <w:rPr>
                <w:sz w:val="1"/>
                <w:szCs w:val="1"/>
                <w:color w:val="auto"/>
              </w:rPr>
            </w:pPr>
          </w:p>
        </w:tc>
      </w:tr>
      <w:tr>
        <w:trPr>
          <w:trHeight w:val="98"/>
        </w:trPr>
        <w:tc>
          <w:tcPr>
            <w:tcW w:w="200" w:type="dxa"/>
            <w:vAlign w:val="bottom"/>
            <w:vMerge w:val="restart"/>
          </w:tcPr>
          <w:p>
            <w:pPr>
              <w:spacing w:after="0"/>
              <w:rPr>
                <w:sz w:val="20"/>
                <w:szCs w:val="20"/>
                <w:color w:val="auto"/>
              </w:rPr>
            </w:pPr>
            <w:r>
              <w:rPr>
                <w:rFonts w:ascii="Arial" w:cs="Arial" w:eastAsia="Arial" w:hAnsi="Arial"/>
                <w:sz w:val="20"/>
                <w:szCs w:val="20"/>
                <w:color w:val="auto"/>
              </w:rPr>
              <w:t>1.</w:t>
            </w:r>
          </w:p>
        </w:tc>
        <w:tc>
          <w:tcPr>
            <w:tcW w:w="7880" w:type="dxa"/>
            <w:vAlign w:val="bottom"/>
            <w:vMerge w:val="restart"/>
          </w:tcPr>
          <w:p>
            <w:pPr>
              <w:ind w:left="100"/>
              <w:spacing w:after="0"/>
              <w:rPr>
                <w:sz w:val="20"/>
                <w:szCs w:val="20"/>
                <w:color w:val="auto"/>
              </w:rPr>
            </w:pPr>
            <w:r>
              <w:rPr>
                <w:rFonts w:ascii="Arial" w:cs="Arial" w:eastAsia="Arial" w:hAnsi="Arial"/>
                <w:sz w:val="20"/>
                <w:szCs w:val="20"/>
                <w:color w:val="auto"/>
              </w:rPr>
              <w:t>Financial Statements:</w:t>
            </w: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0" w:type="dxa"/>
            <w:vAlign w:val="bottom"/>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Report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44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Consolidated Balance Sheets at November 1, 2009 and November 2, 2008</w:t>
            </w:r>
          </w:p>
        </w:tc>
        <w:tc>
          <w:tcPr>
            <w:tcW w:w="46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Consolidated Statements of Operations for the years ended November 1, 2009,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November 2, 2008 and October 28, 2007</w:t>
            </w:r>
          </w:p>
        </w:tc>
        <w:tc>
          <w:tcPr>
            <w:tcW w:w="46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w w:val="98"/>
              </w:rPr>
              <w:t>Consolidated Statements of Shareholders' Equity for the years ended November 1, 2009,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November 2, 2008 and October 28, 2007</w:t>
            </w:r>
          </w:p>
        </w:tc>
        <w:tc>
          <w:tcPr>
            <w:tcW w:w="46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Consolidated Statements of Cash Flows for the years ended November 1, 2009,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November 2, 2008 and October 28, 2007</w:t>
            </w:r>
          </w:p>
        </w:tc>
        <w:tc>
          <w:tcPr>
            <w:tcW w:w="4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44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Notes to Consolidated Financial Statements</w:t>
            </w:r>
          </w:p>
        </w:tc>
        <w:tc>
          <w:tcPr>
            <w:tcW w:w="4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449"/>
        </w:trPr>
        <w:tc>
          <w:tcPr>
            <w:tcW w:w="200" w:type="dxa"/>
            <w:vAlign w:val="bottom"/>
          </w:tcPr>
          <w:p>
            <w:pPr>
              <w:spacing w:after="0"/>
              <w:rPr>
                <w:sz w:val="20"/>
                <w:szCs w:val="20"/>
                <w:color w:val="auto"/>
              </w:rPr>
            </w:pPr>
            <w:r>
              <w:rPr>
                <w:rFonts w:ascii="Arial" w:cs="Arial" w:eastAsia="Arial" w:hAnsi="Arial"/>
                <w:sz w:val="20"/>
                <w:szCs w:val="20"/>
                <w:color w:val="auto"/>
              </w:rPr>
              <w:t>2.</w:t>
            </w:r>
          </w:p>
        </w:tc>
        <w:tc>
          <w:tcPr>
            <w:tcW w:w="7880" w:type="dxa"/>
            <w:vAlign w:val="bottom"/>
          </w:tcPr>
          <w:p>
            <w:pPr>
              <w:ind w:left="100"/>
              <w:spacing w:after="0"/>
              <w:rPr>
                <w:sz w:val="20"/>
                <w:szCs w:val="20"/>
                <w:color w:val="auto"/>
              </w:rPr>
            </w:pPr>
            <w:r>
              <w:rPr>
                <w:rFonts w:ascii="Arial" w:cs="Arial" w:eastAsia="Arial" w:hAnsi="Arial"/>
                <w:sz w:val="20"/>
                <w:szCs w:val="20"/>
                <w:color w:val="auto"/>
              </w:rPr>
              <w:t>Financial Statement Schedules: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w w:val="95"/>
              </w:rPr>
              <w:t>Report of Independent Registered Public Accounting Firm on Financial Statement Schedule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for the years ended November 1, 2009, November 2, 2008 and October 28, 2007</w:t>
            </w:r>
          </w:p>
        </w:tc>
        <w:tc>
          <w:tcPr>
            <w:tcW w:w="46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41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Schedule II, Valuation Account - Valuation and Qualifying Accounts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for the years ended November 1, 2009, November 2, 2008 and October 28, 2007</w:t>
            </w:r>
          </w:p>
        </w:tc>
        <w:tc>
          <w:tcPr>
            <w:tcW w:w="46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449"/>
        </w:trPr>
        <w:tc>
          <w:tcPr>
            <w:tcW w:w="20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20"/>
                <w:szCs w:val="20"/>
                <w:color w:val="auto"/>
              </w:rPr>
              <w:t>All other schedules are omitted because they are not applicable.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0" w:type="dxa"/>
            <w:vAlign w:val="bottom"/>
          </w:tcPr>
          <w:p>
            <w:pPr>
              <w:spacing w:after="0"/>
              <w:rPr>
                <w:sz w:val="20"/>
                <w:szCs w:val="20"/>
                <w:color w:val="auto"/>
              </w:rPr>
            </w:pPr>
            <w:r>
              <w:rPr>
                <w:rFonts w:ascii="Arial" w:cs="Arial" w:eastAsia="Arial" w:hAnsi="Arial"/>
                <w:sz w:val="20"/>
                <w:szCs w:val="20"/>
                <w:color w:val="auto"/>
              </w:rPr>
              <w:t>3.</w:t>
            </w:r>
          </w:p>
        </w:tc>
        <w:tc>
          <w:tcPr>
            <w:tcW w:w="7880" w:type="dxa"/>
            <w:vAlign w:val="bottom"/>
          </w:tcPr>
          <w:p>
            <w:pPr>
              <w:ind w:left="100"/>
              <w:spacing w:after="0"/>
              <w:rPr>
                <w:sz w:val="20"/>
                <w:szCs w:val="20"/>
                <w:color w:val="auto"/>
              </w:rPr>
            </w:pPr>
            <w:r>
              <w:rPr>
                <w:rFonts w:ascii="Arial" w:cs="Arial" w:eastAsia="Arial" w:hAnsi="Arial"/>
                <w:sz w:val="20"/>
                <w:szCs w:val="20"/>
                <w:color w:val="auto"/>
              </w:rPr>
              <w:t>Exhibits</w:t>
            </w:r>
          </w:p>
        </w:tc>
        <w:tc>
          <w:tcPr>
            <w:tcW w:w="46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-4069715</wp:posOffset>
            </wp:positionV>
            <wp:extent cx="127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-4069715</wp:posOffset>
            </wp:positionV>
            <wp:extent cx="127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EXHIBITS INDEX</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Exhibit</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u w:val="single" w:color="auto"/>
          <w:color w:val="auto"/>
        </w:rPr>
        <w:t>Number  Description</w:t>
      </w:r>
    </w:p>
    <w:p>
      <w:pPr>
        <w:spacing w:after="0" w:line="203" w:lineRule="exact"/>
        <w:rPr>
          <w:sz w:val="20"/>
          <w:szCs w:val="20"/>
          <w:color w:val="auto"/>
        </w:rPr>
      </w:pPr>
    </w:p>
    <w:p>
      <w:pPr>
        <w:jc w:val="both"/>
        <w:ind w:left="2080" w:right="159" w:hanging="859"/>
        <w:spacing w:after="0" w:line="287" w:lineRule="auto"/>
        <w:tabs>
          <w:tab w:leader="none" w:pos="2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Certificate of Incorporation as amended July 9, 1986, April 9, 1990, March 16, 1995, November 13, 1997, April 15, 2002 and June 20, 2005 (incorporated by reference to Exhibit 3.1 to the Company's Annual Report on Form 10-K for the fiscal year ended October 28, 2007).</w:t>
      </w:r>
    </w:p>
    <w:p>
      <w:pPr>
        <w:spacing w:after="0" w:line="155" w:lineRule="exact"/>
        <w:rPr>
          <w:sz w:val="20"/>
          <w:szCs w:val="20"/>
          <w:color w:val="auto"/>
        </w:rPr>
      </w:pPr>
    </w:p>
    <w:p>
      <w:pPr>
        <w:ind w:left="2080" w:right="99" w:hanging="859"/>
        <w:spacing w:after="0" w:line="246" w:lineRule="auto"/>
        <w:tabs>
          <w:tab w:leader="none" w:pos="2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By-laws of the Company, (incorporated by reference to Exhibit 3.2 to the Company's Registration Statement on Form S-1, File Number 33-11694, which was declared effective by the Commission on March 10, 1987).</w:t>
      </w:r>
    </w:p>
    <w:p>
      <w:pPr>
        <w:spacing w:after="0" w:line="190" w:lineRule="exact"/>
        <w:rPr>
          <w:sz w:val="20"/>
          <w:szCs w:val="20"/>
          <w:color w:val="auto"/>
        </w:rPr>
      </w:pPr>
    </w:p>
    <w:p>
      <w:pPr>
        <w:jc w:val="both"/>
        <w:ind w:left="2080" w:right="379" w:hanging="859"/>
        <w:spacing w:after="0" w:line="246" w:lineRule="auto"/>
        <w:tabs>
          <w:tab w:leader="none" w:pos="2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Form of Indenture between the Company and the Bank of New York, as Trustee (incorporated by reference to Exhibit 4.1 to the Company’s Registration Statement on Form S-3 File Number 333-160235 which was filed on June 25, 2009).</w:t>
      </w:r>
    </w:p>
    <w:p>
      <w:pPr>
        <w:spacing w:after="0" w:line="190" w:lineRule="exact"/>
        <w:rPr>
          <w:sz w:val="20"/>
          <w:szCs w:val="20"/>
          <w:color w:val="auto"/>
        </w:rPr>
      </w:pPr>
    </w:p>
    <w:p>
      <w:pPr>
        <w:ind w:left="2080" w:right="319" w:hanging="859"/>
        <w:spacing w:after="0" w:line="246" w:lineRule="auto"/>
        <w:tabs>
          <w:tab w:leader="none" w:pos="20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Indenture dated September 16, 2009 between the Company and the Bank of New York, as Trustee (incorporated by reference to Exhibit 4.1 to the Company’s Current Report on Form 8K filed September 17, 2009 (Commission File Number 0-15451)).</w:t>
      </w:r>
    </w:p>
    <w:p>
      <w:pPr>
        <w:spacing w:after="0" w:line="190" w:lineRule="exact"/>
        <w:rPr>
          <w:sz w:val="20"/>
          <w:szCs w:val="20"/>
          <w:color w:val="auto"/>
        </w:rPr>
      </w:pPr>
    </w:p>
    <w:p>
      <w:pPr>
        <w:ind w:left="2080" w:right="459" w:hanging="859"/>
        <w:spacing w:after="0" w:line="259" w:lineRule="auto"/>
        <w:tabs>
          <w:tab w:leader="none" w:pos="20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Supplement to Indenture dated September 16, 2009 between the Company and the Bank of New York, as Trustee relating the issuance of the Company’s 5.5% Convertible Notes due 2014 (incorporated by reference to Exhibit 4.2 to the Company’s Current Report on Form 8K filed September 17, 2009 (Commission File Number 0-1541)).</w:t>
      </w:r>
    </w:p>
    <w:p>
      <w:pPr>
        <w:spacing w:after="0" w:line="179" w:lineRule="exact"/>
        <w:rPr>
          <w:sz w:val="20"/>
          <w:szCs w:val="20"/>
          <w:color w:val="auto"/>
        </w:rPr>
      </w:pPr>
    </w:p>
    <w:p>
      <w:pPr>
        <w:ind w:left="2080" w:right="219" w:hanging="859"/>
        <w:spacing w:after="0" w:line="258" w:lineRule="auto"/>
        <w:tabs>
          <w:tab w:leader="none" w:pos="20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The Company will furnish to the Commission upon request any other debt instrument referred to in Item 601(b)(4)(iii)(A) of Regulation S-K.</w:t>
      </w:r>
    </w:p>
    <w:p>
      <w:pPr>
        <w:spacing w:after="0" w:line="179" w:lineRule="exact"/>
        <w:rPr>
          <w:sz w:val="20"/>
          <w:szCs w:val="20"/>
          <w:color w:val="auto"/>
        </w:rPr>
      </w:pPr>
    </w:p>
    <w:p>
      <w:pPr>
        <w:ind w:left="2080" w:right="919" w:hanging="859"/>
        <w:spacing w:after="0" w:line="258" w:lineRule="auto"/>
        <w:tabs>
          <w:tab w:leader="none" w:pos="20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Master Service Agreement dated January 11, 2002 between the Company and RagingWire Telecommunications, Inc.*</w:t>
      </w:r>
    </w:p>
    <w:p>
      <w:pPr>
        <w:sectPr>
          <w:pgSz w:w="11900" w:h="16838" w:orient="portrait"/>
          <w:cols w:equalWidth="0" w:num="1">
            <w:col w:w="10219"/>
          </w:cols>
          <w:pgMar w:left="240" w:top="114" w:right="1440" w:bottom="0" w:gutter="0" w:footer="0" w:header="0"/>
        </w:sectPr>
      </w:pPr>
    </w:p>
    <w:bookmarkStart w:id="54" w:name="page55"/>
    <w:bookmarkEnd w:id="54"/>
    <w:p>
      <w:pPr>
        <w:spacing w:after="0" w:line="76" w:lineRule="exact"/>
        <w:rPr>
          <w:sz w:val="20"/>
          <w:szCs w:val="20"/>
          <w:color w:val="auto"/>
        </w:rPr>
      </w:pPr>
    </w:p>
    <w:p>
      <w:pPr>
        <w:ind w:left="880" w:right="339" w:hanging="859"/>
        <w:spacing w:after="0" w:line="242" w:lineRule="auto"/>
        <w:tabs>
          <w:tab w:leader="none" w:pos="8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Underwriting Agreement between the Company and Morgan Stanley &amp; Co. Incorporated dated September 10, 2009 relating to the issuance of the Company’s 5.5% Convertible Notes due 2014 (incorporated by reference to Exhibit 10.1 to the Company’s Current Report on Form 8K filed September 11, 2009 (Commission File Number 0-1541)).</w:t>
      </w:r>
    </w:p>
    <w:p>
      <w:pPr>
        <w:spacing w:after="0" w:line="194" w:lineRule="exact"/>
        <w:rPr>
          <w:sz w:val="20"/>
          <w:szCs w:val="20"/>
          <w:color w:val="auto"/>
        </w:rPr>
      </w:pPr>
    </w:p>
    <w:p>
      <w:pPr>
        <w:ind w:left="880" w:right="239" w:hanging="859"/>
        <w:spacing w:after="0" w:line="242" w:lineRule="auto"/>
        <w:tabs>
          <w:tab w:leader="none" w:pos="8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Underwriting Agreement between the Company and Morgan Stanley &amp; Co. Incorporated dated September 10, 2009 relating to the issuance of 9,638,554 shares of common stock (incorporated by reference to Exhibit 10.2 to the Company’s Current Report on Form 8K filed September 11, 2009 (Commission File Number 0-1541)).</w:t>
      </w:r>
    </w:p>
    <w:p>
      <w:pPr>
        <w:spacing w:after="0" w:line="194" w:lineRule="exact"/>
        <w:rPr>
          <w:sz w:val="20"/>
          <w:szCs w:val="20"/>
          <w:color w:val="auto"/>
        </w:rPr>
      </w:pPr>
    </w:p>
    <w:p>
      <w:pPr>
        <w:ind w:left="880" w:right="199" w:hanging="859"/>
        <w:spacing w:after="0" w:line="246" w:lineRule="auto"/>
        <w:tabs>
          <w:tab w:leader="none" w:pos="8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Warrant Agreement between the Company and Intel Capital Corporation dated September 10, 2009 (incorporated by reference to Exhibit 10.3 to the Company’s Current Report on Form 8K filed September 11, 2009 (Commission File Number 0-1541)).</w:t>
      </w:r>
    </w:p>
    <w:p>
      <w:pPr>
        <w:spacing w:after="0" w:line="190" w:lineRule="exact"/>
        <w:rPr>
          <w:sz w:val="20"/>
          <w:szCs w:val="20"/>
          <w:color w:val="auto"/>
        </w:rPr>
      </w:pPr>
    </w:p>
    <w:p>
      <w:pPr>
        <w:ind w:left="880" w:right="199" w:hanging="859"/>
        <w:spacing w:after="0" w:line="246" w:lineRule="auto"/>
        <w:tabs>
          <w:tab w:leader="none" w:pos="8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Warrant Agreement between the Company and Intel Capital Corporation dated September 10, 2009 (incorporated by reference to Exhibit 10.4 to the Company’s Current Report on Form 8K filed September 11, 2009 (Commission File Number 0-1541)).</w:t>
      </w:r>
    </w:p>
    <w:p>
      <w:pPr>
        <w:spacing w:after="0" w:line="190" w:lineRule="exact"/>
        <w:rPr>
          <w:sz w:val="20"/>
          <w:szCs w:val="20"/>
          <w:color w:val="auto"/>
        </w:rPr>
      </w:pPr>
    </w:p>
    <w:p>
      <w:pPr>
        <w:ind w:left="880" w:right="179" w:hanging="859"/>
        <w:spacing w:after="0" w:line="272" w:lineRule="auto"/>
        <w:tabs>
          <w:tab w:leader="none" w:pos="8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color w:val="auto"/>
        </w:rPr>
        <w:t>The Company’s 1992 Employee Stock Purchase Plan (incorporated by reference to Exhibit 10.24 to the Company’s Registration Statement on Form S-8, File Number 33-47446 which was filed April</w:t>
      </w:r>
    </w:p>
    <w:p>
      <w:pPr>
        <w:ind w:left="880"/>
        <w:spacing w:after="0"/>
        <w:rPr>
          <w:sz w:val="20"/>
          <w:szCs w:val="20"/>
          <w:color w:val="auto"/>
        </w:rPr>
      </w:pPr>
      <w:r>
        <w:rPr>
          <w:rFonts w:ascii="Arial" w:cs="Arial" w:eastAsia="Arial" w:hAnsi="Arial"/>
          <w:sz w:val="20"/>
          <w:szCs w:val="20"/>
          <w:color w:val="auto"/>
        </w:rPr>
        <w:t>24, 1994).</w:t>
      </w:r>
      <w:r>
        <w:rPr>
          <w:rFonts w:ascii="Arial" w:cs="Arial" w:eastAsia="Arial" w:hAnsi="Arial"/>
          <w:sz w:val="33"/>
          <w:szCs w:val="33"/>
          <w:color w:val="auto"/>
          <w:vertAlign w:val="superscript"/>
        </w:rPr>
        <w:t>+</w:t>
      </w:r>
    </w:p>
    <w:p>
      <w:pPr>
        <w:spacing w:after="0" w:line="98" w:lineRule="exact"/>
        <w:rPr>
          <w:sz w:val="20"/>
          <w:szCs w:val="20"/>
          <w:color w:val="auto"/>
        </w:rPr>
      </w:pPr>
    </w:p>
    <w:p>
      <w:pPr>
        <w:ind w:left="880" w:right="39" w:hanging="859"/>
        <w:spacing w:after="0" w:line="272" w:lineRule="auto"/>
        <w:tabs>
          <w:tab w:leader="none" w:pos="8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Amendment to the Employee Stock Purchase Plan as of March 24, 2004 (incorporated by reference to Exhibit 10.10 to the Company's Annual Report on Form 10-K for the fiscal year ended October 31,</w:t>
      </w:r>
    </w:p>
    <w:p>
      <w:pPr>
        <w:ind w:left="880"/>
        <w:spacing w:after="0"/>
        <w:rPr>
          <w:sz w:val="20"/>
          <w:szCs w:val="20"/>
          <w:color w:val="auto"/>
        </w:rPr>
      </w:pPr>
      <w:r>
        <w:rPr>
          <w:rFonts w:ascii="Arial" w:cs="Arial" w:eastAsia="Arial" w:hAnsi="Arial"/>
          <w:sz w:val="20"/>
          <w:szCs w:val="20"/>
          <w:color w:val="auto"/>
        </w:rPr>
        <w:t>2004 (Commission File Number 0-15451)).</w:t>
      </w:r>
      <w:r>
        <w:rPr>
          <w:rFonts w:ascii="Arial" w:cs="Arial" w:eastAsia="Arial" w:hAnsi="Arial"/>
          <w:sz w:val="33"/>
          <w:szCs w:val="33"/>
          <w:color w:val="auto"/>
          <w:vertAlign w:val="superscript"/>
        </w:rPr>
        <w:t>+</w:t>
      </w:r>
    </w:p>
    <w:p>
      <w:pPr>
        <w:spacing w:after="0" w:line="98" w:lineRule="exact"/>
        <w:rPr>
          <w:sz w:val="20"/>
          <w:szCs w:val="20"/>
          <w:color w:val="auto"/>
        </w:rPr>
      </w:pPr>
    </w:p>
    <w:p>
      <w:pPr>
        <w:ind w:left="880" w:right="179" w:hanging="859"/>
        <w:spacing w:after="0" w:line="258" w:lineRule="auto"/>
        <w:tabs>
          <w:tab w:leader="none" w:pos="86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The Company’s 2007 Long-Term Equity Incentive Plan (incorporated by reference to Exhibit 4.1 to the Company's Registration Statement on Form S-8, Registration No. 333).</w:t>
      </w:r>
    </w:p>
    <w:p>
      <w:pPr>
        <w:spacing w:after="0" w:line="179" w:lineRule="exact"/>
        <w:rPr>
          <w:sz w:val="20"/>
          <w:szCs w:val="20"/>
          <w:color w:val="auto"/>
        </w:rPr>
      </w:pPr>
    </w:p>
    <w:p>
      <w:pPr>
        <w:ind w:left="880" w:right="199" w:hanging="859"/>
        <w:spacing w:after="0" w:line="272" w:lineRule="auto"/>
        <w:tabs>
          <w:tab w:leader="none" w:pos="86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color w:val="auto"/>
        </w:rPr>
        <w:t>Consulting Agreement between the Company and Constantine S. Macricostas, dated July 11, 2005 (incorporated by reference to Exhibit 10.1 to the Company's Current Report on Form 8-K filed July</w:t>
      </w:r>
    </w:p>
    <w:p>
      <w:pPr>
        <w:ind w:left="880"/>
        <w:spacing w:after="0"/>
        <w:rPr>
          <w:sz w:val="20"/>
          <w:szCs w:val="20"/>
          <w:color w:val="auto"/>
        </w:rPr>
      </w:pPr>
      <w:r>
        <w:rPr>
          <w:rFonts w:ascii="Arial" w:cs="Arial" w:eastAsia="Arial" w:hAnsi="Arial"/>
          <w:sz w:val="20"/>
          <w:szCs w:val="20"/>
          <w:color w:val="auto"/>
        </w:rPr>
        <w:t>13, 2005 (Commission File Number 0-15451)).</w:t>
      </w:r>
      <w:r>
        <w:rPr>
          <w:rFonts w:ascii="Arial" w:cs="Arial" w:eastAsia="Arial" w:hAnsi="Arial"/>
          <w:sz w:val="33"/>
          <w:szCs w:val="33"/>
          <w:color w:val="auto"/>
          <w:vertAlign w:val="superscript"/>
        </w:rPr>
        <w:t>+</w:t>
      </w:r>
    </w:p>
    <w:p>
      <w:pPr>
        <w:spacing w:after="0" w:line="98" w:lineRule="exact"/>
        <w:rPr>
          <w:sz w:val="20"/>
          <w:szCs w:val="20"/>
          <w:color w:val="auto"/>
        </w:rPr>
      </w:pPr>
    </w:p>
    <w:p>
      <w:pPr>
        <w:ind w:left="880" w:right="279" w:hanging="859"/>
        <w:spacing w:after="0" w:line="252" w:lineRule="auto"/>
        <w:tabs>
          <w:tab w:leader="none" w:pos="8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color w:val="auto"/>
        </w:rPr>
        <w:t>Amendment No. 1 to the Consulting Agreement between Constantine S. Macricostas and the Company dated November 10, 2008 (incorporated by reference to Exhibit 10.11 to the Company’s Annual Report on Form 10K for the fiscal year ended November 2, 2008 (Commission File No. 0-15451)).</w:t>
      </w:r>
      <w:r>
        <w:rPr>
          <w:rFonts w:ascii="Arial" w:cs="Arial" w:eastAsia="Arial" w:hAnsi="Arial"/>
          <w:sz w:val="33"/>
          <w:szCs w:val="33"/>
          <w:color w:val="auto"/>
          <w:vertAlign w:val="superscript"/>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122555</wp:posOffset>
            </wp:positionV>
            <wp:extent cx="7298690"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right="99" w:hanging="597"/>
        <w:spacing w:after="0" w:line="246" w:lineRule="auto"/>
        <w:tabs>
          <w:tab w:leader="none" w:pos="600" w:val="left"/>
        </w:tabs>
        <w:rPr>
          <w:sz w:val="20"/>
          <w:szCs w:val="20"/>
          <w:color w:val="auto"/>
        </w:rPr>
      </w:pPr>
      <w:r>
        <w:rPr>
          <w:rFonts w:ascii="Arial" w:cs="Arial" w:eastAsia="Arial" w:hAnsi="Arial"/>
          <w:sz w:val="20"/>
          <w:szCs w:val="20"/>
          <w:color w:val="auto"/>
        </w:rPr>
        <w:t>10.11</w:t>
        <w:tab/>
        <w:t>Separation and Consulting Agreement between the Company and Michael J. Luttati dated July 12, 2008 (incorporated by reference to Exhibit 10.30 to the Company's Quarterly Report on Form 10-Q for the quarter ended July 27, 2008 (Commission File No. 0-15451)).</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32"/>
          <w:szCs w:val="32"/>
          <w:color w:val="auto"/>
          <w:vertAlign w:val="superscript"/>
        </w:rPr>
        <w:t>10.12</w:t>
      </w:r>
      <w:r>
        <w:rPr>
          <w:rFonts w:ascii="Arial" w:cs="Arial" w:eastAsia="Arial" w:hAnsi="Arial"/>
          <w:sz w:val="17"/>
          <w:szCs w:val="17"/>
          <w:color w:val="auto"/>
        </w:rPr>
        <w:t xml:space="preserve">  Executive Employment Agreement between the Company and Sean T. Smith dated February 20, 2003.</w:t>
      </w:r>
      <w:r>
        <w:rPr>
          <w:rFonts w:ascii="Arial" w:cs="Arial" w:eastAsia="Arial" w:hAnsi="Arial"/>
          <w:sz w:val="27"/>
          <w:szCs w:val="27"/>
          <w:color w:val="auto"/>
          <w:vertAlign w:val="superscript"/>
        </w:rPr>
        <w:t>+*</w:t>
      </w:r>
    </w:p>
    <w:p>
      <w:pPr>
        <w:spacing w:after="0" w:line="147" w:lineRule="exact"/>
        <w:rPr>
          <w:sz w:val="20"/>
          <w:szCs w:val="20"/>
          <w:color w:val="auto"/>
        </w:rPr>
      </w:pPr>
    </w:p>
    <w:p>
      <w:pPr>
        <w:ind w:left="620" w:right="239" w:hanging="597"/>
        <w:spacing w:after="0" w:line="261" w:lineRule="auto"/>
        <w:rPr>
          <w:sz w:val="20"/>
          <w:szCs w:val="20"/>
          <w:color w:val="auto"/>
        </w:rPr>
      </w:pPr>
      <w:r>
        <w:rPr>
          <w:rFonts w:ascii="Arial" w:cs="Arial" w:eastAsia="Arial" w:hAnsi="Arial"/>
          <w:sz w:val="18"/>
          <w:szCs w:val="18"/>
          <w:color w:val="auto"/>
        </w:rPr>
        <w:t>10.13 Limited Liability Company Operating Agreement of MP Mask Technology Center, LLC between Micron Technology, Inc. ("Micron") and Photronics, Inc. ("Photronics") dated May 5, 2006 (incorporated by reference to Exhibit 10.17 to the Company's Quarterly Report on Form 10-Q filed on</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June 8, 2006 (Commission File No. 0-15451)).</w:t>
      </w:r>
      <w:r>
        <w:rPr>
          <w:rFonts w:ascii="Arial" w:cs="Arial" w:eastAsia="Arial" w:hAnsi="Arial"/>
          <w:sz w:val="33"/>
          <w:szCs w:val="33"/>
          <w:color w:val="auto"/>
          <w:vertAlign w:val="superscript"/>
        </w:rPr>
        <w:t>#</w:t>
      </w:r>
    </w:p>
    <w:p>
      <w:pPr>
        <w:spacing w:after="0" w:line="98" w:lineRule="exact"/>
        <w:rPr>
          <w:sz w:val="20"/>
          <w:szCs w:val="20"/>
          <w:color w:val="auto"/>
        </w:rPr>
      </w:pPr>
    </w:p>
    <w:p>
      <w:pPr>
        <w:ind w:left="620" w:right="399" w:hanging="597"/>
        <w:spacing w:after="0" w:line="272" w:lineRule="auto"/>
        <w:rPr>
          <w:sz w:val="20"/>
          <w:szCs w:val="20"/>
          <w:color w:val="auto"/>
        </w:rPr>
      </w:pPr>
      <w:r>
        <w:rPr>
          <w:rFonts w:ascii="Arial" w:cs="Arial" w:eastAsia="Arial" w:hAnsi="Arial"/>
          <w:sz w:val="18"/>
          <w:szCs w:val="18"/>
          <w:color w:val="auto"/>
        </w:rPr>
        <w:t>10.14 Contribution and Units Purchase Agreement between Micron, Photronics and MP Mask Technology Center, LLC ("MP Mask") dated May 5, 2006 (incorporated by reference to Exhibit 10.18 to the</w:t>
      </w:r>
    </w:p>
    <w:p>
      <w:pPr>
        <w:ind w:left="620"/>
        <w:spacing w:after="0"/>
        <w:rPr>
          <w:sz w:val="20"/>
          <w:szCs w:val="20"/>
          <w:color w:val="auto"/>
        </w:rPr>
      </w:pPr>
      <w:r>
        <w:rPr>
          <w:rFonts w:ascii="Arial" w:cs="Arial" w:eastAsia="Arial" w:hAnsi="Arial"/>
          <w:sz w:val="19"/>
          <w:szCs w:val="19"/>
          <w:color w:val="auto"/>
        </w:rPr>
        <w:t>Company's Quarterly Report on Form 10-Q filed on June 8, 2006 (Commission File No. 0-15451)).</w:t>
      </w:r>
      <w:r>
        <w:rPr>
          <w:rFonts w:ascii="Arial" w:cs="Arial" w:eastAsia="Arial" w:hAnsi="Arial"/>
          <w:sz w:val="32"/>
          <w:szCs w:val="32"/>
          <w:color w:val="auto"/>
          <w:vertAlign w:val="superscript"/>
        </w:rPr>
        <w:t>#</w:t>
      </w:r>
    </w:p>
    <w:p>
      <w:pPr>
        <w:spacing w:after="0" w:line="110" w:lineRule="exact"/>
        <w:rPr>
          <w:sz w:val="20"/>
          <w:szCs w:val="20"/>
          <w:color w:val="auto"/>
        </w:rPr>
      </w:pPr>
    </w:p>
    <w:p>
      <w:pPr>
        <w:ind w:left="620" w:right="239" w:hanging="597"/>
        <w:spacing w:after="0" w:line="272" w:lineRule="auto"/>
        <w:rPr>
          <w:sz w:val="20"/>
          <w:szCs w:val="20"/>
          <w:color w:val="auto"/>
        </w:rPr>
      </w:pPr>
      <w:r>
        <w:rPr>
          <w:rFonts w:ascii="Arial" w:cs="Arial" w:eastAsia="Arial" w:hAnsi="Arial"/>
          <w:sz w:val="18"/>
          <w:szCs w:val="18"/>
          <w:color w:val="auto"/>
        </w:rPr>
        <w:t>10.15 Technology License Agreement among Micron, Photronics and MP Mask dated May 5, 2006 (incorporated by reference to Exhibit 10.19 to the Company's Quarterly Report on Form 10-Q filed on</w:t>
      </w:r>
    </w:p>
    <w:p>
      <w:pPr>
        <w:ind w:left="620"/>
        <w:spacing w:after="0"/>
        <w:rPr>
          <w:sz w:val="20"/>
          <w:szCs w:val="20"/>
          <w:color w:val="auto"/>
        </w:rPr>
      </w:pPr>
      <w:r>
        <w:rPr>
          <w:rFonts w:ascii="Arial" w:cs="Arial" w:eastAsia="Arial" w:hAnsi="Arial"/>
          <w:sz w:val="20"/>
          <w:szCs w:val="20"/>
          <w:color w:val="auto"/>
        </w:rPr>
        <w:t>June 8, 2006 (Commission File No. 0-15451)).</w:t>
      </w:r>
      <w:r>
        <w:rPr>
          <w:rFonts w:ascii="Arial" w:cs="Arial" w:eastAsia="Arial" w:hAnsi="Arial"/>
          <w:sz w:val="33"/>
          <w:szCs w:val="33"/>
          <w:color w:val="auto"/>
          <w:vertAlign w:val="superscript"/>
        </w:rPr>
        <w:t>#</w:t>
      </w:r>
    </w:p>
    <w:p>
      <w:pPr>
        <w:spacing w:after="0" w:line="98" w:lineRule="exact"/>
        <w:rPr>
          <w:sz w:val="20"/>
          <w:szCs w:val="20"/>
          <w:color w:val="auto"/>
        </w:rPr>
      </w:pPr>
    </w:p>
    <w:p>
      <w:pPr>
        <w:ind w:left="620" w:right="239" w:hanging="597"/>
        <w:spacing w:after="0" w:line="272" w:lineRule="auto"/>
        <w:rPr>
          <w:sz w:val="20"/>
          <w:szCs w:val="20"/>
          <w:color w:val="auto"/>
        </w:rPr>
      </w:pPr>
      <w:r>
        <w:rPr>
          <w:rFonts w:ascii="Arial" w:cs="Arial" w:eastAsia="Arial" w:hAnsi="Arial"/>
          <w:sz w:val="18"/>
          <w:szCs w:val="18"/>
          <w:color w:val="auto"/>
        </w:rPr>
        <w:t>10.16 Photronics to Micron Supply Agreement between Micron and Photronics dated May 5, 2006 (incorporated by reference to Exhibit 10.21 to the Company's Quarterly Report on Form 10-Q filed on</w:t>
      </w:r>
    </w:p>
    <w:p>
      <w:pPr>
        <w:ind w:left="620"/>
        <w:spacing w:after="0"/>
        <w:rPr>
          <w:sz w:val="20"/>
          <w:szCs w:val="20"/>
          <w:color w:val="auto"/>
        </w:rPr>
      </w:pPr>
      <w:r>
        <w:rPr>
          <w:rFonts w:ascii="Arial" w:cs="Arial" w:eastAsia="Arial" w:hAnsi="Arial"/>
          <w:sz w:val="20"/>
          <w:szCs w:val="20"/>
          <w:color w:val="auto"/>
        </w:rPr>
        <w:t>June 8, 2006 (Commission File No. 0-15451)).</w:t>
      </w:r>
      <w:r>
        <w:rPr>
          <w:rFonts w:ascii="Arial" w:cs="Arial" w:eastAsia="Arial" w:hAnsi="Arial"/>
          <w:sz w:val="33"/>
          <w:szCs w:val="33"/>
          <w:color w:val="auto"/>
          <w:vertAlign w:val="superscript"/>
        </w:rPr>
        <w:t>#</w:t>
      </w:r>
    </w:p>
    <w:p>
      <w:pPr>
        <w:spacing w:after="0" w:line="98" w:lineRule="exact"/>
        <w:rPr>
          <w:sz w:val="20"/>
          <w:szCs w:val="20"/>
          <w:color w:val="auto"/>
        </w:rPr>
      </w:pPr>
    </w:p>
    <w:p>
      <w:pPr>
        <w:ind w:left="620" w:right="239" w:hanging="597"/>
        <w:spacing w:after="0" w:line="314" w:lineRule="auto"/>
        <w:rPr>
          <w:sz w:val="20"/>
          <w:szCs w:val="20"/>
          <w:color w:val="auto"/>
        </w:rPr>
      </w:pPr>
      <w:r>
        <w:rPr>
          <w:rFonts w:ascii="Arial" w:cs="Arial" w:eastAsia="Arial" w:hAnsi="Arial"/>
          <w:sz w:val="18"/>
          <w:szCs w:val="18"/>
          <w:color w:val="auto"/>
        </w:rPr>
        <w:t>10.17 Company to Photronics Supply Agreement between MP Mask and Photronics dated May 5, 2006 (incorporated by reference to Exhibit 10.22 to the Company's Quarterly Report on Form 10-Q filed on</w:t>
      </w:r>
    </w:p>
    <w:p>
      <w:pPr>
        <w:sectPr>
          <w:pgSz w:w="11900" w:h="16915" w:orient="portrait"/>
          <w:cols w:equalWidth="0" w:num="1">
            <w:col w:w="9019"/>
          </w:cols>
          <w:pgMar w:left="1440" w:top="345" w:right="1440" w:bottom="0" w:gutter="0" w:footer="0" w:header="0"/>
        </w:sectPr>
      </w:pPr>
    </w:p>
    <w:bookmarkStart w:id="55" w:name="page56"/>
    <w:bookmarkEnd w:id="55"/>
    <w:p>
      <w:pPr>
        <w:ind w:left="620"/>
        <w:spacing w:after="0"/>
        <w:rPr>
          <w:sz w:val="20"/>
          <w:szCs w:val="20"/>
          <w:color w:val="auto"/>
        </w:rPr>
      </w:pPr>
      <w:r>
        <w:rPr>
          <w:rFonts w:ascii="Arial" w:cs="Arial" w:eastAsia="Arial" w:hAnsi="Arial"/>
          <w:sz w:val="20"/>
          <w:szCs w:val="20"/>
          <w:color w:val="auto"/>
        </w:rPr>
        <w:t>June 8, 2006 (Commission File No. 0-15451)).</w:t>
      </w:r>
      <w:r>
        <w:rPr>
          <w:rFonts w:ascii="Arial" w:cs="Arial" w:eastAsia="Arial" w:hAnsi="Arial"/>
          <w:sz w:val="33"/>
          <w:szCs w:val="33"/>
          <w:color w:val="auto"/>
          <w:vertAlign w:val="superscript"/>
        </w:rPr>
        <w:t>#</w:t>
      </w:r>
    </w:p>
    <w:p>
      <w:pPr>
        <w:spacing w:after="0" w:line="112" w:lineRule="exact"/>
        <w:rPr>
          <w:sz w:val="20"/>
          <w:szCs w:val="20"/>
          <w:color w:val="auto"/>
        </w:rPr>
      </w:pPr>
    </w:p>
    <w:p>
      <w:pPr>
        <w:ind w:left="620" w:right="319" w:hanging="597"/>
        <w:spacing w:after="0" w:line="246" w:lineRule="auto"/>
        <w:rPr>
          <w:sz w:val="20"/>
          <w:szCs w:val="20"/>
          <w:color w:val="auto"/>
        </w:rPr>
      </w:pPr>
      <w:r>
        <w:rPr>
          <w:rFonts w:ascii="Arial" w:cs="Arial" w:eastAsia="Arial" w:hAnsi="Arial"/>
          <w:sz w:val="20"/>
          <w:szCs w:val="20"/>
          <w:color w:val="auto"/>
        </w:rPr>
        <w:t>10.18 Operating Lease Agreement dated May 19, 2009 between the Company and Micron (incorporated by reference to Exhibit 8.02 to the Company’s Current Report on Form 8K filed on July 6, 2009 (Commission File N0. 0-15451)).</w:t>
      </w:r>
    </w:p>
    <w:p>
      <w:pPr>
        <w:spacing w:after="0" w:line="190" w:lineRule="exact"/>
        <w:rPr>
          <w:sz w:val="20"/>
          <w:szCs w:val="20"/>
          <w:color w:val="auto"/>
        </w:rPr>
      </w:pPr>
    </w:p>
    <w:p>
      <w:pPr>
        <w:jc w:val="both"/>
        <w:ind w:left="620" w:right="19" w:hanging="597"/>
        <w:spacing w:after="0" w:line="242" w:lineRule="auto"/>
        <w:rPr>
          <w:sz w:val="20"/>
          <w:szCs w:val="20"/>
          <w:color w:val="auto"/>
        </w:rPr>
      </w:pPr>
      <w:r>
        <w:rPr>
          <w:rFonts w:ascii="Arial" w:cs="Arial" w:eastAsia="Arial" w:hAnsi="Arial"/>
          <w:sz w:val="20"/>
          <w:szCs w:val="20"/>
          <w:color w:val="auto"/>
        </w:rPr>
        <w:t>10.19 Executive Employment Agreement between the Company and Soo Hong Jeong dated August 24, 2001, as amended March 18, 2004, November 28, 2005 and June 9, 2006 (incorporated by reference to Exhibit 10.23 to the Company's Current Report on Form 10-Q filed on September 7, 2006 (Commission File No. 0-15451)).</w:t>
      </w:r>
    </w:p>
    <w:p>
      <w:pPr>
        <w:spacing w:after="0" w:line="194" w:lineRule="exact"/>
        <w:rPr>
          <w:sz w:val="20"/>
          <w:szCs w:val="20"/>
          <w:color w:val="auto"/>
        </w:rPr>
      </w:pPr>
    </w:p>
    <w:p>
      <w:pPr>
        <w:ind w:left="620" w:right="239" w:hanging="597"/>
        <w:spacing w:after="0" w:line="287" w:lineRule="auto"/>
        <w:rPr>
          <w:sz w:val="20"/>
          <w:szCs w:val="20"/>
          <w:color w:val="auto"/>
        </w:rPr>
      </w:pPr>
      <w:r>
        <w:rPr>
          <w:rFonts w:ascii="Arial" w:cs="Arial" w:eastAsia="Arial" w:hAnsi="Arial"/>
          <w:sz w:val="18"/>
          <w:szCs w:val="18"/>
          <w:color w:val="auto"/>
        </w:rPr>
        <w:t>10.20 Extension of Executive Employment Agreement between the Company and Soo Hong Jeong effective October 29, 2006 and ending on October 28, 2007 (incorporated by reference to Exhibit 1.01 to the Company's Current Report on Form 8-K filed on January 3, 2007 (Commission File No. 0-15451)).</w:t>
      </w:r>
    </w:p>
    <w:p>
      <w:pPr>
        <w:spacing w:after="0" w:line="155" w:lineRule="exact"/>
        <w:rPr>
          <w:sz w:val="20"/>
          <w:szCs w:val="20"/>
          <w:color w:val="auto"/>
        </w:rPr>
      </w:pPr>
    </w:p>
    <w:p>
      <w:pPr>
        <w:ind w:left="620" w:right="199" w:hanging="597"/>
        <w:spacing w:after="0" w:line="287" w:lineRule="auto"/>
        <w:rPr>
          <w:sz w:val="20"/>
          <w:szCs w:val="20"/>
          <w:color w:val="auto"/>
        </w:rPr>
      </w:pPr>
      <w:r>
        <w:rPr>
          <w:rFonts w:ascii="Arial" w:cs="Arial" w:eastAsia="Arial" w:hAnsi="Arial"/>
          <w:sz w:val="18"/>
          <w:szCs w:val="18"/>
          <w:color w:val="auto"/>
        </w:rPr>
        <w:t>10.21 Extension of Executive Employment Agreement between the Company and Soo Hong Jeong effective October 28, 2007 and ending October 27, 2008 (incorporated by reference to Exhibit 1.01 to the Company's Current Report on Form 8-K Filed on November 8, 2007 (Commission File No. 0-15451)).</w:t>
      </w:r>
    </w:p>
    <w:p>
      <w:pPr>
        <w:spacing w:after="0" w:line="155" w:lineRule="exact"/>
        <w:rPr>
          <w:sz w:val="20"/>
          <w:szCs w:val="20"/>
          <w:color w:val="auto"/>
        </w:rPr>
      </w:pPr>
    </w:p>
    <w:p>
      <w:pPr>
        <w:ind w:left="620" w:right="139" w:hanging="597"/>
        <w:spacing w:after="0" w:line="287" w:lineRule="auto"/>
        <w:rPr>
          <w:sz w:val="20"/>
          <w:szCs w:val="20"/>
          <w:color w:val="auto"/>
        </w:rPr>
      </w:pPr>
      <w:r>
        <w:rPr>
          <w:rFonts w:ascii="Arial" w:cs="Arial" w:eastAsia="Arial" w:hAnsi="Arial"/>
          <w:sz w:val="18"/>
          <w:szCs w:val="18"/>
          <w:color w:val="auto"/>
        </w:rPr>
        <w:t>10.22 Extension of Executive Employment Agreement between the Company and Soo Hong Jeong effective October 28, 2008 and ending October 27, 2009 (incorporated by reference to Exhibit 99.1 to the Company's Current Report on Form 8-K filed on November 17, 2008 (Commission File No. 0-15451)).</w:t>
      </w:r>
    </w:p>
    <w:p>
      <w:pPr>
        <w:spacing w:after="0" w:line="155" w:lineRule="exact"/>
        <w:rPr>
          <w:sz w:val="20"/>
          <w:szCs w:val="20"/>
          <w:color w:val="auto"/>
        </w:rPr>
      </w:pPr>
    </w:p>
    <w:p>
      <w:pPr>
        <w:ind w:left="620" w:right="239" w:hanging="597"/>
        <w:spacing w:after="0" w:line="258" w:lineRule="auto"/>
        <w:rPr>
          <w:sz w:val="20"/>
          <w:szCs w:val="20"/>
          <w:color w:val="auto"/>
        </w:rPr>
      </w:pPr>
      <w:r>
        <w:rPr>
          <w:rFonts w:ascii="Arial" w:cs="Arial" w:eastAsia="Arial" w:hAnsi="Arial"/>
          <w:sz w:val="20"/>
          <w:szCs w:val="20"/>
          <w:color w:val="auto"/>
        </w:rPr>
        <w:t>10.23 Extension of Executive Employment Agreement between the Company and Soo Hong Jeong effective October 28, 2009 and ending October 27, 2010.*</w:t>
      </w:r>
    </w:p>
    <w:p>
      <w:pPr>
        <w:spacing w:after="0" w:line="179" w:lineRule="exact"/>
        <w:rPr>
          <w:sz w:val="20"/>
          <w:szCs w:val="20"/>
          <w:color w:val="auto"/>
        </w:rPr>
      </w:pPr>
    </w:p>
    <w:p>
      <w:pPr>
        <w:ind w:left="620" w:right="219" w:hanging="597"/>
        <w:spacing w:after="0" w:line="272" w:lineRule="auto"/>
        <w:rPr>
          <w:sz w:val="20"/>
          <w:szCs w:val="20"/>
          <w:color w:val="auto"/>
        </w:rPr>
      </w:pPr>
      <w:r>
        <w:rPr>
          <w:rFonts w:ascii="Arial" w:cs="Arial" w:eastAsia="Arial" w:hAnsi="Arial"/>
          <w:sz w:val="18"/>
          <w:szCs w:val="18"/>
          <w:color w:val="auto"/>
        </w:rPr>
        <w:t>10.24 Executive Employment Agreement between the Company and Christopher J. Progler, Vice President, Chief Technology Officer dated September 10, 2007 (incorporated by reference to Exhibit 10.24 to the</w:t>
      </w:r>
    </w:p>
    <w:p>
      <w:pPr>
        <w:ind w:left="620"/>
        <w:spacing w:after="0"/>
        <w:rPr>
          <w:sz w:val="20"/>
          <w:szCs w:val="20"/>
          <w:color w:val="auto"/>
        </w:rPr>
      </w:pPr>
      <w:r>
        <w:rPr>
          <w:rFonts w:ascii="Arial" w:cs="Arial" w:eastAsia="Arial" w:hAnsi="Arial"/>
          <w:sz w:val="18"/>
          <w:szCs w:val="18"/>
          <w:color w:val="auto"/>
        </w:rPr>
        <w:t>Company's Current Report on Form 10-K filed on January 11, 2008 (Commission File No. 0-15451)).</w:t>
      </w:r>
      <w:r>
        <w:rPr>
          <w:rFonts w:ascii="Arial" w:cs="Arial" w:eastAsia="Arial" w:hAnsi="Arial"/>
          <w:sz w:val="29"/>
          <w:szCs w:val="29"/>
          <w:color w:val="auto"/>
          <w:vertAlign w:val="superscript"/>
        </w:rPr>
        <w:t>+</w:t>
      </w:r>
    </w:p>
    <w:p>
      <w:pPr>
        <w:spacing w:after="0" w:line="144" w:lineRule="exact"/>
        <w:rPr>
          <w:sz w:val="20"/>
          <w:szCs w:val="20"/>
          <w:color w:val="auto"/>
        </w:rPr>
      </w:pPr>
    </w:p>
    <w:p>
      <w:pPr>
        <w:ind w:left="620" w:right="79" w:hanging="597"/>
        <w:spacing w:after="0" w:line="239" w:lineRule="auto"/>
        <w:rPr>
          <w:sz w:val="20"/>
          <w:szCs w:val="20"/>
          <w:color w:val="auto"/>
        </w:rPr>
      </w:pPr>
      <w:r>
        <w:rPr>
          <w:rFonts w:ascii="Arial" w:cs="Arial" w:eastAsia="Arial" w:hAnsi="Arial"/>
          <w:sz w:val="20"/>
          <w:szCs w:val="20"/>
          <w:color w:val="auto"/>
        </w:rPr>
        <w:t>10.25 Credit Agreement dated as of June 6, 2007 among Photronics, Inc., the foreign subsidiary borrowers party thereto, the lenders party thereto and JPMorgan Chase Bank, National Association (as Administrative Agent), Citizens Bank of Massachusetts, HSBC Bank USA, National Association and Citibank, N.A. and JPMorgan Securities, Inc. as Sole Bookrunner and Sole Lead Arranger (incorporated by reference to Exhibit 10.27 to the Company's Form 10-Q for the quarter ended July 29, 2007 (Commission File No. 0-15451)).</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10.26  Amendment No. 1 to the Credit Agreement dated April 25, 2008 (incorporated by reference to Exhibit</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9.01 of the Company's Form 8-K filed on April 30, 2008 (Commission File No. 0-15451)).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122555</wp:posOffset>
            </wp:positionV>
            <wp:extent cx="7298690"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379" w:hanging="647"/>
        <w:spacing w:after="0" w:line="246" w:lineRule="auto"/>
        <w:tabs>
          <w:tab w:leader="none" w:pos="640" w:val="left"/>
        </w:tabs>
        <w:rPr>
          <w:sz w:val="20"/>
          <w:szCs w:val="20"/>
          <w:color w:val="auto"/>
        </w:rPr>
      </w:pPr>
      <w:r>
        <w:rPr>
          <w:rFonts w:ascii="Arial" w:cs="Arial" w:eastAsia="Arial" w:hAnsi="Arial"/>
          <w:sz w:val="20"/>
          <w:szCs w:val="20"/>
          <w:color w:val="auto"/>
        </w:rPr>
        <w:t>10.27</w:t>
        <w:tab/>
        <w:t>Amendment No. 2 to the Credit Agreement dated October 31, 2008 (incorporated by reference to Exhibit 10.29 of the Company’s Annual Report on Form 10K for the fiscal year ended November 2, 2008 (Commission File No. 0-15451)).</w:t>
      </w:r>
    </w:p>
    <w:p>
      <w:pPr>
        <w:spacing w:after="0" w:line="190" w:lineRule="exact"/>
        <w:rPr>
          <w:sz w:val="20"/>
          <w:szCs w:val="20"/>
          <w:color w:val="auto"/>
        </w:rPr>
      </w:pPr>
    </w:p>
    <w:p>
      <w:pPr>
        <w:ind w:left="660" w:right="379" w:hanging="647"/>
        <w:spacing w:after="0" w:line="246" w:lineRule="auto"/>
        <w:tabs>
          <w:tab w:leader="none" w:pos="640" w:val="left"/>
        </w:tabs>
        <w:rPr>
          <w:sz w:val="20"/>
          <w:szCs w:val="20"/>
          <w:color w:val="auto"/>
        </w:rPr>
      </w:pPr>
      <w:r>
        <w:rPr>
          <w:rFonts w:ascii="Arial" w:cs="Arial" w:eastAsia="Arial" w:hAnsi="Arial"/>
          <w:sz w:val="20"/>
          <w:szCs w:val="20"/>
          <w:color w:val="auto"/>
        </w:rPr>
        <w:t>10.28</w:t>
        <w:tab/>
        <w:t>Amendment No. 3 to the Credit Agreement dated December 4, 2008 (incorporated by reference to Exhibit 10.30 of the Company’s Annual Report on Form 10K for the fiscal year ended November 2, 2008 (Commission File No. 0-15451)).</w:t>
      </w:r>
    </w:p>
    <w:p>
      <w:pPr>
        <w:spacing w:after="0" w:line="190" w:lineRule="exact"/>
        <w:rPr>
          <w:sz w:val="20"/>
          <w:szCs w:val="20"/>
          <w:color w:val="auto"/>
        </w:rPr>
      </w:pPr>
    </w:p>
    <w:p>
      <w:pPr>
        <w:jc w:val="both"/>
        <w:ind w:left="660" w:right="379" w:hanging="647"/>
        <w:spacing w:after="0" w:line="246" w:lineRule="auto"/>
        <w:tabs>
          <w:tab w:leader="none" w:pos="640" w:val="left"/>
        </w:tabs>
        <w:rPr>
          <w:sz w:val="20"/>
          <w:szCs w:val="20"/>
          <w:color w:val="auto"/>
        </w:rPr>
      </w:pPr>
      <w:r>
        <w:rPr>
          <w:rFonts w:ascii="Arial" w:cs="Arial" w:eastAsia="Arial" w:hAnsi="Arial"/>
          <w:sz w:val="20"/>
          <w:szCs w:val="20"/>
          <w:color w:val="auto"/>
        </w:rPr>
        <w:t>10.29</w:t>
        <w:tab/>
        <w:t>Amendment No. 4 to the Credit Agreement dated December 12, 2008 (incorporated by reference to Exhibit 10.31 of the Company’s Annual Report on Form 10K for the fiscal year ended November 2, 2008 (Commission File No. 0-15451)).</w:t>
      </w:r>
    </w:p>
    <w:p>
      <w:pPr>
        <w:spacing w:after="0" w:line="190" w:lineRule="exact"/>
        <w:rPr>
          <w:sz w:val="20"/>
          <w:szCs w:val="20"/>
          <w:color w:val="auto"/>
        </w:rPr>
      </w:pPr>
    </w:p>
    <w:p>
      <w:pPr>
        <w:ind w:left="660" w:right="239" w:hanging="647"/>
        <w:spacing w:after="0" w:line="246" w:lineRule="auto"/>
        <w:tabs>
          <w:tab w:leader="none" w:pos="640" w:val="left"/>
        </w:tabs>
        <w:rPr>
          <w:sz w:val="20"/>
          <w:szCs w:val="20"/>
          <w:color w:val="auto"/>
        </w:rPr>
      </w:pPr>
      <w:r>
        <w:rPr>
          <w:rFonts w:ascii="Arial" w:cs="Arial" w:eastAsia="Arial" w:hAnsi="Arial"/>
          <w:sz w:val="20"/>
          <w:szCs w:val="20"/>
          <w:color w:val="auto"/>
        </w:rPr>
        <w:t>10.30</w:t>
        <w:tab/>
        <w:t>Amendment No. 5 to the Credit Agreement dated as of May 15, 2009 (incorporated by reference to Exhibit 10.39 to the Company’s Quarterly Report on Form 10Q for the quarterly period ended May 3, 2009 (Commission File No. 0-15451)).</w:t>
      </w:r>
    </w:p>
    <w:p>
      <w:pPr>
        <w:spacing w:after="0" w:line="190" w:lineRule="exact"/>
        <w:rPr>
          <w:sz w:val="20"/>
          <w:szCs w:val="20"/>
          <w:color w:val="auto"/>
        </w:rPr>
      </w:pPr>
    </w:p>
    <w:p>
      <w:pPr>
        <w:ind w:left="660" w:right="199" w:hanging="647"/>
        <w:spacing w:after="0" w:line="246" w:lineRule="auto"/>
        <w:tabs>
          <w:tab w:leader="none" w:pos="640" w:val="left"/>
        </w:tabs>
        <w:rPr>
          <w:sz w:val="20"/>
          <w:szCs w:val="20"/>
          <w:color w:val="auto"/>
        </w:rPr>
      </w:pPr>
      <w:r>
        <w:rPr>
          <w:rFonts w:ascii="Arial" w:cs="Arial" w:eastAsia="Arial" w:hAnsi="Arial"/>
          <w:sz w:val="20"/>
          <w:szCs w:val="20"/>
          <w:color w:val="auto"/>
        </w:rPr>
        <w:t>10.31</w:t>
        <w:tab/>
        <w:t>Amendment No. 6 to the Credit Agreement dated as of June 8, 2009 (incorporated by reference to Exhibit 10.44 to The company’s Quarterly Report on Form 10Q for the quarterly period ended May 3, 2009 (Commission File No. 0-15451)).</w:t>
      </w:r>
    </w:p>
    <w:p>
      <w:pPr>
        <w:spacing w:after="0" w:line="190" w:lineRule="exact"/>
        <w:rPr>
          <w:sz w:val="20"/>
          <w:szCs w:val="20"/>
          <w:color w:val="auto"/>
        </w:rPr>
      </w:pPr>
    </w:p>
    <w:p>
      <w:pPr>
        <w:ind w:left="660" w:right="79" w:hanging="647"/>
        <w:spacing w:after="0" w:line="246" w:lineRule="auto"/>
        <w:tabs>
          <w:tab w:leader="none" w:pos="640" w:val="left"/>
        </w:tabs>
        <w:rPr>
          <w:sz w:val="20"/>
          <w:szCs w:val="20"/>
          <w:color w:val="auto"/>
        </w:rPr>
      </w:pPr>
      <w:r>
        <w:rPr>
          <w:rFonts w:ascii="Arial" w:cs="Arial" w:eastAsia="Arial" w:hAnsi="Arial"/>
          <w:sz w:val="20"/>
          <w:szCs w:val="20"/>
          <w:color w:val="auto"/>
        </w:rPr>
        <w:t>10.32</w:t>
        <w:tab/>
        <w:t>Amendment No. 7 to the Credit Agreement dated September 7, 2009 (incorporated by reference to Exhibit 10.1 to the Company’s Current Report on Form 8K filed September 17, 2009 (Commission File No. 0-15451)).</w:t>
      </w:r>
    </w:p>
    <w:p>
      <w:pPr>
        <w:spacing w:after="0" w:line="19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8"/>
          <w:szCs w:val="18"/>
          <w:color w:val="auto"/>
        </w:rPr>
        <w:t>Amendment No. 8 to the Credit Agreement dated as of October 26, 2009.*</w:t>
      </w:r>
    </w:p>
    <w:p>
      <w:pPr>
        <w:sectPr>
          <w:pgSz w:w="11900" w:h="16838" w:orient="portrait"/>
          <w:cols w:equalWidth="0" w:num="1">
            <w:col w:w="9019"/>
          </w:cols>
          <w:pgMar w:left="1440" w:top="127" w:right="1440" w:bottom="0" w:gutter="0" w:footer="0" w:header="0"/>
        </w:sectPr>
      </w:pPr>
    </w:p>
    <w:bookmarkStart w:id="56" w:name="page57"/>
    <w:bookmarkEnd w:id="56"/>
    <w:p>
      <w:pPr>
        <w:spacing w:after="0" w:line="151" w:lineRule="exact"/>
        <w:rPr>
          <w:sz w:val="20"/>
          <w:szCs w:val="20"/>
          <w:color w:val="auto"/>
        </w:rPr>
      </w:pPr>
    </w:p>
    <w:p>
      <w:pPr>
        <w:ind w:left="1860" w:right="960" w:hanging="647"/>
        <w:spacing w:after="0" w:line="242" w:lineRule="auto"/>
        <w:tabs>
          <w:tab w:leader="none" w:pos="1840" w:val="left"/>
        </w:tabs>
        <w:rPr>
          <w:sz w:val="20"/>
          <w:szCs w:val="20"/>
          <w:color w:val="auto"/>
        </w:rPr>
      </w:pPr>
      <w:r>
        <w:rPr>
          <w:rFonts w:ascii="Arial" w:cs="Arial" w:eastAsia="Arial" w:hAnsi="Arial"/>
          <w:sz w:val="20"/>
          <w:szCs w:val="20"/>
          <w:color w:val="auto"/>
        </w:rPr>
        <w:t>10.34</w:t>
        <w:tab/>
        <w:t>Security Agreement dated December 12, 2008 by and among the Company, the subsidiaries of the Company listed on the signature page and JPMorgan Chase Bank National Association (incorporated by reference to Exhibit 10.38 to the Company’s Quarterly Report on Form 10Q for the quarterly period ended May 3, 2009 (Commission File Number 0-15451)).</w:t>
      </w:r>
    </w:p>
    <w:p>
      <w:pPr>
        <w:spacing w:after="0" w:line="194" w:lineRule="exact"/>
        <w:rPr>
          <w:sz w:val="20"/>
          <w:szCs w:val="20"/>
          <w:color w:val="auto"/>
        </w:rPr>
      </w:pPr>
    </w:p>
    <w:p>
      <w:pPr>
        <w:ind w:left="1860" w:right="1160" w:hanging="647"/>
        <w:spacing w:after="0" w:line="265" w:lineRule="auto"/>
        <w:tabs>
          <w:tab w:leader="none" w:pos="1840" w:val="left"/>
        </w:tabs>
        <w:rPr>
          <w:sz w:val="20"/>
          <w:szCs w:val="20"/>
          <w:color w:val="auto"/>
        </w:rPr>
      </w:pPr>
      <w:r>
        <w:rPr>
          <w:rFonts w:ascii="Arial" w:cs="Arial" w:eastAsia="Arial" w:hAnsi="Arial"/>
          <w:sz w:val="20"/>
          <w:szCs w:val="20"/>
          <w:color w:val="auto"/>
        </w:rPr>
        <w:t>10.35</w:t>
      </w:r>
      <w:r>
        <w:rPr>
          <w:sz w:val="20"/>
          <w:szCs w:val="20"/>
          <w:color w:val="auto"/>
        </w:rPr>
        <w:tab/>
      </w:r>
      <w:r>
        <w:rPr>
          <w:rFonts w:ascii="Arial" w:cs="Arial" w:eastAsia="Arial" w:hAnsi="Arial"/>
          <w:sz w:val="19"/>
          <w:szCs w:val="19"/>
          <w:color w:val="auto"/>
        </w:rPr>
        <w:t>Warrant Agreement dated May 15, 2009 by and among the Company and the Purchasers Named Therein (incorporated by reference to Exhibit 10.41 to the Company’s Quarterly Report on Form 10Q for the quarterly period ended May 3, 2009 (Commission File No. 0-15451)).</w:t>
      </w:r>
    </w:p>
    <w:p>
      <w:pPr>
        <w:spacing w:after="0" w:line="174" w:lineRule="exact"/>
        <w:rPr>
          <w:sz w:val="20"/>
          <w:szCs w:val="20"/>
          <w:color w:val="auto"/>
        </w:rPr>
      </w:pPr>
    </w:p>
    <w:p>
      <w:pPr>
        <w:ind w:left="1860" w:right="1100" w:hanging="647"/>
        <w:spacing w:after="0" w:line="287" w:lineRule="auto"/>
        <w:tabs>
          <w:tab w:leader="none" w:pos="1840" w:val="left"/>
        </w:tabs>
        <w:rPr>
          <w:sz w:val="20"/>
          <w:szCs w:val="20"/>
          <w:color w:val="auto"/>
        </w:rPr>
      </w:pPr>
      <w:r>
        <w:rPr>
          <w:rFonts w:ascii="Arial" w:cs="Arial" w:eastAsia="Arial" w:hAnsi="Arial"/>
          <w:sz w:val="20"/>
          <w:szCs w:val="20"/>
          <w:color w:val="auto"/>
        </w:rPr>
        <w:t>10.36</w:t>
      </w:r>
      <w:r>
        <w:rPr>
          <w:sz w:val="20"/>
          <w:szCs w:val="20"/>
          <w:color w:val="auto"/>
        </w:rPr>
        <w:tab/>
      </w:r>
      <w:r>
        <w:rPr>
          <w:rFonts w:ascii="Arial" w:cs="Arial" w:eastAsia="Arial" w:hAnsi="Arial"/>
          <w:sz w:val="18"/>
          <w:szCs w:val="18"/>
          <w:color w:val="auto"/>
        </w:rPr>
        <w:t>Registration Rights Agreement dated as of May 15, 2009 by and among the Company and the Holders Named Therein (incorporated by reference to Exhibit 10.42 to the Company’s Quarterly Report on Form 10Q for the quarterly period ended May 3, 2009 (Commission File No. 0-15451)).</w:t>
      </w:r>
    </w:p>
    <w:p>
      <w:pPr>
        <w:spacing w:after="0" w:line="155" w:lineRule="exact"/>
        <w:rPr>
          <w:sz w:val="20"/>
          <w:szCs w:val="20"/>
          <w:color w:val="auto"/>
        </w:rPr>
      </w:pPr>
    </w:p>
    <w:p>
      <w:pPr>
        <w:ind w:left="1860" w:right="1000" w:hanging="647"/>
        <w:spacing w:after="0" w:line="242" w:lineRule="auto"/>
        <w:tabs>
          <w:tab w:leader="none" w:pos="1840" w:val="left"/>
        </w:tabs>
        <w:rPr>
          <w:sz w:val="20"/>
          <w:szCs w:val="20"/>
          <w:color w:val="auto"/>
        </w:rPr>
      </w:pPr>
      <w:r>
        <w:rPr>
          <w:rFonts w:ascii="Arial" w:cs="Arial" w:eastAsia="Arial" w:hAnsi="Arial"/>
          <w:sz w:val="20"/>
          <w:szCs w:val="20"/>
          <w:color w:val="auto"/>
        </w:rPr>
        <w:t>10.37</w:t>
        <w:tab/>
        <w:t>Loan Agreement dated as of June 8, 2009 among the Company, the Lenders Party Thereto and JPMorgan Chase Bank, National Association as administrative agent and collateral agent (incorporated by reference to Exhibit 10.43 to the Company’s Quarterly Report on Form 10Q for the quarterly period ended May 3, 2009 (Commission File No. 0-15451)).</w:t>
      </w:r>
    </w:p>
    <w:p>
      <w:pPr>
        <w:spacing w:after="0" w:line="194" w:lineRule="exact"/>
        <w:rPr>
          <w:sz w:val="20"/>
          <w:szCs w:val="20"/>
          <w:color w:val="auto"/>
        </w:rPr>
      </w:pPr>
    </w:p>
    <w:p>
      <w:pPr>
        <w:jc w:val="both"/>
        <w:ind w:left="1860" w:right="1060" w:hanging="647"/>
        <w:spacing w:after="0" w:line="246" w:lineRule="auto"/>
        <w:tabs>
          <w:tab w:leader="none" w:pos="1840" w:val="left"/>
        </w:tabs>
        <w:rPr>
          <w:sz w:val="20"/>
          <w:szCs w:val="20"/>
          <w:color w:val="auto"/>
        </w:rPr>
      </w:pPr>
      <w:r>
        <w:rPr>
          <w:rFonts w:ascii="Arial" w:cs="Arial" w:eastAsia="Arial" w:hAnsi="Arial"/>
          <w:sz w:val="20"/>
          <w:szCs w:val="20"/>
          <w:color w:val="auto"/>
        </w:rPr>
        <w:t>10.38</w:t>
        <w:tab/>
        <w:t>Amendment No. 1 to the Loan Agreement dated as of September 2, 2009 (incorporated by reference to Exhibit 10.2 to the Company’s Current Report on Form 8K filed on September 17, 2009 (Commission File No. 0-15451)).</w:t>
      </w:r>
    </w:p>
    <w:p>
      <w:pPr>
        <w:spacing w:after="0" w:line="190" w:lineRule="exact"/>
        <w:rPr>
          <w:sz w:val="20"/>
          <w:szCs w:val="20"/>
          <w:color w:val="auto"/>
        </w:rPr>
      </w:pPr>
    </w:p>
    <w:p>
      <w:pPr>
        <w:ind w:left="1220"/>
        <w:spacing w:after="0"/>
        <w:tabs>
          <w:tab w:leader="none" w:pos="1840" w:val="left"/>
        </w:tabs>
        <w:rPr>
          <w:sz w:val="20"/>
          <w:szCs w:val="20"/>
          <w:color w:val="auto"/>
        </w:rPr>
      </w:pPr>
      <w:r>
        <w:rPr>
          <w:rFonts w:ascii="Arial" w:cs="Arial" w:eastAsia="Arial" w:hAnsi="Arial"/>
          <w:sz w:val="20"/>
          <w:szCs w:val="20"/>
          <w:color w:val="auto"/>
        </w:rPr>
        <w:t>10.39</w:t>
      </w:r>
      <w:r>
        <w:rPr>
          <w:sz w:val="20"/>
          <w:szCs w:val="20"/>
          <w:color w:val="auto"/>
        </w:rPr>
        <w:tab/>
      </w:r>
      <w:r>
        <w:rPr>
          <w:rFonts w:ascii="Arial" w:cs="Arial" w:eastAsia="Arial" w:hAnsi="Arial"/>
          <w:sz w:val="18"/>
          <w:szCs w:val="18"/>
          <w:color w:val="auto"/>
        </w:rPr>
        <w:t>Amendment No. 2 to the Loan Agreement dated as of October 26, 2009.*</w:t>
      </w:r>
    </w:p>
    <w:p>
      <w:pPr>
        <w:spacing w:after="0" w:line="219" w:lineRule="exact"/>
        <w:rPr>
          <w:sz w:val="20"/>
          <w:szCs w:val="20"/>
          <w:color w:val="auto"/>
        </w:rPr>
      </w:pPr>
    </w:p>
    <w:p>
      <w:pPr>
        <w:ind w:left="1860" w:hanging="639"/>
        <w:spacing w:after="0"/>
        <w:tabs>
          <w:tab w:leader="none" w:pos="1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List of Subsidiaries of the Company.*</w:t>
      </w:r>
    </w:p>
    <w:p>
      <w:pPr>
        <w:spacing w:after="0" w:line="218" w:lineRule="exact"/>
        <w:rPr>
          <w:rFonts w:ascii="Arial" w:cs="Arial" w:eastAsia="Arial" w:hAnsi="Arial"/>
          <w:sz w:val="20"/>
          <w:szCs w:val="20"/>
          <w:color w:val="auto"/>
        </w:rPr>
      </w:pPr>
    </w:p>
    <w:p>
      <w:pPr>
        <w:ind w:left="1860" w:hanging="639"/>
        <w:spacing w:after="0"/>
        <w:tabs>
          <w:tab w:leader="none" w:pos="1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Consent of Deloitte &amp; Touche LLP.*</w:t>
      </w:r>
    </w:p>
    <w:p>
      <w:pPr>
        <w:spacing w:after="0" w:line="219" w:lineRule="exact"/>
        <w:rPr>
          <w:sz w:val="20"/>
          <w:szCs w:val="20"/>
          <w:color w:val="auto"/>
        </w:rPr>
      </w:pPr>
    </w:p>
    <w:p>
      <w:pPr>
        <w:ind w:left="1860" w:right="1620" w:hanging="647"/>
        <w:spacing w:after="0" w:line="314" w:lineRule="auto"/>
        <w:tabs>
          <w:tab w:leader="none" w:pos="18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color w:val="auto"/>
        </w:rPr>
        <w:t>Certification of Chief Executive Officer pursuant to Rule 13a-14(a)/15d-14(a) of the Securities Exchange Act of 1934, as adopted pursuant to Section 302 of the Sarbanes-Oxley Act of 2002.*</w:t>
      </w:r>
    </w:p>
    <w:p>
      <w:pPr>
        <w:spacing w:after="0" w:line="131" w:lineRule="exact"/>
        <w:rPr>
          <w:sz w:val="20"/>
          <w:szCs w:val="20"/>
          <w:color w:val="auto"/>
        </w:rPr>
      </w:pPr>
    </w:p>
    <w:p>
      <w:pPr>
        <w:ind w:left="1860" w:right="1620" w:hanging="647"/>
        <w:spacing w:after="0" w:line="314" w:lineRule="auto"/>
        <w:tabs>
          <w:tab w:leader="none" w:pos="18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Certification of Chief Financial Officer pursuant to Rule 13a-14(a)/15d-14(a) of the Securities Exchange Act of 1934, as adopted pursuant to Section 302 of the Sarbanes-Oxley Act of 2002.*</w:t>
      </w:r>
    </w:p>
    <w:p>
      <w:pPr>
        <w:spacing w:after="0" w:line="131" w:lineRule="exact"/>
        <w:rPr>
          <w:sz w:val="20"/>
          <w:szCs w:val="20"/>
          <w:color w:val="auto"/>
        </w:rPr>
      </w:pPr>
    </w:p>
    <w:p>
      <w:pPr>
        <w:ind w:left="1860" w:right="1380" w:hanging="647"/>
        <w:spacing w:after="0" w:line="258" w:lineRule="auto"/>
        <w:tabs>
          <w:tab w:leader="none" w:pos="1840" w:val="left"/>
        </w:tabs>
        <w:rPr>
          <w:sz w:val="20"/>
          <w:szCs w:val="20"/>
          <w:color w:val="auto"/>
        </w:rPr>
      </w:pPr>
      <w:r>
        <w:rPr>
          <w:rFonts w:ascii="Arial" w:cs="Arial" w:eastAsia="Arial" w:hAnsi="Arial"/>
          <w:sz w:val="20"/>
          <w:szCs w:val="20"/>
          <w:color w:val="auto"/>
        </w:rPr>
        <w:t>32.1</w:t>
        <w:tab/>
        <w:t>Certification of Chief Executive Officer pursuant to 18 U.S.C. Section 1350 as adopted pursuant to Section 906 of the Sarbanes-Oxley Act of 2002.*</w:t>
      </w:r>
    </w:p>
    <w:p>
      <w:pPr>
        <w:spacing w:after="0" w:line="179" w:lineRule="exact"/>
        <w:rPr>
          <w:sz w:val="20"/>
          <w:szCs w:val="20"/>
          <w:color w:val="auto"/>
        </w:rPr>
      </w:pPr>
    </w:p>
    <w:p>
      <w:pPr>
        <w:ind w:left="1860" w:right="1420" w:hanging="647"/>
        <w:spacing w:after="0" w:line="258" w:lineRule="auto"/>
        <w:tabs>
          <w:tab w:leader="none" w:pos="1840" w:val="left"/>
        </w:tabs>
        <w:rPr>
          <w:sz w:val="20"/>
          <w:szCs w:val="20"/>
          <w:color w:val="auto"/>
        </w:rPr>
      </w:pPr>
      <w:r>
        <w:rPr>
          <w:rFonts w:ascii="Arial" w:cs="Arial" w:eastAsia="Arial" w:hAnsi="Arial"/>
          <w:sz w:val="20"/>
          <w:szCs w:val="20"/>
          <w:color w:val="auto"/>
        </w:rPr>
        <w:t>32.2</w:t>
        <w:tab/>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80" w:hanging="259"/>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20"/>
          <w:szCs w:val="20"/>
          <w:color w:val="auto"/>
        </w:rPr>
        <w:t>Represents a management contract or compensatory plan or arrangement.</w:t>
      </w:r>
    </w:p>
    <w:p>
      <w:pPr>
        <w:spacing w:after="0" w:line="219" w:lineRule="exact"/>
        <w:rPr>
          <w:sz w:val="20"/>
          <w:szCs w:val="20"/>
          <w:color w:val="auto"/>
        </w:rPr>
      </w:pPr>
    </w:p>
    <w:p>
      <w:pPr>
        <w:ind w:left="1480" w:right="1420" w:hanging="259"/>
        <w:spacing w:after="0" w:line="258" w:lineRule="auto"/>
        <w:tabs>
          <w:tab w:leader="none" w:pos="1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Portions of this exhibit have been omitted pursuant to a request for confidential treatment filed with the Securities and Exchange Commission.</w:t>
      </w:r>
    </w:p>
    <w:p>
      <w:pPr>
        <w:spacing w:after="0" w:line="179" w:lineRule="exact"/>
        <w:rPr>
          <w:sz w:val="20"/>
          <w:szCs w:val="20"/>
          <w:color w:val="auto"/>
        </w:rPr>
      </w:pPr>
    </w:p>
    <w:p>
      <w:pPr>
        <w:ind w:left="1480" w:hanging="259"/>
        <w:spacing w:after="0"/>
        <w:tabs>
          <w:tab w:leader="none" w:pos="1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Represents an exhibit that is filed with this Annual Report on Form 10-K.</w:t>
      </w:r>
    </w:p>
    <w:p>
      <w:pPr>
        <w:spacing w:after="0" w:line="218" w:lineRule="exact"/>
        <w:rPr>
          <w:rFonts w:ascii="Arial" w:cs="Arial" w:eastAsia="Arial" w:hAnsi="Arial"/>
          <w:sz w:val="20"/>
          <w:szCs w:val="20"/>
          <w:color w:val="auto"/>
        </w:rPr>
      </w:pPr>
    </w:p>
    <w:p>
      <w:pPr>
        <w:ind w:left="1480" w:right="940"/>
        <w:spacing w:after="0" w:line="246" w:lineRule="auto"/>
        <w:rPr>
          <w:rFonts w:ascii="Arial" w:cs="Arial" w:eastAsia="Arial" w:hAnsi="Arial"/>
          <w:sz w:val="20"/>
          <w:szCs w:val="20"/>
          <w:color w:val="auto"/>
        </w:rPr>
      </w:pPr>
      <w:r>
        <w:rPr>
          <w:rFonts w:ascii="Arial" w:cs="Arial" w:eastAsia="Arial" w:hAnsi="Arial"/>
          <w:sz w:val="20"/>
          <w:szCs w:val="20"/>
          <w:color w:val="auto"/>
        </w:rPr>
        <w:t>The Company will provide a copy of any exhibit upon receipt of a written request for the particular exhibit or exhibits desired. All requests should be addressed to the Company's vice president of corporate communications at the address of the Company's principal executive offices.</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 on Financial Statement Schedule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Photronics, Inc.</w:t>
      </w:r>
    </w:p>
    <w:p>
      <w:pPr>
        <w:spacing w:after="0"/>
        <w:rPr>
          <w:sz w:val="20"/>
          <w:szCs w:val="20"/>
          <w:color w:val="auto"/>
        </w:rPr>
      </w:pPr>
      <w:r>
        <w:rPr>
          <w:rFonts w:ascii="Arial" w:cs="Arial" w:eastAsia="Arial" w:hAnsi="Arial"/>
          <w:sz w:val="20"/>
          <w:szCs w:val="20"/>
          <w:color w:val="auto"/>
        </w:rPr>
        <w:t>Brookfield, Connecticut</w:t>
      </w:r>
    </w:p>
    <w:p>
      <w:pPr>
        <w:spacing w:after="0" w:line="178" w:lineRule="exact"/>
        <w:rPr>
          <w:sz w:val="20"/>
          <w:szCs w:val="20"/>
          <w:color w:val="auto"/>
        </w:rPr>
      </w:pPr>
    </w:p>
    <w:p>
      <w:pPr>
        <w:ind w:firstLine="246"/>
        <w:spacing w:after="0" w:line="314" w:lineRule="auto"/>
        <w:rPr>
          <w:sz w:val="20"/>
          <w:szCs w:val="20"/>
          <w:color w:val="auto"/>
        </w:rPr>
      </w:pPr>
      <w:r>
        <w:rPr>
          <w:rFonts w:ascii="Arial" w:cs="Arial" w:eastAsia="Arial" w:hAnsi="Arial"/>
          <w:sz w:val="18"/>
          <w:szCs w:val="18"/>
          <w:color w:val="auto"/>
        </w:rPr>
        <w:t>We have audited the consolidated financial statements of Photronics, Inc. and subsidiaries (the "Company") as of November 1, 2009 and November 2, 2008, and for each of the three fiscal years ended November 1, 2009, November 2, 2008 and October 28, 2007, and the</w:t>
      </w:r>
    </w:p>
    <w:p>
      <w:pPr>
        <w:sectPr>
          <w:pgSz w:w="11900" w:h="16990" w:orient="portrait"/>
          <w:cols w:equalWidth="0" w:num="1">
            <w:col w:w="11140"/>
          </w:cols>
          <w:pgMar w:left="240" w:top="345" w:right="519" w:bottom="0" w:gutter="0" w:footer="0" w:header="0"/>
        </w:sectPr>
      </w:pPr>
    </w:p>
    <w:bookmarkStart w:id="57" w:name="page58"/>
    <w:bookmarkEnd w:id="57"/>
    <w:p>
      <w:pPr>
        <w:spacing w:after="0" w:line="273" w:lineRule="auto"/>
        <w:rPr>
          <w:sz w:val="20"/>
          <w:szCs w:val="20"/>
          <w:color w:val="auto"/>
        </w:rPr>
      </w:pPr>
      <w:r>
        <w:rPr>
          <w:rFonts w:ascii="Arial" w:cs="Arial" w:eastAsia="Arial" w:hAnsi="Arial"/>
          <w:sz w:val="18"/>
          <w:szCs w:val="18"/>
          <w:color w:val="auto"/>
        </w:rPr>
        <w:t>Company's internal control over financial reporting as of November 1, 2009, and have issued our report thereon dated January 7, 2010;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Stamford, Connecticut</w:t>
      </w:r>
    </w:p>
    <w:p>
      <w:pPr>
        <w:spacing w:after="0"/>
        <w:rPr>
          <w:sz w:val="20"/>
          <w:szCs w:val="20"/>
          <w:color w:val="auto"/>
        </w:rPr>
      </w:pPr>
      <w:r>
        <w:rPr>
          <w:rFonts w:ascii="Arial" w:cs="Arial" w:eastAsia="Arial" w:hAnsi="Arial"/>
          <w:sz w:val="20"/>
          <w:szCs w:val="20"/>
          <w:color w:val="auto"/>
        </w:rPr>
        <w:t>January 7, 2010</w:t>
      </w:r>
    </w:p>
    <w:p>
      <w:pPr>
        <w:spacing w:after="0" w:line="172"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Schedule II</w:t>
      </w:r>
    </w:p>
    <w:p>
      <w:pPr>
        <w:spacing w:after="0" w:line="219"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Valuation and Qualifying Accounts</w:t>
      </w:r>
    </w:p>
    <w:p>
      <w:pPr>
        <w:spacing w:after="0" w:line="11"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for the Years Ended November 1, 2009, November 2,</w:t>
      </w:r>
    </w:p>
    <w:p>
      <w:pPr>
        <w:jc w:val="center"/>
        <w:ind w:left="860"/>
        <w:spacing w:after="0" w:line="234" w:lineRule="auto"/>
        <w:rPr>
          <w:sz w:val="20"/>
          <w:szCs w:val="20"/>
          <w:color w:val="auto"/>
        </w:rPr>
      </w:pPr>
      <w:r>
        <w:rPr>
          <w:rFonts w:ascii="Arial" w:cs="Arial" w:eastAsia="Arial" w:hAnsi="Arial"/>
          <w:sz w:val="20"/>
          <w:szCs w:val="20"/>
          <w:b w:val="1"/>
          <w:bCs w:val="1"/>
          <w:color w:val="auto"/>
        </w:rPr>
        <w:t>2008</w:t>
      </w:r>
    </w:p>
    <w:p>
      <w:pPr>
        <w:jc w:val="center"/>
        <w:ind w:left="860"/>
        <w:spacing w:after="0" w:line="234" w:lineRule="auto"/>
        <w:rPr>
          <w:sz w:val="20"/>
          <w:szCs w:val="20"/>
          <w:color w:val="auto"/>
        </w:rPr>
      </w:pPr>
      <w:r>
        <w:rPr>
          <w:rFonts w:ascii="Arial" w:cs="Arial" w:eastAsia="Arial" w:hAnsi="Arial"/>
          <w:sz w:val="20"/>
          <w:szCs w:val="20"/>
          <w:b w:val="1"/>
          <w:bCs w:val="1"/>
          <w:color w:val="auto"/>
        </w:rPr>
        <w:t>and October 28, 2007</w:t>
      </w:r>
    </w:p>
    <w:p>
      <w:pPr>
        <w:jc w:val="center"/>
        <w:ind w:left="860"/>
        <w:spacing w:after="0"/>
        <w:rPr>
          <w:sz w:val="20"/>
          <w:szCs w:val="20"/>
          <w:color w:val="auto"/>
        </w:rPr>
      </w:pPr>
      <w:r>
        <w:rPr>
          <w:rFonts w:ascii="Arial" w:cs="Arial" w:eastAsia="Arial" w:hAnsi="Arial"/>
          <w:sz w:val="20"/>
          <w:szCs w:val="20"/>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87"/>
              </w:rPr>
              <w:t>Balance at</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9"/>
              </w:rPr>
              <w:t>Charge to</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87"/>
              </w:rPr>
              <w:t>Balance at</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126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8"/>
              </w:rPr>
              <w:t>Beginning of</w:t>
            </w:r>
          </w:p>
        </w:tc>
        <w:tc>
          <w:tcPr>
            <w:tcW w:w="80" w:type="dxa"/>
            <w:vAlign w:val="bottom"/>
          </w:tcPr>
          <w:p>
            <w:pPr>
              <w:spacing w:after="0"/>
              <w:rPr>
                <w:sz w:val="19"/>
                <w:szCs w:val="19"/>
                <w:color w:val="auto"/>
              </w:rPr>
            </w:pPr>
          </w:p>
        </w:tc>
        <w:tc>
          <w:tcPr>
            <w:tcW w:w="102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6"/>
              </w:rPr>
              <w:t>Costs and</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Arial" w:cs="Arial" w:eastAsia="Arial" w:hAnsi="Arial"/>
                <w:sz w:val="20"/>
                <w:szCs w:val="20"/>
                <w:b w:val="1"/>
                <w:bCs w:val="1"/>
                <w:color w:val="auto"/>
                <w:w w:val="89"/>
              </w:rPr>
              <w:t>End of</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2"/>
              </w:rPr>
              <w:t>Year</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3"/>
              </w:rPr>
              <w:t>Expenses</w:t>
            </w:r>
          </w:p>
        </w:tc>
        <w:tc>
          <w:tcPr>
            <w:tcW w:w="80" w:type="dxa"/>
            <w:vAlign w:val="bottom"/>
          </w:tcPr>
          <w:p>
            <w:pPr>
              <w:spacing w:after="0"/>
              <w:rPr>
                <w:sz w:val="22"/>
                <w:szCs w:val="22"/>
                <w:color w:val="auto"/>
              </w:rPr>
            </w:pPr>
          </w:p>
        </w:tc>
        <w:tc>
          <w:tcPr>
            <w:tcW w:w="1400" w:type="dxa"/>
            <w:vAlign w:val="bottom"/>
            <w:gridSpan w:val="3"/>
          </w:tcPr>
          <w:p>
            <w:pPr>
              <w:ind w:left="80"/>
              <w:spacing w:after="0"/>
              <w:rPr>
                <w:sz w:val="20"/>
                <w:szCs w:val="20"/>
                <w:color w:val="auto"/>
              </w:rPr>
            </w:pPr>
            <w:r>
              <w:rPr>
                <w:rFonts w:ascii="Arial" w:cs="Arial" w:eastAsia="Arial" w:hAnsi="Arial"/>
                <w:sz w:val="20"/>
                <w:szCs w:val="20"/>
                <w:b w:val="1"/>
                <w:bCs w:val="1"/>
                <w:color w:val="auto"/>
              </w:rPr>
              <w:t>Deductions</w:t>
            </w: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92"/>
              </w:rPr>
              <w:t>Year</w:t>
            </w:r>
          </w:p>
        </w:tc>
        <w:tc>
          <w:tcPr>
            <w:tcW w:w="0" w:type="dxa"/>
            <w:vAlign w:val="bottom"/>
          </w:tcPr>
          <w:p>
            <w:pPr>
              <w:spacing w:after="0"/>
              <w:rPr>
                <w:sz w:val="1"/>
                <w:szCs w:val="1"/>
                <w:color w:val="auto"/>
              </w:rPr>
            </w:pPr>
          </w:p>
        </w:tc>
      </w:tr>
      <w:tr>
        <w:trPr>
          <w:trHeight w:val="90"/>
        </w:trPr>
        <w:tc>
          <w:tcPr>
            <w:tcW w:w="3680" w:type="dxa"/>
            <w:vAlign w:val="bottom"/>
            <w:vMerge w:val="restart"/>
          </w:tcPr>
          <w:p>
            <w:pPr>
              <w:spacing w:after="0"/>
              <w:rPr>
                <w:sz w:val="20"/>
                <w:szCs w:val="20"/>
                <w:color w:val="auto"/>
              </w:rPr>
            </w:pPr>
            <w:r>
              <w:rPr>
                <w:rFonts w:ascii="Arial" w:cs="Arial" w:eastAsia="Arial" w:hAnsi="Arial"/>
                <w:sz w:val="20"/>
                <w:szCs w:val="20"/>
                <w:b w:val="1"/>
                <w:bCs w:val="1"/>
                <w:color w:val="auto"/>
              </w:rPr>
              <w:t>Allowance for Doubtful Accounts</w:t>
            </w:r>
          </w:p>
        </w:tc>
        <w:tc>
          <w:tcPr>
            <w:tcW w:w="1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80" w:type="dxa"/>
            <w:vAlign w:val="bottom"/>
          </w:tcPr>
          <w:p>
            <w:pPr>
              <w:spacing w:after="0"/>
              <w:rPr>
                <w:sz w:val="20"/>
                <w:szCs w:val="20"/>
                <w:color w:val="auto"/>
              </w:rPr>
            </w:pPr>
            <w:r>
              <w:rPr>
                <w:rFonts w:ascii="Arial" w:cs="Arial" w:eastAsia="Arial" w:hAnsi="Arial"/>
                <w:sz w:val="20"/>
                <w:szCs w:val="20"/>
                <w:color w:val="auto"/>
              </w:rPr>
              <w:t>Year ended November 1, 2009</w:t>
            </w:r>
          </w:p>
        </w:tc>
        <w:tc>
          <w:tcPr>
            <w:tcW w:w="1260" w:type="dxa"/>
            <w:vAlign w:val="bottom"/>
          </w:tcPr>
          <w:p>
            <w:pPr>
              <w:jc w:val="right"/>
              <w:spacing w:after="0"/>
              <w:rPr>
                <w:sz w:val="20"/>
                <w:szCs w:val="20"/>
                <w:color w:val="auto"/>
              </w:rPr>
            </w:pPr>
            <w:r>
              <w:rPr>
                <w:rFonts w:ascii="Arial" w:cs="Arial" w:eastAsia="Arial" w:hAnsi="Arial"/>
                <w:sz w:val="20"/>
                <w:szCs w:val="20"/>
                <w:color w:val="auto"/>
              </w:rPr>
              <w:t>$ 2,788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$ 538</w:t>
            </w:r>
          </w:p>
        </w:tc>
        <w:tc>
          <w:tcPr>
            <w:tcW w:w="80" w:type="dxa"/>
            <w:vAlign w:val="bottom"/>
          </w:tcPr>
          <w:p>
            <w:pPr>
              <w:spacing w:after="0"/>
              <w:rPr>
                <w:sz w:val="24"/>
                <w:szCs w:val="24"/>
                <w:color w:val="auto"/>
              </w:rPr>
            </w:pPr>
          </w:p>
        </w:tc>
        <w:tc>
          <w:tcPr>
            <w:tcW w:w="1400" w:type="dxa"/>
            <w:vAlign w:val="bottom"/>
            <w:gridSpan w:val="3"/>
          </w:tcPr>
          <w:p>
            <w:pPr>
              <w:ind w:left="600"/>
              <w:spacing w:after="0"/>
              <w:rPr>
                <w:sz w:val="20"/>
                <w:szCs w:val="20"/>
                <w:color w:val="auto"/>
              </w:rPr>
            </w:pPr>
            <w:r>
              <w:rPr>
                <w:rFonts w:ascii="Arial" w:cs="Arial" w:eastAsia="Arial" w:hAnsi="Arial"/>
                <w:sz w:val="20"/>
                <w:szCs w:val="20"/>
                <w:color w:val="auto"/>
                <w:w w:val="94"/>
              </w:rPr>
              <w:t>$(657)(a)</w:t>
            </w:r>
          </w:p>
        </w:tc>
        <w:tc>
          <w:tcPr>
            <w:tcW w:w="1100" w:type="dxa"/>
            <w:vAlign w:val="bottom"/>
          </w:tcPr>
          <w:p>
            <w:pPr>
              <w:jc w:val="right"/>
              <w:spacing w:after="0"/>
              <w:rPr>
                <w:sz w:val="20"/>
                <w:szCs w:val="20"/>
                <w:color w:val="auto"/>
              </w:rPr>
            </w:pPr>
            <w:r>
              <w:rPr>
                <w:rFonts w:ascii="Arial" w:cs="Arial" w:eastAsia="Arial" w:hAnsi="Arial"/>
                <w:sz w:val="20"/>
                <w:szCs w:val="20"/>
                <w:color w:val="auto"/>
              </w:rPr>
              <w:t>$ 2,669</w:t>
            </w:r>
          </w:p>
        </w:tc>
        <w:tc>
          <w:tcPr>
            <w:tcW w:w="0" w:type="dxa"/>
            <w:vAlign w:val="bottom"/>
          </w:tcPr>
          <w:p>
            <w:pPr>
              <w:spacing w:after="0"/>
              <w:rPr>
                <w:sz w:val="1"/>
                <w:szCs w:val="1"/>
                <w:color w:val="auto"/>
              </w:rPr>
            </w:pPr>
          </w:p>
        </w:tc>
      </w:tr>
      <w:tr>
        <w:trPr>
          <w:trHeight w:val="224"/>
        </w:trPr>
        <w:tc>
          <w:tcPr>
            <w:tcW w:w="3680" w:type="dxa"/>
            <w:vAlign w:val="bottom"/>
          </w:tcPr>
          <w:p>
            <w:pPr>
              <w:spacing w:after="0" w:line="225" w:lineRule="exact"/>
              <w:rPr>
                <w:sz w:val="20"/>
                <w:szCs w:val="20"/>
                <w:color w:val="auto"/>
              </w:rPr>
            </w:pPr>
            <w:r>
              <w:rPr>
                <w:rFonts w:ascii="Arial" w:cs="Arial" w:eastAsia="Arial" w:hAnsi="Arial"/>
                <w:sz w:val="20"/>
                <w:szCs w:val="20"/>
                <w:color w:val="auto"/>
              </w:rPr>
              <w:t>Year ended November 2, 2008</w:t>
            </w:r>
          </w:p>
        </w:tc>
        <w:tc>
          <w:tcPr>
            <w:tcW w:w="1260" w:type="dxa"/>
            <w:vAlign w:val="bottom"/>
          </w:tcPr>
          <w:p>
            <w:pPr>
              <w:jc w:val="right"/>
              <w:spacing w:after="0" w:line="225" w:lineRule="exact"/>
              <w:rPr>
                <w:sz w:val="20"/>
                <w:szCs w:val="20"/>
                <w:color w:val="auto"/>
              </w:rPr>
            </w:pPr>
            <w:r>
              <w:rPr>
                <w:rFonts w:ascii="Arial" w:cs="Arial" w:eastAsia="Arial" w:hAnsi="Arial"/>
                <w:sz w:val="20"/>
                <w:szCs w:val="20"/>
                <w:color w:val="auto"/>
              </w:rPr>
              <w:t>$ 3,721</w:t>
            </w:r>
          </w:p>
        </w:tc>
        <w:tc>
          <w:tcPr>
            <w:tcW w:w="1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$(481)</w:t>
            </w:r>
          </w:p>
        </w:tc>
        <w:tc>
          <w:tcPr>
            <w:tcW w:w="80" w:type="dxa"/>
            <w:vAlign w:val="bottom"/>
          </w:tcPr>
          <w:p>
            <w:pPr>
              <w:spacing w:after="0"/>
              <w:rPr>
                <w:sz w:val="19"/>
                <w:szCs w:val="19"/>
                <w:color w:val="auto"/>
              </w:rPr>
            </w:pPr>
          </w:p>
        </w:tc>
        <w:tc>
          <w:tcPr>
            <w:tcW w:w="1400" w:type="dxa"/>
            <w:vAlign w:val="bottom"/>
            <w:gridSpan w:val="3"/>
          </w:tcPr>
          <w:p>
            <w:pPr>
              <w:ind w:left="600"/>
              <w:spacing w:after="0" w:line="225" w:lineRule="exact"/>
              <w:rPr>
                <w:sz w:val="20"/>
                <w:szCs w:val="20"/>
                <w:color w:val="auto"/>
              </w:rPr>
            </w:pPr>
            <w:r>
              <w:rPr>
                <w:rFonts w:ascii="Arial" w:cs="Arial" w:eastAsia="Arial" w:hAnsi="Arial"/>
                <w:sz w:val="20"/>
                <w:szCs w:val="20"/>
                <w:color w:val="auto"/>
                <w:w w:val="94"/>
              </w:rPr>
              <w:t>$(452)(a)</w:t>
            </w:r>
          </w:p>
        </w:tc>
        <w:tc>
          <w:tcPr>
            <w:tcW w:w="1100" w:type="dxa"/>
            <w:vAlign w:val="bottom"/>
          </w:tcPr>
          <w:p>
            <w:pPr>
              <w:jc w:val="right"/>
              <w:spacing w:after="0" w:line="225" w:lineRule="exact"/>
              <w:rPr>
                <w:sz w:val="20"/>
                <w:szCs w:val="20"/>
                <w:color w:val="auto"/>
              </w:rPr>
            </w:pPr>
            <w:r>
              <w:rPr>
                <w:rFonts w:ascii="Arial" w:cs="Arial" w:eastAsia="Arial" w:hAnsi="Arial"/>
                <w:sz w:val="20"/>
                <w:szCs w:val="20"/>
                <w:color w:val="auto"/>
              </w:rPr>
              <w:t>$ 2,788</w:t>
            </w:r>
          </w:p>
        </w:tc>
        <w:tc>
          <w:tcPr>
            <w:tcW w:w="0" w:type="dxa"/>
            <w:vAlign w:val="bottom"/>
          </w:tcPr>
          <w:p>
            <w:pPr>
              <w:spacing w:after="0"/>
              <w:rPr>
                <w:sz w:val="1"/>
                <w:szCs w:val="1"/>
                <w:color w:val="auto"/>
              </w:rPr>
            </w:pPr>
          </w:p>
        </w:tc>
      </w:tr>
      <w:tr>
        <w:trPr>
          <w:trHeight w:val="254"/>
        </w:trPr>
        <w:tc>
          <w:tcPr>
            <w:tcW w:w="3680" w:type="dxa"/>
            <w:vAlign w:val="bottom"/>
          </w:tcPr>
          <w:p>
            <w:pPr>
              <w:spacing w:after="0"/>
              <w:rPr>
                <w:sz w:val="20"/>
                <w:szCs w:val="20"/>
                <w:color w:val="auto"/>
              </w:rPr>
            </w:pPr>
            <w:r>
              <w:rPr>
                <w:rFonts w:ascii="Arial" w:cs="Arial" w:eastAsia="Arial" w:hAnsi="Arial"/>
                <w:sz w:val="20"/>
                <w:szCs w:val="20"/>
                <w:color w:val="auto"/>
              </w:rPr>
              <w:t>Year ended October 28, 2007</w:t>
            </w:r>
          </w:p>
        </w:tc>
        <w:tc>
          <w:tcPr>
            <w:tcW w:w="1260" w:type="dxa"/>
            <w:vAlign w:val="bottom"/>
          </w:tcPr>
          <w:p>
            <w:pPr>
              <w:jc w:val="right"/>
              <w:spacing w:after="0"/>
              <w:rPr>
                <w:sz w:val="20"/>
                <w:szCs w:val="20"/>
                <w:color w:val="auto"/>
              </w:rPr>
            </w:pPr>
            <w:r>
              <w:rPr>
                <w:rFonts w:ascii="Arial" w:cs="Arial" w:eastAsia="Arial" w:hAnsi="Arial"/>
                <w:sz w:val="20"/>
                <w:szCs w:val="20"/>
                <w:color w:val="auto"/>
              </w:rPr>
              <w:t>$ 4,471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 (25)</w:t>
            </w:r>
          </w:p>
        </w:tc>
        <w:tc>
          <w:tcPr>
            <w:tcW w:w="80" w:type="dxa"/>
            <w:vAlign w:val="bottom"/>
          </w:tcPr>
          <w:p>
            <w:pPr>
              <w:spacing w:after="0"/>
              <w:rPr>
                <w:sz w:val="22"/>
                <w:szCs w:val="22"/>
                <w:color w:val="auto"/>
              </w:rPr>
            </w:pPr>
          </w:p>
        </w:tc>
        <w:tc>
          <w:tcPr>
            <w:tcW w:w="1400" w:type="dxa"/>
            <w:vAlign w:val="bottom"/>
            <w:gridSpan w:val="3"/>
          </w:tcPr>
          <w:p>
            <w:pPr>
              <w:ind w:left="600"/>
              <w:spacing w:after="0"/>
              <w:rPr>
                <w:sz w:val="20"/>
                <w:szCs w:val="20"/>
                <w:color w:val="auto"/>
              </w:rPr>
            </w:pPr>
            <w:r>
              <w:rPr>
                <w:rFonts w:ascii="Arial" w:cs="Arial" w:eastAsia="Arial" w:hAnsi="Arial"/>
                <w:sz w:val="20"/>
                <w:szCs w:val="20"/>
                <w:color w:val="auto"/>
                <w:w w:val="94"/>
              </w:rPr>
              <w:t>$(725)(a)</w:t>
            </w:r>
          </w:p>
        </w:tc>
        <w:tc>
          <w:tcPr>
            <w:tcW w:w="1100" w:type="dxa"/>
            <w:vAlign w:val="bottom"/>
          </w:tcPr>
          <w:p>
            <w:pPr>
              <w:jc w:val="right"/>
              <w:spacing w:after="0"/>
              <w:rPr>
                <w:sz w:val="20"/>
                <w:szCs w:val="20"/>
                <w:color w:val="auto"/>
              </w:rPr>
            </w:pPr>
            <w:r>
              <w:rPr>
                <w:rFonts w:ascii="Arial" w:cs="Arial" w:eastAsia="Arial" w:hAnsi="Arial"/>
                <w:sz w:val="20"/>
                <w:szCs w:val="20"/>
                <w:color w:val="auto"/>
              </w:rPr>
              <w:t>$ 3,721</w:t>
            </w:r>
          </w:p>
        </w:tc>
        <w:tc>
          <w:tcPr>
            <w:tcW w:w="0" w:type="dxa"/>
            <w:vAlign w:val="bottom"/>
          </w:tcPr>
          <w:p>
            <w:pPr>
              <w:spacing w:after="0"/>
              <w:rPr>
                <w:sz w:val="1"/>
                <w:szCs w:val="1"/>
                <w:color w:val="auto"/>
              </w:rPr>
            </w:pPr>
          </w:p>
        </w:tc>
      </w:tr>
      <w:tr>
        <w:trPr>
          <w:trHeight w:val="413"/>
        </w:trPr>
        <w:tc>
          <w:tcPr>
            <w:tcW w:w="3680" w:type="dxa"/>
            <w:vAlign w:val="bottom"/>
          </w:tcPr>
          <w:p>
            <w:pPr>
              <w:spacing w:after="0"/>
              <w:rPr>
                <w:sz w:val="20"/>
                <w:szCs w:val="20"/>
                <w:color w:val="auto"/>
              </w:rPr>
            </w:pPr>
            <w:r>
              <w:rPr>
                <w:rFonts w:ascii="Arial" w:cs="Arial" w:eastAsia="Arial" w:hAnsi="Arial"/>
                <w:sz w:val="20"/>
                <w:szCs w:val="20"/>
                <w:b w:val="1"/>
                <w:bCs w:val="1"/>
                <w:color w:val="auto"/>
              </w:rPr>
              <w:t>Deferred Income Tax Valuation</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0"/>
                <w:szCs w:val="20"/>
                <w:color w:val="auto"/>
              </w:rPr>
            </w:pPr>
            <w:r>
              <w:rPr>
                <w:rFonts w:ascii="Arial" w:cs="Arial" w:eastAsia="Arial" w:hAnsi="Arial"/>
                <w:sz w:val="20"/>
                <w:szCs w:val="20"/>
                <w:b w:val="1"/>
                <w:bCs w:val="1"/>
                <w:color w:val="auto"/>
              </w:rPr>
              <w:t>Allowance</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3680" w:type="dxa"/>
            <w:vAlign w:val="bottom"/>
          </w:tcPr>
          <w:p>
            <w:pPr>
              <w:spacing w:after="0"/>
              <w:rPr>
                <w:sz w:val="20"/>
                <w:szCs w:val="20"/>
                <w:color w:val="auto"/>
              </w:rPr>
            </w:pPr>
            <w:r>
              <w:rPr>
                <w:rFonts w:ascii="Arial" w:cs="Arial" w:eastAsia="Arial" w:hAnsi="Arial"/>
                <w:sz w:val="20"/>
                <w:szCs w:val="20"/>
                <w:color w:val="auto"/>
              </w:rPr>
              <w:t>Year ended November 1, 2009</w:t>
            </w:r>
          </w:p>
        </w:tc>
        <w:tc>
          <w:tcPr>
            <w:tcW w:w="1260" w:type="dxa"/>
            <w:vAlign w:val="bottom"/>
          </w:tcPr>
          <w:p>
            <w:pPr>
              <w:jc w:val="right"/>
              <w:spacing w:after="0"/>
              <w:rPr>
                <w:sz w:val="20"/>
                <w:szCs w:val="20"/>
                <w:color w:val="auto"/>
              </w:rPr>
            </w:pPr>
            <w:r>
              <w:rPr>
                <w:rFonts w:ascii="Arial" w:cs="Arial" w:eastAsia="Arial" w:hAnsi="Arial"/>
                <w:sz w:val="20"/>
                <w:szCs w:val="20"/>
                <w:color w:val="auto"/>
              </w:rPr>
              <w:t>$48,149</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$6,585</w:t>
            </w:r>
          </w:p>
        </w:tc>
        <w:tc>
          <w:tcPr>
            <w:tcW w:w="94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$54,734</w:t>
            </w:r>
          </w:p>
        </w:tc>
        <w:tc>
          <w:tcPr>
            <w:tcW w:w="0" w:type="dxa"/>
            <w:vAlign w:val="bottom"/>
          </w:tcPr>
          <w:p>
            <w:pPr>
              <w:spacing w:after="0"/>
              <w:rPr>
                <w:sz w:val="1"/>
                <w:szCs w:val="1"/>
                <w:color w:val="auto"/>
              </w:rPr>
            </w:pPr>
          </w:p>
        </w:tc>
      </w:tr>
      <w:tr>
        <w:trPr>
          <w:trHeight w:val="224"/>
        </w:trPr>
        <w:tc>
          <w:tcPr>
            <w:tcW w:w="3680" w:type="dxa"/>
            <w:vAlign w:val="bottom"/>
          </w:tcPr>
          <w:p>
            <w:pPr>
              <w:spacing w:after="0" w:line="225" w:lineRule="exact"/>
              <w:rPr>
                <w:sz w:val="20"/>
                <w:szCs w:val="20"/>
                <w:color w:val="auto"/>
              </w:rPr>
            </w:pPr>
            <w:r>
              <w:rPr>
                <w:rFonts w:ascii="Arial" w:cs="Arial" w:eastAsia="Arial" w:hAnsi="Arial"/>
                <w:sz w:val="20"/>
                <w:szCs w:val="20"/>
                <w:color w:val="auto"/>
              </w:rPr>
              <w:t>Year ended November 2, 2008</w:t>
            </w:r>
          </w:p>
        </w:tc>
        <w:tc>
          <w:tcPr>
            <w:tcW w:w="1260" w:type="dxa"/>
            <w:vAlign w:val="bottom"/>
          </w:tcPr>
          <w:p>
            <w:pPr>
              <w:jc w:val="right"/>
              <w:spacing w:after="0" w:line="225" w:lineRule="exact"/>
              <w:rPr>
                <w:sz w:val="20"/>
                <w:szCs w:val="20"/>
                <w:color w:val="auto"/>
              </w:rPr>
            </w:pPr>
            <w:r>
              <w:rPr>
                <w:rFonts w:ascii="Arial" w:cs="Arial" w:eastAsia="Arial" w:hAnsi="Arial"/>
                <w:sz w:val="20"/>
                <w:szCs w:val="20"/>
                <w:color w:val="auto"/>
              </w:rPr>
              <w:t>$39,392</w:t>
            </w:r>
          </w:p>
        </w:tc>
        <w:tc>
          <w:tcPr>
            <w:tcW w:w="1100" w:type="dxa"/>
            <w:vAlign w:val="bottom"/>
            <w:gridSpan w:val="2"/>
          </w:tcPr>
          <w:p>
            <w:pPr>
              <w:jc w:val="right"/>
              <w:spacing w:after="0" w:line="225" w:lineRule="exact"/>
              <w:rPr>
                <w:sz w:val="20"/>
                <w:szCs w:val="20"/>
                <w:color w:val="auto"/>
              </w:rPr>
            </w:pPr>
            <w:r>
              <w:rPr>
                <w:rFonts w:ascii="Arial" w:cs="Arial" w:eastAsia="Arial" w:hAnsi="Arial"/>
                <w:sz w:val="20"/>
                <w:szCs w:val="20"/>
                <w:color w:val="auto"/>
              </w:rPr>
              <w:t>$8,757</w:t>
            </w:r>
          </w:p>
        </w:tc>
        <w:tc>
          <w:tcPr>
            <w:tcW w:w="940" w:type="dxa"/>
            <w:vAlign w:val="bottom"/>
            <w:gridSpan w:val="2"/>
          </w:tcPr>
          <w:p>
            <w:pPr>
              <w:ind w:left="700"/>
              <w:spacing w:after="0" w:line="225" w:lineRule="exact"/>
              <w:rPr>
                <w:sz w:val="20"/>
                <w:szCs w:val="20"/>
                <w:color w:val="auto"/>
              </w:rPr>
            </w:pPr>
            <w:r>
              <w:rPr>
                <w:rFonts w:ascii="Arial" w:cs="Arial" w:eastAsia="Arial" w:hAnsi="Arial"/>
                <w:sz w:val="20"/>
                <w:szCs w:val="20"/>
                <w:color w:val="auto"/>
              </w:rPr>
              <w:t>$</w:t>
            </w:r>
          </w:p>
        </w:tc>
        <w:tc>
          <w:tcPr>
            <w:tcW w:w="30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100" w:type="dxa"/>
            <w:vAlign w:val="bottom"/>
          </w:tcPr>
          <w:p>
            <w:pPr>
              <w:jc w:val="right"/>
              <w:spacing w:after="0" w:line="225" w:lineRule="exact"/>
              <w:rPr>
                <w:sz w:val="20"/>
                <w:szCs w:val="20"/>
                <w:color w:val="auto"/>
              </w:rPr>
            </w:pPr>
            <w:r>
              <w:rPr>
                <w:rFonts w:ascii="Arial" w:cs="Arial" w:eastAsia="Arial" w:hAnsi="Arial"/>
                <w:sz w:val="20"/>
                <w:szCs w:val="20"/>
                <w:color w:val="auto"/>
              </w:rPr>
              <w:t>$48,149</w:t>
            </w:r>
          </w:p>
        </w:tc>
        <w:tc>
          <w:tcPr>
            <w:tcW w:w="0" w:type="dxa"/>
            <w:vAlign w:val="bottom"/>
          </w:tcPr>
          <w:p>
            <w:pPr>
              <w:spacing w:after="0"/>
              <w:rPr>
                <w:sz w:val="1"/>
                <w:szCs w:val="1"/>
                <w:color w:val="auto"/>
              </w:rPr>
            </w:pPr>
          </w:p>
        </w:tc>
      </w:tr>
      <w:tr>
        <w:trPr>
          <w:trHeight w:val="254"/>
        </w:trPr>
        <w:tc>
          <w:tcPr>
            <w:tcW w:w="3680" w:type="dxa"/>
            <w:vAlign w:val="bottom"/>
          </w:tcPr>
          <w:p>
            <w:pPr>
              <w:spacing w:after="0"/>
              <w:rPr>
                <w:sz w:val="20"/>
                <w:szCs w:val="20"/>
                <w:color w:val="auto"/>
              </w:rPr>
            </w:pPr>
            <w:r>
              <w:rPr>
                <w:rFonts w:ascii="Arial" w:cs="Arial" w:eastAsia="Arial" w:hAnsi="Arial"/>
                <w:sz w:val="20"/>
                <w:szCs w:val="20"/>
                <w:color w:val="auto"/>
              </w:rPr>
              <w:t>Year ended October 28, 2007</w:t>
            </w:r>
          </w:p>
        </w:tc>
        <w:tc>
          <w:tcPr>
            <w:tcW w:w="1260" w:type="dxa"/>
            <w:vAlign w:val="bottom"/>
          </w:tcPr>
          <w:p>
            <w:pPr>
              <w:jc w:val="right"/>
              <w:spacing w:after="0"/>
              <w:rPr>
                <w:sz w:val="20"/>
                <w:szCs w:val="20"/>
                <w:color w:val="auto"/>
              </w:rPr>
            </w:pPr>
            <w:r>
              <w:rPr>
                <w:rFonts w:ascii="Arial" w:cs="Arial" w:eastAsia="Arial" w:hAnsi="Arial"/>
                <w:sz w:val="20"/>
                <w:szCs w:val="20"/>
                <w:color w:val="auto"/>
              </w:rPr>
              <w:t>$36,993</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$2,399</w:t>
            </w:r>
          </w:p>
        </w:tc>
        <w:tc>
          <w:tcPr>
            <w:tcW w:w="94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$39,392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298690"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ind w:right="60" w:firstLine="249"/>
        <w:spacing w:after="0" w:line="258"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jc w:val="center"/>
        <w:ind w:right="8760"/>
        <w:spacing w:after="0"/>
        <w:rPr>
          <w:sz w:val="20"/>
          <w:szCs w:val="20"/>
          <w:color w:val="auto"/>
        </w:rPr>
      </w:pPr>
      <w:r>
        <w:rPr>
          <w:rFonts w:ascii="Arial" w:cs="Arial" w:eastAsia="Arial" w:hAnsi="Arial"/>
          <w:sz w:val="20"/>
          <w:szCs w:val="20"/>
          <w:color w:val="auto"/>
        </w:rPr>
        <w:t>PHOTRONICS, INC.</w:t>
      </w:r>
    </w:p>
    <w:p>
      <w:pPr>
        <w:spacing w:after="0" w:line="10" w:lineRule="exact"/>
        <w:rPr>
          <w:sz w:val="20"/>
          <w:szCs w:val="20"/>
          <w:color w:val="auto"/>
        </w:rPr>
      </w:pPr>
    </w:p>
    <w:p>
      <w:pPr>
        <w:jc w:val="center"/>
        <w:ind w:right="8760"/>
        <w:spacing w:after="0"/>
        <w:rPr>
          <w:sz w:val="20"/>
          <w:szCs w:val="20"/>
          <w:color w:val="auto"/>
        </w:rPr>
      </w:pPr>
      <w:r>
        <w:rPr>
          <w:rFonts w:ascii="Arial" w:cs="Arial" w:eastAsia="Arial" w:hAnsi="Arial"/>
          <w:sz w:val="20"/>
          <w:szCs w:val="20"/>
          <w:color w:val="auto"/>
        </w:rPr>
        <w:t>(Registrant)</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SEAN T. SMITH</w:t>
      </w:r>
    </w:p>
    <w:p>
      <w:pPr>
        <w:spacing w:after="0" w:line="10" w:lineRule="exact"/>
        <w:rPr>
          <w:sz w:val="20"/>
          <w:szCs w:val="20"/>
          <w:color w:val="auto"/>
        </w:rPr>
      </w:pPr>
    </w:p>
    <w:p>
      <w:pPr>
        <w:ind w:left="420" w:right="4300" w:hanging="3"/>
        <w:spacing w:after="0"/>
        <w:rPr>
          <w:sz w:val="20"/>
          <w:szCs w:val="20"/>
          <w:color w:val="auto"/>
        </w:rPr>
      </w:pPr>
      <w:r>
        <w:rPr>
          <w:sz w:val="1"/>
          <w:szCs w:val="1"/>
          <w:color w:val="auto"/>
        </w:rPr>
        <w:drawing>
          <wp:inline distT="0" distB="0" distL="0" distR="0">
            <wp:extent cx="2901315" cy="2857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901315" cy="28575"/>
                    </a:xfrm>
                    <a:prstGeom prst="rect">
                      <a:avLst/>
                    </a:prstGeom>
                    <a:noFill/>
                    <a:ln>
                      <a:noFill/>
                    </a:ln>
                  </pic:spPr>
                </pic:pic>
              </a:graphicData>
            </a:graphic>
          </wp:inline>
        </w:drawing>
      </w:r>
      <w:r>
        <w:rPr>
          <w:rFonts w:ascii="Arial" w:cs="Arial" w:eastAsia="Arial" w:hAnsi="Arial"/>
          <w:sz w:val="20"/>
          <w:szCs w:val="20"/>
          <w:color w:val="auto"/>
        </w:rPr>
        <w:t xml:space="preserve"> January 8, 2010 Sean T. Smith</w:t>
      </w:r>
    </w:p>
    <w:p>
      <w:pPr>
        <w:ind w:left="420"/>
        <w:spacing w:after="0" w:line="235" w:lineRule="auto"/>
        <w:rPr>
          <w:sz w:val="20"/>
          <w:szCs w:val="20"/>
          <w:color w:val="auto"/>
        </w:rPr>
      </w:pPr>
      <w:r>
        <w:rPr>
          <w:rFonts w:ascii="Arial" w:cs="Arial" w:eastAsia="Arial" w:hAnsi="Arial"/>
          <w:sz w:val="20"/>
          <w:szCs w:val="20"/>
          <w:color w:val="auto"/>
        </w:rPr>
        <w:t>Senior Vice President</w:t>
      </w:r>
    </w:p>
    <w:p>
      <w:pPr>
        <w:ind w:left="420"/>
        <w:spacing w:after="0" w:line="234" w:lineRule="auto"/>
        <w:rPr>
          <w:sz w:val="20"/>
          <w:szCs w:val="20"/>
          <w:color w:val="auto"/>
        </w:rPr>
      </w:pPr>
      <w:r>
        <w:rPr>
          <w:rFonts w:ascii="Arial" w:cs="Arial" w:eastAsia="Arial" w:hAnsi="Arial"/>
          <w:sz w:val="20"/>
          <w:szCs w:val="20"/>
          <w:color w:val="auto"/>
        </w:rPr>
        <w:t>Chief Financial Officer</w:t>
      </w:r>
    </w:p>
    <w:p>
      <w:pPr>
        <w:ind w:left="420"/>
        <w:spacing w:after="0"/>
        <w:rPr>
          <w:sz w:val="20"/>
          <w:szCs w:val="20"/>
          <w:color w:val="auto"/>
        </w:rPr>
      </w:pPr>
      <w:r>
        <w:rPr>
          <w:rFonts w:ascii="Arial" w:cs="Arial" w:eastAsia="Arial" w:hAnsi="Arial"/>
          <w:sz w:val="20"/>
          <w:szCs w:val="20"/>
          <w:color w:val="auto"/>
        </w:rPr>
        <w:t>(Principal Accounting Officer)</w:t>
      </w:r>
    </w:p>
    <w:p>
      <w:pPr>
        <w:spacing w:after="0" w:line="203" w:lineRule="exact"/>
        <w:rPr>
          <w:sz w:val="20"/>
          <w:szCs w:val="20"/>
          <w:color w:val="auto"/>
        </w:rPr>
      </w:pPr>
    </w:p>
    <w:p>
      <w:pPr>
        <w:ind w:right="60" w:firstLine="249"/>
        <w:spacing w:after="0" w:line="258"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CONSTANTINE S. MACRICOSTAS</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Constantine S. Macricostas</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Chairman of the Board</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SEAN T. SMITH</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Sean T. Smith</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Senior Vice President</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(Principal Accounting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-1527810</wp:posOffset>
            </wp:positionV>
            <wp:extent cx="12700" cy="285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-1527810</wp:posOffset>
            </wp:positionV>
            <wp:extent cx="12700" cy="285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-664845</wp:posOffset>
            </wp:positionV>
            <wp:extent cx="12700" cy="285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-664845</wp:posOffset>
            </wp:positionV>
            <wp:extent cx="12700" cy="285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360"/>
          </w:cols>
          <w:pgMar w:left="240" w:top="120" w:right="29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WALTER M. FIEDEROWICZ</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Walter M. Fiederowicz</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JOSEPH A. FIORITA, JR.</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Joseph A. Fiorita, Jr.</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GEORGE C. MACRICOSTAS</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George C. Macricostas</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WILLEM D. MARIS</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Willem D. Maris</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419"/>
        </w:trPr>
        <w:tc>
          <w:tcPr>
            <w:tcW w:w="420" w:type="dxa"/>
            <w:vAlign w:val="bottom"/>
          </w:tcPr>
          <w:p>
            <w:pPr>
              <w:spacing w:after="0"/>
              <w:rPr>
                <w:sz w:val="20"/>
                <w:szCs w:val="20"/>
                <w:color w:val="auto"/>
              </w:rPr>
            </w:pPr>
            <w:r>
              <w:rPr>
                <w:rFonts w:ascii="Arial" w:cs="Arial" w:eastAsia="Arial" w:hAnsi="Arial"/>
                <w:sz w:val="20"/>
                <w:szCs w:val="20"/>
                <w:color w:val="auto"/>
              </w:rPr>
              <w:t>By</w:t>
            </w:r>
          </w:p>
        </w:tc>
        <w:tc>
          <w:tcPr>
            <w:tcW w:w="6640" w:type="dxa"/>
            <w:vAlign w:val="bottom"/>
            <w:gridSpan w:val="2"/>
          </w:tcPr>
          <w:p>
            <w:pPr>
              <w:spacing w:after="0"/>
              <w:rPr>
                <w:sz w:val="20"/>
                <w:szCs w:val="20"/>
                <w:color w:val="auto"/>
              </w:rPr>
            </w:pPr>
            <w:r>
              <w:rPr>
                <w:rFonts w:ascii="Arial" w:cs="Arial" w:eastAsia="Arial" w:hAnsi="Arial"/>
                <w:sz w:val="20"/>
                <w:szCs w:val="20"/>
                <w:color w:val="auto"/>
              </w:rPr>
              <w:t>/s/ MITCHELL G. TYSON</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560" w:type="dxa"/>
            <w:vAlign w:val="bottom"/>
            <w:tcBorders>
              <w:bottom w:val="single" w:sz="8" w:color="336699"/>
            </w:tcBorders>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20"/>
                <w:szCs w:val="20"/>
                <w:color w:val="auto"/>
                <w:w w:val="87"/>
              </w:rPr>
              <w:t>January 8, 2010</w:t>
            </w:r>
          </w:p>
        </w:tc>
        <w:tc>
          <w:tcPr>
            <w:tcW w:w="0" w:type="dxa"/>
            <w:vAlign w:val="bottom"/>
          </w:tcPr>
          <w:p>
            <w:pPr>
              <w:spacing w:after="0"/>
              <w:rPr>
                <w:sz w:val="1"/>
                <w:szCs w:val="1"/>
                <w:color w:val="auto"/>
              </w:rPr>
            </w:pPr>
          </w:p>
        </w:tc>
      </w:tr>
      <w:tr>
        <w:trPr>
          <w:trHeight w:val="77"/>
        </w:trPr>
        <w:tc>
          <w:tcPr>
            <w:tcW w:w="4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6640" w:type="dxa"/>
            <w:vAlign w:val="bottom"/>
            <w:gridSpan w:val="2"/>
          </w:tcPr>
          <w:p>
            <w:pPr>
              <w:spacing w:after="0" w:line="225" w:lineRule="exact"/>
              <w:rPr>
                <w:sz w:val="20"/>
                <w:szCs w:val="20"/>
                <w:color w:val="auto"/>
              </w:rPr>
            </w:pPr>
            <w:r>
              <w:rPr>
                <w:rFonts w:ascii="Arial" w:cs="Arial" w:eastAsia="Arial" w:hAnsi="Arial"/>
                <w:sz w:val="20"/>
                <w:szCs w:val="20"/>
                <w:color w:val="auto"/>
              </w:rPr>
              <w:t>Mitchell G. Tyson</w:t>
            </w:r>
          </w:p>
        </w:tc>
        <w:tc>
          <w:tcPr>
            <w:tcW w:w="0" w:type="dxa"/>
            <w:vAlign w:val="bottom"/>
          </w:tcPr>
          <w:p>
            <w:pPr>
              <w:spacing w:after="0"/>
              <w:rPr>
                <w:sz w:val="1"/>
                <w:szCs w:val="1"/>
                <w:color w:val="auto"/>
              </w:rPr>
            </w:pPr>
          </w:p>
        </w:tc>
      </w:tr>
      <w:tr>
        <w:trPr>
          <w:trHeight w:val="254"/>
        </w:trPr>
        <w:tc>
          <w:tcPr>
            <w:tcW w:w="420" w:type="dxa"/>
            <w:vAlign w:val="bottom"/>
          </w:tcPr>
          <w:p>
            <w:pPr>
              <w:spacing w:after="0"/>
              <w:rPr>
                <w:sz w:val="22"/>
                <w:szCs w:val="22"/>
                <w:color w:val="auto"/>
              </w:rPr>
            </w:pPr>
          </w:p>
        </w:tc>
        <w:tc>
          <w:tcPr>
            <w:tcW w:w="66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r>
        <w:trPr>
          <w:trHeight w:val="847"/>
        </w:trPr>
        <w:tc>
          <w:tcPr>
            <w:tcW w:w="420" w:type="dxa"/>
            <w:vAlign w:val="bottom"/>
          </w:tcPr>
          <w:p>
            <w:pPr>
              <w:spacing w:after="0"/>
              <w:rPr>
                <w:sz w:val="24"/>
                <w:szCs w:val="24"/>
                <w:color w:val="auto"/>
              </w:rPr>
            </w:pPr>
          </w:p>
        </w:tc>
        <w:tc>
          <w:tcPr>
            <w:tcW w:w="6640" w:type="dxa"/>
            <w:vAlign w:val="bottom"/>
            <w:gridSpan w:val="2"/>
          </w:tcPr>
          <w:p>
            <w:pPr>
              <w:ind w:left="5120"/>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-3799205</wp:posOffset>
            </wp:positionV>
            <wp:extent cx="12700" cy="285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-3799205</wp:posOffset>
            </wp:positionV>
            <wp:extent cx="12700" cy="285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-3079115</wp:posOffset>
            </wp:positionV>
            <wp:extent cx="12700" cy="285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-3079115</wp:posOffset>
            </wp:positionV>
            <wp:extent cx="12700" cy="285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-2358390</wp:posOffset>
            </wp:positionV>
            <wp:extent cx="12700" cy="285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-2358390</wp:posOffset>
            </wp:positionV>
            <wp:extent cx="12700" cy="285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-1638300</wp:posOffset>
            </wp:positionV>
            <wp:extent cx="12700" cy="285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-1638300</wp:posOffset>
            </wp:positionV>
            <wp:extent cx="12700" cy="285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-918210</wp:posOffset>
            </wp:positionV>
            <wp:extent cx="12700" cy="285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-918210</wp:posOffset>
            </wp:positionV>
            <wp:extent cx="12700" cy="285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EXHIBIT 10.1</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RagingWire Telecommunications,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Master Services Agreement #1001.0.1</w:t>
      </w:r>
    </w:p>
    <w:p>
      <w:pPr>
        <w:spacing w:after="0" w:line="188" w:lineRule="exact"/>
        <w:rPr>
          <w:sz w:val="20"/>
          <w:szCs w:val="20"/>
          <w:color w:val="auto"/>
        </w:rPr>
      </w:pPr>
    </w:p>
    <w:p>
      <w:pPr>
        <w:ind w:right="80" w:firstLine="246"/>
        <w:spacing w:after="0" w:line="269" w:lineRule="auto"/>
        <w:rPr>
          <w:sz w:val="20"/>
          <w:szCs w:val="20"/>
          <w:color w:val="auto"/>
        </w:rPr>
      </w:pPr>
      <w:r>
        <w:rPr>
          <w:rFonts w:ascii="Arial" w:cs="Arial" w:eastAsia="Arial" w:hAnsi="Arial"/>
          <w:sz w:val="19"/>
          <w:szCs w:val="19"/>
          <w:color w:val="auto"/>
        </w:rPr>
        <w:t>This Master Services Agreement(</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effective as of January 11, 2002,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RagingWire Telecommunications, Inc., a Nevada corporation (</w:t>
      </w:r>
      <w:r>
        <w:rPr>
          <w:rFonts w:ascii="Arial" w:cs="Arial" w:eastAsia="Arial" w:hAnsi="Arial"/>
          <w:sz w:val="19"/>
          <w:szCs w:val="19"/>
          <w:b w:val="1"/>
          <w:bCs w:val="1"/>
          <w:color w:val="auto"/>
        </w:rPr>
        <w:t>"RagingWire"</w:t>
      </w:r>
      <w:r>
        <w:rPr>
          <w:rFonts w:ascii="Arial" w:cs="Arial" w:eastAsia="Arial" w:hAnsi="Arial"/>
          <w:sz w:val="19"/>
          <w:szCs w:val="19"/>
          <w:color w:val="auto"/>
        </w:rPr>
        <w:t>) and Photronics, Inc., a Florida corporation (</w:t>
      </w:r>
      <w:r>
        <w:rPr>
          <w:rFonts w:ascii="Arial" w:cs="Arial" w:eastAsia="Arial" w:hAnsi="Arial"/>
          <w:sz w:val="19"/>
          <w:szCs w:val="19"/>
          <w:b w:val="1"/>
          <w:bCs w:val="1"/>
          <w:color w:val="auto"/>
        </w:rPr>
        <w:t>"Customer"</w:t>
      </w:r>
      <w:r>
        <w:rPr>
          <w:rFonts w:ascii="Arial" w:cs="Arial" w:eastAsia="Arial" w:hAnsi="Arial"/>
          <w:sz w:val="19"/>
          <w:szCs w:val="19"/>
          <w:color w:val="auto"/>
        </w:rPr>
        <w:t>). In consideration of the mutual covenants contained in this Agreement, RagingWire and Customer agree as follows:</w:t>
      </w:r>
    </w:p>
    <w:p>
      <w:pPr>
        <w:spacing w:after="0" w:line="138" w:lineRule="exact"/>
        <w:rPr>
          <w:sz w:val="20"/>
          <w:szCs w:val="20"/>
          <w:color w:val="auto"/>
        </w:rPr>
      </w:pPr>
    </w:p>
    <w:p>
      <w:pPr>
        <w:ind w:left="400" w:hanging="400"/>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AGREEMENT</w:t>
      </w:r>
    </w:p>
    <w:p>
      <w:pPr>
        <w:spacing w:after="0" w:line="200" w:lineRule="exact"/>
        <w:rPr>
          <w:sz w:val="20"/>
          <w:szCs w:val="20"/>
          <w:color w:val="auto"/>
        </w:rPr>
      </w:pPr>
    </w:p>
    <w:p>
      <w:pPr>
        <w:ind w:firstLine="246"/>
        <w:spacing w:after="0" w:line="239" w:lineRule="auto"/>
        <w:rPr>
          <w:sz w:val="20"/>
          <w:szCs w:val="20"/>
          <w:color w:val="auto"/>
        </w:rPr>
      </w:pPr>
      <w:r>
        <w:rPr>
          <w:rFonts w:ascii="Arial" w:cs="Arial" w:eastAsia="Arial" w:hAnsi="Arial"/>
          <w:sz w:val="20"/>
          <w:szCs w:val="20"/>
          <w:color w:val="auto"/>
        </w:rPr>
        <w:t>This Agreement sets forth the terms and conditions by which RagingWire will provide to Customer, and Customer shall accept and pay for, certain Services. Each such Service will be specifically identified and described in a Service Level Agreement (</w:t>
      </w:r>
      <w:r>
        <w:rPr>
          <w:rFonts w:ascii="Arial" w:cs="Arial" w:eastAsia="Arial" w:hAnsi="Arial"/>
          <w:sz w:val="20"/>
          <w:szCs w:val="20"/>
          <w:b w:val="1"/>
          <w:bCs w:val="1"/>
          <w:color w:val="auto"/>
        </w:rPr>
        <w:t>"SLA"</w:t>
      </w:r>
      <w:r>
        <w:rPr>
          <w:rFonts w:ascii="Arial" w:cs="Arial" w:eastAsia="Arial" w:hAnsi="Arial"/>
          <w:sz w:val="20"/>
          <w:szCs w:val="20"/>
          <w:color w:val="auto"/>
        </w:rPr>
        <w:t>) executed by the Parties and delivered by them to each other, which refer to this Agreement. RagingWire contemplates that Customer may contract for additional Services from time to time, and in each such case a new SLA will be executed, specifically identifying and describing such additional Services and referencing this Agreement. Any equipment sales and/or leases shall be covered in a written agreement separate from this Agreement.</w:t>
      </w:r>
    </w:p>
    <w:p>
      <w:pPr>
        <w:spacing w:after="0" w:line="165" w:lineRule="exact"/>
        <w:rPr>
          <w:sz w:val="20"/>
          <w:szCs w:val="20"/>
          <w:color w:val="auto"/>
        </w:rPr>
      </w:pPr>
    </w:p>
    <w:p>
      <w:pPr>
        <w:ind w:left="400" w:hanging="400"/>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following capitalized terms used in this Agreement have the meanings specified in this Section 2.</w:t>
      </w:r>
    </w:p>
    <w:p>
      <w:pPr>
        <w:spacing w:after="0" w:line="188" w:lineRule="exact"/>
        <w:rPr>
          <w:sz w:val="20"/>
          <w:szCs w:val="20"/>
          <w:color w:val="auto"/>
        </w:rPr>
      </w:pPr>
    </w:p>
    <w:p>
      <w:pPr>
        <w:ind w:right="260" w:firstLine="249"/>
        <w:spacing w:after="0" w:line="26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w:t>
      </w:r>
      <w:r>
        <w:rPr>
          <w:rFonts w:ascii="Arial" w:cs="Arial" w:eastAsia="Arial" w:hAnsi="Arial"/>
          <w:sz w:val="20"/>
          <w:szCs w:val="20"/>
          <w:b w:val="1"/>
          <w:bCs w:val="1"/>
          <w:color w:val="auto"/>
        </w:rPr>
        <w:t>"Applicable Rate"</w:t>
      </w:r>
      <w:r>
        <w:rPr>
          <w:rFonts w:ascii="Arial" w:cs="Arial" w:eastAsia="Arial" w:hAnsi="Arial"/>
          <w:sz w:val="20"/>
          <w:szCs w:val="20"/>
          <w:color w:val="auto"/>
        </w:rPr>
        <w:t xml:space="preserve"> means one and one-half percent (1½%) per month, or the highest rate allowed by applicable law, whichever is lower.</w:t>
      </w:r>
    </w:p>
    <w:p>
      <w:pPr>
        <w:spacing w:after="0" w:line="140"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 xml:space="preserve">Confidential Information </w:t>
      </w:r>
      <w:r>
        <w:rPr>
          <w:rFonts w:ascii="Arial" w:cs="Arial" w:eastAsia="Arial" w:hAnsi="Arial"/>
          <w:sz w:val="18"/>
          <w:szCs w:val="18"/>
          <w:b w:val="1"/>
          <w:bCs w:val="1"/>
          <w:color w:val="auto"/>
        </w:rPr>
        <w:t>"Confidential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defined in Section 6.1.1 ("Non-Disclosure").</w:t>
      </w:r>
    </w:p>
    <w:p>
      <w:pPr>
        <w:spacing w:after="0" w:line="194" w:lineRule="exact"/>
        <w:rPr>
          <w:sz w:val="20"/>
          <w:szCs w:val="20"/>
          <w:color w:val="auto"/>
        </w:rPr>
      </w:pPr>
    </w:p>
    <w:p>
      <w:pPr>
        <w:ind w:right="540" w:firstLine="249"/>
        <w:spacing w:after="0" w:line="265"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Customer Area</w:t>
      </w:r>
      <w:r>
        <w:rPr>
          <w:rFonts w:ascii="Arial" w:cs="Arial" w:eastAsia="Arial" w:hAnsi="Arial"/>
          <w:sz w:val="20"/>
          <w:szCs w:val="20"/>
          <w:color w:val="auto"/>
        </w:rPr>
        <w:t xml:space="preserve"> </w:t>
      </w:r>
      <w:r>
        <w:rPr>
          <w:rFonts w:ascii="Arial" w:cs="Arial" w:eastAsia="Arial" w:hAnsi="Arial"/>
          <w:sz w:val="20"/>
          <w:szCs w:val="20"/>
          <w:b w:val="1"/>
          <w:bCs w:val="1"/>
          <w:color w:val="auto"/>
        </w:rPr>
        <w:t>"Customer Area"</w:t>
      </w:r>
      <w:r>
        <w:rPr>
          <w:rFonts w:ascii="Arial" w:cs="Arial" w:eastAsia="Arial" w:hAnsi="Arial"/>
          <w:sz w:val="20"/>
          <w:szCs w:val="20"/>
          <w:color w:val="auto"/>
        </w:rPr>
        <w:t xml:space="preserve"> means the portion(s) of the Data Centers made available to Customer for the placement of Customer Equipment and use of the Services.</w:t>
      </w:r>
    </w:p>
    <w:p>
      <w:pPr>
        <w:spacing w:after="0" w:line="140" w:lineRule="exact"/>
        <w:rPr>
          <w:sz w:val="20"/>
          <w:szCs w:val="20"/>
          <w:color w:val="auto"/>
        </w:rPr>
      </w:pPr>
    </w:p>
    <w:p>
      <w:pPr>
        <w:jc w:val="both"/>
        <w:ind w:right="20" w:firstLine="249"/>
        <w:spacing w:after="0" w:line="261"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Customer Equipment</w:t>
      </w:r>
      <w:r>
        <w:rPr>
          <w:rFonts w:ascii="Arial" w:cs="Arial" w:eastAsia="Arial" w:hAnsi="Arial"/>
          <w:sz w:val="19"/>
          <w:szCs w:val="19"/>
          <w:color w:val="auto"/>
        </w:rPr>
        <w:t xml:space="preserve"> </w:t>
      </w:r>
      <w:r>
        <w:rPr>
          <w:rFonts w:ascii="Arial" w:cs="Arial" w:eastAsia="Arial" w:hAnsi="Arial"/>
          <w:sz w:val="19"/>
          <w:szCs w:val="19"/>
          <w:b w:val="1"/>
          <w:bCs w:val="1"/>
          <w:color w:val="auto"/>
        </w:rPr>
        <w:t>"Customer Equipment"</w:t>
      </w:r>
      <w:r>
        <w:rPr>
          <w:rFonts w:ascii="Arial" w:cs="Arial" w:eastAsia="Arial" w:hAnsi="Arial"/>
          <w:sz w:val="19"/>
          <w:szCs w:val="19"/>
          <w:color w:val="auto"/>
        </w:rPr>
        <w:t xml:space="preserve"> means Customer's computer hardware, not including stored data, and other tangible equipment or other tangible personal property placed by Customer in the Customer Area. If RagingWire is undertaking any managed services with respect to the Customer Equipment such equipment shall be identified on RagingWire's standard Customer Equipment List completed by Customer and accepted by RagingWire, as amended in writing from time to time by the Parties.</w:t>
      </w:r>
    </w:p>
    <w:p>
      <w:pPr>
        <w:spacing w:after="0" w:line="146" w:lineRule="exact"/>
        <w:rPr>
          <w:sz w:val="20"/>
          <w:szCs w:val="20"/>
          <w:color w:val="auto"/>
        </w:rPr>
      </w:pPr>
    </w:p>
    <w:p>
      <w:pPr>
        <w:ind w:right="20" w:firstLine="249"/>
        <w:spacing w:after="0" w:line="241"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Customer Registration Form</w:t>
      </w:r>
      <w:r>
        <w:rPr>
          <w:rFonts w:ascii="Arial" w:cs="Arial" w:eastAsia="Arial" w:hAnsi="Arial"/>
          <w:sz w:val="20"/>
          <w:szCs w:val="20"/>
          <w:color w:val="auto"/>
        </w:rPr>
        <w:t xml:space="preserve"> </w:t>
      </w:r>
      <w:r>
        <w:rPr>
          <w:rFonts w:ascii="Arial" w:cs="Arial" w:eastAsia="Arial" w:hAnsi="Arial"/>
          <w:sz w:val="20"/>
          <w:szCs w:val="20"/>
          <w:b w:val="1"/>
          <w:bCs w:val="1"/>
          <w:color w:val="auto"/>
        </w:rPr>
        <w:t>"Customer Registration Form"</w:t>
      </w:r>
      <w:r>
        <w:rPr>
          <w:rFonts w:ascii="Arial" w:cs="Arial" w:eastAsia="Arial" w:hAnsi="Arial"/>
          <w:sz w:val="20"/>
          <w:szCs w:val="20"/>
          <w:color w:val="auto"/>
        </w:rPr>
        <w:t xml:space="preserve"> means a collective reference to the separate documents that contain the name and contact information (e.g., pager, e-mail and telephone numbers) for each of the Representatives authorized by Customer to enter the Data Centers and Customer Area, as delivered by Customer to RagingWire and amended in writing from time to time by Customer. The documents referred to herein include, without limitation, the </w:t>
      </w:r>
      <w:r>
        <w:rPr>
          <w:rFonts w:ascii="Arial" w:cs="Arial" w:eastAsia="Arial" w:hAnsi="Arial"/>
          <w:sz w:val="20"/>
          <w:szCs w:val="20"/>
          <w:u w:val="single" w:color="auto"/>
          <w:color w:val="auto"/>
        </w:rPr>
        <w:t>Customer Information Form</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Use Administrator Form</w:t>
      </w:r>
      <w:r>
        <w:rPr>
          <w:rFonts w:ascii="Arial" w:cs="Arial" w:eastAsia="Arial" w:hAnsi="Arial"/>
          <w:sz w:val="20"/>
          <w:szCs w:val="20"/>
          <w:color w:val="auto"/>
        </w:rPr>
        <w:t xml:space="preserve">, and the </w:t>
      </w:r>
      <w:r>
        <w:rPr>
          <w:rFonts w:ascii="Arial" w:cs="Arial" w:eastAsia="Arial" w:hAnsi="Arial"/>
          <w:sz w:val="20"/>
          <w:szCs w:val="20"/>
          <w:u w:val="single" w:color="auto"/>
          <w:color w:val="auto"/>
        </w:rPr>
        <w:t>Individual</w:t>
      </w:r>
      <w:r>
        <w:rPr>
          <w:rFonts w:ascii="Arial" w:cs="Arial" w:eastAsia="Arial" w:hAnsi="Arial"/>
          <w:sz w:val="20"/>
          <w:szCs w:val="20"/>
          <w:color w:val="auto"/>
        </w:rPr>
        <w:t xml:space="preserve"> </w:t>
      </w:r>
      <w:r>
        <w:rPr>
          <w:rFonts w:ascii="Arial" w:cs="Arial" w:eastAsia="Arial" w:hAnsi="Arial"/>
          <w:sz w:val="20"/>
          <w:szCs w:val="20"/>
          <w:u w:val="single" w:color="auto"/>
          <w:color w:val="auto"/>
        </w:rPr>
        <w:t>Registration Form</w:t>
      </w:r>
      <w:r>
        <w:rPr>
          <w:rFonts w:ascii="Arial" w:cs="Arial" w:eastAsia="Arial" w:hAnsi="Arial"/>
          <w:sz w:val="20"/>
          <w:szCs w:val="20"/>
          <w:color w:val="auto"/>
        </w:rPr>
        <w:t>.</w:t>
      </w:r>
    </w:p>
    <w:p>
      <w:pPr>
        <w:spacing w:after="0" w:line="166" w:lineRule="exact"/>
        <w:rPr>
          <w:sz w:val="20"/>
          <w:szCs w:val="20"/>
          <w:color w:val="auto"/>
        </w:rPr>
      </w:pPr>
    </w:p>
    <w:p>
      <w:pPr>
        <w:ind w:right="20" w:firstLine="249"/>
        <w:spacing w:after="0"/>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Customer Technology</w:t>
      </w:r>
      <w:r>
        <w:rPr>
          <w:rFonts w:ascii="Arial" w:cs="Arial" w:eastAsia="Arial" w:hAnsi="Arial"/>
          <w:sz w:val="20"/>
          <w:szCs w:val="20"/>
          <w:color w:val="auto"/>
        </w:rPr>
        <w:t xml:space="preserve"> </w:t>
      </w:r>
      <w:r>
        <w:rPr>
          <w:rFonts w:ascii="Arial" w:cs="Arial" w:eastAsia="Arial" w:hAnsi="Arial"/>
          <w:sz w:val="20"/>
          <w:szCs w:val="20"/>
          <w:b w:val="1"/>
          <w:bCs w:val="1"/>
          <w:color w:val="auto"/>
        </w:rPr>
        <w:t>"Customer Technology"</w:t>
      </w:r>
      <w:r>
        <w:rPr>
          <w:rFonts w:ascii="Arial" w:cs="Arial" w:eastAsia="Arial" w:hAnsi="Arial"/>
          <w:sz w:val="20"/>
          <w:szCs w:val="20"/>
          <w:color w:val="auto"/>
        </w:rPr>
        <w:t xml:space="preserve"> means Customer's proprietary technology and processes, including, but not limited to, Customer's Internet operations design, content, software tools, hardware designs, algorithms, software (in source and object forms), user interface designs, architecture, class libraries, objects and documentation (both printed and electronic), know-how, inventions, trade secrets and any related Intellectual Property Rights (whether owned by Customer, controlled by or licensed to Customer by a third party) and also including any derivative works, improvements, enhancements or extensions of the foregoing conceived, invented, reduced to practice, expressed in a tangible medium,</w:t>
      </w:r>
    </w:p>
    <w:p>
      <w:pPr>
        <w:spacing w:after="0" w:line="166"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 xml:space="preserve">Data Center(s </w:t>
      </w:r>
      <w:r>
        <w:rPr>
          <w:rFonts w:ascii="Arial" w:cs="Arial" w:eastAsia="Arial" w:hAnsi="Arial"/>
          <w:sz w:val="18"/>
          <w:szCs w:val="18"/>
          <w:b w:val="1"/>
          <w:bCs w:val="1"/>
          <w:color w:val="auto"/>
        </w:rPr>
        <w:t>"Data Center(s)"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means any of the facilities used by RagingWire to provide the Services to Customer.</w:t>
      </w:r>
    </w:p>
    <w:p>
      <w:pPr>
        <w:spacing w:after="0" w:line="194"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u w:val="single" w:color="auto"/>
          <w:color w:val="auto"/>
        </w:rPr>
        <w:t xml:space="preserve">Initial Term </w:t>
      </w:r>
      <w:r>
        <w:rPr>
          <w:rFonts w:ascii="Arial" w:cs="Arial" w:eastAsia="Arial" w:hAnsi="Arial"/>
          <w:sz w:val="19"/>
          <w:szCs w:val="19"/>
          <w:b w:val="1"/>
          <w:bCs w:val="1"/>
          <w:color w:val="auto"/>
        </w:rPr>
        <w:t>"Initial Term"</w:t>
      </w:r>
      <w:r>
        <w:rPr>
          <w:rFonts w:ascii="Arial" w:cs="Arial" w:eastAsia="Arial" w:hAnsi="Arial"/>
          <w:sz w:val="19"/>
          <w:szCs w:val="19"/>
          <w:u w:val="single" w:color="auto"/>
          <w:color w:val="auto"/>
        </w:rPr>
        <w:t xml:space="preserve"> </w:t>
      </w:r>
      <w:r>
        <w:rPr>
          <w:rFonts w:ascii="Arial" w:cs="Arial" w:eastAsia="Arial" w:hAnsi="Arial"/>
          <w:sz w:val="19"/>
          <w:szCs w:val="19"/>
          <w:color w:val="auto"/>
        </w:rPr>
        <w:t>is defined in Section 4.2 ("Initial Term").</w:t>
      </w:r>
    </w:p>
    <w:p>
      <w:pPr>
        <w:spacing w:after="0" w:line="194" w:lineRule="exact"/>
        <w:rPr>
          <w:sz w:val="20"/>
          <w:szCs w:val="20"/>
          <w:color w:val="auto"/>
        </w:rPr>
      </w:pPr>
    </w:p>
    <w:p>
      <w:pPr>
        <w:ind w:right="60" w:firstLine="249"/>
        <w:spacing w:after="0" w:line="268"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xml:space="preserve">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xml:space="preserve"> mean any and all (by whatever name or term known or designated) tangible and intangible and now known or hereafter existing throughout the universe (a) rights associated with works of authorship, including but not limited to copyrights, moral rights, and mask-works; (b) trademark and trade name rights and similar rights; (c) trade secret rights;</w:t>
      </w:r>
    </w:p>
    <w:p>
      <w:pPr>
        <w:spacing w:after="0" w:line="2" w:lineRule="exact"/>
        <w:rPr>
          <w:sz w:val="20"/>
          <w:szCs w:val="20"/>
          <w:color w:val="auto"/>
        </w:rPr>
      </w:pPr>
    </w:p>
    <w:p>
      <w:pPr>
        <w:ind w:right="40"/>
        <w:spacing w:after="0" w:line="227" w:lineRule="exact"/>
        <w:tabs>
          <w:tab w:leader="none" w:pos="282" w:val="left"/>
        </w:tabs>
        <w:numPr>
          <w:ilvl w:val="0"/>
          <w:numId w:val="15"/>
        </w:numPr>
        <w:rPr>
          <w:rFonts w:ascii="Arial" w:cs="Arial" w:eastAsia="Arial" w:hAnsi="Arial"/>
          <w:sz w:val="20"/>
          <w:szCs w:val="20"/>
          <w:color w:val="auto"/>
        </w:rPr>
      </w:pPr>
      <w:r>
        <w:rPr>
          <w:rFonts w:ascii="Arial" w:cs="Arial" w:eastAsia="Arial" w:hAnsi="Arial"/>
          <w:sz w:val="20"/>
          <w:szCs w:val="20"/>
          <w:color w:val="auto"/>
        </w:rPr>
        <w:t>patents, design rights, and other industrial property rights; (e) all other intellectual and industrial property rights of every kind and nature and however designated (including logos, "rental" rights and rights to remuneration), whether arising by operation of law, contract, license, or otherwise; (f) all registrations and applications (whether for patent, copyright or similar right), including all continuations, continuations-in-part, and divisionals thereof; (g) all renewals, extensions, reissues, and re</w:t>
      </w:r>
      <w:r>
        <w:rPr>
          <w:rFonts w:ascii="MS PGothic" w:cs="MS PGothic" w:eastAsia="MS PGothic" w:hAnsi="MS PGothic"/>
          <w:sz w:val="20"/>
          <w:szCs w:val="20"/>
          <w:color w:val="auto"/>
        </w:rPr>
        <w:t>‑</w:t>
      </w:r>
      <w:r>
        <w:rPr>
          <w:rFonts w:ascii="Arial" w:cs="Arial" w:eastAsia="Arial" w:hAnsi="Arial"/>
          <w:sz w:val="20"/>
          <w:szCs w:val="20"/>
          <w:color w:val="auto"/>
        </w:rPr>
        <w:t>examinations of such patents now or hereafter in force; and (h) all rights in any of the foregoing.</w:t>
      </w:r>
    </w:p>
    <w:p>
      <w:pPr>
        <w:spacing w:after="0" w:line="168" w:lineRule="exact"/>
        <w:rPr>
          <w:sz w:val="20"/>
          <w:szCs w:val="20"/>
          <w:color w:val="auto"/>
        </w:rPr>
      </w:pPr>
    </w:p>
    <w:p>
      <w:pPr>
        <w:ind w:right="340" w:firstLine="249"/>
        <w:spacing w:after="0" w:line="291"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Notice of Service Commencement</w:t>
      </w:r>
      <w:r>
        <w:rPr>
          <w:rFonts w:ascii="Arial" w:cs="Arial" w:eastAsia="Arial" w:hAnsi="Arial"/>
          <w:sz w:val="19"/>
          <w:szCs w:val="19"/>
          <w:color w:val="auto"/>
        </w:rPr>
        <w:t xml:space="preserve"> </w:t>
      </w:r>
      <w:r>
        <w:rPr>
          <w:rFonts w:ascii="Arial" w:cs="Arial" w:eastAsia="Arial" w:hAnsi="Arial"/>
          <w:sz w:val="19"/>
          <w:szCs w:val="19"/>
          <w:b w:val="1"/>
          <w:bCs w:val="1"/>
          <w:color w:val="auto"/>
        </w:rPr>
        <w:t>"Notice of Service Commencement"</w:t>
      </w:r>
      <w:r>
        <w:rPr>
          <w:rFonts w:ascii="Arial" w:cs="Arial" w:eastAsia="Arial" w:hAnsi="Arial"/>
          <w:sz w:val="19"/>
          <w:szCs w:val="19"/>
          <w:color w:val="auto"/>
        </w:rPr>
        <w:t xml:space="preserve"> means the written notice provided by RagingWire to Customer which sets forth each Service to be provided pursuant to a SLA and the date such Service commenced.</w:t>
      </w:r>
    </w:p>
    <w:p>
      <w:pPr>
        <w:spacing w:after="0" w:line="118" w:lineRule="exact"/>
        <w:rPr>
          <w:sz w:val="20"/>
          <w:szCs w:val="20"/>
          <w:color w:val="auto"/>
        </w:rPr>
      </w:pPr>
    </w:p>
    <w:p>
      <w:pPr>
        <w:ind w:right="180" w:firstLine="249"/>
        <w:spacing w:after="0" w:line="265"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Parties or Party</w:t>
      </w:r>
      <w:r>
        <w:rPr>
          <w:rFonts w:ascii="Arial" w:cs="Arial" w:eastAsia="Arial" w:hAnsi="Arial"/>
          <w:sz w:val="20"/>
          <w:szCs w:val="20"/>
          <w:color w:val="auto"/>
        </w:rPr>
        <w:t xml:space="preserve"> </w:t>
      </w:r>
      <w:r>
        <w:rPr>
          <w:rFonts w:ascii="Arial" w:cs="Arial" w:eastAsia="Arial" w:hAnsi="Arial"/>
          <w:sz w:val="20"/>
          <w:szCs w:val="20"/>
          <w:b w:val="1"/>
          <w:bCs w:val="1"/>
          <w:color w:val="auto"/>
        </w:rPr>
        <w:t>"Parties"</w:t>
      </w:r>
      <w:r>
        <w:rPr>
          <w:rFonts w:ascii="Arial" w:cs="Arial" w:eastAsia="Arial" w:hAnsi="Arial"/>
          <w:sz w:val="20"/>
          <w:szCs w:val="20"/>
          <w:color w:val="auto"/>
        </w:rPr>
        <w:t xml:space="preserve"> means RagingWire and Customer collectively; </w:t>
      </w:r>
      <w:r>
        <w:rPr>
          <w:rFonts w:ascii="Arial" w:cs="Arial" w:eastAsia="Arial" w:hAnsi="Arial"/>
          <w:sz w:val="20"/>
          <w:szCs w:val="20"/>
          <w:b w:val="1"/>
          <w:bCs w:val="1"/>
          <w:color w:val="auto"/>
        </w:rPr>
        <w:t>"Party"</w:t>
      </w:r>
      <w:r>
        <w:rPr>
          <w:rFonts w:ascii="Arial" w:cs="Arial" w:eastAsia="Arial" w:hAnsi="Arial"/>
          <w:sz w:val="20"/>
          <w:szCs w:val="20"/>
          <w:color w:val="auto"/>
        </w:rPr>
        <w:t xml:space="preserve"> means either RagingWire or Customer, as the case may be, individually.</w:t>
      </w:r>
    </w:p>
    <w:p>
      <w:pPr>
        <w:spacing w:after="0" w:line="140" w:lineRule="exact"/>
        <w:rPr>
          <w:sz w:val="20"/>
          <w:szCs w:val="20"/>
          <w:color w:val="auto"/>
        </w:rPr>
      </w:pPr>
    </w:p>
    <w:p>
      <w:pPr>
        <w:ind w:right="20" w:firstLine="249"/>
        <w:spacing w:after="0" w:line="249"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Professional Service(s)</w:t>
      </w:r>
      <w:r>
        <w:rPr>
          <w:rFonts w:ascii="Arial" w:cs="Arial" w:eastAsia="Arial" w:hAnsi="Arial"/>
          <w:sz w:val="20"/>
          <w:szCs w:val="20"/>
          <w:color w:val="auto"/>
        </w:rPr>
        <w:t xml:space="preserve"> </w:t>
      </w:r>
      <w:r>
        <w:rPr>
          <w:rFonts w:ascii="Arial" w:cs="Arial" w:eastAsia="Arial" w:hAnsi="Arial"/>
          <w:sz w:val="20"/>
          <w:szCs w:val="20"/>
          <w:b w:val="1"/>
          <w:bCs w:val="1"/>
          <w:color w:val="auto"/>
        </w:rPr>
        <w:t>"Professional Service(s)"</w:t>
      </w:r>
      <w:r>
        <w:rPr>
          <w:rFonts w:ascii="Arial" w:cs="Arial" w:eastAsia="Arial" w:hAnsi="Arial"/>
          <w:sz w:val="20"/>
          <w:szCs w:val="20"/>
          <w:color w:val="auto"/>
        </w:rPr>
        <w:t xml:space="preserve"> means any professional or consulting services provided by RagingWire to Customer, including without limitation any project based or one-time services. Any provision of Professional Services shall be governed by a written Professional Services Agreement separate from this Agreement.</w:t>
      </w:r>
    </w:p>
    <w:p>
      <w:pPr>
        <w:spacing w:after="0" w:line="157" w:lineRule="exact"/>
        <w:rPr>
          <w:sz w:val="20"/>
          <w:szCs w:val="20"/>
          <w:color w:val="auto"/>
        </w:rPr>
      </w:pPr>
    </w:p>
    <w:p>
      <w:pPr>
        <w:ind w:right="180" w:firstLine="249"/>
        <w:spacing w:after="0" w:line="265"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RagingWire Supplied Equipment</w:t>
      </w:r>
      <w:r>
        <w:rPr>
          <w:rFonts w:ascii="Arial" w:cs="Arial" w:eastAsia="Arial" w:hAnsi="Arial"/>
          <w:sz w:val="20"/>
          <w:szCs w:val="20"/>
          <w:color w:val="auto"/>
        </w:rPr>
        <w:t xml:space="preserve"> </w:t>
      </w:r>
      <w:r>
        <w:rPr>
          <w:rFonts w:ascii="Arial" w:cs="Arial" w:eastAsia="Arial" w:hAnsi="Arial"/>
          <w:sz w:val="20"/>
          <w:szCs w:val="20"/>
          <w:b w:val="1"/>
          <w:bCs w:val="1"/>
          <w:color w:val="auto"/>
        </w:rPr>
        <w:t>"RagingWire Supplied Equipment"</w:t>
      </w:r>
      <w:r>
        <w:rPr>
          <w:rFonts w:ascii="Arial" w:cs="Arial" w:eastAsia="Arial" w:hAnsi="Arial"/>
          <w:sz w:val="20"/>
          <w:szCs w:val="20"/>
          <w:color w:val="auto"/>
        </w:rPr>
        <w:t xml:space="preserve"> means the computer hardware, software, computer code and other tangible equipment to be provided by RagingWire to Customer pursuant to a SLA.</w:t>
      </w:r>
    </w:p>
    <w:p>
      <w:pPr>
        <w:sectPr>
          <w:pgSz w:w="11900" w:h="16838" w:orient="portrait"/>
          <w:cols w:equalWidth="0" w:num="1">
            <w:col w:w="11360"/>
          </w:cols>
          <w:pgMar w:left="240" w:top="114" w:right="299" w:bottom="0" w:gutter="0" w:footer="0" w:header="0"/>
        </w:sectPr>
      </w:pPr>
    </w:p>
    <w:bookmarkStart w:id="60" w:name="page61"/>
    <w:bookmarkEnd w:id="60"/>
    <w:p>
      <w:pPr>
        <w:ind w:firstLine="249"/>
        <w:spacing w:after="0" w:line="255"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RagingWire Technology</w:t>
      </w:r>
      <w:r>
        <w:rPr>
          <w:rFonts w:ascii="Arial" w:cs="Arial" w:eastAsia="Arial" w:hAnsi="Arial"/>
          <w:sz w:val="19"/>
          <w:szCs w:val="19"/>
          <w:color w:val="auto"/>
        </w:rPr>
        <w:t xml:space="preserve"> </w:t>
      </w:r>
      <w:r>
        <w:rPr>
          <w:rFonts w:ascii="Arial" w:cs="Arial" w:eastAsia="Arial" w:hAnsi="Arial"/>
          <w:sz w:val="19"/>
          <w:szCs w:val="19"/>
          <w:b w:val="1"/>
          <w:bCs w:val="1"/>
          <w:color w:val="auto"/>
        </w:rPr>
        <w:t>"RagingWire Technology"</w:t>
      </w:r>
      <w:r>
        <w:rPr>
          <w:rFonts w:ascii="Arial" w:cs="Arial" w:eastAsia="Arial" w:hAnsi="Arial"/>
          <w:sz w:val="19"/>
          <w:szCs w:val="19"/>
          <w:color w:val="auto"/>
        </w:rPr>
        <w:t xml:space="preserve"> means RagingWire's proprietary technology and processes, including, without limitation, the Services, software tools, hardware designs, algorithms, software (in source and object forms), user interface designs, architecture, class libraries, objects and documentation (both printed and electronic), network designs, know-how, inventions, trade secrets and any related Intellectual Property Rights (whether owned by RagingWire or licensed to RagingWire from a third party) and also including any derivative works, improvements, enhancements or extensions of the foregoing conceived, invented, reduced to practice, expressed in a tangible medium or developed by RagingWire (independently during the Term.</w:t>
      </w:r>
    </w:p>
    <w:p>
      <w:pPr>
        <w:spacing w:after="0" w:line="153"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 xml:space="preserve">Renewal Term </w:t>
      </w:r>
      <w:r>
        <w:rPr>
          <w:rFonts w:ascii="Arial" w:cs="Arial" w:eastAsia="Arial" w:hAnsi="Arial"/>
          <w:sz w:val="18"/>
          <w:szCs w:val="18"/>
          <w:b w:val="1"/>
          <w:bCs w:val="1"/>
          <w:color w:val="auto"/>
        </w:rPr>
        <w:t>"Renewal Term"</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defined in Section 4.3 ("Renewal Term").</w:t>
      </w:r>
    </w:p>
    <w:p>
      <w:pPr>
        <w:spacing w:after="0" w:line="194" w:lineRule="exact"/>
        <w:rPr>
          <w:sz w:val="20"/>
          <w:szCs w:val="20"/>
          <w:color w:val="auto"/>
        </w:rPr>
      </w:pPr>
    </w:p>
    <w:p>
      <w:pPr>
        <w:ind w:right="80" w:firstLine="249"/>
        <w:spacing w:after="0" w:line="244"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0"/>
          <w:szCs w:val="20"/>
          <w:u w:val="single" w:color="auto"/>
          <w:color w:val="auto"/>
        </w:rPr>
        <w:t>Representative(s</w:t>
      </w:r>
      <w:r>
        <w:rPr>
          <w:rFonts w:ascii="Arial" w:cs="Arial" w:eastAsia="Arial" w:hAnsi="Arial"/>
          <w:sz w:val="20"/>
          <w:szCs w:val="20"/>
          <w:color w:val="auto"/>
        </w:rPr>
        <w:t xml:space="preserve"> </w:t>
      </w:r>
      <w:r>
        <w:rPr>
          <w:rFonts w:ascii="Arial" w:cs="Arial" w:eastAsia="Arial" w:hAnsi="Arial"/>
          <w:sz w:val="20"/>
          <w:szCs w:val="20"/>
          <w:b w:val="1"/>
          <w:bCs w:val="1"/>
          <w:color w:val="auto"/>
        </w:rPr>
        <w:t>"Representative(s)"</w:t>
      </w:r>
      <w:r>
        <w:rPr>
          <w:rFonts w:ascii="Arial" w:cs="Arial" w:eastAsia="Arial" w:hAnsi="Arial"/>
          <w:sz w:val="20"/>
          <w:szCs w:val="20"/>
          <w:color w:val="auto"/>
        </w:rPr>
        <w:t xml:space="preserve"> means the individuals authorized by Customer in writing to enter the Data Center(s) and the Customer Area including, without limitation, any employees, contractors, or agents of Customer. Each of the Representatives shall be identified in writing on an Individual Registration Form and shall have received a valid password from the Use Administrator to access the Data Center(s).</w:t>
      </w:r>
    </w:p>
    <w:p>
      <w:pPr>
        <w:spacing w:after="0" w:line="162" w:lineRule="exact"/>
        <w:rPr>
          <w:sz w:val="20"/>
          <w:szCs w:val="20"/>
          <w:color w:val="auto"/>
        </w:rPr>
      </w:pPr>
    </w:p>
    <w:p>
      <w:pPr>
        <w:ind w:right="40" w:firstLine="249"/>
        <w:spacing w:after="0" w:line="269"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xml:space="preserve"> </w:t>
      </w:r>
      <w:r>
        <w:rPr>
          <w:rFonts w:ascii="Arial" w:cs="Arial" w:eastAsia="Arial" w:hAnsi="Arial"/>
          <w:sz w:val="19"/>
          <w:szCs w:val="19"/>
          <w:b w:val="1"/>
          <w:bCs w:val="1"/>
          <w:color w:val="auto"/>
        </w:rPr>
        <w:t>"Rules and Regulations"</w:t>
      </w:r>
      <w:r>
        <w:rPr>
          <w:rFonts w:ascii="Arial" w:cs="Arial" w:eastAsia="Arial" w:hAnsi="Arial"/>
          <w:sz w:val="19"/>
          <w:szCs w:val="19"/>
          <w:color w:val="auto"/>
        </w:rPr>
        <w:t xml:space="preserve"> means RagingWire's general rules and regulations, as amended from time to time by RagingWire, governing access to the Data Center(s) and use of the Services by Customer and Customer's Representatives, including, without limitation, online conduct and the obligations of Customer and Customer's Representatives in the Data Center(s).</w:t>
      </w:r>
    </w:p>
    <w:p>
      <w:pPr>
        <w:spacing w:after="0" w:line="138"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8"/>
          <w:szCs w:val="18"/>
          <w:u w:val="single" w:color="auto"/>
          <w:color w:val="auto"/>
        </w:rPr>
        <w:t xml:space="preserve">Section </w:t>
      </w:r>
      <w:r>
        <w:rPr>
          <w:rFonts w:ascii="Arial" w:cs="Arial" w:eastAsia="Arial" w:hAnsi="Arial"/>
          <w:sz w:val="18"/>
          <w:szCs w:val="18"/>
          <w:b w:val="1"/>
          <w:bCs w:val="1"/>
          <w:color w:val="auto"/>
        </w:rPr>
        <w:t>"Section"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means a numbered paragraph section of this Agreement.</w:t>
      </w:r>
    </w:p>
    <w:p>
      <w:pPr>
        <w:spacing w:after="0" w:line="194" w:lineRule="exact"/>
        <w:rPr>
          <w:sz w:val="20"/>
          <w:szCs w:val="20"/>
          <w:color w:val="auto"/>
        </w:rPr>
      </w:pPr>
    </w:p>
    <w:p>
      <w:pPr>
        <w:ind w:right="240" w:firstLine="249"/>
        <w:spacing w:after="0" w:line="265"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0"/>
          <w:szCs w:val="20"/>
          <w:u w:val="single" w:color="auto"/>
          <w:color w:val="auto"/>
        </w:rPr>
        <w:t>Service(s)</w:t>
      </w:r>
      <w:r>
        <w:rPr>
          <w:rFonts w:ascii="Arial" w:cs="Arial" w:eastAsia="Arial" w:hAnsi="Arial"/>
          <w:sz w:val="20"/>
          <w:szCs w:val="20"/>
          <w:color w:val="auto"/>
        </w:rPr>
        <w:t xml:space="preserve"> </w:t>
      </w:r>
      <w:r>
        <w:rPr>
          <w:rFonts w:ascii="Arial" w:cs="Arial" w:eastAsia="Arial" w:hAnsi="Arial"/>
          <w:sz w:val="20"/>
          <w:szCs w:val="20"/>
          <w:b w:val="1"/>
          <w:bCs w:val="1"/>
          <w:color w:val="auto"/>
        </w:rPr>
        <w:t>"Service(s)"</w:t>
      </w:r>
      <w:r>
        <w:rPr>
          <w:rFonts w:ascii="Arial" w:cs="Arial" w:eastAsia="Arial" w:hAnsi="Arial"/>
          <w:sz w:val="20"/>
          <w:szCs w:val="20"/>
          <w:color w:val="auto"/>
        </w:rPr>
        <w:t xml:space="preserve"> means the specific Services provided to Customer by RagingWire as described in each SLA executed by Customer and RagingWire, as amended from time to time; each of which is incorporated herein by reference.</w:t>
      </w:r>
    </w:p>
    <w:p>
      <w:pPr>
        <w:spacing w:after="0" w:line="140" w:lineRule="exact"/>
        <w:rPr>
          <w:sz w:val="20"/>
          <w:szCs w:val="20"/>
          <w:color w:val="auto"/>
        </w:rPr>
      </w:pPr>
    </w:p>
    <w:p>
      <w:pPr>
        <w:ind w:right="820" w:firstLine="249"/>
        <w:spacing w:after="0" w:line="265"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u w:val="single" w:color="auto"/>
          <w:color w:val="auto"/>
        </w:rPr>
        <w:t>Service Commencement Date</w:t>
      </w:r>
      <w:r>
        <w:rPr>
          <w:rFonts w:ascii="Arial" w:cs="Arial" w:eastAsia="Arial" w:hAnsi="Arial"/>
          <w:sz w:val="20"/>
          <w:szCs w:val="20"/>
          <w:color w:val="auto"/>
        </w:rPr>
        <w:t xml:space="preserve"> </w:t>
      </w:r>
      <w:r>
        <w:rPr>
          <w:rFonts w:ascii="Arial" w:cs="Arial" w:eastAsia="Arial" w:hAnsi="Arial"/>
          <w:sz w:val="20"/>
          <w:szCs w:val="20"/>
          <w:b w:val="1"/>
          <w:bCs w:val="1"/>
          <w:color w:val="auto"/>
        </w:rPr>
        <w:t>"Service Commencement Date"</w:t>
      </w:r>
      <w:r>
        <w:rPr>
          <w:rFonts w:ascii="Arial" w:cs="Arial" w:eastAsia="Arial" w:hAnsi="Arial"/>
          <w:sz w:val="20"/>
          <w:szCs w:val="20"/>
          <w:color w:val="auto"/>
        </w:rPr>
        <w:t xml:space="preserve"> means the date RagingWire begins providing Services to Customer, as indicated in a Notice of Service Commencement delivered by RagingWire to Customer.</w:t>
      </w:r>
    </w:p>
    <w:p>
      <w:pPr>
        <w:spacing w:after="0" w:line="140"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u w:val="single" w:color="auto"/>
          <w:color w:val="auto"/>
        </w:rPr>
        <w:t xml:space="preserve">Service Level Goals </w:t>
      </w:r>
      <w:r>
        <w:rPr>
          <w:rFonts w:ascii="Arial" w:cs="Arial" w:eastAsia="Arial" w:hAnsi="Arial"/>
          <w:sz w:val="18"/>
          <w:szCs w:val="18"/>
          <w:b w:val="1"/>
          <w:bCs w:val="1"/>
          <w:color w:val="auto"/>
        </w:rPr>
        <w:t>"Service Level Goals"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defined in Section 7.2 ("Service Level Goals").</w:t>
      </w:r>
    </w:p>
    <w:p>
      <w:pPr>
        <w:spacing w:after="0" w:line="194"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u w:val="single" w:color="auto"/>
          <w:color w:val="auto"/>
        </w:rPr>
        <w:t xml:space="preserve">Service Outage </w:t>
      </w:r>
      <w:r>
        <w:rPr>
          <w:rFonts w:ascii="Arial" w:cs="Arial" w:eastAsia="Arial" w:hAnsi="Arial"/>
          <w:sz w:val="18"/>
          <w:szCs w:val="18"/>
          <w:b w:val="1"/>
          <w:bCs w:val="1"/>
          <w:color w:val="auto"/>
        </w:rPr>
        <w:t>"Service Outage"</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defined in the applicable SLA.</w:t>
      </w:r>
    </w:p>
    <w:p>
      <w:pPr>
        <w:spacing w:after="0" w:line="194" w:lineRule="exact"/>
        <w:rPr>
          <w:sz w:val="20"/>
          <w:szCs w:val="20"/>
          <w:color w:val="auto"/>
        </w:rPr>
      </w:pPr>
    </w:p>
    <w:p>
      <w:pPr>
        <w:ind w:right="40" w:firstLine="249"/>
        <w:spacing w:after="0"/>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u w:val="single" w:color="auto"/>
          <w:color w:val="auto"/>
        </w:rPr>
        <w:t>Service Level Agreement (SLA)</w:t>
      </w:r>
      <w:r>
        <w:rPr>
          <w:rFonts w:ascii="Arial" w:cs="Arial" w:eastAsia="Arial" w:hAnsi="Arial"/>
          <w:sz w:val="20"/>
          <w:szCs w:val="20"/>
          <w:color w:val="auto"/>
        </w:rPr>
        <w:t xml:space="preserve"> </w:t>
      </w:r>
      <w:r>
        <w:rPr>
          <w:rFonts w:ascii="Arial" w:cs="Arial" w:eastAsia="Arial" w:hAnsi="Arial"/>
          <w:sz w:val="20"/>
          <w:szCs w:val="20"/>
          <w:b w:val="1"/>
          <w:bCs w:val="1"/>
          <w:color w:val="auto"/>
        </w:rPr>
        <w:t>"Service Level Agreement"</w:t>
      </w:r>
      <w:r>
        <w:rPr>
          <w:rFonts w:ascii="Arial" w:cs="Arial" w:eastAsia="Arial" w:hAnsi="Arial"/>
          <w:sz w:val="20"/>
          <w:szCs w:val="20"/>
          <w:color w:val="auto"/>
        </w:rPr>
        <w:t xml:space="preserve"> or </w:t>
      </w:r>
      <w:r>
        <w:rPr>
          <w:rFonts w:ascii="Arial" w:cs="Arial" w:eastAsia="Arial" w:hAnsi="Arial"/>
          <w:sz w:val="20"/>
          <w:szCs w:val="20"/>
          <w:b w:val="1"/>
          <w:bCs w:val="1"/>
          <w:color w:val="auto"/>
        </w:rPr>
        <w:t>"SLA"</w:t>
      </w:r>
      <w:r>
        <w:rPr>
          <w:rFonts w:ascii="Arial" w:cs="Arial" w:eastAsia="Arial" w:hAnsi="Arial"/>
          <w:sz w:val="20"/>
          <w:szCs w:val="20"/>
          <w:color w:val="auto"/>
        </w:rPr>
        <w:t xml:space="preserve"> means a separate written Service Level Agreement between Customer and RagingWire that provides a description of each Service to be provided by RagingWire to Customer. A SLA may contain additional information and provisions related to the Services and shall reference this Agreement. All SLA's executed by Customer and RagingWire from time to time are incorporated herein by reference and all Services provided pursuant to all SLA's are subject to the terms and conditions of this Agreement. To the extent any terms herein apply solely to a Service not specified in a SLA, such terms shall not apply to Customer.</w:t>
      </w:r>
    </w:p>
    <w:p>
      <w:pPr>
        <w:spacing w:after="0" w:line="166" w:lineRule="exact"/>
        <w:rPr>
          <w:sz w:val="20"/>
          <w:szCs w:val="20"/>
          <w:color w:val="auto"/>
        </w:rPr>
      </w:pPr>
    </w:p>
    <w:p>
      <w:pPr>
        <w:ind w:right="320" w:firstLine="249"/>
        <w:spacing w:after="0" w:line="265"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0"/>
          <w:szCs w:val="20"/>
          <w:u w:val="single" w:color="auto"/>
          <w:color w:val="auto"/>
        </w:rPr>
        <w:t>Supplemental Emergency Services</w:t>
      </w:r>
      <w:r>
        <w:rPr>
          <w:rFonts w:ascii="Arial" w:cs="Arial" w:eastAsia="Arial" w:hAnsi="Arial"/>
          <w:sz w:val="20"/>
          <w:szCs w:val="20"/>
          <w:color w:val="auto"/>
        </w:rPr>
        <w:t xml:space="preserve"> </w:t>
      </w:r>
      <w:r>
        <w:rPr>
          <w:rFonts w:ascii="Arial" w:cs="Arial" w:eastAsia="Arial" w:hAnsi="Arial"/>
          <w:sz w:val="20"/>
          <w:szCs w:val="20"/>
          <w:b w:val="1"/>
          <w:bCs w:val="1"/>
          <w:color w:val="auto"/>
        </w:rPr>
        <w:t>"Supplemental Emergency Services"</w:t>
      </w:r>
      <w:r>
        <w:rPr>
          <w:rFonts w:ascii="Arial" w:cs="Arial" w:eastAsia="Arial" w:hAnsi="Arial"/>
          <w:sz w:val="20"/>
          <w:szCs w:val="20"/>
          <w:color w:val="auto"/>
        </w:rPr>
        <w:t xml:space="preserve"> is defined in Section 3.2 ("Supplemental Emergency Services").</w:t>
      </w:r>
    </w:p>
    <w:p>
      <w:pPr>
        <w:spacing w:after="0" w:line="140"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u w:val="single" w:color="auto"/>
          <w:color w:val="auto"/>
        </w:rPr>
        <w:t xml:space="preserve">Term </w:t>
      </w:r>
      <w:r>
        <w:rPr>
          <w:rFonts w:ascii="Arial" w:cs="Arial" w:eastAsia="Arial" w:hAnsi="Arial"/>
          <w:sz w:val="18"/>
          <w:szCs w:val="18"/>
          <w:b w:val="1"/>
          <w:bCs w:val="1"/>
          <w:color w:val="auto"/>
        </w:rPr>
        <w:t>"Term"</w:t>
      </w:r>
      <w:r>
        <w:rPr>
          <w:rFonts w:ascii="Arial" w:cs="Arial" w:eastAsia="Arial" w:hAnsi="Arial"/>
          <w:sz w:val="18"/>
          <w:szCs w:val="18"/>
          <w:u w:val="single" w:color="auto"/>
          <w:color w:val="auto"/>
        </w:rPr>
        <w:t xml:space="preserve"> </w:t>
      </w:r>
      <w:r>
        <w:rPr>
          <w:rFonts w:ascii="Arial" w:cs="Arial" w:eastAsia="Arial" w:hAnsi="Arial"/>
          <w:sz w:val="18"/>
          <w:szCs w:val="18"/>
          <w:color w:val="auto"/>
        </w:rPr>
        <w:t>means the Initial Term plus all Renewal Terms as defined in Section 4 ("Term").</w:t>
      </w:r>
    </w:p>
    <w:p>
      <w:pPr>
        <w:spacing w:after="0" w:line="194"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8"/>
          <w:szCs w:val="18"/>
          <w:u w:val="single" w:color="auto"/>
          <w:color w:val="auto"/>
        </w:rPr>
        <w:t xml:space="preserve">Use Administrator </w:t>
      </w:r>
      <w:r>
        <w:rPr>
          <w:rFonts w:ascii="Arial" w:cs="Arial" w:eastAsia="Arial" w:hAnsi="Arial"/>
          <w:sz w:val="18"/>
          <w:szCs w:val="18"/>
          <w:b w:val="1"/>
          <w:bCs w:val="1"/>
          <w:color w:val="auto"/>
        </w:rPr>
        <w:t>"Use Administrator"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defined in Section 8.3.1 ("Use Administrator").</w:t>
      </w:r>
    </w:p>
    <w:p>
      <w:pPr>
        <w:spacing w:after="0" w:line="194" w:lineRule="exact"/>
        <w:rPr>
          <w:sz w:val="20"/>
          <w:szCs w:val="20"/>
          <w:color w:val="auto"/>
        </w:rPr>
      </w:pPr>
    </w:p>
    <w:p>
      <w:pPr>
        <w:ind w:left="400" w:hanging="400"/>
        <w:spacing w:after="0"/>
        <w:tabs>
          <w:tab w:leader="none" w:pos="4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DELIVERY OF SERVICES</w:t>
      </w:r>
    </w:p>
    <w:p>
      <w:pPr>
        <w:spacing w:after="0" w:line="200" w:lineRule="exact"/>
        <w:rPr>
          <w:sz w:val="20"/>
          <w:szCs w:val="20"/>
          <w:color w:val="auto"/>
        </w:rPr>
      </w:pPr>
    </w:p>
    <w:p>
      <w:pPr>
        <w:ind w:right="260" w:firstLine="249"/>
        <w:spacing w:after="0" w:line="28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Services</w:t>
      </w:r>
      <w:r>
        <w:rPr>
          <w:rFonts w:ascii="Arial" w:cs="Arial" w:eastAsia="Arial" w:hAnsi="Arial"/>
          <w:sz w:val="18"/>
          <w:szCs w:val="18"/>
          <w:color w:val="auto"/>
        </w:rPr>
        <w:t>. By executing this Agreement, RagingWire agrees to provide, and Customer agrees to accept and pay for, the Services described in each SLA during the Term. Except as provided in a separate SLA, all Services shall be deemed delivered, and the Parties' respective obligations under this Agreement shall be deemed performed, in Sacramento County, California.</w:t>
      </w:r>
    </w:p>
    <w:p>
      <w:pPr>
        <w:spacing w:after="0" w:line="130" w:lineRule="exact"/>
        <w:rPr>
          <w:sz w:val="20"/>
          <w:szCs w:val="20"/>
          <w:color w:val="auto"/>
        </w:rPr>
      </w:pPr>
    </w:p>
    <w:p>
      <w:pPr>
        <w:ind w:right="20" w:firstLine="249"/>
        <w:spacing w:after="0" w:line="24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Supplemental Emergency Services</w:t>
      </w:r>
      <w:r>
        <w:rPr>
          <w:rFonts w:ascii="Arial" w:cs="Arial" w:eastAsia="Arial" w:hAnsi="Arial"/>
          <w:sz w:val="19"/>
          <w:szCs w:val="19"/>
          <w:color w:val="auto"/>
        </w:rPr>
        <w:t>. Customer may request that RagingWire provide to Customer certain limited Services and/or equipment on a "one-time" or emergency basis (</w:t>
      </w:r>
      <w:r>
        <w:rPr>
          <w:rFonts w:ascii="Arial" w:cs="Arial" w:eastAsia="Arial" w:hAnsi="Arial"/>
          <w:sz w:val="19"/>
          <w:szCs w:val="19"/>
          <w:b w:val="1"/>
          <w:bCs w:val="1"/>
          <w:color w:val="auto"/>
        </w:rPr>
        <w:t>"Supplemental Emergency Services"</w:t>
      </w:r>
      <w:r>
        <w:rPr>
          <w:rFonts w:ascii="Arial" w:cs="Arial" w:eastAsia="Arial" w:hAnsi="Arial"/>
          <w:sz w:val="19"/>
          <w:szCs w:val="19"/>
          <w:color w:val="auto"/>
        </w:rPr>
        <w:t xml:space="preserve">) where such Services are not included within the scope of the Services described in the SLA's. Supplemental Emergency Services may include, for example, replacing a faulty Customer server with a RagingWire server for a temporary period of time. RagingWire will charge a reasonable fee for Supplemental Emergency Services, and Customer agrees to pay the fees for such Supplemental Emergency Services. Charges for such Supplemental Emergency Services shall be billed separately. RagingWire labor for Supplemental Emergency Services will be billed at the rates listed in Exhibit A, Basic Managed Services. RagingWire has no obligation to provide or to continue to provide any Supplemental Emergency Services. If, however, RagingWire agrees to provide any Supplemental Emergency Services upon request by Customer, such Services shall be provided subject to the availability of resources and personnel. ALL SUPPLEMENTAL EMERGENCY SERVICES PROVIDED PURSUANT TO THIS SECTION 3.2 ARE PROVIDED ON AN "AS-IS" BASIS AND EXCLUDE WARRANTIES OF ANY KIND, WHETHER EXPRESS OR IMPLIED, INCLUDING, WITHOUT </w:t>
      </w:r>
      <w:r>
        <w:rPr>
          <w:rFonts w:ascii="Arial" w:cs="Arial" w:eastAsia="Arial" w:hAnsi="Arial"/>
          <w:sz w:val="19"/>
          <w:szCs w:val="19"/>
          <w:b w:val="1"/>
          <w:bCs w:val="1"/>
          <w:color w:val="auto"/>
        </w:rPr>
        <w:t>LIMITATION, THE IMPLIED WARRANTIES OF MERCHANTBILITY, FITNESS FOR A</w:t>
      </w:r>
      <w:r>
        <w:rPr>
          <w:rFonts w:ascii="Arial" w:cs="Arial" w:eastAsia="Arial" w:hAnsi="Arial"/>
          <w:sz w:val="19"/>
          <w:szCs w:val="19"/>
          <w:color w:val="auto"/>
        </w:rPr>
        <w:t xml:space="preserve"> </w:t>
      </w:r>
      <w:r>
        <w:rPr>
          <w:rFonts w:ascii="Arial" w:cs="Arial" w:eastAsia="Arial" w:hAnsi="Arial"/>
          <w:sz w:val="19"/>
          <w:szCs w:val="19"/>
          <w:b w:val="1"/>
          <w:bCs w:val="1"/>
          <w:color w:val="auto"/>
        </w:rPr>
        <w:t>PARTICULAR PURPOSE, OR NON-INFRINGEMENT.</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tab/>
        <w:t>TERM</w:t>
      </w:r>
    </w:p>
    <w:p>
      <w:pPr>
        <w:spacing w:after="0" w:line="200" w:lineRule="exact"/>
        <w:rPr>
          <w:sz w:val="20"/>
          <w:szCs w:val="20"/>
          <w:color w:val="auto"/>
        </w:rPr>
      </w:pPr>
    </w:p>
    <w:p>
      <w:pPr>
        <w:ind w:right="80" w:firstLine="249"/>
        <w:spacing w:after="0" w:line="258"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Term Commencement</w:t>
      </w:r>
      <w:r>
        <w:rPr>
          <w:rFonts w:ascii="Arial" w:cs="Arial" w:eastAsia="Arial" w:hAnsi="Arial"/>
          <w:sz w:val="20"/>
          <w:szCs w:val="20"/>
          <w:color w:val="auto"/>
        </w:rPr>
        <w:t>. The term for provision of and payment for each Service will commence on the Service Commencement Date indicated in the Notice of Service Commencement.</w:t>
      </w:r>
    </w:p>
    <w:p>
      <w:pPr>
        <w:spacing w:after="0" w:line="154" w:lineRule="exact"/>
        <w:rPr>
          <w:sz w:val="20"/>
          <w:szCs w:val="20"/>
          <w:color w:val="auto"/>
        </w:rPr>
      </w:pPr>
    </w:p>
    <w:p>
      <w:pPr>
        <w:ind w:right="20" w:firstLine="249"/>
        <w:spacing w:after="0" w:line="27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Initial Term</w:t>
      </w:r>
      <w:r>
        <w:rPr>
          <w:rFonts w:ascii="Arial" w:cs="Arial" w:eastAsia="Arial" w:hAnsi="Arial"/>
          <w:sz w:val="18"/>
          <w:szCs w:val="18"/>
          <w:color w:val="auto"/>
        </w:rPr>
        <w:t>. RagingWire will provide each Service to Customer for an initial term commencing on the Service Commencement Date and ending on the date specified in the SLA (</w:t>
      </w:r>
      <w:r>
        <w:rPr>
          <w:rFonts w:ascii="Arial" w:cs="Arial" w:eastAsia="Arial" w:hAnsi="Arial"/>
          <w:sz w:val="18"/>
          <w:szCs w:val="18"/>
          <w:b w:val="1"/>
          <w:bCs w:val="1"/>
          <w:color w:val="auto"/>
        </w:rPr>
        <w:t>"Initial Term"</w:t>
      </w:r>
      <w:r>
        <w:rPr>
          <w:rFonts w:ascii="Arial" w:cs="Arial" w:eastAsia="Arial" w:hAnsi="Arial"/>
          <w:sz w:val="18"/>
          <w:szCs w:val="18"/>
          <w:color w:val="auto"/>
        </w:rPr>
        <w:t>); provided however that in no event shall the Initial Term end on any day other than the last day of a calendar month. In the event a SLA, or a notice termination by Customer, specifies that the Initial Term shall terminate on other than the last day of a calendar month then such Initial Term is hereby extended to the end of the calendar month at issue.</w:t>
      </w:r>
    </w:p>
    <w:p>
      <w:pPr>
        <w:spacing w:after="0" w:line="138" w:lineRule="exact"/>
        <w:rPr>
          <w:sz w:val="20"/>
          <w:szCs w:val="20"/>
          <w:color w:val="auto"/>
        </w:rPr>
      </w:pPr>
    </w:p>
    <w:p>
      <w:pPr>
        <w:ind w:right="140" w:firstLine="249"/>
        <w:spacing w:after="0" w:line="31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one of the Parties provides notice in accordance with Section 12 ("Termination"), RagingWire will automatically continue to provide each Service to Customer for additional periods of time equal to one (1) calendar year from the termination</w:t>
      </w:r>
    </w:p>
    <w:p>
      <w:pPr>
        <w:sectPr>
          <w:pgSz w:w="11900" w:h="16838" w:orient="portrait"/>
          <w:cols w:equalWidth="0" w:num="1">
            <w:col w:w="11440"/>
          </w:cols>
          <w:pgMar w:left="240" w:top="114" w:right="219" w:bottom="0" w:gutter="0" w:footer="0" w:header="0"/>
        </w:sectPr>
      </w:pPr>
    </w:p>
    <w:bookmarkStart w:id="61" w:name="page62"/>
    <w:bookmarkEnd w:id="61"/>
    <w:p>
      <w:pPr>
        <w:ind w:right="260"/>
        <w:spacing w:after="0" w:line="315" w:lineRule="auto"/>
        <w:rPr>
          <w:sz w:val="20"/>
          <w:szCs w:val="20"/>
          <w:color w:val="auto"/>
        </w:rPr>
      </w:pPr>
      <w:r>
        <w:rPr>
          <w:rFonts w:ascii="Arial" w:cs="Arial" w:eastAsia="Arial" w:hAnsi="Arial"/>
          <w:sz w:val="18"/>
          <w:szCs w:val="18"/>
          <w:color w:val="auto"/>
        </w:rPr>
        <w:t xml:space="preserve">date of the Initial Term (as such may be adjusted pursuant to Section 4.2 ("Initial Term") or a Renewal Term, as applicable. Each additional period of time for which RagingWire continues to provide Services after the Initial Term is referred to herein as a </w:t>
      </w:r>
      <w:r>
        <w:rPr>
          <w:rFonts w:ascii="Arial" w:cs="Arial" w:eastAsia="Arial" w:hAnsi="Arial"/>
          <w:sz w:val="18"/>
          <w:szCs w:val="18"/>
          <w:b w:val="1"/>
          <w:bCs w:val="1"/>
          <w:color w:val="auto"/>
        </w:rPr>
        <w:t>"Renewal Term</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00" w:lineRule="exact"/>
        <w:rPr>
          <w:sz w:val="20"/>
          <w:szCs w:val="20"/>
          <w:color w:val="auto"/>
        </w:rPr>
      </w:pPr>
    </w:p>
    <w:p>
      <w:pPr>
        <w:ind w:left="400" w:hanging="400"/>
        <w:spacing w:after="0"/>
        <w:tabs>
          <w:tab w:leader="none" w:pos="4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FEES AND PAYMENT TERMS</w:t>
      </w:r>
    </w:p>
    <w:p>
      <w:pPr>
        <w:spacing w:after="0" w:line="200" w:lineRule="exact"/>
        <w:rPr>
          <w:sz w:val="20"/>
          <w:szCs w:val="20"/>
          <w:color w:val="auto"/>
        </w:rPr>
      </w:pPr>
    </w:p>
    <w:p>
      <w:pPr>
        <w:jc w:val="both"/>
        <w:ind w:right="220" w:firstLine="249"/>
        <w:spacing w:after="0" w:line="31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Fees</w:t>
      </w:r>
      <w:r>
        <w:rPr>
          <w:rFonts w:ascii="Arial" w:cs="Arial" w:eastAsia="Arial" w:hAnsi="Arial"/>
          <w:sz w:val="18"/>
          <w:szCs w:val="18"/>
          <w:color w:val="auto"/>
        </w:rPr>
        <w:t>. Customer agrees to pay all fees due without set off or adjustment and in accordance with the prices for each Service listed in each SLA. Except as provided otherwise in a SLA, the price for each Service listed in each SLA shall not be altered during the Initial Term.</w:t>
      </w:r>
    </w:p>
    <w:p>
      <w:pPr>
        <w:spacing w:after="0" w:line="106"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Payment Terms</w:t>
      </w:r>
      <w:r>
        <w:rPr>
          <w:rFonts w:ascii="Arial" w:cs="Arial" w:eastAsia="Arial" w:hAnsi="Arial"/>
          <w:sz w:val="17"/>
          <w:szCs w:val="17"/>
          <w:color w:val="auto"/>
        </w:rPr>
        <w:t>.</w:t>
      </w:r>
    </w:p>
    <w:p>
      <w:pPr>
        <w:spacing w:after="0" w:line="194" w:lineRule="exact"/>
        <w:rPr>
          <w:sz w:val="20"/>
          <w:szCs w:val="20"/>
          <w:color w:val="auto"/>
        </w:rPr>
      </w:pPr>
    </w:p>
    <w:p>
      <w:pPr>
        <w:ind w:right="60" w:firstLine="748"/>
        <w:spacing w:after="0" w:line="251"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u w:val="single" w:color="auto"/>
          <w:color w:val="auto"/>
        </w:rPr>
        <w:t>Security Deposit, Security Interest.</w:t>
      </w:r>
      <w:r>
        <w:rPr>
          <w:rFonts w:ascii="Arial" w:cs="Arial" w:eastAsia="Arial" w:hAnsi="Arial"/>
          <w:sz w:val="19"/>
          <w:szCs w:val="19"/>
          <w:color w:val="auto"/>
        </w:rPr>
        <w:t xml:space="preserve"> Upon execution of each SLA, Customer agrees to pay to RagingWire, as a security deposit, an amount equal to the monthly recurring charges set forth in the SLA. The security deposit shall serve as a security for Customer's faithful performance of its obligations under this Agreement. If Customer defaults under or materially breaches any provision of this Agreement, RagingWire may use, apply or retain all or any portion of said security deposit for the payment of any amount due to RagingWire, or to reimburse or compensate, RagingWire for any liability, expense, loss or damage which RagingWire may incur by reason of such default or material breach. RagingWire shall not be obligated to keep the security deposit separate from its general accounts. No part of the security deposit shall be considered to be held in trust, to bear interest or to be a prepayment for any monies to be paid by Customer to RagingWire. Within thirty (30) days after the successful conclusion of this Agreement and the fulfillment of all of Customer's obligations hereunder, RagingWire shall return the deposit (less any offsets) to Customer.</w:t>
      </w:r>
    </w:p>
    <w:p>
      <w:pPr>
        <w:spacing w:after="0" w:line="162" w:lineRule="exact"/>
        <w:rPr>
          <w:sz w:val="20"/>
          <w:szCs w:val="20"/>
          <w:color w:val="auto"/>
        </w:rPr>
      </w:pPr>
    </w:p>
    <w:p>
      <w:pPr>
        <w:ind w:right="480" w:firstLine="748"/>
        <w:spacing w:after="0" w:line="242" w:lineRule="auto"/>
        <w:rPr>
          <w:sz w:val="20"/>
          <w:szCs w:val="20"/>
          <w:color w:val="auto"/>
        </w:rPr>
      </w:pPr>
      <w:r>
        <w:rPr>
          <w:rFonts w:ascii="Arial" w:cs="Arial" w:eastAsia="Arial" w:hAnsi="Arial"/>
          <w:sz w:val="20"/>
          <w:szCs w:val="20"/>
          <w:color w:val="auto"/>
        </w:rPr>
        <w:t xml:space="preserve">5.2.2 </w:t>
      </w:r>
      <w:r>
        <w:rPr>
          <w:rFonts w:ascii="Arial" w:cs="Arial" w:eastAsia="Arial" w:hAnsi="Arial"/>
          <w:sz w:val="20"/>
          <w:szCs w:val="20"/>
          <w:u w:val="single" w:color="auto"/>
          <w:color w:val="auto"/>
        </w:rPr>
        <w:t>Payment on Service Commencement</w:t>
      </w:r>
      <w:r>
        <w:rPr>
          <w:rFonts w:ascii="Arial" w:cs="Arial" w:eastAsia="Arial" w:hAnsi="Arial"/>
          <w:sz w:val="20"/>
          <w:szCs w:val="20"/>
          <w:color w:val="auto"/>
        </w:rPr>
        <w:t>. On the Service Commencement Date for each Service, RagingWire will invoice Customer, and Customer agrees to pay to RagingWire within thirty (30) days of such invoice, an amount equal to the sum of: (i) all non-recurring charges indicated in such SLA and (ii) the recurring charges for the remainder of the calendar month in which the Service Commencement Date occurs, prorated on the basis of a 30-day month.</w:t>
      </w:r>
    </w:p>
    <w:p>
      <w:pPr>
        <w:spacing w:after="0" w:line="169" w:lineRule="exact"/>
        <w:rPr>
          <w:sz w:val="20"/>
          <w:szCs w:val="20"/>
          <w:color w:val="auto"/>
        </w:rPr>
      </w:pPr>
    </w:p>
    <w:p>
      <w:pPr>
        <w:jc w:val="both"/>
        <w:ind w:right="20" w:firstLine="748"/>
        <w:spacing w:after="0" w:line="266"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Recurring Charges</w:t>
      </w:r>
      <w:r>
        <w:rPr>
          <w:rFonts w:ascii="Arial" w:cs="Arial" w:eastAsia="Arial" w:hAnsi="Arial"/>
          <w:sz w:val="18"/>
          <w:szCs w:val="18"/>
          <w:color w:val="auto"/>
        </w:rPr>
        <w:t>. After the month set forth in Section 5.2.2 ("Payment on Service Commencement") payment for monthly recurring charges for each successive full month will be due and payable on the first day of that month, and RagingWire will send Customer a courtesy invoice approximately two (2) weeks prior to the first day of the month for which such recurring Services are to be provided.</w:t>
      </w:r>
    </w:p>
    <w:p>
      <w:pPr>
        <w:spacing w:after="0" w:line="1"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color w:val="auto"/>
        </w:rPr>
        <w:t>Payment for recurring charges not received by the tenth day of the month shall be considered late and the provisions of Section 5.3 ("Late Payments") shall apply.</w:t>
      </w:r>
    </w:p>
    <w:p>
      <w:pPr>
        <w:spacing w:after="0" w:line="168" w:lineRule="exact"/>
        <w:rPr>
          <w:sz w:val="20"/>
          <w:szCs w:val="20"/>
          <w:color w:val="auto"/>
        </w:rPr>
      </w:pPr>
    </w:p>
    <w:p>
      <w:pPr>
        <w:ind w:right="20" w:firstLine="748"/>
        <w:spacing w:after="0" w:line="287"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Variable and One-Time Charges</w:t>
      </w:r>
      <w:r>
        <w:rPr>
          <w:rFonts w:ascii="Arial" w:cs="Arial" w:eastAsia="Arial" w:hAnsi="Arial"/>
          <w:sz w:val="18"/>
          <w:szCs w:val="18"/>
          <w:color w:val="auto"/>
        </w:rPr>
        <w:t>. Charges for Services not included in the monthly recurring charges (e.g., burstable Internet bandwidth charges) and charges for one-time Services (e.g., Professional Services, installation work, and Supplemental Emergency Services) shall be included in a separate invoice. Payment for such Services shall be due no later than thirty (30) days after the date of such invoice.</w:t>
      </w:r>
    </w:p>
    <w:p>
      <w:pPr>
        <w:spacing w:after="0" w:line="130"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Late Payments</w:t>
      </w:r>
      <w:r>
        <w:rPr>
          <w:rFonts w:ascii="Arial" w:cs="Arial" w:eastAsia="Arial" w:hAnsi="Arial"/>
          <w:sz w:val="18"/>
          <w:szCs w:val="18"/>
          <w:color w:val="auto"/>
        </w:rPr>
        <w:t>. Any delinquent payments shall accrue interest at the Applicable Rate from the date such payments are due.</w:t>
      </w:r>
    </w:p>
    <w:p>
      <w:pPr>
        <w:spacing w:after="0" w:line="194" w:lineRule="exact"/>
        <w:rPr>
          <w:sz w:val="20"/>
          <w:szCs w:val="20"/>
          <w:color w:val="auto"/>
        </w:rPr>
      </w:pPr>
    </w:p>
    <w:p>
      <w:pPr>
        <w:ind w:right="140" w:firstLine="249"/>
        <w:spacing w:after="0" w:line="258"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Payment in U.S. dollars</w:t>
      </w:r>
      <w:r>
        <w:rPr>
          <w:rFonts w:ascii="Arial" w:cs="Arial" w:eastAsia="Arial" w:hAnsi="Arial"/>
          <w:sz w:val="20"/>
          <w:szCs w:val="20"/>
          <w:color w:val="auto"/>
        </w:rPr>
        <w:t>. All payments shall be made to RagingWire in U.S. dollars, preferably by means of an automatic electronic funds transfer system.</w:t>
      </w:r>
    </w:p>
    <w:p>
      <w:pPr>
        <w:spacing w:after="0" w:line="154" w:lineRule="exact"/>
        <w:rPr>
          <w:sz w:val="20"/>
          <w:szCs w:val="20"/>
          <w:color w:val="auto"/>
        </w:rPr>
      </w:pPr>
    </w:p>
    <w:p>
      <w:pPr>
        <w:ind w:right="180" w:firstLine="249"/>
        <w:spacing w:after="0" w:line="242"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Taxes and Other Fees</w:t>
      </w:r>
      <w:r>
        <w:rPr>
          <w:rFonts w:ascii="Arial" w:cs="Arial" w:eastAsia="Arial" w:hAnsi="Arial"/>
          <w:sz w:val="20"/>
          <w:szCs w:val="20"/>
          <w:color w:val="auto"/>
        </w:rPr>
        <w:t>. All fees charged by RagingWire for Services are exclusive of all taxes and similar fees, now in force or enacted in the future, imposed on the transaction and/or the delivery of Services. Customer agrees that it will be responsible for and will pay in full all such taxes and similar fees, except for taxes based on RagingWire's net income. For purposes of this Section 5.5 only, all Services shall be deemed provided at the Data Center where such Services originated.</w:t>
      </w:r>
    </w:p>
    <w:p>
      <w:pPr>
        <w:spacing w:after="0" w:line="163" w:lineRule="exact"/>
        <w:rPr>
          <w:sz w:val="20"/>
          <w:szCs w:val="20"/>
          <w:color w:val="auto"/>
        </w:rPr>
      </w:pPr>
    </w:p>
    <w:p>
      <w:pPr>
        <w:ind w:left="440" w:right="2840" w:hanging="440"/>
        <w:spacing w:after="0" w:line="265" w:lineRule="auto"/>
        <w:tabs>
          <w:tab w:leader="none" w:pos="39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INTELLECTUAL PROPERTY OWNERSHIP; LICENSE GRANTS</w:t>
      </w:r>
    </w:p>
    <w:p>
      <w:pPr>
        <w:spacing w:after="0" w:line="146"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194" w:lineRule="exact"/>
        <w:rPr>
          <w:sz w:val="20"/>
          <w:szCs w:val="20"/>
          <w:color w:val="auto"/>
        </w:rPr>
      </w:pPr>
    </w:p>
    <w:p>
      <w:pPr>
        <w:ind w:right="100" w:firstLine="748"/>
        <w:spacing w:after="0" w:line="266"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Non-Disclosure</w:t>
      </w:r>
      <w:r>
        <w:rPr>
          <w:rFonts w:ascii="Arial" w:cs="Arial" w:eastAsia="Arial" w:hAnsi="Arial"/>
          <w:sz w:val="18"/>
          <w:szCs w:val="18"/>
          <w:color w:val="auto"/>
        </w:rPr>
        <w:t xml:space="preserve">. RagingWire and Customer acknowledge that each will have access to certain proprietary and/or confidential information of the other Party concerning, without limitation, the other Party's business, plans, customers, financials, technology, products, and other information held in confidence by the other Party, whether in oral, written, graphic or electronic form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As used in this Agreement, Confidential Information will include, but not be limited to: (i) all information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or intangible form that is marked or designated as confidential; (ii) RagingWire Technology; (iii) Customer Technology; and (iv) the terms and conditions of this Agreement and any other agreements between the Parties. RagingWire and Customer each agrees, on behalf of itself, its employees and other persons to whom disclosure of Confidential Information is permitted under this Agreement, that (i) it will not use in any way, for its own account or the account of any third party, except as expressly permitted by, or required to achieve the purposes of, this Agreement, nor disclose to any third party, any of the other Party's Confidential Information.</w:t>
      </w:r>
    </w:p>
    <w:p>
      <w:pPr>
        <w:spacing w:after="0" w:line="154" w:lineRule="exact"/>
        <w:rPr>
          <w:sz w:val="20"/>
          <w:szCs w:val="20"/>
          <w:color w:val="auto"/>
        </w:rPr>
      </w:pPr>
    </w:p>
    <w:p>
      <w:pPr>
        <w:ind w:firstLine="748"/>
        <w:spacing w:after="0" w:line="25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Non-Confidential Information</w:t>
      </w:r>
      <w:r>
        <w:rPr>
          <w:rFonts w:ascii="Arial" w:cs="Arial" w:eastAsia="Arial" w:hAnsi="Arial"/>
          <w:sz w:val="19"/>
          <w:szCs w:val="19"/>
          <w:color w:val="auto"/>
        </w:rPr>
        <w:t>. Notwithstanding Section 6.1.1 ("Non-Disclosure"), information will not be deemed Confidential Information under this Agreement if such information: (i) is known to the receiving Party prior to receipt from the disclosing Party, as evidenced by the records of the receiving Party; (ii) becomes known (independently of disclosure by the disclosing Party) to the receiving Party, directly or indirectly, from a source other than one having an obligation of confidentiality to the disclosing Party; (iii) becomes part of the public domain or otherwise ceases to be secret or confidential, except through a breach of this Agreement by the receiving Party; or (iv) is independently developed by the receiving Party without any breach of this Agreement.</w:t>
      </w:r>
    </w:p>
    <w:p>
      <w:pPr>
        <w:spacing w:after="0" w:line="158" w:lineRule="exact"/>
        <w:rPr>
          <w:sz w:val="20"/>
          <w:szCs w:val="20"/>
          <w:color w:val="auto"/>
        </w:rPr>
      </w:pPr>
    </w:p>
    <w:p>
      <w:pPr>
        <w:ind w:firstLine="748"/>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Protection and Preservation</w:t>
      </w:r>
      <w:r>
        <w:rPr>
          <w:rFonts w:ascii="Arial" w:cs="Arial" w:eastAsia="Arial" w:hAnsi="Arial"/>
          <w:sz w:val="18"/>
          <w:szCs w:val="18"/>
          <w:color w:val="auto"/>
        </w:rPr>
        <w:t>. Each Party on behalf of itself, its Representatives, employees, agents, and contractors, agrees that it will receive and hold all Confidential Information in trust and confidence and that it will treat all Confidential Information with the same degree of care as it accords to its own confidential information of like sensitivity, but in no event less than a reasonable level of care. Each Party shall: (i) not sell, license, transfer, publish, disclose, display or otherwise make available the Confidential Information of the other Party;</w:t>
      </w:r>
    </w:p>
    <w:p>
      <w:pPr>
        <w:spacing w:after="0" w:line="3" w:lineRule="exact"/>
        <w:rPr>
          <w:sz w:val="20"/>
          <w:szCs w:val="20"/>
          <w:color w:val="auto"/>
        </w:rPr>
      </w:pPr>
    </w:p>
    <w:p>
      <w:pPr>
        <w:ind w:right="60"/>
        <w:spacing w:after="0" w:line="260" w:lineRule="auto"/>
        <w:tabs>
          <w:tab w:leader="none" w:pos="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reverse assemble or reverse compile in whole or in part any applicable Confidential Information; (iii) acknowledge and take commercially reasonable steps to preserve the other Party's ownership rights in and to such other Party's Confidential Information; (iv) hold in trust and confidence and not use any Confidential Information except as necessary to perform obligations set forth in this Agreement; and</w:t>
      </w:r>
    </w:p>
    <w:p>
      <w:pPr>
        <w:ind w:left="280" w:hanging="280"/>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similarly bind in writing necessary third parties to the confidentiality obligations of this Section 6.1.3. Notwithstanding the foregoing, each</w:t>
      </w:r>
    </w:p>
    <w:p>
      <w:pPr>
        <w:sectPr>
          <w:pgSz w:w="11900" w:h="16838" w:orient="portrait"/>
          <w:cols w:equalWidth="0" w:num="1">
            <w:col w:w="11420"/>
          </w:cols>
          <w:pgMar w:left="240" w:top="120" w:right="239" w:bottom="0" w:gutter="0" w:footer="0" w:header="0"/>
        </w:sectPr>
      </w:pPr>
    </w:p>
    <w:bookmarkStart w:id="62" w:name="page63"/>
    <w:bookmarkEnd w:id="62"/>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Party shall have the right to disclose the other party's Confidential Information to its appropriate officers, directors, employees, auditors and attorneys on a "need to know basis". Further, each Party may disclose the other Party's Confidential Information to the extent necessary to comply with an order of an administrative agency or court of competent jurisdiction, or to enforce a Party's rights under this Agreement. As an express condition to the preceding sentence, the Party being required to disclose the information shall (i) take all reasonable steps to prevent such disclosure and (ii) provide prior written notice thereof to the other Party in sufficient time to enable the other Party to seek a protective order or otherwise contest such disclosure. Each Party agrees that it will ensure that its Representatives, employees, agents and contractors will not make use of, disseminate, or in any way disclose any Confidential Information of the other Party to any person, firm or business, except as necessary to perform obligations set forth in this Agreement and then only under a written confidentiality agreement no less restrictive than this Section 6.1 ("Confidential Information"). The obligations of non-disclosure and non use shall apply to Confidential Information for a period of three (3) years from the date of disclosure.</w:t>
      </w:r>
    </w:p>
    <w:p>
      <w:pPr>
        <w:spacing w:after="0" w:line="149" w:lineRule="exact"/>
        <w:rPr>
          <w:sz w:val="20"/>
          <w:szCs w:val="20"/>
          <w:color w:val="auto"/>
        </w:rPr>
      </w:pPr>
    </w:p>
    <w:p>
      <w:pPr>
        <w:jc w:val="both"/>
        <w:ind w:right="160" w:firstLine="748"/>
        <w:spacing w:after="0" w:line="278"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Method of Disclosure</w:t>
      </w:r>
      <w:r>
        <w:rPr>
          <w:rFonts w:ascii="Arial" w:cs="Arial" w:eastAsia="Arial" w:hAnsi="Arial"/>
          <w:sz w:val="18"/>
          <w:szCs w:val="18"/>
          <w:color w:val="auto"/>
        </w:rPr>
        <w:t>. Information disclosed in written form or electronically transmitted shall be considered Confidential Information only if it contains the legend "Confidential." Information disclosed in other-than-written form shall be Confidential Information only if the disclosing Party states that the disclosure is confidential at the time it is made and sends the recipient of the information a written summary, with an appropriate confidentiality legend, of the information so disclosed within thirty (30) days thereafter.</w:t>
      </w:r>
    </w:p>
    <w:p>
      <w:pPr>
        <w:spacing w:after="0" w:line="138" w:lineRule="exact"/>
        <w:rPr>
          <w:sz w:val="20"/>
          <w:szCs w:val="20"/>
          <w:color w:val="auto"/>
        </w:rPr>
      </w:pPr>
    </w:p>
    <w:p>
      <w:pPr>
        <w:ind w:firstLine="748"/>
        <w:spacing w:after="0" w:line="259"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termination or expiration of this Agreement, or upon written request of the other Party, each Party shall promptly return to the other all documents and other tangible materials representing the other's Confidential Information and all copies thereof, and shall permanently erase or destroy all Confidential Information stored by or for it in electronic, optical, mechanical, or other storage medium, and shall certify, in writing, the completion of the foregoing to the other Party.</w:t>
      </w:r>
    </w:p>
    <w:p>
      <w:pPr>
        <w:spacing w:after="0" w:line="154"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94" w:lineRule="exact"/>
        <w:rPr>
          <w:sz w:val="20"/>
          <w:szCs w:val="20"/>
          <w:color w:val="auto"/>
        </w:rPr>
      </w:pPr>
    </w:p>
    <w:p>
      <w:pPr>
        <w:ind w:right="120" w:firstLine="748"/>
        <w:spacing w:after="0" w:line="239" w:lineRule="auto"/>
        <w:rPr>
          <w:sz w:val="20"/>
          <w:szCs w:val="20"/>
          <w:color w:val="auto"/>
        </w:rPr>
      </w:pPr>
      <w:r>
        <w:rPr>
          <w:rFonts w:ascii="Arial" w:cs="Arial" w:eastAsia="Arial" w:hAnsi="Arial"/>
          <w:sz w:val="20"/>
          <w:szCs w:val="20"/>
          <w:color w:val="auto"/>
        </w:rPr>
        <w:t xml:space="preserve">6.2.1 </w:t>
      </w:r>
      <w:r>
        <w:rPr>
          <w:rFonts w:ascii="Arial" w:cs="Arial" w:eastAsia="Arial" w:hAnsi="Arial"/>
          <w:sz w:val="20"/>
          <w:szCs w:val="20"/>
          <w:u w:val="single" w:color="auto"/>
          <w:color w:val="auto"/>
        </w:rPr>
        <w:t>Ownership</w:t>
      </w:r>
      <w:r>
        <w:rPr>
          <w:rFonts w:ascii="Arial" w:cs="Arial" w:eastAsia="Arial" w:hAnsi="Arial"/>
          <w:sz w:val="20"/>
          <w:szCs w:val="20"/>
          <w:color w:val="auto"/>
        </w:rPr>
        <w:t>. Except for the rights expressly granted pursuant to Section 6.3.1 ("Grant By RagingWire"), (i) this Agreement does not transfer from RagingWire to Customer any RagingWire Technology and (ii) all right, title and interest (including, without limitation, Intellectual Property Rights) in and to the RagingWire Technology will remain solely with RagingWire. Except for the rights expressly granted pursuant to Section 6.3.2 ("Grant By Customer"), (i) this Agreement does not transfer from Customer to RagingWire any Customer Technology and (ii) all right, title and interest (including, without limitation, Intellectual Property Rights) in and to the Customer Technology will remain solely with Customer.</w:t>
      </w:r>
    </w:p>
    <w:p>
      <w:pPr>
        <w:spacing w:after="0" w:line="171" w:lineRule="exact"/>
        <w:rPr>
          <w:sz w:val="20"/>
          <w:szCs w:val="20"/>
          <w:color w:val="auto"/>
        </w:rPr>
      </w:pPr>
    </w:p>
    <w:p>
      <w:pPr>
        <w:ind w:right="20" w:firstLine="748"/>
        <w:spacing w:after="0" w:line="237" w:lineRule="auto"/>
        <w:rPr>
          <w:sz w:val="20"/>
          <w:szCs w:val="20"/>
          <w:color w:val="auto"/>
        </w:rPr>
      </w:pPr>
      <w:r>
        <w:rPr>
          <w:rFonts w:ascii="Arial" w:cs="Arial" w:eastAsia="Arial" w:hAnsi="Arial"/>
          <w:sz w:val="20"/>
          <w:szCs w:val="20"/>
          <w:color w:val="auto"/>
        </w:rPr>
        <w:t xml:space="preserve">6.2.2 </w:t>
      </w:r>
      <w:r>
        <w:rPr>
          <w:rFonts w:ascii="Arial" w:cs="Arial" w:eastAsia="Arial" w:hAnsi="Arial"/>
          <w:sz w:val="20"/>
          <w:szCs w:val="20"/>
          <w:u w:val="single" w:color="auto"/>
          <w:color w:val="auto"/>
        </w:rPr>
        <w:t>General Skills and Knowledge</w:t>
      </w:r>
      <w:r>
        <w:rPr>
          <w:rFonts w:ascii="Arial" w:cs="Arial" w:eastAsia="Arial" w:hAnsi="Arial"/>
          <w:sz w:val="20"/>
          <w:szCs w:val="20"/>
          <w:color w:val="auto"/>
        </w:rPr>
        <w:t>. Notwithstanding anything to the contrary in this Agreement, Customer will not at any time prohibit or enjoin RagingWire from using any concepts, skills, knowledge and techniques relating to information technology that is or are acquired during the course of providing the Services, including, without limitation, skills, knowledge and information publicly known or available, generally applicable in the trade (or art), or that could reasonably be acquired in similar work performed for other customers of RagingWire. For example, and without limitation, if, during the Term, RagingWire and/or Customer working with RagingWire jointly develops a computer program or algorithm that may be generally applicable in the art, RagingWire shall have the right to use and/or modify such computer program or algorithm, at no compensation to Customer, to provide Services to [other customers of RagingWire.] The Joint Development shall be jointly owned by RagingWire and Customer and each shall be afforded such rights as are available under applicable law, including federal copyright law.</w:t>
      </w:r>
    </w:p>
    <w:p>
      <w:pPr>
        <w:spacing w:after="0" w:line="174"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7"/>
          <w:szCs w:val="17"/>
          <w:u w:val="single" w:color="auto"/>
          <w:color w:val="auto"/>
        </w:rPr>
        <w:t>License Grants</w:t>
      </w:r>
      <w:r>
        <w:rPr>
          <w:rFonts w:ascii="Arial" w:cs="Arial" w:eastAsia="Arial" w:hAnsi="Arial"/>
          <w:sz w:val="17"/>
          <w:szCs w:val="17"/>
          <w:color w:val="auto"/>
        </w:rPr>
        <w:t>.</w:t>
      </w:r>
    </w:p>
    <w:p>
      <w:pPr>
        <w:spacing w:after="0" w:line="194" w:lineRule="exact"/>
        <w:rPr>
          <w:sz w:val="20"/>
          <w:szCs w:val="20"/>
          <w:color w:val="auto"/>
        </w:rPr>
      </w:pPr>
    </w:p>
    <w:p>
      <w:pPr>
        <w:ind w:right="360" w:firstLine="748"/>
        <w:spacing w:after="0" w:line="265"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19"/>
          <w:szCs w:val="19"/>
          <w:u w:val="single" w:color="auto"/>
          <w:color w:val="auto"/>
        </w:rPr>
        <w:t>Grant by RagingWire</w:t>
      </w:r>
      <w:r>
        <w:rPr>
          <w:rFonts w:ascii="Arial" w:cs="Arial" w:eastAsia="Arial" w:hAnsi="Arial"/>
          <w:sz w:val="19"/>
          <w:szCs w:val="19"/>
          <w:color w:val="auto"/>
        </w:rPr>
        <w:t>. RagingWire hereby grants to Customer a non-exclusive, non-transferable, royalty-free license, without the right to grant sub licenses during the Term, to use the RagingWire Technology solely for the purpose of receiving the Services. Customer shall have no right to use the RagingWire Technology for any purpose other than receiving the Services.</w:t>
      </w:r>
    </w:p>
    <w:p>
      <w:pPr>
        <w:spacing w:after="0" w:line="149" w:lineRule="exact"/>
        <w:rPr>
          <w:sz w:val="20"/>
          <w:szCs w:val="20"/>
          <w:color w:val="auto"/>
        </w:rPr>
      </w:pPr>
    </w:p>
    <w:p>
      <w:pPr>
        <w:ind w:right="40" w:firstLine="748"/>
        <w:spacing w:after="0" w:line="256" w:lineRule="auto"/>
        <w:rPr>
          <w:sz w:val="20"/>
          <w:szCs w:val="20"/>
          <w:color w:val="auto"/>
        </w:rPr>
      </w:pPr>
      <w:r>
        <w:rPr>
          <w:rFonts w:ascii="Arial" w:cs="Arial" w:eastAsia="Arial" w:hAnsi="Arial"/>
          <w:sz w:val="19"/>
          <w:szCs w:val="19"/>
          <w:color w:val="auto"/>
        </w:rPr>
        <w:t xml:space="preserve">6.3.2 </w:t>
      </w:r>
      <w:r>
        <w:rPr>
          <w:rFonts w:ascii="Arial" w:cs="Arial" w:eastAsia="Arial" w:hAnsi="Arial"/>
          <w:sz w:val="19"/>
          <w:szCs w:val="19"/>
          <w:u w:val="single" w:color="auto"/>
          <w:color w:val="auto"/>
        </w:rPr>
        <w:t>Grant by Customer</w:t>
      </w:r>
      <w:r>
        <w:rPr>
          <w:rFonts w:ascii="Arial" w:cs="Arial" w:eastAsia="Arial" w:hAnsi="Arial"/>
          <w:sz w:val="19"/>
          <w:szCs w:val="19"/>
          <w:color w:val="auto"/>
        </w:rPr>
        <w:t>. Customer agrees that if, in the course of providing the Services, it is reasonably necessary for RagingWire to access Customer Equipment and use Customer Technology, RagingWire is hereby granted and shall have a non-exclusive, non-transferable, royalty-free license, without the right to grant sub licenses during the Term, to use the Customer Technology solely for the purpose of providing the Services to Customer. Subject to Section 6.2.2 ("General Skills and Knowledge"), RagingWire shall have no right to use the Customer Technology for any purpose other than providing the Services.</w:t>
      </w:r>
    </w:p>
    <w:p>
      <w:pPr>
        <w:spacing w:after="0" w:line="156" w:lineRule="exact"/>
        <w:rPr>
          <w:sz w:val="20"/>
          <w:szCs w:val="20"/>
          <w:color w:val="auto"/>
        </w:rPr>
      </w:pPr>
    </w:p>
    <w:p>
      <w:pPr>
        <w:ind w:right="80" w:firstLine="299"/>
        <w:spacing w:after="0" w:line="249"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Restrictions</w:t>
      </w:r>
      <w:r>
        <w:rPr>
          <w:rFonts w:ascii="Arial" w:cs="Arial" w:eastAsia="Arial" w:hAnsi="Arial"/>
          <w:sz w:val="19"/>
          <w:szCs w:val="19"/>
          <w:color w:val="auto"/>
        </w:rPr>
        <w:t>. The RagingWire Technology shall be used by Customer, its Representatives and agents only in a manner consistent with the rights granted in Section 6.3.1 ("Grant By RagingWire"). Customer agrees to use its best efforts to ensure that no portion of the RagingWire Technology is displayed outside the Data Center(s) or distributed in any way to any third party. Customer shall not rent, lease, license, distribute, transfer, reproduce, display, modify, publicly perform or timeshare the RagingWire Technology, or any portion thereof, or use such as a component of or a basis for products or services prepared for sale, license, lease, access or other marketing or distribution. Neither Customer nor any of its Representatives or agents shall prepare any derivative work based on the RagingWire Technology or other materials provided to Customer by RagingWire. Though not authorized to do so, should Customer or any Representative or agent create any derivative works of the RagingWire Technology, Customer, on behalf of itself and its Representative and/or agent, hereby assigns any and all right, title and interest (including, without limitation, Intellectual Property Rights) in such derivative works to RagingWire. Neither Customer nor any of its Representatives or agents shall translate, reverse engineer, decompile or disassemble the RagingWire Technology. Customer shall not allow any third party or unlicensed user or computer system to access or use the RagingWire Technology. Customer agrees not to demonstrate or disclose the results of any testing or bench-marking of the RagingWire Technology, to any third party, without RagingWire's prior written permission.</w:t>
      </w:r>
    </w:p>
    <w:p>
      <w:pPr>
        <w:spacing w:after="0" w:line="169" w:lineRule="exact"/>
        <w:rPr>
          <w:sz w:val="20"/>
          <w:szCs w:val="20"/>
          <w:color w:val="auto"/>
        </w:rPr>
      </w:pPr>
    </w:p>
    <w:p>
      <w:pPr>
        <w:ind w:right="20" w:firstLine="299"/>
        <w:spacing w:after="0" w:line="266" w:lineRule="auto"/>
        <w:rPr>
          <w:sz w:val="20"/>
          <w:szCs w:val="20"/>
          <w:color w:val="auto"/>
        </w:rPr>
      </w:pPr>
      <w:r>
        <w:rPr>
          <w:rFonts w:ascii="Arial" w:cs="Arial" w:eastAsia="Arial" w:hAnsi="Arial"/>
          <w:sz w:val="18"/>
          <w:szCs w:val="18"/>
          <w:color w:val="auto"/>
        </w:rPr>
        <w:t>Customer Technology shall be used by RagingWire, its representatives and agents only in a manner consistent with the rights granted in Section 6.3.2 ("Grant By Customer"). Ragingwire agrees to use its best efforts to ensure that no portion of Customer Technology is displayed outside the Data Center(s) or distributed in any way to any third party. RagingWire shall not rent, lease, license, distribute, transfer, reproduce, display, modify, publicly perform or timeshare the Customer Technology, or any portion thereof, or use such as a component of or a basis for products or services prepared for sale, license, lease, access or other marketing or distribution. Neither RagingWire nor any of its representatives or agents shall prepare any derivative work based on the Customer Technology or other materials provided to RagingWire by Customer. Though not authorized to do so, should RagingWirer or any representative or agent create any derivative works of the Customer Technology, RagingWire, on behalf of itself and its representative and/or agent, hereby assigns any and all right, title and interest (including, without limitation, Intellectual Property Rights) in such derivative works to Customer. Neither RagingWire nor any of its representatives or</w:t>
      </w:r>
    </w:p>
    <w:p>
      <w:pPr>
        <w:sectPr>
          <w:pgSz w:w="11900" w:h="16942" w:orient="portrait"/>
          <w:cols w:equalWidth="0" w:num="1">
            <w:col w:w="11420"/>
          </w:cols>
          <w:pgMar w:left="240" w:top="120" w:right="239" w:bottom="0" w:gutter="0" w:footer="0" w:header="0"/>
        </w:sectPr>
      </w:pPr>
    </w:p>
    <w:bookmarkStart w:id="63" w:name="page64"/>
    <w:bookmarkEnd w:id="63"/>
    <w:p>
      <w:pPr>
        <w:spacing w:after="0" w:line="9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agents shall translate, reverse engineer, decompile or disassemble the Customer Technology. RagingWire shall not allow any third party or unlicensed user or computer system to access or use the Customer Technology. RagingWire agrees not to demonstrate or disclose the results of any testing or bench-marking of the Customer Technology, to any third party, without Customer's prior written permission.</w:t>
      </w:r>
    </w:p>
    <w:p>
      <w:pPr>
        <w:spacing w:after="0" w:line="125" w:lineRule="exact"/>
        <w:rPr>
          <w:sz w:val="20"/>
          <w:szCs w:val="20"/>
          <w:color w:val="auto"/>
        </w:rPr>
      </w:pPr>
    </w:p>
    <w:p>
      <w:pPr>
        <w:ind w:left="400" w:hanging="400"/>
        <w:spacing w:after="0"/>
        <w:tabs>
          <w:tab w:leader="none" w:pos="4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RAGINGWIRE'S WARRANTIES AND SERVICE LEVEL GOALS</w:t>
      </w:r>
    </w:p>
    <w:p>
      <w:pPr>
        <w:spacing w:after="0" w:line="200" w:lineRule="exact"/>
        <w:rPr>
          <w:sz w:val="20"/>
          <w:szCs w:val="20"/>
          <w:color w:val="auto"/>
        </w:rPr>
      </w:pPr>
    </w:p>
    <w:p>
      <w:pPr>
        <w:ind w:right="220" w:firstLine="249"/>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RagingWire Warranties</w:t>
      </w:r>
      <w:r>
        <w:rPr>
          <w:rFonts w:ascii="Arial" w:cs="Arial" w:eastAsia="Arial" w:hAnsi="Arial"/>
          <w:sz w:val="20"/>
          <w:szCs w:val="20"/>
          <w:color w:val="auto"/>
        </w:rPr>
        <w:t>. RagingWire represents and warrants that it has the legal right to enter into this Agreement and perform its obligations hereunder. In the event of a breach of the warranties set forth in this Section 7.1, Customer's sole remedy shall be termination pursuant to Section 12 ("Termination"), except as provided elsewhere in this Agreement.</w:t>
      </w:r>
    </w:p>
    <w:p>
      <w:pPr>
        <w:spacing w:after="0" w:line="159" w:lineRule="exact"/>
        <w:rPr>
          <w:sz w:val="20"/>
          <w:szCs w:val="20"/>
          <w:color w:val="auto"/>
        </w:rPr>
      </w:pPr>
    </w:p>
    <w:p>
      <w:pPr>
        <w:ind w:right="40" w:firstLine="249"/>
        <w:spacing w:after="0" w:line="29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Service Level Goals</w:t>
      </w:r>
      <w:r>
        <w:rPr>
          <w:rFonts w:ascii="Arial" w:cs="Arial" w:eastAsia="Arial" w:hAnsi="Arial"/>
          <w:sz w:val="18"/>
          <w:szCs w:val="18"/>
          <w:color w:val="auto"/>
        </w:rPr>
        <w:t xml:space="preserve">. </w:t>
      </w:r>
      <w:r>
        <w:rPr>
          <w:rFonts w:ascii="Arial" w:cs="Arial" w:eastAsia="Arial" w:hAnsi="Arial"/>
          <w:sz w:val="18"/>
          <w:szCs w:val="18"/>
          <w:b w:val="1"/>
          <w:bCs w:val="1"/>
          <w:color w:val="auto"/>
        </w:rPr>
        <w:t>"Service Level Goals"</w:t>
      </w:r>
      <w:r>
        <w:rPr>
          <w:rFonts w:ascii="Arial" w:cs="Arial" w:eastAsia="Arial" w:hAnsi="Arial"/>
          <w:sz w:val="18"/>
          <w:szCs w:val="18"/>
          <w:color w:val="auto"/>
        </w:rPr>
        <w:t xml:space="preserve"> means the service level goals applicable to the Services provided by RagingWire as set forth in the applicable SLA. If Customer experiences any Service performance issues, such as Service Outages, described in an applicable SLA, as a result of RagingWire's failure to provide the Services, the remedies and credits described in the applicable SLA shall apply.</w:t>
      </w:r>
    </w:p>
    <w:p>
      <w:pPr>
        <w:spacing w:after="0" w:line="128" w:lineRule="exact"/>
        <w:rPr>
          <w:sz w:val="20"/>
          <w:szCs w:val="20"/>
          <w:color w:val="auto"/>
        </w:rPr>
      </w:pPr>
    </w:p>
    <w:p>
      <w:pPr>
        <w:ind w:firstLine="748"/>
        <w:spacing w:after="0" w:line="237"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auto"/>
        </w:rPr>
        <w:t>Liquidated Damages</w:t>
      </w:r>
      <w:r>
        <w:rPr>
          <w:rFonts w:ascii="Arial" w:cs="Arial" w:eastAsia="Arial" w:hAnsi="Arial"/>
          <w:sz w:val="20"/>
          <w:szCs w:val="20"/>
          <w:color w:val="auto"/>
        </w:rPr>
        <w:t>. Except as provided elsewhere in this Agreement to the contrary, the Parties acknowledge and agree that because of the unique nature of the Services contemplated by this Agreement, it is difficult or impossible to determine with precision the specific amount of damages that might be incurred by Customer as a result of a failure of RagingWire to meet the Service Level Goals, or the specific amount that should be the responsibility of RagingWire in such circumstances. It is further understood and agreed by the Parties that Customer shall be damaged by such failure of RagingWire to meet the Service Level Goals, that it would be impracticable or extremely difficult to fix the actual damages resulting therefrom, that any credits that become payable under this Section 7.2 ("Service Level Goals") are in the nature of liquidated damages, and not a penalty, and are fair and reasonable under the circumstances, and such payments represent a reasonable estimate of fair compensation for the losses that may reasonably be anticipated from RagingWire's failure to meet the Service Level Goals.</w:t>
      </w:r>
    </w:p>
    <w:p>
      <w:pPr>
        <w:spacing w:after="0" w:line="174" w:lineRule="exact"/>
        <w:rPr>
          <w:sz w:val="20"/>
          <w:szCs w:val="20"/>
          <w:color w:val="auto"/>
        </w:rPr>
      </w:pPr>
    </w:p>
    <w:p>
      <w:pPr>
        <w:ind w:right="180" w:firstLine="748"/>
        <w:spacing w:after="0" w:line="267"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Sole Remedy and Liability</w:t>
      </w:r>
      <w:r>
        <w:rPr>
          <w:rFonts w:ascii="Arial" w:cs="Arial" w:eastAsia="Arial" w:hAnsi="Arial"/>
          <w:sz w:val="18"/>
          <w:szCs w:val="18"/>
          <w:color w:val="auto"/>
        </w:rPr>
        <w:t>. In recognition of Section 7.2.1 ("Liquidated Damages") and the other provisions hereof, and notwithstanding any other provisions of this Agreement, the Parties acknowledge and agree that, as an essential part of this Agreement, the liquidated damages payable under Section 7.2.1 ("Liquidated Damages") shall be the sole and exclusive measure of damages and remedy for Customer, and the sole and exclusive liability and obligation of RagingWire, arising out of or in any way relating to RagingWire's failure to meet the Service Level Goals or any other failure or default by RagingWire in any way relating to the Services (including any Supplemental Emergency Services) or RagingWire's failure to perform or provide any Services hereunder. The Parties further acknowledge and agree that the pricing and other terms contained in this Agreement reflect and are based upon the intended allocation of risk between the Parties as reflected in this Section 7.2 ("Service Level Goals") and elsewhere in this Agreement, and form an essential part of this Agreement.</w:t>
      </w:r>
    </w:p>
    <w:p>
      <w:pPr>
        <w:spacing w:after="0" w:line="152" w:lineRule="exact"/>
        <w:rPr>
          <w:sz w:val="20"/>
          <w:szCs w:val="20"/>
          <w:color w:val="auto"/>
        </w:rPr>
      </w:pPr>
    </w:p>
    <w:p>
      <w:pPr>
        <w:ind w:firstLine="748"/>
        <w:spacing w:after="0" w:line="287"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Maintenance</w:t>
      </w:r>
      <w:r>
        <w:rPr>
          <w:rFonts w:ascii="Arial" w:cs="Arial" w:eastAsia="Arial" w:hAnsi="Arial"/>
          <w:sz w:val="18"/>
          <w:szCs w:val="18"/>
          <w:color w:val="auto"/>
        </w:rPr>
        <w:t>. RagingWire will conduct scheduled maintenance of the Data Center(s) and Services. In addition, RagingWire may be required to perform emergency maintenance if an urgent, mission-critical, or other serious maintenance situation arises. RagingWire and Customer agree to cooperate to minimize adverse impacts to the other Party during such scheduled and emergency maintenance.</w:t>
      </w:r>
    </w:p>
    <w:p>
      <w:pPr>
        <w:spacing w:after="0" w:line="130" w:lineRule="exact"/>
        <w:rPr>
          <w:sz w:val="20"/>
          <w:szCs w:val="20"/>
          <w:color w:val="auto"/>
        </w:rPr>
      </w:pPr>
    </w:p>
    <w:p>
      <w:pPr>
        <w:ind w:right="40" w:firstLine="748"/>
        <w:spacing w:after="0" w:line="239" w:lineRule="auto"/>
        <w:rPr>
          <w:sz w:val="20"/>
          <w:szCs w:val="20"/>
          <w:color w:val="auto"/>
        </w:rPr>
      </w:pPr>
      <w:r>
        <w:rPr>
          <w:rFonts w:ascii="Arial" w:cs="Arial" w:eastAsia="Arial" w:hAnsi="Arial"/>
          <w:sz w:val="20"/>
          <w:szCs w:val="20"/>
          <w:color w:val="auto"/>
        </w:rPr>
        <w:t xml:space="preserve">7.2.4 </w:t>
      </w:r>
      <w:r>
        <w:rPr>
          <w:rFonts w:ascii="Arial" w:cs="Arial" w:eastAsia="Arial" w:hAnsi="Arial"/>
          <w:sz w:val="20"/>
          <w:szCs w:val="20"/>
          <w:u w:val="single" w:color="auto"/>
          <w:color w:val="auto"/>
        </w:rPr>
        <w:t>Limitations</w:t>
      </w:r>
      <w:r>
        <w:rPr>
          <w:rFonts w:ascii="Arial" w:cs="Arial" w:eastAsia="Arial" w:hAnsi="Arial"/>
          <w:sz w:val="20"/>
          <w:szCs w:val="20"/>
          <w:color w:val="auto"/>
        </w:rPr>
        <w:t>. THE SERVICE LEVEL GOALS SET FORTH IN THIS SECTION 7.2 ("SERVICE LEVEL GOALS") SHALL APPLY ONLY TO THE SERVICES PROVIDED BY RAGINGWIRE PURSUANT TO A SLA AND DO NOT APPLY TO (1) ANY SUPPLEMENTAL EMERGENCY SERVICES, AND (2) ANY SERVICES THAT EXPRESSLY EXCLUDE THE SERVICE LEVEL GOALS (AS STATED IN THE APPLICABLE SLA). Except as stated ELSEWHERE in this Agreement to the contrary, THIS SECTION 7.2 ("SERVICE LEVEL GOALS") STATES CUSTOMER'S SOLE AND EXCLUSIVE REMEDY FOR ANY FAILURE BY RAGINGWIRE TO PROVIDE SERVICES AND/OR THE PROVISION OF DEFECTIVE SERVICES.</w:t>
      </w:r>
    </w:p>
    <w:p>
      <w:pPr>
        <w:spacing w:after="0" w:line="171" w:lineRule="exact"/>
        <w:rPr>
          <w:sz w:val="20"/>
          <w:szCs w:val="20"/>
          <w:color w:val="auto"/>
        </w:rPr>
      </w:pPr>
    </w:p>
    <w:p>
      <w:pPr>
        <w:ind w:right="20" w:firstLine="249"/>
        <w:spacing w:after="0" w:line="24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Selection of RagingWire Supplied Equipment; Manufacturer Warranty</w:t>
      </w:r>
      <w:r>
        <w:rPr>
          <w:rFonts w:ascii="Arial" w:cs="Arial" w:eastAsia="Arial" w:hAnsi="Arial"/>
          <w:sz w:val="19"/>
          <w:szCs w:val="19"/>
          <w:color w:val="auto"/>
        </w:rPr>
        <w:t>. CUSTOMER ACKNOWLEDGES THAT CUSTOMER HAS SELECTED THE RAGINGWIRE SUPPLIED EQUIPMENT BASED UPON ITS OWN REVIEW AND EVALUATION OF SUCH EQUIPMENT AND CUSTOMER HAS NOT IN ANY WAY RELIED UPON ANY RECOMMENDATIONS OR REPRESENTATIONS WHICH MAY HAVE BEEN MADE BY RAGINGWIRE. RAGINGWIRE DISCLAIMS ANY STATEMENTS MADE BY RAGINGWIRE RELATING THERETO. EXCEPT WITH RESPECT TO ANY EXPRESS WRITTEN WARRANTIES MADE IN THIS AGREEMENT BY RAGINGWIRE FOR SERVICES RELATED TO RAGINGWIRE SUPPLIED EQUIPMENT, CUSTOMER ACKNOWLEDGES AND AGREES THAT CUSTOMER'S USE AND POSSESSION OF THE RAGINGWIRE SUPPLIED EQUIPMENT SHALL BE SUBJECT TO AND CONTROLLED BY THE TERMS OF ANY MANUFACTURER'S OR, IF APPROPRIATE, SUPPLIER'S WARRANTY AND INDEMNITY, AND CUSTOMER AGREES TO LOOK SOLELY TO THE MANUFACTURER OR, IF APPROPRIATE, SUPPLIER (AND NOT TO RAGINGWIRE) WITH RESPECT TO ALL MECHANICAL, ELECTRICAL, SERVICE AND OTHER CLAIMS, INCLUDING, WITHOUT LIMITATION, WARRANTY AND INDEMNITY CLAIMS. THE RIGHT TO ENFORCE ALL WARRANTIES AND INDEMNITIES MADE BY SUCH MANUFACTURER OR SUPPLIER IS HEREBY, TO THE EXTENT RAGINGWIRE HAS THE RIGHT, ASSIGNED TO CUSTOMER FOR THE DURATION OF CUSTOMER'S USE OF THE RAGINGWIRE SUPPLIED EQUIPMENT. RAGINGWIRE PROVIDES NO WARRANTY OR INDEMNITY FOR ANY RAGINGWIRE SUPPLIED EQUIPMENT, FOR PERSONAL INJURY, PROPERTY DAMAGES, INFRINGEMENT OF INTELLECTUAL PROPERTY RIGHTS OR OTHERWISE.</w:t>
      </w:r>
    </w:p>
    <w:p>
      <w:pPr>
        <w:spacing w:after="0" w:line="164" w:lineRule="exact"/>
        <w:rPr>
          <w:sz w:val="20"/>
          <w:szCs w:val="20"/>
          <w:color w:val="auto"/>
        </w:rPr>
      </w:pPr>
    </w:p>
    <w:p>
      <w:pPr>
        <w:ind w:firstLine="249"/>
        <w:spacing w:after="0" w:line="23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No Other Warranty</w:t>
      </w:r>
      <w:r>
        <w:rPr>
          <w:rFonts w:ascii="Arial" w:cs="Arial" w:eastAsia="Arial" w:hAnsi="Arial"/>
          <w:sz w:val="20"/>
          <w:szCs w:val="20"/>
          <w:color w:val="auto"/>
        </w:rPr>
        <w:t>. Except for the express warranties set forth in this SECTION 7 or in a sla ("Ragingwire's warranties AND SERVICES LEVEL GOALS"), the Services and the Ragingwire supplied equipment are provided on an "as is" basis, and customer's use of the Services and/or the ragingwire supplied equipment is at CUSTOMER'S own risk. RagingWire does not make, and hereby disclaims, any and all other express and/or implied warranties, including, but not limited to, warranties of merchantability, fitness for a particular purpose, noninfringement and title, and any warranties arising from a course of dealing, usage or trade practice. RagingWire does not warrant that the Services and/or USE OF the ragingwire supplied equipment will be uninterrupted, error-free, completely secure, OR THAT ALL ERRORS WILL BE CORRECTED.</w:t>
      </w:r>
    </w:p>
    <w:p>
      <w:pPr>
        <w:spacing w:after="0" w:line="173" w:lineRule="exact"/>
        <w:rPr>
          <w:sz w:val="20"/>
          <w:szCs w:val="20"/>
          <w:color w:val="auto"/>
        </w:rPr>
      </w:pPr>
    </w:p>
    <w:p>
      <w:pPr>
        <w:ind w:right="60" w:firstLine="249"/>
        <w:spacing w:after="0" w:line="25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Disclaimer of Actions Caused by and/or Under the Control of Third Parties</w:t>
      </w:r>
      <w:r>
        <w:rPr>
          <w:rFonts w:ascii="Arial" w:cs="Arial" w:eastAsia="Arial" w:hAnsi="Arial"/>
          <w:sz w:val="19"/>
          <w:szCs w:val="19"/>
          <w:color w:val="auto"/>
        </w:rPr>
        <w:t>. RagingWire does not and cannot control the flow of data to or from RagingWire's network and other portions of the internet. Such flow depends in large part on the PERFORMANCE of the internet Services provided or controlled by third parties. At times, actions or inactions of such third parties can impair or disrupt customer's CONNECTIONS to the internet (or portions thereof). Although RagingWire will use commercially reasonable efforts to take actions it deems appropriate to remedy and avoid such events, RagingWire cannot guarantee that such events will not occur. Accordingly, except for the negligence or willful misconduct on the part of RagingWire, RagingWire disclaims any and all liability resulting from or related to such events, AND CUSTOMER ACCEPTS SUCH DISCLAIMER WITHOUT LIABILITY TO RAGINGWIRE.</w:t>
      </w:r>
    </w:p>
    <w:p>
      <w:pPr>
        <w:sectPr>
          <w:pgSz w:w="11900" w:h="16932" w:orient="portrait"/>
          <w:cols w:equalWidth="0" w:num="1">
            <w:col w:w="11420"/>
          </w:cols>
          <w:pgMar w:left="240" w:top="120" w:right="239" w:bottom="0" w:gutter="0" w:footer="0" w:header="0"/>
        </w:sectPr>
      </w:pPr>
    </w:p>
    <w:bookmarkStart w:id="64" w:name="page65"/>
    <w:bookmarkEnd w:id="64"/>
    <w:p>
      <w:pPr>
        <w:spacing w:after="0" w:line="70" w:lineRule="exact"/>
        <w:rPr>
          <w:sz w:val="20"/>
          <w:szCs w:val="20"/>
          <w:color w:val="auto"/>
        </w:rPr>
      </w:pPr>
    </w:p>
    <w:p>
      <w:pPr>
        <w:ind w:left="400" w:hanging="400"/>
        <w:spacing w:after="0"/>
        <w:tabs>
          <w:tab w:leader="none" w:pos="4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CUSTOMER'S REPRESENTATIONS, WARRANTIES</w:t>
      </w:r>
    </w:p>
    <w:p>
      <w:pPr>
        <w:spacing w:after="0" w:line="201"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Warranties of Customer</w:t>
      </w:r>
      <w:r>
        <w:rPr>
          <w:rFonts w:ascii="Arial" w:cs="Arial" w:eastAsia="Arial" w:hAnsi="Arial"/>
          <w:sz w:val="18"/>
          <w:szCs w:val="18"/>
          <w:color w:val="auto"/>
        </w:rPr>
        <w:t>.</w:t>
      </w:r>
    </w:p>
    <w:p>
      <w:pPr>
        <w:spacing w:after="0" w:line="194" w:lineRule="exact"/>
        <w:rPr>
          <w:sz w:val="20"/>
          <w:szCs w:val="20"/>
          <w:color w:val="auto"/>
        </w:rPr>
      </w:pPr>
    </w:p>
    <w:p>
      <w:pPr>
        <w:ind w:right="80" w:firstLine="748"/>
        <w:spacing w:after="0" w:line="251"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Warranties</w:t>
      </w:r>
      <w:r>
        <w:rPr>
          <w:rFonts w:ascii="Arial" w:cs="Arial" w:eastAsia="Arial" w:hAnsi="Arial"/>
          <w:sz w:val="19"/>
          <w:szCs w:val="19"/>
          <w:color w:val="auto"/>
        </w:rPr>
        <w:t>. Customer represents and warrants that: (i) it has the legal right and authority to enter into this Agreement and perform its obligations hereunder; (ii) it has the legal right and authority, and will continue to own or maintain the legal right and authority during the Term, to place and use any Customer Equipment as contemplated under this Agreement; (iii) the performance of its obligations and use of the Services (by Customer, its Representatives and customers) will not violate any applicable laws, regulations or the Rules and Regulations or cause a breach of any agreements with any third parties or unreasonably interfere with other RagingWire customers' use of RagingWire Services; (iv) all equipment, materials and other tangible items placed by Customer at the Data Center(s) will be configured and used in compliance with all applicable manufacturer specifications including, without limitation, power outlet, power consumption and clearance requirements; and (v) each Representative will be assigned a unique password, and no password will be shared or otherwise utilized by two (2) or more individuals.</w:t>
      </w:r>
    </w:p>
    <w:p>
      <w:pPr>
        <w:spacing w:after="0" w:line="162" w:lineRule="exact"/>
        <w:rPr>
          <w:sz w:val="20"/>
          <w:szCs w:val="20"/>
          <w:color w:val="auto"/>
        </w:rPr>
      </w:pPr>
    </w:p>
    <w:p>
      <w:pPr>
        <w:ind w:right="20" w:firstLine="748"/>
        <w:spacing w:after="0" w:line="273"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Breach of Warranties</w:t>
      </w:r>
      <w:r>
        <w:rPr>
          <w:rFonts w:ascii="Arial" w:cs="Arial" w:eastAsia="Arial" w:hAnsi="Arial"/>
          <w:sz w:val="18"/>
          <w:szCs w:val="18"/>
          <w:color w:val="auto"/>
        </w:rPr>
        <w:t>. If Customer breaches any of the warranties in Section 8.1.1 ("Warranties"), in addition to any other remedies available at law or in equity, RagingWire will have the right, in its sole discretion, to immediately suspend any or all Services to Customer; provided, however, prior to any exercise of a remedy RagingWire will provide notice as provided in Section 12 ("Termination") and an opportunity to cure to Customer. If such breach is not cured within thirty (30) days, RagingWire shall have the right to terminate services as provided in Section 12. Customer shall be obligated to pay for Services provided due to suspension as a result of the breach.</w:t>
      </w:r>
    </w:p>
    <w:p>
      <w:pPr>
        <w:spacing w:after="0" w:line="144" w:lineRule="exact"/>
        <w:rPr>
          <w:sz w:val="20"/>
          <w:szCs w:val="20"/>
          <w:color w:val="auto"/>
        </w:rPr>
      </w:pPr>
    </w:p>
    <w:p>
      <w:pPr>
        <w:ind w:right="40" w:firstLine="249"/>
        <w:spacing w:after="0" w:line="26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Compliance with Laws; Rules and Regulations</w:t>
      </w:r>
      <w:r>
        <w:rPr>
          <w:rFonts w:ascii="Arial" w:cs="Arial" w:eastAsia="Arial" w:hAnsi="Arial"/>
          <w:sz w:val="18"/>
          <w:szCs w:val="18"/>
          <w:color w:val="auto"/>
        </w:rPr>
        <w:t>. Customer agrees that it shall use the Services only for lawful purposes and in accordance with this Agreement. Customer will comply at all times with all applicable laws and regulations and the Rules and Regulations, as amended by RagingWire from time to time. RagingWire may change the Rules and Regulations upon reasonable notice to Customer of at least five (5) days, which notice may be provided by posting such new Rules and Regulations at the affected Data Center. Customer acknowledges that Customer has received, read and understood the current version of the Rules and Regulations. The Rules and Regulations contain restrictions regarding online conduct (including prohibitions againstunsolicited commercial email) by Customer, its Representatives and its customers. Customer agrees to comply with such restrictions and further agrees that a failure to comply with the same shall, atRagingWire's election, constitute a material breach of this Agreement. Customer further acknowledges that RagingWire exercises no controlwhatsoever over the content of the information passing through the Customer Equipment and that Customer agrees that it is Customer's sole responsibility to ensure that the information transmitted and received by Customer, its Representatives and its customers comply with all applicable laws and regulations and the Rules and Regulations.</w:t>
      </w:r>
    </w:p>
    <w:p>
      <w:pPr>
        <w:spacing w:after="0" w:line="153"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7"/>
          <w:szCs w:val="17"/>
          <w:u w:val="single" w:color="auto"/>
          <w:color w:val="auto"/>
        </w:rPr>
        <w:t>Access and Security</w:t>
      </w:r>
      <w:r>
        <w:rPr>
          <w:rFonts w:ascii="Arial" w:cs="Arial" w:eastAsia="Arial" w:hAnsi="Arial"/>
          <w:sz w:val="17"/>
          <w:szCs w:val="17"/>
          <w:color w:val="auto"/>
        </w:rPr>
        <w:t>.</w:t>
      </w:r>
    </w:p>
    <w:p>
      <w:pPr>
        <w:spacing w:after="0" w:line="194" w:lineRule="exact"/>
        <w:rPr>
          <w:sz w:val="20"/>
          <w:szCs w:val="20"/>
          <w:color w:val="auto"/>
        </w:rPr>
      </w:pPr>
    </w:p>
    <w:p>
      <w:pPr>
        <w:ind w:right="300" w:firstLine="748"/>
        <w:spacing w:after="0"/>
        <w:rPr>
          <w:sz w:val="20"/>
          <w:szCs w:val="20"/>
          <w:color w:val="auto"/>
        </w:rPr>
      </w:pPr>
      <w:r>
        <w:rPr>
          <w:rFonts w:ascii="Arial" w:cs="Arial" w:eastAsia="Arial" w:hAnsi="Arial"/>
          <w:sz w:val="20"/>
          <w:szCs w:val="20"/>
          <w:color w:val="auto"/>
        </w:rPr>
        <w:t>8.3.1 Use Administrator. Promptly after the Effective Date, Customer shall designate up to two individuals to serve as the use administrator(s) (</w:t>
      </w:r>
      <w:r>
        <w:rPr>
          <w:rFonts w:ascii="Arial" w:cs="Arial" w:eastAsia="Arial" w:hAnsi="Arial"/>
          <w:sz w:val="20"/>
          <w:szCs w:val="20"/>
          <w:b w:val="1"/>
          <w:bCs w:val="1"/>
          <w:color w:val="auto"/>
        </w:rPr>
        <w:t>"Use Administrator"</w:t>
      </w:r>
      <w:r>
        <w:rPr>
          <w:rFonts w:ascii="Arial" w:cs="Arial" w:eastAsia="Arial" w:hAnsi="Arial"/>
          <w:sz w:val="20"/>
          <w:szCs w:val="20"/>
          <w:color w:val="auto"/>
        </w:rPr>
        <w:t>) for Customer. The Use Administrator shall be responsible for assigning passwords to Representatives, administering security profiles of Representatives, inputting data to the Individual Representative Form, and verifying the identity of Representatives when called upon by RagingWire to do so. The Use Administrator(s) shall also serve as the primary contact between Customer and RagingWire pertaining to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-598805</wp:posOffset>
            </wp:positionV>
            <wp:extent cx="97028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70280" cy="7620"/>
                    </a:xfrm>
                    <a:prstGeom prst="rect">
                      <a:avLst/>
                    </a:prstGeom>
                    <a:noFill/>
                  </pic:spPr>
                </pic:pic>
              </a:graphicData>
            </a:graphic>
          </wp:anchor>
        </w:drawing>
      </w:r>
    </w:p>
    <w:p>
      <w:pPr>
        <w:spacing w:after="0" w:line="151" w:lineRule="exact"/>
        <w:rPr>
          <w:sz w:val="20"/>
          <w:szCs w:val="20"/>
          <w:color w:val="auto"/>
        </w:rPr>
      </w:pPr>
    </w:p>
    <w:p>
      <w:pPr>
        <w:ind w:right="40" w:firstLine="997"/>
        <w:spacing w:after="0" w:line="27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Representatives</w:t>
      </w:r>
      <w:r>
        <w:rPr>
          <w:rFonts w:ascii="Arial" w:cs="Arial" w:eastAsia="Arial" w:hAnsi="Arial"/>
          <w:sz w:val="18"/>
          <w:szCs w:val="18"/>
          <w:color w:val="auto"/>
        </w:rPr>
        <w:t>. For an individual to be a Representative, the individual must be identified in writing by Customer on an Individual Registration Form prior to first access to the Data Center by such Representative. All Individual Registration Forms must be authenticated by Customer's Use Administrator and a valid password issued in order to become effective. Customer must promptly submit (in writing) and authenticate any changes to the information on an existing Customer Registration Form to RagingWire. RagingWire shall have no liability whatsoever for relying on an outdated Customer Registration Form which has not been properly updated by Customer.</w:t>
      </w:r>
    </w:p>
    <w:p>
      <w:pPr>
        <w:spacing w:after="0" w:line="144" w:lineRule="exact"/>
        <w:rPr>
          <w:sz w:val="20"/>
          <w:szCs w:val="20"/>
          <w:color w:val="auto"/>
        </w:rPr>
      </w:pPr>
    </w:p>
    <w:p>
      <w:pPr>
        <w:ind w:right="180" w:firstLine="947"/>
        <w:spacing w:after="0" w:line="278" w:lineRule="auto"/>
        <w:rPr>
          <w:sz w:val="20"/>
          <w:szCs w:val="20"/>
          <w:color w:val="auto"/>
        </w:rPr>
      </w:pPr>
      <w:r>
        <w:rPr>
          <w:rFonts w:ascii="Arial" w:cs="Arial" w:eastAsia="Arial" w:hAnsi="Arial"/>
          <w:sz w:val="18"/>
          <w:szCs w:val="18"/>
          <w:color w:val="auto"/>
        </w:rPr>
        <w:t>8.3.3 Use of Passwords. Customer acknowledges and agrees that it is solely responsible for maintaining the confidentiality of the passwords distributed to Representatives, and agrees to notify RagingWire if it discovers that the password is lost, stolen, disclosed to an unauthorized third party, or otherwise may have been compromised. Customer shall be entirely responsible for any and all activities which occur under Customer's passwords, whether or not Customer or its Authorized Users are the entity or individuals undertaking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-477520</wp:posOffset>
            </wp:positionV>
            <wp:extent cx="93218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2180" cy="7620"/>
                    </a:xfrm>
                    <a:prstGeom prst="rect">
                      <a:avLst/>
                    </a:prstGeom>
                    <a:noFill/>
                  </pic:spPr>
                </pic:pic>
              </a:graphicData>
            </a:graphic>
          </wp:anchor>
        </w:drawing>
      </w:r>
    </w:p>
    <w:p>
      <w:pPr>
        <w:spacing w:after="0" w:line="118" w:lineRule="exact"/>
        <w:rPr>
          <w:sz w:val="20"/>
          <w:szCs w:val="20"/>
          <w:color w:val="auto"/>
        </w:rPr>
      </w:pPr>
    </w:p>
    <w:p>
      <w:pPr>
        <w:ind w:firstLine="897"/>
        <w:spacing w:after="0" w:line="251" w:lineRule="auto"/>
        <w:rPr>
          <w:sz w:val="20"/>
          <w:szCs w:val="20"/>
          <w:color w:val="auto"/>
        </w:rPr>
      </w:pPr>
      <w:r>
        <w:rPr>
          <w:rFonts w:ascii="Arial" w:cs="Arial" w:eastAsia="Arial" w:hAnsi="Arial"/>
          <w:sz w:val="19"/>
          <w:szCs w:val="19"/>
          <w:color w:val="auto"/>
        </w:rPr>
        <w:t xml:space="preserve">8.3.4 </w:t>
      </w:r>
      <w:r>
        <w:rPr>
          <w:rFonts w:ascii="Arial" w:cs="Arial" w:eastAsia="Arial" w:hAnsi="Arial"/>
          <w:sz w:val="19"/>
          <w:szCs w:val="19"/>
          <w:u w:val="single" w:color="auto"/>
          <w:color w:val="auto"/>
        </w:rPr>
        <w:t>Data Center Access</w:t>
      </w:r>
      <w:r>
        <w:rPr>
          <w:rFonts w:ascii="Arial" w:cs="Arial" w:eastAsia="Arial" w:hAnsi="Arial"/>
          <w:sz w:val="19"/>
          <w:szCs w:val="19"/>
          <w:color w:val="auto"/>
        </w:rPr>
        <w:t>. Except with the advance written consent of RagingWire, Customer's access to the Data Center(s)shall be limited solely to the Representatives. Representatives shall have access only to the Customer Area and are prohibited from accessing other areas of the Data Center(s) unless accompanied by an authorized RagingWire representative. Customer and its Representatives shall cooperate with and comply with all security and safety measures promulgated by RagingWire from time to time in the Rules and Regulations, including, without limitation, the use of entry and exit logs and agreements, key cards, voice, photo, biometric, or other personal identification recognition devices, and other mechanisms and devices for registering, tracking and limiting access to the Customer Area and the Data Center(s). In the event of an emergency situation, as reasonably determined by RagingWire, involving or potentially involving the Customer Equipment or the RagingWire Supplied Equipment, RagingWire may admit individuals into the Customer Area pursuant to RagingWire's Emergency Admission Procedures.</w:t>
      </w:r>
    </w:p>
    <w:p>
      <w:pPr>
        <w:spacing w:after="0" w:line="162" w:lineRule="exact"/>
        <w:rPr>
          <w:sz w:val="20"/>
          <w:szCs w:val="20"/>
          <w:color w:val="auto"/>
        </w:rPr>
      </w:pPr>
    </w:p>
    <w:p>
      <w:pPr>
        <w:ind w:right="20" w:firstLine="249"/>
        <w:spacing w:after="0" w:line="242"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License to Use of Space</w:t>
      </w:r>
      <w:r>
        <w:rPr>
          <w:rFonts w:ascii="Arial" w:cs="Arial" w:eastAsia="Arial" w:hAnsi="Arial"/>
          <w:sz w:val="20"/>
          <w:szCs w:val="20"/>
          <w:color w:val="auto"/>
        </w:rPr>
        <w:t>. Customer acknowledges that as a user of space in the Data Center(s), Customer has no right or entitlement to any particular location or amount of square footage (except as otherwise expressly provided in a SLA), but has the right to use the Customer Area solely under a non-exclusive, non-transferable, revocable license, as provided in Sections 8.8 ("Use of Customer Area") and 13.2 ("No Lease; Other Limitations").</w:t>
      </w:r>
    </w:p>
    <w:p>
      <w:pPr>
        <w:spacing w:after="0" w:line="169" w:lineRule="exact"/>
        <w:rPr>
          <w:sz w:val="20"/>
          <w:szCs w:val="20"/>
          <w:color w:val="auto"/>
        </w:rPr>
      </w:pPr>
    </w:p>
    <w:p>
      <w:pPr>
        <w:jc w:val="both"/>
        <w:ind w:right="480" w:firstLine="249"/>
        <w:spacing w:after="0" w:line="242"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Restrictions on Use of Services</w:t>
      </w:r>
      <w:r>
        <w:rPr>
          <w:rFonts w:ascii="Arial" w:cs="Arial" w:eastAsia="Arial" w:hAnsi="Arial"/>
          <w:sz w:val="20"/>
          <w:szCs w:val="20"/>
          <w:color w:val="auto"/>
        </w:rPr>
        <w:t>. Except as otherwise provided in a written agreement between the Parties, Customer shall not, without the prior written consent of RagingWire (which consent may be granted or withheld in its sole and absolute discretion), resell the Services to any third parties or connect the Customer Equipment directly to anything other than the RagingWire network, equipment and facilities.</w:t>
      </w:r>
    </w:p>
    <w:p>
      <w:pPr>
        <w:spacing w:after="0" w:line="169" w:lineRule="exact"/>
        <w:rPr>
          <w:sz w:val="20"/>
          <w:szCs w:val="20"/>
          <w:color w:val="auto"/>
        </w:rPr>
      </w:pPr>
    </w:p>
    <w:p>
      <w:pPr>
        <w:ind w:right="220" w:firstLine="249"/>
        <w:spacing w:after="0" w:line="27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Equipment And Connections</w:t>
      </w:r>
      <w:r>
        <w:rPr>
          <w:rFonts w:ascii="Arial" w:cs="Arial" w:eastAsia="Arial" w:hAnsi="Arial"/>
          <w:sz w:val="18"/>
          <w:szCs w:val="18"/>
          <w:color w:val="auto"/>
        </w:rPr>
        <w:t xml:space="preserve">. Each piece of Customer Equipment and RagingWire Supplied Equipment installed in the Customer Area must be clearly labeled, in accordance with the standard instructions in </w:t>
      </w:r>
      <w:r>
        <w:rPr>
          <w:rFonts w:ascii="Arial" w:cs="Arial" w:eastAsia="Arial" w:hAnsi="Arial"/>
          <w:sz w:val="18"/>
          <w:szCs w:val="18"/>
          <w:u w:val="single" w:color="auto"/>
          <w:color w:val="auto"/>
        </w:rPr>
        <w:t>RagingWire's Customer Guide</w:t>
      </w:r>
      <w:r>
        <w:rPr>
          <w:rFonts w:ascii="Arial" w:cs="Arial" w:eastAsia="Arial" w:hAnsi="Arial"/>
          <w:sz w:val="18"/>
          <w:szCs w:val="18"/>
          <w:color w:val="auto"/>
        </w:rPr>
        <w:t>, with Customer name (or a code name identified in writing to RagingWire) and individual component identification. Each connection to and from each piece of such equipment shall be clearly labeled with Customer's name (or code name) at the starting and ending point of the connection. Customer</w:t>
      </w:r>
    </w:p>
    <w:p>
      <w:pPr>
        <w:sectPr>
          <w:pgSz w:w="11900" w:h="16909" w:orient="portrait"/>
          <w:cols w:equalWidth="0" w:num="1">
            <w:col w:w="11420"/>
          </w:cols>
          <w:pgMar w:left="240" w:top="114" w:right="239" w:bottom="0" w:gutter="0" w:footer="0" w:header="0"/>
        </w:sectPr>
      </w:pPr>
    </w:p>
    <w:bookmarkStart w:id="65" w:name="page66"/>
    <w:bookmarkEnd w:id="65"/>
    <w:p>
      <w:pPr>
        <w:spacing w:after="0" w:line="101" w:lineRule="exact"/>
        <w:rPr>
          <w:sz w:val="20"/>
          <w:szCs w:val="20"/>
          <w:color w:val="auto"/>
        </w:rPr>
      </w:pPr>
    </w:p>
    <w:p>
      <w:pPr>
        <w:ind w:right="280"/>
        <w:spacing w:after="0" w:line="242" w:lineRule="auto"/>
        <w:rPr>
          <w:sz w:val="20"/>
          <w:szCs w:val="20"/>
          <w:color w:val="auto"/>
        </w:rPr>
      </w:pPr>
      <w:r>
        <w:rPr>
          <w:rFonts w:ascii="Arial" w:cs="Arial" w:eastAsia="Arial" w:hAnsi="Arial"/>
          <w:sz w:val="20"/>
          <w:szCs w:val="20"/>
          <w:color w:val="auto"/>
        </w:rPr>
        <w:t>Equipment and RagingWire Supplied Equipment must be configured and run at all times in compliance with the appropriate manufacturer's specifications, including power outlet, power consumption, and clearance requirements. Customer must provide RagingWire with prior written notice any time Customer intends to connect or disconnect any Customer Equipment, RagingWire Supplied Equipment, or other equipment in the Customer Area.</w:t>
      </w:r>
    </w:p>
    <w:p>
      <w:pPr>
        <w:spacing w:after="0" w:line="170" w:lineRule="exact"/>
        <w:rPr>
          <w:sz w:val="20"/>
          <w:szCs w:val="20"/>
          <w:color w:val="auto"/>
        </w:rPr>
      </w:pPr>
    </w:p>
    <w:p>
      <w:pPr>
        <w:ind w:firstLine="249"/>
        <w:spacing w:after="0" w:line="239"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Relocation of Customer Equipment</w:t>
      </w:r>
      <w:r>
        <w:rPr>
          <w:rFonts w:ascii="Arial" w:cs="Arial" w:eastAsia="Arial" w:hAnsi="Arial"/>
          <w:sz w:val="20"/>
          <w:szCs w:val="20"/>
          <w:color w:val="auto"/>
        </w:rPr>
        <w:t>. If it becomes necessary to relocate the Customer Equipment or RagingWire Supplied Equipment to another Customer Area or Data Center, Customer shall cooperate with RagingWire to facilitate such relocation, whether such relocation is based on the reasonable business needs of RagingWire (including, but not limited to, the needs of other RagingWire customers), the expansion of the space requirements of Customer, or otherwise. RagingWire shall be solely responsible for any costs and expenses incurred by RagingWire in connection with any such relocation and will use commercially reasonable efforts, in cooperation with Customer, to minimize and avoid any interruption of the Services.</w:t>
      </w:r>
    </w:p>
    <w:p>
      <w:pPr>
        <w:spacing w:after="0" w:line="171" w:lineRule="exact"/>
        <w:rPr>
          <w:sz w:val="20"/>
          <w:szCs w:val="20"/>
          <w:color w:val="auto"/>
        </w:rPr>
      </w:pPr>
    </w:p>
    <w:p>
      <w:pPr>
        <w:ind w:right="40" w:firstLine="249"/>
        <w:spacing w:after="0" w:line="26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Use of Customer Area</w:t>
      </w:r>
      <w:r>
        <w:rPr>
          <w:rFonts w:ascii="Arial" w:cs="Arial" w:eastAsia="Arial" w:hAnsi="Arial"/>
          <w:sz w:val="18"/>
          <w:szCs w:val="18"/>
          <w:color w:val="auto"/>
        </w:rPr>
        <w:t>. Customer acknowledges that RagingWire has made no representations or warranties about the physical condition of the Customer Area or the Data Center(s), their compliance with laws or their fitness for Customer's intended use. Customer agrees that Customer occupies the Customer Area on an "as-is, where-is" basis under a non-exclusive, non-transferable, revocable license for the Term. Customer agrees that if any law or regulation applicable to the Customer Area or the Data Center(s) requires that alterations or improvements be made to the Customer Area, other customer areas or the Data Center(s), to the extent such requirements result from Customer's use and occupancy of the Customer Area or the Data Center(s), Customer agrees that Customer shall pay for such alterations and improvements. Notwithstanding Customer's payment therefore, the Parties agree that all such alterations and improvements shall immediately become a part of the Data Center and the property of RagingWire or its lessor as applicable.</w:t>
      </w:r>
    </w:p>
    <w:p>
      <w:pPr>
        <w:spacing w:after="0" w:line="152"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u w:val="single" w:color="auto"/>
          <w:color w:val="auto"/>
        </w:rPr>
        <w:t>Conduct At Data Center</w:t>
      </w:r>
      <w:r>
        <w:rPr>
          <w:rFonts w:ascii="Arial" w:cs="Arial" w:eastAsia="Arial" w:hAnsi="Arial"/>
          <w:sz w:val="18"/>
          <w:szCs w:val="18"/>
          <w:color w:val="auto"/>
        </w:rPr>
        <w:t>.</w:t>
      </w:r>
    </w:p>
    <w:p>
      <w:pPr>
        <w:spacing w:after="0" w:line="194" w:lineRule="exact"/>
        <w:rPr>
          <w:sz w:val="20"/>
          <w:szCs w:val="20"/>
          <w:color w:val="auto"/>
        </w:rPr>
      </w:pPr>
    </w:p>
    <w:p>
      <w:pPr>
        <w:ind w:right="60" w:firstLine="748"/>
        <w:spacing w:after="0" w:line="237" w:lineRule="auto"/>
        <w:rPr>
          <w:sz w:val="20"/>
          <w:szCs w:val="20"/>
          <w:color w:val="auto"/>
        </w:rPr>
      </w:pPr>
      <w:r>
        <w:rPr>
          <w:rFonts w:ascii="Arial" w:cs="Arial" w:eastAsia="Arial" w:hAnsi="Arial"/>
          <w:sz w:val="20"/>
          <w:szCs w:val="20"/>
          <w:color w:val="auto"/>
        </w:rPr>
        <w:t xml:space="preserve">8.9.1 </w:t>
      </w:r>
      <w:r>
        <w:rPr>
          <w:rFonts w:ascii="Arial" w:cs="Arial" w:eastAsia="Arial" w:hAnsi="Arial"/>
          <w:sz w:val="20"/>
          <w:szCs w:val="20"/>
          <w:u w:val="single" w:color="auto"/>
          <w:color w:val="auto"/>
        </w:rPr>
        <w:t>Conduct</w:t>
      </w:r>
      <w:r>
        <w:rPr>
          <w:rFonts w:ascii="Arial" w:cs="Arial" w:eastAsia="Arial" w:hAnsi="Arial"/>
          <w:sz w:val="20"/>
          <w:szCs w:val="20"/>
          <w:color w:val="auto"/>
        </w:rPr>
        <w:t xml:space="preserve">. Customer on behalf of itself and its Representatives agrees to adhere to and abide by all security and safety measures set forth in the Rules and Regulations, the Customer Guide or as otherwise established by RagingWire. A copy of the current version of the Rules and Regulations and the Customer Guide shall be made available to Customer upon request. Customer on behalf of itself and its Representatives expressly agrees to not do or participate in any of the following: (i) interfere with, make any unauthorized use of, misuse or abuse any of RagingWire's property or equipment, or that of any other RagingWire customer or third party (ii) harass or disturb any individual, including RagingWire's personnel and representatives of other RagingWire customers; or (iii) any activity that is in violation of the law or aids or assists any criminal activity while on RagingWire's property, or in connection with the Data Center(s) or the Services. </w:t>
      </w:r>
      <w:r>
        <w:rPr>
          <w:rFonts w:ascii="Arial" w:cs="Arial" w:eastAsia="Arial" w:hAnsi="Arial"/>
          <w:sz w:val="20"/>
          <w:szCs w:val="20"/>
          <w:b w:val="1"/>
          <w:bCs w:val="1"/>
          <w:color w:val="auto"/>
        </w:rPr>
        <w:t>additionally, customer acknowledges that neither it nor any of its representatives shall disturb, in any way, the raised floor of the data center(s).</w:t>
      </w:r>
    </w:p>
    <w:p>
      <w:pPr>
        <w:spacing w:after="0" w:line="174" w:lineRule="exact"/>
        <w:rPr>
          <w:sz w:val="20"/>
          <w:szCs w:val="20"/>
          <w:color w:val="auto"/>
        </w:rPr>
      </w:pPr>
    </w:p>
    <w:p>
      <w:pPr>
        <w:ind w:right="140" w:firstLine="748"/>
        <w:spacing w:after="0" w:line="258" w:lineRule="auto"/>
        <w:rPr>
          <w:sz w:val="20"/>
          <w:szCs w:val="20"/>
          <w:color w:val="auto"/>
        </w:rPr>
      </w:pPr>
      <w:r>
        <w:rPr>
          <w:rFonts w:ascii="Arial" w:cs="Arial" w:eastAsia="Arial" w:hAnsi="Arial"/>
          <w:sz w:val="20"/>
          <w:szCs w:val="20"/>
          <w:color w:val="auto"/>
        </w:rPr>
        <w:t xml:space="preserve">8.9.2 </w:t>
      </w:r>
      <w:r>
        <w:rPr>
          <w:rFonts w:ascii="Arial" w:cs="Arial" w:eastAsia="Arial" w:hAnsi="Arial"/>
          <w:sz w:val="20"/>
          <w:szCs w:val="20"/>
          <w:u w:val="single" w:color="auto"/>
          <w:color w:val="auto"/>
        </w:rPr>
        <w:t>Prohibited Items</w:t>
      </w:r>
      <w:r>
        <w:rPr>
          <w:rFonts w:ascii="Arial" w:cs="Arial" w:eastAsia="Arial" w:hAnsi="Arial"/>
          <w:sz w:val="20"/>
          <w:szCs w:val="20"/>
          <w:color w:val="auto"/>
        </w:rPr>
        <w:t>. Customer and Representatives shall keep the Customer Area, and common areas adjacent to it, clean and clear of debris and refuse at all times. Customer shall not, except as otherwise agreed by RagingWire in writing:</w:t>
      </w:r>
    </w:p>
    <w:p>
      <w:pPr>
        <w:spacing w:after="0" w:line="154" w:lineRule="exact"/>
        <w:rPr>
          <w:sz w:val="20"/>
          <w:szCs w:val="20"/>
          <w:color w:val="auto"/>
        </w:rPr>
      </w:pPr>
    </w:p>
    <w:p>
      <w:pPr>
        <w:ind w:right="540" w:firstLine="1346"/>
        <w:spacing w:after="0" w:line="258" w:lineRule="auto"/>
        <w:tabs>
          <w:tab w:leader="none" w:pos="1817" w:val="left"/>
        </w:tabs>
        <w:numPr>
          <w:ilvl w:val="0"/>
          <w:numId w:val="23"/>
        </w:numPr>
        <w:rPr>
          <w:rFonts w:ascii="Arial" w:cs="Arial" w:eastAsia="Arial" w:hAnsi="Arial"/>
          <w:sz w:val="20"/>
          <w:szCs w:val="20"/>
          <w:color w:val="auto"/>
        </w:rPr>
      </w:pPr>
      <w:r>
        <w:rPr>
          <w:rFonts w:ascii="Arial" w:cs="Arial" w:eastAsia="Arial" w:hAnsi="Arial"/>
          <w:sz w:val="20"/>
          <w:szCs w:val="20"/>
          <w:color w:val="auto"/>
        </w:rPr>
        <w:t>Place any Customer Equipment in the Customer Area that is not properly labeled and (if RagingWire is providing managed Services) has not been identified in writing to RagingWire;</w:t>
      </w:r>
    </w:p>
    <w:p>
      <w:pPr>
        <w:spacing w:after="0" w:line="153" w:lineRule="exact"/>
        <w:rPr>
          <w:rFonts w:ascii="Arial" w:cs="Arial" w:eastAsia="Arial" w:hAnsi="Arial"/>
          <w:sz w:val="20"/>
          <w:szCs w:val="20"/>
          <w:color w:val="auto"/>
        </w:rPr>
      </w:pPr>
    </w:p>
    <w:p>
      <w:pPr>
        <w:ind w:right="600" w:firstLine="1346"/>
        <w:spacing w:after="0" w:line="258" w:lineRule="auto"/>
        <w:tabs>
          <w:tab w:leader="none" w:pos="1828" w:val="left"/>
        </w:tabs>
        <w:numPr>
          <w:ilvl w:val="0"/>
          <w:numId w:val="23"/>
        </w:numPr>
        <w:rPr>
          <w:rFonts w:ascii="Arial" w:cs="Arial" w:eastAsia="Arial" w:hAnsi="Arial"/>
          <w:sz w:val="20"/>
          <w:szCs w:val="20"/>
          <w:color w:val="auto"/>
        </w:rPr>
      </w:pPr>
      <w:r>
        <w:rPr>
          <w:rFonts w:ascii="Arial" w:cs="Arial" w:eastAsia="Arial" w:hAnsi="Arial"/>
          <w:sz w:val="20"/>
          <w:szCs w:val="20"/>
          <w:color w:val="auto"/>
        </w:rPr>
        <w:t>Store any paper products or other combustible materials of any kind in the Customer Area (other than equipment manuals and, if applicable, immediately required printing supplies); or</w:t>
      </w:r>
    </w:p>
    <w:p>
      <w:pPr>
        <w:spacing w:after="0" w:line="147" w:lineRule="exact"/>
        <w:rPr>
          <w:rFonts w:ascii="Arial" w:cs="Arial" w:eastAsia="Arial" w:hAnsi="Arial"/>
          <w:sz w:val="20"/>
          <w:szCs w:val="20"/>
          <w:color w:val="auto"/>
        </w:rPr>
      </w:pPr>
    </w:p>
    <w:p>
      <w:pPr>
        <w:ind w:right="80" w:firstLine="1346"/>
        <w:spacing w:after="0" w:line="275" w:lineRule="auto"/>
        <w:tabs>
          <w:tab w:leader="none" w:pos="18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Bring any Prohibited Materials (as defined below) into any Data Center. Such </w:t>
      </w:r>
      <w:r>
        <w:rPr>
          <w:rFonts w:ascii="Arial" w:cs="Arial" w:eastAsia="Arial" w:hAnsi="Arial"/>
          <w:sz w:val="18"/>
          <w:szCs w:val="18"/>
          <w:b w:val="1"/>
          <w:bCs w:val="1"/>
          <w:color w:val="auto"/>
        </w:rPr>
        <w:t>"Prohibited Materials"</w:t>
      </w:r>
      <w:r>
        <w:rPr>
          <w:rFonts w:ascii="Arial" w:cs="Arial" w:eastAsia="Arial" w:hAnsi="Arial"/>
          <w:sz w:val="18"/>
          <w:szCs w:val="18"/>
          <w:color w:val="auto"/>
        </w:rPr>
        <w:t xml:space="preserve"> include, without limitation, the following and any similar items: tobacco products and lighters; explosives and weapons; hazardous or flammable materials; spray paint cans; alcohol, illegal drugs and other intoxicants; electromagnetic devices especially those which could interfere with computer and telecommunications equipment; radioactive materials; photographic, video, or magnetic recording equipment of any kind (other than tape back-up equipment); or animals (except those specifically trained and used to provide assistance to the impaired).</w:t>
      </w:r>
    </w:p>
    <w:p>
      <w:pPr>
        <w:spacing w:after="0" w:line="141" w:lineRule="exact"/>
        <w:rPr>
          <w:sz w:val="20"/>
          <w:szCs w:val="20"/>
          <w:color w:val="auto"/>
        </w:rPr>
      </w:pPr>
    </w:p>
    <w:p>
      <w:pPr>
        <w:ind w:left="1880" w:hanging="484"/>
        <w:spacing w:after="0"/>
        <w:tabs>
          <w:tab w:leader="none" w:pos="18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Bring food or drinks onto the raised floor of the Data Center(s). These items are permitted only in the designated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cafeteria areas.</w:t>
      </w:r>
    </w:p>
    <w:p>
      <w:pPr>
        <w:spacing w:after="0" w:line="178" w:lineRule="exact"/>
        <w:rPr>
          <w:sz w:val="20"/>
          <w:szCs w:val="20"/>
          <w:color w:val="auto"/>
        </w:rPr>
      </w:pPr>
    </w:p>
    <w:p>
      <w:pPr>
        <w:ind w:right="20" w:firstLine="748"/>
        <w:spacing w:after="0" w:line="263" w:lineRule="auto"/>
        <w:rPr>
          <w:sz w:val="20"/>
          <w:szCs w:val="20"/>
          <w:color w:val="auto"/>
        </w:rPr>
      </w:pPr>
      <w:r>
        <w:rPr>
          <w:rFonts w:ascii="Arial" w:cs="Arial" w:eastAsia="Arial" w:hAnsi="Arial"/>
          <w:sz w:val="18"/>
          <w:szCs w:val="18"/>
          <w:color w:val="auto"/>
        </w:rPr>
        <w:t xml:space="preserve">8.9.3 </w:t>
      </w:r>
      <w:r>
        <w:rPr>
          <w:rFonts w:ascii="Arial" w:cs="Arial" w:eastAsia="Arial" w:hAnsi="Arial"/>
          <w:sz w:val="18"/>
          <w:szCs w:val="18"/>
          <w:u w:val="single" w:color="auto"/>
          <w:color w:val="auto"/>
        </w:rPr>
        <w:t>Prohibited Activities</w:t>
      </w:r>
      <w:r>
        <w:rPr>
          <w:rFonts w:ascii="Arial" w:cs="Arial" w:eastAsia="Arial" w:hAnsi="Arial"/>
          <w:sz w:val="18"/>
          <w:szCs w:val="18"/>
          <w:color w:val="auto"/>
        </w:rPr>
        <w:t xml:space="preserve">. Customer, on behalf of itself and its Representatives, agrees that it will not: (i) send unsolicited commercial messages or communications in any form to third parties (commonly known as </w:t>
      </w:r>
      <w:r>
        <w:rPr>
          <w:rFonts w:ascii="Arial" w:cs="Arial" w:eastAsia="Arial" w:hAnsi="Arial"/>
          <w:sz w:val="18"/>
          <w:szCs w:val="18"/>
          <w:b w:val="1"/>
          <w:bCs w:val="1"/>
          <w:color w:val="auto"/>
        </w:rPr>
        <w:t>"spam"</w:t>
      </w:r>
      <w:r>
        <w:rPr>
          <w:rFonts w:ascii="Arial" w:cs="Arial" w:eastAsia="Arial" w:hAnsi="Arial"/>
          <w:sz w:val="18"/>
          <w:szCs w:val="18"/>
          <w:color w:val="auto"/>
        </w:rPr>
        <w:t xml:space="preserve">); (ii) engage in any activities or actions that infringe upon or misappropriate the Intellectual Property Rights of any third party, including, without limitation, using third-party copyrighted materials without appropriate permission, using third-party trademarks without appropriate permission or attribution, and using or distributing third-party information protected as a trade secret information in violation of a duty of confidentiality; (iii) engage in any activities or actions that would violate the personal privacy rights of others including, but not limited to, collecting and distributing information about Internet users without their permission, except as permitted by applicable law; (iv) send, post, or host harassing, abusive, libelous, or obscene materials or assist in any similar activities related thereto; (v) intentionally omit, delete, forge, or misrepresent transmission information, including headers, return mailing and Internet protocol addresses; (vi) engage in any activities or actions intended to withhold or cloak Customer or its customer's identity or contact information; (vii) use RagingWire's Services for any illegal purposes, in violation of any applicable laws or regulations or in violation of the rules of any other service providers, websites, chat rooms and the like; (viii) intentionally transmit or otherwise propagate computer viruses or similar destructive computer codes; (ix) disturb or anchor any item to the raised floor of the Data Center(s); (x) climb or scale any cages, ladders, racks or any support structures; (xi) engage in any other activities which may be deemed prohibited, in writing, by RagingWire, in its sole reasonable discretion; or (xii) assist or permit any persons in engaging in any of the activities described above. All of the foregoing are </w:t>
      </w:r>
      <w:r>
        <w:rPr>
          <w:rFonts w:ascii="Arial" w:cs="Arial" w:eastAsia="Arial" w:hAnsi="Arial"/>
          <w:sz w:val="18"/>
          <w:szCs w:val="18"/>
          <w:b w:val="1"/>
          <w:bCs w:val="1"/>
          <w:color w:val="auto"/>
        </w:rPr>
        <w:t>"Prohibited Activities"</w:t>
      </w:r>
      <w:r>
        <w:rPr>
          <w:rFonts w:ascii="Arial" w:cs="Arial" w:eastAsia="Arial" w:hAnsi="Arial"/>
          <w:sz w:val="18"/>
          <w:szCs w:val="18"/>
          <w:color w:val="auto"/>
        </w:rPr>
        <w:t>. If Customer becomes aware of any Prohibited Activities, Customer will use Customer's best efforts to remedy such Prohibited Activities immediately including, if necessary, limiting or terminating any of its Representative's access to Customer's online facilities.</w:t>
      </w:r>
    </w:p>
    <w:p>
      <w:pPr>
        <w:spacing w:after="0" w:line="157" w:lineRule="exact"/>
        <w:rPr>
          <w:sz w:val="20"/>
          <w:szCs w:val="20"/>
          <w:color w:val="auto"/>
        </w:rPr>
      </w:pPr>
    </w:p>
    <w:p>
      <w:pPr>
        <w:jc w:val="both"/>
        <w:ind w:right="100" w:firstLine="748"/>
        <w:spacing w:after="0" w:line="265" w:lineRule="auto"/>
        <w:rPr>
          <w:sz w:val="20"/>
          <w:szCs w:val="20"/>
          <w:color w:val="auto"/>
        </w:rPr>
      </w:pPr>
      <w:r>
        <w:rPr>
          <w:rFonts w:ascii="Arial" w:cs="Arial" w:eastAsia="Arial" w:hAnsi="Arial"/>
          <w:sz w:val="19"/>
          <w:szCs w:val="19"/>
          <w:color w:val="auto"/>
        </w:rPr>
        <w:t xml:space="preserve">8.9.4 </w:t>
      </w:r>
      <w:r>
        <w:rPr>
          <w:rFonts w:ascii="Arial" w:cs="Arial" w:eastAsia="Arial" w:hAnsi="Arial"/>
          <w:sz w:val="19"/>
          <w:szCs w:val="19"/>
          <w:u w:val="single" w:color="auto"/>
          <w:color w:val="auto"/>
        </w:rPr>
        <w:t>Cameras</w:t>
      </w:r>
      <w:r>
        <w:rPr>
          <w:rFonts w:ascii="Arial" w:cs="Arial" w:eastAsia="Arial" w:hAnsi="Arial"/>
          <w:sz w:val="19"/>
          <w:szCs w:val="19"/>
          <w:color w:val="auto"/>
        </w:rPr>
        <w:t>. Customer nor any of its Representatives shall utilize, install, or configure any camera or other media device so as to view, record, or transmit any images or information regarding the Data Center(s). In order to maintain each Customer's privacy, all camera installations allowing a Customer to view their own Customer Area will be performed by RagingWire.</w:t>
      </w:r>
    </w:p>
    <w:p>
      <w:pPr>
        <w:spacing w:after="0" w:line="149" w:lineRule="exact"/>
        <w:rPr>
          <w:sz w:val="20"/>
          <w:szCs w:val="20"/>
          <w:color w:val="auto"/>
        </w:rPr>
      </w:pPr>
    </w:p>
    <w:p>
      <w:pPr>
        <w:jc w:val="both"/>
        <w:ind w:right="80" w:firstLine="249"/>
        <w:spacing w:after="0" w:line="31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Suspension and Termination of Representative Access to Data Center</w:t>
      </w:r>
      <w:r>
        <w:rPr>
          <w:rFonts w:ascii="Arial" w:cs="Arial" w:eastAsia="Arial" w:hAnsi="Arial"/>
          <w:sz w:val="18"/>
          <w:szCs w:val="18"/>
          <w:color w:val="auto"/>
        </w:rPr>
        <w:t>. RagingWire shall have the right to suspend and/or terminate a Representative's access to the Data Center(s) at any time for any material failure, as determined in RagingWire's sole discretion, by such</w:t>
      </w:r>
    </w:p>
    <w:p>
      <w:pPr>
        <w:sectPr>
          <w:pgSz w:w="11900" w:h="16940" w:orient="portrait"/>
          <w:cols w:equalWidth="0" w:num="1">
            <w:col w:w="11420"/>
          </w:cols>
          <w:pgMar w:left="240" w:top="120" w:right="239" w:bottom="0" w:gutter="0" w:footer="0" w:header="0"/>
        </w:sectPr>
      </w:pPr>
    </w:p>
    <w:bookmarkStart w:id="66" w:name="page67"/>
    <w:bookmarkEnd w:id="66"/>
    <w:p>
      <w:pPr>
        <w:ind w:right="120"/>
        <w:spacing w:after="0" w:line="287" w:lineRule="auto"/>
        <w:rPr>
          <w:sz w:val="20"/>
          <w:szCs w:val="20"/>
          <w:color w:val="auto"/>
        </w:rPr>
      </w:pPr>
      <w:r>
        <w:rPr>
          <w:rFonts w:ascii="Arial" w:cs="Arial" w:eastAsia="Arial" w:hAnsi="Arial"/>
          <w:sz w:val="18"/>
          <w:szCs w:val="18"/>
          <w:color w:val="auto"/>
        </w:rPr>
        <w:t>Representative to comply with the terms of this Agreement, the Customer Guide and/or the Rules and Regulations. In the event that access is terminated, Customer shall immediately take steps, to RagingWire's reasonable satisfaction, to ensure that Customer's remaining Representatives shall conform their conduct to the terms of this Agreement, the Customer Guide and the Rules and Regulations.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RagingWire Supplied Equipment</w:t>
      </w:r>
      <w:r>
        <w:rPr>
          <w:rFonts w:ascii="Arial" w:cs="Arial" w:eastAsia="Arial" w:hAnsi="Arial"/>
          <w:sz w:val="20"/>
          <w:szCs w:val="20"/>
          <w:color w:val="auto"/>
        </w:rPr>
        <w:t>.</w:t>
      </w:r>
    </w:p>
    <w:p>
      <w:pPr>
        <w:spacing w:after="0" w:line="194" w:lineRule="exact"/>
        <w:rPr>
          <w:sz w:val="20"/>
          <w:szCs w:val="20"/>
          <w:color w:val="auto"/>
        </w:rPr>
      </w:pPr>
    </w:p>
    <w:p>
      <w:pPr>
        <w:ind w:right="240" w:firstLine="748"/>
        <w:spacing w:after="0" w:line="242" w:lineRule="auto"/>
        <w:rPr>
          <w:sz w:val="20"/>
          <w:szCs w:val="20"/>
          <w:color w:val="auto"/>
        </w:rPr>
      </w:pPr>
      <w:r>
        <w:rPr>
          <w:rFonts w:ascii="Arial" w:cs="Arial" w:eastAsia="Arial" w:hAnsi="Arial"/>
          <w:sz w:val="20"/>
          <w:szCs w:val="20"/>
          <w:color w:val="auto"/>
        </w:rPr>
        <w:t xml:space="preserve">8.11.1 </w:t>
      </w:r>
      <w:r>
        <w:rPr>
          <w:rFonts w:ascii="Arial" w:cs="Arial" w:eastAsia="Arial" w:hAnsi="Arial"/>
          <w:sz w:val="20"/>
          <w:szCs w:val="20"/>
          <w:u w:val="single" w:color="auto"/>
          <w:color w:val="auto"/>
        </w:rPr>
        <w:t>Delivery and Term</w:t>
      </w:r>
      <w:r>
        <w:rPr>
          <w:rFonts w:ascii="Arial" w:cs="Arial" w:eastAsia="Arial" w:hAnsi="Arial"/>
          <w:sz w:val="20"/>
          <w:szCs w:val="20"/>
          <w:color w:val="auto"/>
        </w:rPr>
        <w:t>. On or prior to the Service Commencement Date, RagingWire shall deliver to Customer, at the designated Customer Area, the RagingWire Supplied Equipment. Customer shall have the right to use the RagingWire Supplied Equipment for the Term unless otherwise specified in the applicable SLA. Customer shall not remove any RagingWire Supplied Equipment from the Customer Area without the prior written consent of RagingWire.</w:t>
      </w:r>
    </w:p>
    <w:p>
      <w:pPr>
        <w:spacing w:after="0" w:line="169" w:lineRule="exact"/>
        <w:rPr>
          <w:sz w:val="20"/>
          <w:szCs w:val="20"/>
          <w:color w:val="auto"/>
        </w:rPr>
      </w:pPr>
    </w:p>
    <w:p>
      <w:pPr>
        <w:ind w:right="20" w:firstLine="698"/>
        <w:spacing w:after="0" w:line="250" w:lineRule="auto"/>
        <w:rPr>
          <w:sz w:val="20"/>
          <w:szCs w:val="20"/>
          <w:color w:val="auto"/>
        </w:rPr>
      </w:pPr>
      <w:r>
        <w:rPr>
          <w:rFonts w:ascii="Arial" w:cs="Arial" w:eastAsia="Arial" w:hAnsi="Arial"/>
          <w:sz w:val="19"/>
          <w:szCs w:val="19"/>
          <w:color w:val="auto"/>
        </w:rPr>
        <w:t xml:space="preserve">8.11.2 </w:t>
      </w:r>
      <w:r>
        <w:rPr>
          <w:rFonts w:ascii="Arial" w:cs="Arial" w:eastAsia="Arial" w:hAnsi="Arial"/>
          <w:sz w:val="19"/>
          <w:szCs w:val="19"/>
          <w:u w:val="single" w:color="auto"/>
          <w:color w:val="auto"/>
        </w:rPr>
        <w:t>Title.</w:t>
      </w:r>
      <w:r>
        <w:rPr>
          <w:rFonts w:ascii="Arial" w:cs="Arial" w:eastAsia="Arial" w:hAnsi="Arial"/>
          <w:sz w:val="19"/>
          <w:szCs w:val="19"/>
          <w:color w:val="auto"/>
        </w:rPr>
        <w:t xml:space="preserve"> The RagingWire Supplied Equipment shall always remain the personal property of RagingWire. Customer shall have no right or interest in or to the RagingWire Supplied Equipment except as expressly provided in this Agreement and any SLA and shall hold the RagingWire Supplied Equipment subject and subordinate to the rights of RagingWire. Customer agrees to execute UCC financing statements as and when requested by RagingWire and hereby appoints RagingWire as Customer's attorney-in-fact to execute such financing statements on Customer's behalf. Customer will, at Customer's own expense, keep the RagingWire Supplied Equipment free and clear from any liens or encumbrances of any kind (except any caused by RagingWire) and will indemnify and hold RagingWire harmless from and against any loss or expense caused by Customer's failure to do so. Customer shall give RagingWire immediate written notice of any attachment or judicial process affecting the RagingWire Supplied Equipment or RagingWire's ownership thereof. Customer will not remove, alter or destroy any labels on the RagingWire Supplied Equipment stating that it is the property of RagingWire and shall allow the inspection of the RagingWire Supplied Equipment at any time.</w:t>
      </w:r>
    </w:p>
    <w:p>
      <w:pPr>
        <w:spacing w:after="0" w:line="167" w:lineRule="exact"/>
        <w:rPr>
          <w:sz w:val="20"/>
          <w:szCs w:val="20"/>
          <w:color w:val="auto"/>
        </w:rPr>
      </w:pPr>
    </w:p>
    <w:p>
      <w:pPr>
        <w:ind w:firstLine="249"/>
        <w:spacing w:after="0" w:line="270" w:lineRule="auto"/>
        <w:rPr>
          <w:sz w:val="20"/>
          <w:szCs w:val="20"/>
          <w:color w:val="auto"/>
        </w:rPr>
      </w:pPr>
      <w:r>
        <w:rPr>
          <w:rFonts w:ascii="Arial" w:cs="Arial" w:eastAsia="Arial" w:hAnsi="Arial"/>
          <w:sz w:val="18"/>
          <w:szCs w:val="18"/>
          <w:color w:val="auto"/>
        </w:rPr>
        <w:t>Customer Equipment shall always remain the personal property of Customer. RagingWire shall have no right or interest in or to Customer Equipment except as expressly provided in this Agreement and any SLA. RagingWire will, at RagingWire's own expense, keep Customer Equipment free and clear from any liens or encumbrances of any kind (except any caused by Customer) and will indemnify and hold Customer harmless from and against any loss or expense caused by RagingWire's failure to do so. RagingWire shall give Customer immediate written notice of any attachment or judicial proceeding affecting Customer Equipment or Customer's ownership thereof. RagingWire will not remove, alter or destroy any labels on Customer Equipment stating that it is the property of Customer.</w:t>
      </w:r>
    </w:p>
    <w:p>
      <w:pPr>
        <w:spacing w:after="0" w:line="148" w:lineRule="exact"/>
        <w:rPr>
          <w:sz w:val="20"/>
          <w:szCs w:val="20"/>
          <w:color w:val="auto"/>
        </w:rPr>
      </w:pPr>
    </w:p>
    <w:p>
      <w:pPr>
        <w:ind w:firstLine="748"/>
        <w:spacing w:after="0" w:line="266" w:lineRule="auto"/>
        <w:rPr>
          <w:sz w:val="20"/>
          <w:szCs w:val="20"/>
          <w:color w:val="auto"/>
        </w:rPr>
      </w:pPr>
      <w:r>
        <w:rPr>
          <w:rFonts w:ascii="Arial" w:cs="Arial" w:eastAsia="Arial" w:hAnsi="Arial"/>
          <w:sz w:val="18"/>
          <w:szCs w:val="18"/>
          <w:color w:val="auto"/>
        </w:rPr>
        <w:t xml:space="preserve">8.11.3 </w:t>
      </w:r>
      <w:r>
        <w:rPr>
          <w:rFonts w:ascii="Arial" w:cs="Arial" w:eastAsia="Arial" w:hAnsi="Arial"/>
          <w:sz w:val="18"/>
          <w:szCs w:val="18"/>
          <w:u w:val="single" w:color="auto"/>
          <w:color w:val="auto"/>
        </w:rPr>
        <w:t>Use, Maintenance and Repair</w:t>
      </w:r>
      <w:r>
        <w:rPr>
          <w:rFonts w:ascii="Arial" w:cs="Arial" w:eastAsia="Arial" w:hAnsi="Arial"/>
          <w:sz w:val="18"/>
          <w:szCs w:val="18"/>
          <w:color w:val="auto"/>
        </w:rPr>
        <w:t>. Customer will, at Customer's own expense, keep the RagingWire Supplied Equipment in good repair, appearance and condition, other than normal wear and tear, and, if not included in the Services, shall obtain, pay for and keep in effect throughout the Term a hardware and software maintenance agreement with the manufacturer or other party acceptable to RagingWire. All parts furnished in connection with such repair and maintenance shall be manufacturer authorized parts and shall immediately become components of the RagingWire Supplied Equipment and the property of RagingWire. Customer shall use the RagingWire Supplied Equipment in compliance with the manufacturer's or supplier's suggested guidelines and in accordance with the Rules and Regulations. If Customer fails to maintain the RagingWire Supplied Equipment as described in this Section 8.11.3, RagingWire shall have the option, in its sole and absolute discretion, to: (i) retake possession of the RagingWire Supplied Equipment; and/or (ii) provide such maintenance and charge Customer the associated costs of such maintenance, and Customer agrees to pay any such charges.</w:t>
      </w:r>
    </w:p>
    <w:p>
      <w:pPr>
        <w:spacing w:after="0" w:line="154" w:lineRule="exact"/>
        <w:rPr>
          <w:sz w:val="20"/>
          <w:szCs w:val="20"/>
          <w:color w:val="auto"/>
        </w:rPr>
      </w:pPr>
    </w:p>
    <w:p>
      <w:pPr>
        <w:ind w:right="20" w:firstLine="748"/>
        <w:spacing w:after="0" w:line="266" w:lineRule="auto"/>
        <w:rPr>
          <w:sz w:val="20"/>
          <w:szCs w:val="20"/>
          <w:color w:val="auto"/>
        </w:rPr>
      </w:pPr>
      <w:r>
        <w:rPr>
          <w:rFonts w:ascii="Arial" w:cs="Arial" w:eastAsia="Arial" w:hAnsi="Arial"/>
          <w:sz w:val="18"/>
          <w:szCs w:val="18"/>
          <w:color w:val="auto"/>
        </w:rPr>
        <w:t xml:space="preserve">8.11.4 </w:t>
      </w:r>
      <w:r>
        <w:rPr>
          <w:rFonts w:ascii="Arial" w:cs="Arial" w:eastAsia="Arial" w:hAnsi="Arial"/>
          <w:sz w:val="18"/>
          <w:szCs w:val="18"/>
          <w:u w:val="single" w:color="auto"/>
          <w:color w:val="auto"/>
        </w:rPr>
        <w:t>Upgrades and Additions</w:t>
      </w:r>
      <w:r>
        <w:rPr>
          <w:rFonts w:ascii="Arial" w:cs="Arial" w:eastAsia="Arial" w:hAnsi="Arial"/>
          <w:sz w:val="18"/>
          <w:szCs w:val="18"/>
          <w:color w:val="auto"/>
        </w:rPr>
        <w:t>. Customer may affix or install any accessory, addition, upgrade, equipment or device to or on the RagingWire Supplied Equipment (other than electronic data) (</w:t>
      </w:r>
      <w:r>
        <w:rPr>
          <w:rFonts w:ascii="Arial" w:cs="Arial" w:eastAsia="Arial" w:hAnsi="Arial"/>
          <w:sz w:val="18"/>
          <w:szCs w:val="18"/>
          <w:b w:val="1"/>
          <w:bCs w:val="1"/>
          <w:color w:val="auto"/>
        </w:rPr>
        <w:t>"Additions"</w:t>
      </w:r>
      <w:r>
        <w:rPr>
          <w:rFonts w:ascii="Arial" w:cs="Arial" w:eastAsia="Arial" w:hAnsi="Arial"/>
          <w:sz w:val="18"/>
          <w:szCs w:val="18"/>
          <w:color w:val="auto"/>
        </w:rPr>
        <w:t>), provided that such Additions (i) can be removed without causing damage to the RagingWire Supplied Equipment; (ii) do not reduce the value of the RagingWire Supplied Equipment; (iii) are obtained from or approved in writing by RagingWire prior to affixing or installing such Additions to or on the RagingWire Supplied Equipment, and (iv) are not subject to the interest of any third party. No Additions shall be installed without RagingWire's prior written consent. At the end of the Initial Term, or Renewal Term (if applicable), Customer shall, at RagingWire's sole election, remove any Additions which (i) were not provided by RagingWire, and (ii) are readily removable without causing material damage or impairment of the intended function, use, or value of the RagingWire Supplied Equipment, and Customer shall restore the RagingWire Supplied Equipment to its original configuration. Any Additions, which are not readily removable, shall become the property of RagingWire, lien free and at no cost to RagingWire.</w:t>
      </w:r>
    </w:p>
    <w:p>
      <w:pPr>
        <w:spacing w:after="0" w:line="154" w:lineRule="exact"/>
        <w:rPr>
          <w:sz w:val="20"/>
          <w:szCs w:val="20"/>
          <w:color w:val="auto"/>
        </w:rPr>
      </w:pPr>
    </w:p>
    <w:p>
      <w:pPr>
        <w:ind w:right="20" w:firstLine="249"/>
        <w:spacing w:after="0" w:line="266"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Scheduled And Emergency Maintenance</w:t>
      </w:r>
      <w:r>
        <w:rPr>
          <w:rFonts w:ascii="Arial" w:cs="Arial" w:eastAsia="Arial" w:hAnsi="Arial"/>
          <w:sz w:val="18"/>
          <w:szCs w:val="18"/>
          <w:color w:val="auto"/>
        </w:rPr>
        <w:t>. RagingWire will conduct routine scheduled maintenance of the Data Center(s) according to the maintenance schedule for the applicable Data Center, as such schedule may e modified from time to time in RagingWire's sole discretion. RagingWire shall make a copy of the then current applicable maintenance schedule available to Customer upon request. In the event that an urgent, mission-critical maintenance situation arises, RagingWire shall have to the right to perform emergency maintenance of the Data Center(s). Any such emergency maintenance, not caused solely by the actions of RagingWire shall not constitute a breach of this Agreement. To the extent circumstances allow in an emergency situation, RagingWire will make reasonable efforts to notify Customer of emergency maintenance about to be performed. During such scheduled and emergency maintenance periods, the Customer Equipment may be unable to transmit and/or receive data, and Customer may be unable to access the Customer Equipment and/or the RagingWire Supplied Equipment. Customer agrees to cooperate with RagingWire during scheduled and emergency maintenance periods. Customer further agrees that RagingWire shall have the right to access the Customer Area for the purpose of performing emergency maintenance.</w:t>
      </w:r>
    </w:p>
    <w:p>
      <w:pPr>
        <w:spacing w:after="0" w:line="143" w:lineRule="exact"/>
        <w:rPr>
          <w:sz w:val="20"/>
          <w:szCs w:val="20"/>
          <w:color w:val="auto"/>
        </w:rPr>
      </w:pPr>
    </w:p>
    <w:p>
      <w:pPr>
        <w:ind w:left="400" w:hanging="400"/>
        <w:spacing w:after="0"/>
        <w:tabs>
          <w:tab w:leader="none" w:pos="4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200" w:lineRule="exact"/>
        <w:rPr>
          <w:sz w:val="20"/>
          <w:szCs w:val="20"/>
          <w:color w:val="auto"/>
        </w:rPr>
      </w:pPr>
    </w:p>
    <w:p>
      <w:pPr>
        <w:ind w:right="40" w:firstLine="249"/>
        <w:spacing w:after="0" w:line="26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RagingWire Minimum Insurance Levels</w:t>
      </w:r>
      <w:r>
        <w:rPr>
          <w:rFonts w:ascii="Arial" w:cs="Arial" w:eastAsia="Arial" w:hAnsi="Arial"/>
          <w:sz w:val="18"/>
          <w:szCs w:val="18"/>
          <w:color w:val="auto"/>
        </w:rPr>
        <w:t>. RagingWire agrees to keep in full force and effect during the term of this Agreement: (i) a broad form Commercial General Liability Insurance policy providing for coverage of at least two million dollars ($2,000,000.00) per occurrence for bodily injury and property damage; and (ii) workers' compensation insurance in an amount not less than that required by applicable law. The Commercial General Liability Insurance policy shall be (i) written on an "occurrence" policy form and not on a "claims made" form; (ii) shall be primary and not contributory with RagingWire's liability insurance; (iii) shall provide for not less than thirty (30) days' advance written notice to RagingWire from the insurer or insurers, if more than one, of any cancellation, nonrenewal, or material change in coverage or available limits of liability; and (iv) shall be issued by an insurance company with a rating of no less than A-V in the current Best's Insurance Guide, or otherwise be acceptable to Customer, and admitted to engage in the business of insurance in the state in which the Services are actually provided (notwithstanding the provisions of Section 3.1 ("Delivery of Services")). RagingWire's Commercial General Liability Insurance coverage may be provided by a combination of primary, excess, and umbrella policies, provided that those policies are absolutely concurrent in all respects regarding the coverage afforded by the policies. The coverage of any excess or umbrella policy must be at</w:t>
      </w:r>
    </w:p>
    <w:p>
      <w:pPr>
        <w:sectPr>
          <w:pgSz w:w="11900" w:h="16838" w:orient="portrait"/>
          <w:cols w:equalWidth="0" w:num="1">
            <w:col w:w="11420"/>
          </w:cols>
          <w:pgMar w:left="240" w:top="120" w:right="239" w:bottom="0" w:gutter="0" w:footer="0" w:header="0"/>
        </w:sectPr>
      </w:pPr>
    </w:p>
    <w:bookmarkStart w:id="67" w:name="page68"/>
    <w:bookmarkEnd w:id="67"/>
    <w:p>
      <w:pPr>
        <w:ind w:right="180"/>
        <w:spacing w:after="0" w:line="315" w:lineRule="auto"/>
        <w:rPr>
          <w:sz w:val="20"/>
          <w:szCs w:val="20"/>
          <w:color w:val="auto"/>
        </w:rPr>
      </w:pPr>
      <w:r>
        <w:rPr>
          <w:rFonts w:ascii="Arial" w:cs="Arial" w:eastAsia="Arial" w:hAnsi="Arial"/>
          <w:sz w:val="18"/>
          <w:szCs w:val="18"/>
          <w:color w:val="auto"/>
        </w:rPr>
        <w:t>least as broad as the coverage of the primary policy. RagingWire shall ensure, and be solely responsible for ensuring, that its contractors and subcontractors maintain insurance coverage at levels no less than those required by applicable law and customary in the applicable industry.</w:t>
      </w:r>
    </w:p>
    <w:p>
      <w:pPr>
        <w:spacing w:after="0" w:line="106" w:lineRule="exact"/>
        <w:rPr>
          <w:sz w:val="20"/>
          <w:szCs w:val="20"/>
          <w:color w:val="auto"/>
        </w:rPr>
      </w:pPr>
    </w:p>
    <w:p>
      <w:pPr>
        <w:ind w:firstLine="299"/>
        <w:spacing w:after="0" w:line="249"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Customer Minimum Insurance Levels</w:t>
      </w:r>
      <w:r>
        <w:rPr>
          <w:rFonts w:ascii="Arial" w:cs="Arial" w:eastAsia="Arial" w:hAnsi="Arial"/>
          <w:sz w:val="19"/>
          <w:szCs w:val="19"/>
          <w:color w:val="auto"/>
        </w:rPr>
        <w:t>. Customer agrees to keep in full force and effect during the term of this Agreement: (i) a broad form Commercial General Liability Insurance policy providing for coverage of at least two million dollars ($2,000,000.00) per occurrence for bodily injury and property damage; and (ii) workers' compensation insurance in an amount not less than that required by applicable law. The Commercial General Liability Insurance policy shall be (i) written on an "occurrence" policy form and not on a "claims made" form; (ii) shall be primary and not contributory with Customer's liability insurance; (iii) shall provide for not less than thirty (30) days' advance written notice to Customer from the insurer or insurers, if more than one, of any cancellation, nonrenewal, or material change in coverage or available limits of liability; and (iv) shall be issued by an insurance company with a rating of no less than A-V in the current Best's Insurance Guide, or otherwise be acceptable to RagingWire, and admitted to engage in the business of insurance in the state in which the Services are actually provided (notwithstanding the provisions of Section 3.1 ("Delivery of Services")). Customer's Commercial General Liability Insurance coverage may be provided by a combination of primary, excess, and umbrella policies, provided that those policies are absolutely concurrent in all respects regarding the coverage afforded by the policies. The coverage of any excess or umbrella policy must be at least as broad as the coverage of the primary policy. Customer shall ensure, and be solely responsible for ensuring, that its Representatives (including contractors and subcontractors) maintain insurance coverage at levels no less than those required by applicable law and customary in the applicable industry.</w:t>
      </w:r>
    </w:p>
    <w:p>
      <w:pPr>
        <w:spacing w:after="0" w:line="167" w:lineRule="exact"/>
        <w:rPr>
          <w:sz w:val="20"/>
          <w:szCs w:val="20"/>
          <w:color w:val="auto"/>
        </w:rPr>
      </w:pPr>
    </w:p>
    <w:p>
      <w:pPr>
        <w:ind w:right="300" w:firstLine="249"/>
        <w:spacing w:after="0" w:line="287" w:lineRule="auto"/>
        <w:rPr>
          <w:sz w:val="20"/>
          <w:szCs w:val="20"/>
          <w:color w:val="auto"/>
        </w:rPr>
      </w:pPr>
      <w:r>
        <w:rPr>
          <w:rFonts w:ascii="Arial" w:cs="Arial" w:eastAsia="Arial" w:hAnsi="Arial"/>
          <w:sz w:val="18"/>
          <w:szCs w:val="18"/>
          <w:color w:val="auto"/>
        </w:rPr>
        <w:t>Customer shall be solely responsible to procure and maintain property insurance coverage for the Customer Equipment, the RagingWire Supplied Equipment and all other items of Customer's property from any and all risks in, on, at or about the Customer Area or the Data Center(s) at which the Services are provided, including without limitation fire, fire protection system failure and earthquake damage.</w:t>
      </w:r>
    </w:p>
    <w:p>
      <w:pPr>
        <w:spacing w:after="0" w:line="130" w:lineRule="exact"/>
        <w:rPr>
          <w:sz w:val="20"/>
          <w:szCs w:val="20"/>
          <w:color w:val="auto"/>
        </w:rPr>
      </w:pPr>
    </w:p>
    <w:p>
      <w:pPr>
        <w:ind w:right="60" w:firstLine="249"/>
        <w:spacing w:after="0" w:line="27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Certificates of Insurance</w:t>
      </w:r>
      <w:r>
        <w:rPr>
          <w:rFonts w:ascii="Arial" w:cs="Arial" w:eastAsia="Arial" w:hAnsi="Arial"/>
          <w:sz w:val="18"/>
          <w:szCs w:val="18"/>
          <w:color w:val="auto"/>
        </w:rPr>
        <w:t>. Customer shall (i) deliver to RagingWire certificates of insurance which evidence the minimum levels of insurance set forth in Section 9.2 ("Customer Minimum Insurance Levels"); and (ii) cause its insurance provider(s) to name RagingWire as an additional insured and to notify RagingWire in writing of the effective date of such coverage. Customer shall deliver the certificates of insurance required by this Section 9.3 to RagingWire (i) on or before the first entry of Customer or a Representative onto any Data Center; (ii) again at least thirty (30) days before the expiration date of any applicable policy; and (iii) again on renewal of any applicable policy.</w:t>
      </w:r>
    </w:p>
    <w:p>
      <w:pPr>
        <w:spacing w:after="0" w:line="144" w:lineRule="exact"/>
        <w:rPr>
          <w:sz w:val="20"/>
          <w:szCs w:val="20"/>
          <w:color w:val="auto"/>
        </w:rPr>
      </w:pPr>
    </w:p>
    <w:p>
      <w:pPr>
        <w:jc w:val="both"/>
        <w:ind w:right="100" w:firstLine="249"/>
        <w:spacing w:after="0" w:line="256" w:lineRule="auto"/>
        <w:rPr>
          <w:sz w:val="20"/>
          <w:szCs w:val="20"/>
          <w:color w:val="auto"/>
        </w:rPr>
      </w:pPr>
      <w:r>
        <w:rPr>
          <w:rFonts w:ascii="Arial" w:cs="Arial" w:eastAsia="Arial" w:hAnsi="Arial"/>
          <w:sz w:val="19"/>
          <w:szCs w:val="19"/>
          <w:color w:val="auto"/>
        </w:rPr>
        <w:t>RagingWire shall (i) deliver to Customer certificates of insurance which evidence the minimum levels of insurance set forth in Section 9.1 ("RagingWire Minimum Insurance Levels"); and (ii) cause its insurance provider(s) to name Customer as an additional insured and to notify Customer in writing of the effective date of such coverage. RagingWire shall deliver the certificates of insurance required by this Section 9.3 to Customer (i) on or before the first entry of Customer or a Representative onto any Data Center; (ii) again at least thirty (30) days before the expiration date of any applicable policy; and (iii) again on renewal of any applicable policy</w:t>
      </w:r>
    </w:p>
    <w:p>
      <w:pPr>
        <w:spacing w:after="0" w:line="156" w:lineRule="exact"/>
        <w:rPr>
          <w:sz w:val="20"/>
          <w:szCs w:val="20"/>
          <w:color w:val="auto"/>
        </w:rPr>
      </w:pPr>
    </w:p>
    <w:p>
      <w:pPr>
        <w:ind w:right="20" w:firstLine="249"/>
        <w:spacing w:after="0" w:line="26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Obligations Continue Regardless of Insurance</w:t>
      </w:r>
      <w:r>
        <w:rPr>
          <w:rFonts w:ascii="Arial" w:cs="Arial" w:eastAsia="Arial" w:hAnsi="Arial"/>
          <w:sz w:val="19"/>
          <w:szCs w:val="19"/>
          <w:color w:val="auto"/>
        </w:rPr>
        <w:t>. The insurance requirements set forth in this Section 9 ("Insurance") are independent of Customer's indemnification and other obligations under this Agreement and shall not be construed or interpreted in any way to restrict, limit or modify Customer's indemnification and other obligations or to limit Customer's liability under this Agreement.</w:t>
      </w:r>
    </w:p>
    <w:p>
      <w:pPr>
        <w:spacing w:after="0" w:line="149" w:lineRule="exact"/>
        <w:rPr>
          <w:sz w:val="20"/>
          <w:szCs w:val="20"/>
          <w:color w:val="auto"/>
        </w:rPr>
      </w:pPr>
    </w:p>
    <w:p>
      <w:pPr>
        <w:ind w:right="440" w:firstLine="249"/>
        <w:spacing w:after="0" w:line="27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 of Subrogation Rights</w:t>
      </w:r>
      <w:r>
        <w:rPr>
          <w:rFonts w:ascii="Arial" w:cs="Arial" w:eastAsia="Arial" w:hAnsi="Arial"/>
          <w:sz w:val="18"/>
          <w:szCs w:val="18"/>
          <w:color w:val="auto"/>
        </w:rPr>
        <w:t>. RagingWire and Customer each agrees to cause the insurance companies issuing their respective insurance policies to waive any subrogation rights that those insurance companies may have against the other Party by way of contract or otherwise. RagingWire and Customer hereby waive any right that either may have against the other on account of any bodily injury or property loss or damage to the extent that such loss or damage is insured hereunder under their respective insurance policies.</w:t>
      </w:r>
    </w:p>
    <w:p>
      <w:pPr>
        <w:spacing w:after="0" w:line="132" w:lineRule="exact"/>
        <w:rPr>
          <w:sz w:val="20"/>
          <w:szCs w:val="20"/>
          <w:color w:val="auto"/>
        </w:rPr>
      </w:pPr>
    </w:p>
    <w:p>
      <w:pPr>
        <w:ind w:left="500" w:hanging="500"/>
        <w:spacing w:after="0"/>
        <w:tabs>
          <w:tab w:leader="none" w:pos="5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 OF LIABILITY</w:t>
      </w:r>
    </w:p>
    <w:p>
      <w:pPr>
        <w:spacing w:after="0" w:line="200" w:lineRule="exact"/>
        <w:rPr>
          <w:sz w:val="20"/>
          <w:szCs w:val="20"/>
          <w:color w:val="auto"/>
        </w:rPr>
      </w:pPr>
    </w:p>
    <w:p>
      <w:pPr>
        <w:jc w:val="both"/>
        <w:ind w:firstLine="249"/>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Personal Injury</w:t>
      </w:r>
      <w:r>
        <w:rPr>
          <w:rFonts w:ascii="Arial" w:cs="Arial" w:eastAsia="Arial" w:hAnsi="Arial"/>
          <w:sz w:val="20"/>
          <w:szCs w:val="20"/>
          <w:color w:val="auto"/>
        </w:rPr>
        <w:t>. EACH REPRESENTATIVE AND ANY OTHER PERSON VISITING A DATA CENTER DOES SO AT HIS OR HER OWN RISK. RAGINGWIRE SHALL HAVE NO LIABILITY WHATSOEVER FOR ANY HARM TO SUCH PERSONS RESULTING FROM ANY CAUSE OTHER THAN THE NEGLIGENCE OR WILLFUL MISCONDUCT OF RAGINGWIRE.</w:t>
      </w:r>
    </w:p>
    <w:p>
      <w:pPr>
        <w:spacing w:after="0" w:line="165"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Damage to Customer Equipment</w:t>
      </w:r>
      <w:r>
        <w:rPr>
          <w:rFonts w:ascii="Arial" w:cs="Arial" w:eastAsia="Arial" w:hAnsi="Arial"/>
          <w:sz w:val="19"/>
          <w:szCs w:val="19"/>
          <w:color w:val="auto"/>
        </w:rPr>
        <w:t>. RAGINGWIRE SHALL HAVE NO LIABILITY FOR ANY DAMAGE TO, OR LOSS OF,</w:t>
      </w:r>
    </w:p>
    <w:p>
      <w:pPr>
        <w:spacing w:after="0" w:line="10"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ANY CUSTOMER EQUIPMENT RESULTING FROM ANY CAUSE OTHER THAN THE NEGLIGENCE OR WILLFUL MISCONDUCT OF RAGINGWIRE. TO THE EXTENT RAGINGWIRE IS LIABLE FOR ANY DAMAGE TO, OR LOSS OF, CUSTOMER EQUIPMENT FOR ANY REASON, SUCH LIABILITY SHALL BE LIMITED SOLELY TO THE THEN-CURRENT MARKET VALUE OF THE CUSTOMER EQUIPMENT, EXCLUDING (i) ANY LOST DATA, (ii) LOST SOFTWARE, AND/OR (iii) LOST FIRMWARE.</w:t>
      </w:r>
    </w:p>
    <w:p>
      <w:pPr>
        <w:spacing w:after="0" w:line="159" w:lineRule="exact"/>
        <w:rPr>
          <w:sz w:val="20"/>
          <w:szCs w:val="20"/>
          <w:color w:val="auto"/>
        </w:rPr>
      </w:pPr>
    </w:p>
    <w:p>
      <w:pPr>
        <w:ind w:right="20" w:firstLine="249"/>
        <w:spacing w:after="0" w:line="239"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Waiver of Consequential and Incidental Damages</w:t>
      </w:r>
      <w:r>
        <w:rPr>
          <w:rFonts w:ascii="Arial" w:cs="Arial" w:eastAsia="Arial" w:hAnsi="Arial"/>
          <w:sz w:val="20"/>
          <w:szCs w:val="20"/>
          <w:color w:val="auto"/>
        </w:rPr>
        <w:t>. IN NO EVENT SHALL EITHER PARTY BE LIABLE OR RESPONSIBLE TO THE OTHER OR ANY THIRD PARTY FOR ANY TYPE OF INCIDENTAL, PUNITIVE, INDIRECT, OR CONSEQUENTIAL DAMAGES, INCLUDING, BUT NOT LIMITED TO, LOST REVENUE, LOST PROFITS, REPLACEMENT GOODS, LOSS OF TECHNOLOGY, LOSS OF RIGHTS OR SERVICES, LOSS OF DATA, OR INTERRUPTION OR LOSS OF USE OF SERVICE OR EQUIPMENT, EVEN IF ADVISED OF THE POSSIBILITY OF SUCH DAMAGES, WHETHER ARISING UNDER A THEORY OF CONTRACT, TORT (INCLUDING NEGLIGENCE), STRICT LIABILITY, OR OTHERWISE.</w:t>
      </w:r>
    </w:p>
    <w:p>
      <w:pPr>
        <w:spacing w:after="0" w:line="171" w:lineRule="exact"/>
        <w:rPr>
          <w:sz w:val="20"/>
          <w:szCs w:val="20"/>
          <w:color w:val="auto"/>
        </w:rPr>
      </w:pPr>
    </w:p>
    <w:p>
      <w:pPr>
        <w:ind w:firstLine="249"/>
        <w:spacing w:after="0" w:line="236"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Hazardous Materials; Assumption of Risk</w:t>
      </w:r>
      <w:r>
        <w:rPr>
          <w:rFonts w:ascii="Arial" w:cs="Arial" w:eastAsia="Arial" w:hAnsi="Arial"/>
          <w:sz w:val="20"/>
          <w:szCs w:val="20"/>
          <w:color w:val="auto"/>
        </w:rPr>
        <w:t xml:space="preserve">. CUSTOMER ACKNOWLEDGES THAT CERTAIN HAZARDOUS OR TOXIC SUBSTANCES, MATERIALS, OR WASTE (COLLECTIVELY, </w:t>
      </w:r>
      <w:r>
        <w:rPr>
          <w:rFonts w:ascii="Arial" w:cs="Arial" w:eastAsia="Arial" w:hAnsi="Arial"/>
          <w:sz w:val="20"/>
          <w:szCs w:val="20"/>
          <w:b w:val="1"/>
          <w:bCs w:val="1"/>
          <w:color w:val="auto"/>
        </w:rPr>
        <w:t>"HAZARDOUS MATERIALS"</w:t>
      </w:r>
      <w:r>
        <w:rPr>
          <w:rFonts w:ascii="Arial" w:cs="Arial" w:eastAsia="Arial" w:hAnsi="Arial"/>
          <w:sz w:val="20"/>
          <w:szCs w:val="20"/>
          <w:color w:val="auto"/>
        </w:rPr>
        <w:t>), INCLUDING BUT NOT LIMITED TO BATTERY ACID, HIGH VOLTAGE ELECTRICITY, AND DIESEL FUEL, MAY BE PRESENT IN OR AROUND THE DATA CENTER(S) AND THAT CUSTOMER AND ITS REPRESENTATIVES MAY BE EXPOSED TO SUCH HAZARDOUS MATERIALS. CUSTOMER IS AWARE OF THE INHERENT RISKS OF INJURY AND PROPERTY DAMAGE INVOLVED IN RAGINGWIRE'S NORMAL OPERATIONS OF THE DATA CENTER(S), INCLUDING, WITHOUT LIMITATION, RISKS DUE TO OCCUPATIONAL OR ENVIRONMENTAL EXPOSURE TO HAZARDOUS MATERIALS KNOWN TO CAUSE CANCER, BIRTH DEFECTS, REPRODUCTIVE HARM, OR OTHER PHYSICAL AILMENTS. CUSTOMER ASSUMES ANY AND ALL KNOWN AND UNKNOWN RISKS OF INJURY AND PROPERTY DAMAGE THAT MAY RESULT FROM EXPOSURE TO HAZARDOUS MATERIALS IN OR AROUND THE DATA CENTER(S), EXCEPT FOR INJURY AND PROPERTY DAMAGE RESULTING FROM THE GROSS NEGLIGENCE OR WILLFUL MISCONDUCT OF RAGINGWIRE.</w:t>
      </w:r>
    </w:p>
    <w:p>
      <w:pPr>
        <w:sectPr>
          <w:pgSz w:w="11900" w:h="16838" w:orient="portrait"/>
          <w:cols w:equalWidth="0" w:num="1">
            <w:col w:w="11420"/>
          </w:cols>
          <w:pgMar w:left="240" w:top="120" w:right="239" w:bottom="31" w:gutter="0" w:footer="0" w:header="0"/>
        </w:sectPr>
      </w:pPr>
    </w:p>
    <w:bookmarkStart w:id="68" w:name="page69"/>
    <w:bookmarkEnd w:id="68"/>
    <w:p>
      <w:pPr>
        <w:ind w:right="300" w:firstLine="249"/>
        <w:spacing w:after="0" w:line="242"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Maximum Liability</w:t>
      </w:r>
      <w:r>
        <w:rPr>
          <w:rFonts w:ascii="Arial" w:cs="Arial" w:eastAsia="Arial" w:hAnsi="Arial"/>
          <w:sz w:val="20"/>
          <w:szCs w:val="20"/>
          <w:color w:val="auto"/>
        </w:rPr>
        <w:t xml:space="preserve"> NOTWITHSTANDING ANYTHING TO THE CONTRARY IN THIS AGREEMENT, RAGINGWIRE'S MAXIMUM AGGREGATE LIABILITY TO CUSTOMER RELATED TO OR IN CONNECTION WITH THIS AGREEMENT WILL BE LIMITED TO THE TOTAL AMOUNT PAID BY CUSTOMER TO RAGINGWIRE HEREUNDER FOR THE TWELVE (12) MONTH PERIOD IMMEDIATELY PRECEDING THE FIRST EVENT WHICH GAVE RISE TO SUCH LIABILITY.</w:t>
      </w:r>
    </w:p>
    <w:p>
      <w:pPr>
        <w:spacing w:after="0" w:line="170" w:lineRule="exact"/>
        <w:rPr>
          <w:sz w:val="20"/>
          <w:szCs w:val="20"/>
          <w:color w:val="auto"/>
        </w:rPr>
      </w:pPr>
    </w:p>
    <w:p>
      <w:pPr>
        <w:ind w:right="120" w:firstLine="249"/>
        <w:spacing w:after="0" w:line="246"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Loss of Power</w:t>
      </w:r>
      <w:r>
        <w:rPr>
          <w:rFonts w:ascii="Arial" w:cs="Arial" w:eastAsia="Arial" w:hAnsi="Arial"/>
          <w:sz w:val="20"/>
          <w:szCs w:val="20"/>
          <w:color w:val="auto"/>
        </w:rPr>
        <w:t>. RagingWire shall not be liable for any failure or delay in its performance, including a Service Outage, under this Agreement due to the loss of power to any Data Center resulting from the unauthorized activation, or the required periodic testing pursuant to State or local laws or regulations, of any of the Emergency Power Off (</w:t>
      </w:r>
      <w:r>
        <w:rPr>
          <w:rFonts w:ascii="Arial" w:cs="Arial" w:eastAsia="Arial" w:hAnsi="Arial"/>
          <w:sz w:val="20"/>
          <w:szCs w:val="20"/>
          <w:b w:val="1"/>
          <w:bCs w:val="1"/>
          <w:color w:val="auto"/>
        </w:rPr>
        <w:t>"EPO"</w:t>
      </w:r>
      <w:r>
        <w:rPr>
          <w:rFonts w:ascii="Arial" w:cs="Arial" w:eastAsia="Arial" w:hAnsi="Arial"/>
          <w:sz w:val="20"/>
          <w:szCs w:val="20"/>
          <w:color w:val="auto"/>
        </w:rPr>
        <w:t>) switches.</w:t>
      </w:r>
    </w:p>
    <w:p>
      <w:pPr>
        <w:spacing w:after="0" w:line="165" w:lineRule="exact"/>
        <w:rPr>
          <w:sz w:val="20"/>
          <w:szCs w:val="20"/>
          <w:color w:val="auto"/>
        </w:rPr>
      </w:pPr>
    </w:p>
    <w:p>
      <w:pPr>
        <w:ind w:right="120" w:firstLine="249"/>
        <w:spacing w:after="0"/>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Basis of the Bargain; Failure of Essential Purpose</w:t>
      </w:r>
      <w:r>
        <w:rPr>
          <w:rFonts w:ascii="Arial" w:cs="Arial" w:eastAsia="Arial" w:hAnsi="Arial"/>
          <w:sz w:val="20"/>
          <w:szCs w:val="20"/>
          <w:color w:val="auto"/>
        </w:rPr>
        <w:t>. Customer acknowledges that RagingWire has set its prices and entered into this Agreement in reliance upon the limitations, exclusions, and disclaimers of liability and the disclaimers of warranties and damages set forth in this Agreement, and that such limitations, exclusions and disclaimers form an essential basis of the bargain between Customer and RagingWire. The limitations and exclusions of liability and disclaimers specified in this Agreement shall survive and apply even if the remedies provided herein are found to have failed of their essential purpose.</w:t>
      </w:r>
    </w:p>
    <w:p>
      <w:pPr>
        <w:spacing w:after="0" w:line="165" w:lineRule="exact"/>
        <w:rPr>
          <w:sz w:val="20"/>
          <w:szCs w:val="20"/>
          <w:color w:val="auto"/>
        </w:rPr>
      </w:pPr>
    </w:p>
    <w:p>
      <w:pPr>
        <w:ind w:left="480" w:hanging="480"/>
        <w:spacing w:after="0"/>
        <w:tabs>
          <w:tab w:leader="none" w:pos="4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00" w:lineRule="exact"/>
        <w:rPr>
          <w:sz w:val="20"/>
          <w:szCs w:val="20"/>
          <w:color w:val="auto"/>
        </w:rPr>
      </w:pPr>
    </w:p>
    <w:p>
      <w:pPr>
        <w:ind w:right="80" w:firstLine="249"/>
        <w:spacing w:after="0" w:line="251"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Indemnification By RagingWire</w:t>
      </w:r>
      <w:r>
        <w:rPr>
          <w:rFonts w:ascii="Arial" w:cs="Arial" w:eastAsia="Arial" w:hAnsi="Arial"/>
          <w:sz w:val="19"/>
          <w:szCs w:val="19"/>
          <w:color w:val="auto"/>
        </w:rPr>
        <w:t xml:space="preserve">. RagingWire agrees to indemnify, defend and hold harmless Customer from and against any and all costs, liabilities, losses, and expenses (including, but not limited to, reasonable attorneys' fees) (collectively, </w:t>
      </w:r>
      <w:r>
        <w:rPr>
          <w:rFonts w:ascii="Arial" w:cs="Arial" w:eastAsia="Arial" w:hAnsi="Arial"/>
          <w:sz w:val="19"/>
          <w:szCs w:val="19"/>
          <w:b w:val="1"/>
          <w:bCs w:val="1"/>
          <w:color w:val="auto"/>
        </w:rPr>
        <w:t>"Losses"</w:t>
      </w:r>
      <w:r>
        <w:rPr>
          <w:rFonts w:ascii="Arial" w:cs="Arial" w:eastAsia="Arial" w:hAnsi="Arial"/>
          <w:sz w:val="19"/>
          <w:szCs w:val="19"/>
          <w:color w:val="auto"/>
        </w:rPr>
        <w:t xml:space="preserve">) resulting from (i) a breach of its warranties contained in this Agreement or a SLA; (ii) from any claim, suit, action, or proceeding (each, an </w:t>
      </w:r>
      <w:r>
        <w:rPr>
          <w:rFonts w:ascii="Arial" w:cs="Arial" w:eastAsia="Arial" w:hAnsi="Arial"/>
          <w:sz w:val="19"/>
          <w:szCs w:val="19"/>
          <w:b w:val="1"/>
          <w:bCs w:val="1"/>
          <w:color w:val="auto"/>
        </w:rPr>
        <w:t>"Action"</w:t>
      </w:r>
      <w:r>
        <w:rPr>
          <w:rFonts w:ascii="Arial" w:cs="Arial" w:eastAsia="Arial" w:hAnsi="Arial"/>
          <w:sz w:val="19"/>
          <w:szCs w:val="19"/>
          <w:color w:val="auto"/>
        </w:rPr>
        <w:t>) brought by any third party against Customer or its affiliates alleging: (a) the infringement or misappropriation of any Intellectual Property Rights relating to the delivery or use of the Services (excluding any contributory infringement by the Customer); (b) personal injury and/or property damage to the extent caused by the [gross] negligence or willful misconduct of RagingWire; or (c) any violation of or failure to comply with the Rules and Regulations. Customer may retain its own counsel to assist in the defense of any indemnified Action, at its own expense and provided RagingWire shall retain control over such defense.</w:t>
      </w:r>
    </w:p>
    <w:p>
      <w:pPr>
        <w:spacing w:after="0" w:line="166" w:lineRule="exact"/>
        <w:rPr>
          <w:sz w:val="20"/>
          <w:szCs w:val="20"/>
          <w:color w:val="auto"/>
        </w:rPr>
      </w:pPr>
    </w:p>
    <w:p>
      <w:pPr>
        <w:ind w:right="40" w:firstLine="249"/>
        <w:spacing w:after="0" w:line="24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Indemnification By Customer</w:t>
      </w:r>
      <w:r>
        <w:rPr>
          <w:rFonts w:ascii="Arial" w:cs="Arial" w:eastAsia="Arial" w:hAnsi="Arial"/>
          <w:sz w:val="19"/>
          <w:szCs w:val="19"/>
          <w:color w:val="auto"/>
        </w:rPr>
        <w:t xml:space="preserve"> Customer agrees to indemnify, defend and hold harmless RagingWire, its employees, agents, affiliates and customers (collectively the </w:t>
      </w:r>
      <w:r>
        <w:rPr>
          <w:rFonts w:ascii="Arial" w:cs="Arial" w:eastAsia="Arial" w:hAnsi="Arial"/>
          <w:sz w:val="19"/>
          <w:szCs w:val="19"/>
          <w:b w:val="1"/>
          <w:bCs w:val="1"/>
          <w:color w:val="auto"/>
        </w:rPr>
        <w:t>"RagingWire Indemnitees"</w:t>
      </w:r>
      <w:r>
        <w:rPr>
          <w:rFonts w:ascii="Arial" w:cs="Arial" w:eastAsia="Arial" w:hAnsi="Arial"/>
          <w:sz w:val="19"/>
          <w:szCs w:val="19"/>
          <w:color w:val="auto"/>
        </w:rPr>
        <w:t>) from and against Losses resulting from (i) a breach of its warranties contained in this Agreement or SLA; (ii) any Action brought by any third party against any of the RagingWire Indemnitees alleging: (a) the infringement or misappropriation of any Intellectual Property Rights relating to the use of the Services; (b) personal injury and/or property damage to the extent caused by the negligence or misconduct of Customer or its Representatives; (c) any violation of or failure to comply with the Rules and Regulations by Customer or its Representatives; (d) any damage or destruction to the Customer Area, the Data Center(s), RagingWire Supplied Equipment or equipment of any third party caused by Customer or its Representatives; (e) damages as a result of the use or occupancy of the Customer Area or Data Center(s) by Customer or its Representatives; (f) infringement or misappropriation of any Intellectual Property Rights of any third party by Customer or its Representatives; (g) defamation, libel, slander, obscenity, pornography, or violation of the rights of privacy or publicity of any third party by Customer or its Representatives; (h) spamming, or any other offensive, harassing or illegal conduct or violation of the Rules and Regulations by Customer or its Representatives, or The RagingWire Indemnitees may retain their own counsel to assist in the defense of any indemnified Action, at their own expense and provided Customer shall retain control over such defense.</w:t>
      </w:r>
    </w:p>
    <w:p>
      <w:pPr>
        <w:spacing w:after="0" w:line="169" w:lineRule="exact"/>
        <w:rPr>
          <w:sz w:val="20"/>
          <w:szCs w:val="20"/>
          <w:color w:val="auto"/>
        </w:rPr>
      </w:pPr>
    </w:p>
    <w:p>
      <w:pPr>
        <w:ind w:right="140" w:firstLine="249"/>
        <w:spacing w:after="0" w:line="26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Additional Indemnities of Customer</w:t>
      </w:r>
      <w:r>
        <w:rPr>
          <w:rFonts w:ascii="Arial" w:cs="Arial" w:eastAsia="Arial" w:hAnsi="Arial"/>
          <w:sz w:val="18"/>
          <w:szCs w:val="18"/>
          <w:color w:val="auto"/>
        </w:rPr>
        <w:t xml:space="preserve"> RagingWireshall have no liability for, and Customer shall indemnify, defend and hold the RagingWire Indemnitees harmless against, any Losses arising from Actions alleging any infringement of the Intellectual Property Rights of a third party resulting from (i) compliance with Customer's designs, specifications, or instructions; (ii) modification of the Services or the RagingWire Supplied Equipment by Customer or its Representatives; (iii) use of the Services or the RagingWire Supplied Equipment other than as authorized by RagingWire; (iv) use or combination of such the Services or the RagingWire Supplied Equipment with any items not supplied by RagingWire (including, without limitation, any Additions) or Customer's failure to use updated or modified versions of the Services or the RagingWire Supplied Equipment provided by RagingWire; or (v) any information provided by Customer to RagingWire.</w:t>
      </w:r>
    </w:p>
    <w:p>
      <w:pPr>
        <w:spacing w:after="0" w:line="146" w:lineRule="exact"/>
        <w:rPr>
          <w:sz w:val="20"/>
          <w:szCs w:val="20"/>
          <w:color w:val="auto"/>
        </w:rPr>
      </w:pPr>
    </w:p>
    <w:p>
      <w:pPr>
        <w:ind w:right="140" w:firstLine="249"/>
        <w:spacing w:after="0" w:line="26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Notice</w:t>
      </w:r>
      <w:r>
        <w:rPr>
          <w:rFonts w:ascii="Arial" w:cs="Arial" w:eastAsia="Arial" w:hAnsi="Arial"/>
          <w:sz w:val="18"/>
          <w:szCs w:val="18"/>
          <w:color w:val="auto"/>
        </w:rPr>
        <w:t>. Each Party's indemnification obligations set forth in Section 11.1 ("Indemnification By RagingWire") and Section 11.2 ("Indemnification By Customer") shall be subject to the following: (i) receiving prompt and sufficient written notice of the existence of any Action so that the indemnifying Party is not prejudiced by a lack of notice; (ii) being able, at its option, to control the defense of such Action;</w:t>
      </w:r>
    </w:p>
    <w:p>
      <w:pPr>
        <w:spacing w:after="0" w:line="1" w:lineRule="exact"/>
        <w:rPr>
          <w:sz w:val="20"/>
          <w:szCs w:val="20"/>
          <w:color w:val="auto"/>
        </w:rPr>
      </w:pPr>
    </w:p>
    <w:p>
      <w:pPr>
        <w:ind w:right="140"/>
        <w:spacing w:after="0" w:line="242" w:lineRule="auto"/>
        <w:tabs>
          <w:tab w:leader="none" w:pos="34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indemnified party not settling any such action, claim or suit without the indemnifying party's prior written consent; and (iv) receiving full cooperation of the indemnified Party in the defense of such Action.</w:t>
      </w:r>
    </w:p>
    <w:p>
      <w:pPr>
        <w:spacing w:after="0" w:line="168" w:lineRule="exact"/>
        <w:rPr>
          <w:sz w:val="20"/>
          <w:szCs w:val="20"/>
          <w:color w:val="auto"/>
        </w:rPr>
      </w:pPr>
    </w:p>
    <w:p>
      <w:pPr>
        <w:ind w:firstLine="249"/>
        <w:spacing w:after="0" w:line="237"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Enjoinment</w:t>
      </w:r>
      <w:r>
        <w:rPr>
          <w:rFonts w:ascii="Arial" w:cs="Arial" w:eastAsia="Arial" w:hAnsi="Arial"/>
          <w:sz w:val="20"/>
          <w:szCs w:val="20"/>
          <w:color w:val="auto"/>
        </w:rPr>
        <w:t xml:space="preserve"> If Customer's use of the Services or the RagingWire Supplied Equipment under the terms of this Agreement is, or in RagingWire's opinion is likely to be, enjoined or RagingWire desires to limit its exposure to an Action, then RagingWire may, at its sole option and expense, either: (i) procure for Customer the right to continue using such Services or RagingWire Supplied Equipment under the terms of this Agreement; (ii) replace or modify such Services or RagingWire Supplied Equipment so that it is or they are non-infringing and substantially equivalent in function to the enjoined Services or RagingWire Supplied Equipment; or (iii) if options (i) and (ii) above cannot be accomplished despite the reasonable efforts of RagingWire, then RagingWire may terminate Customer's rights and RagingWire's obligations under this Agreement with respect to such Services or RagingWire Supplied Equipment and refund to Customer the unearned portion of any fees paid to RagingWire.</w:t>
      </w:r>
    </w:p>
    <w:p>
      <w:pPr>
        <w:spacing w:after="0" w:line="177" w:lineRule="exact"/>
        <w:rPr>
          <w:sz w:val="20"/>
          <w:szCs w:val="20"/>
          <w:color w:val="auto"/>
        </w:rPr>
      </w:pPr>
    </w:p>
    <w:p>
      <w:pPr>
        <w:ind w:right="220" w:firstLine="249"/>
        <w:spacing w:after="0" w:line="246"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Sole and Exclusive Obligations and Remedies</w:t>
      </w:r>
      <w:r>
        <w:rPr>
          <w:rFonts w:ascii="Arial" w:cs="Arial" w:eastAsia="Arial" w:hAnsi="Arial"/>
          <w:sz w:val="20"/>
          <w:szCs w:val="20"/>
          <w:color w:val="auto"/>
        </w:rPr>
        <w:t>. THE FOREGOING INDEMNITY AND LIMITED REMEDIES ARE THE PARTIES SOLE AND EXCLUSIVE OBLIGATIONS, AND THE PARTIES SOLE AND EXCLUSIVE REMEDIES, WITH RESPECT TO INFRINGEMENT OR MISAPPROPRIATION OF ANY INTELLECTUAL PROPERTY RIGHTS.</w:t>
      </w:r>
    </w:p>
    <w:p>
      <w:pPr>
        <w:spacing w:after="0" w:line="159" w:lineRule="exact"/>
        <w:rPr>
          <w:sz w:val="20"/>
          <w:szCs w:val="20"/>
          <w:color w:val="auto"/>
        </w:rPr>
      </w:pPr>
    </w:p>
    <w:p>
      <w:pPr>
        <w:ind w:left="500" w:hanging="500"/>
        <w:spacing w:after="0"/>
        <w:tabs>
          <w:tab w:leader="none" w:pos="5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00" w:lineRule="exact"/>
        <w:rPr>
          <w:sz w:val="20"/>
          <w:szCs w:val="20"/>
          <w:color w:val="auto"/>
        </w:rPr>
      </w:pPr>
    </w:p>
    <w:p>
      <w:pPr>
        <w:ind w:right="180" w:firstLine="249"/>
        <w:spacing w:after="0"/>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Either Customer or RagingWire may terminate any Services or this Agreement without cause, provided that the terminating Party notifies the other Party in writing at least one hundred and eighty (180) days prior to the end of the Initial Term (or a Renewal Term, if applicable), in which case such Services or the Agreement shall terminate at the end of such term. The termination of any particular Service will not affect Customer's obligation to pay for other Services or any other amounts due from Customer to RagingWire.</w:t>
      </w:r>
    </w:p>
    <w:p>
      <w:pPr>
        <w:sectPr>
          <w:pgSz w:w="11900" w:h="16838" w:orient="portrait"/>
          <w:cols w:equalWidth="0" w:num="1">
            <w:col w:w="11420"/>
          </w:cols>
          <w:pgMar w:left="240" w:top="120" w:right="239" w:bottom="0" w:gutter="0" w:footer="0" w:header="0"/>
        </w:sectPr>
      </w:pPr>
    </w:p>
    <w:bookmarkStart w:id="69" w:name="page70"/>
    <w:bookmarkEnd w:id="69"/>
    <w:p>
      <w:pPr>
        <w:ind w:left="240"/>
        <w:spacing w:after="0"/>
        <w:tabs>
          <w:tab w:leader="none" w:pos="8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95" w:lineRule="exact"/>
        <w:rPr>
          <w:sz w:val="20"/>
          <w:szCs w:val="20"/>
          <w:color w:val="auto"/>
        </w:rPr>
      </w:pPr>
    </w:p>
    <w:p>
      <w:pPr>
        <w:ind w:right="200" w:firstLine="847"/>
        <w:spacing w:after="0"/>
        <w:rPr>
          <w:sz w:val="20"/>
          <w:szCs w:val="20"/>
          <w:color w:val="auto"/>
        </w:rPr>
      </w:pPr>
      <w:r>
        <w:rPr>
          <w:rFonts w:ascii="Arial" w:cs="Arial" w:eastAsia="Arial" w:hAnsi="Arial"/>
          <w:sz w:val="20"/>
          <w:szCs w:val="20"/>
          <w:color w:val="auto"/>
        </w:rPr>
        <w:t>12.2.1 For Curable Breach. Subject to Section 7.2 ("Service Level Goals"), either Customer or RagingWire may terminate this Agreement if the other Party breaches any material term or condition of this Agreement and fails to cure such breach within thirty (30) days after receipt of written notice of the same, except in the case of failure to pay fees, which must be cured within five (5) business days after receipt of written notice from RagingWire. Customer may also terminate Services to be provided in the future and the obligation to pay for such future Services in accordance with the terms of the applicable 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-598805</wp:posOffset>
            </wp:positionV>
            <wp:extent cx="102997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9970" cy="7620"/>
                    </a:xfrm>
                    <a:prstGeom prst="rect">
                      <a:avLst/>
                    </a:prstGeom>
                    <a:noFill/>
                  </pic:spPr>
                </pic:pic>
              </a:graphicData>
            </a:graphic>
          </wp:anchor>
        </w:drawing>
      </w:r>
    </w:p>
    <w:p>
      <w:pPr>
        <w:spacing w:after="0" w:line="151" w:lineRule="exact"/>
        <w:rPr>
          <w:sz w:val="20"/>
          <w:szCs w:val="20"/>
          <w:color w:val="auto"/>
        </w:rPr>
      </w:pPr>
    </w:p>
    <w:p>
      <w:pPr>
        <w:ind w:right="40" w:firstLine="798"/>
        <w:spacing w:after="0"/>
        <w:rPr>
          <w:sz w:val="20"/>
          <w:szCs w:val="20"/>
          <w:color w:val="auto"/>
        </w:rPr>
      </w:pPr>
      <w:r>
        <w:rPr>
          <w:rFonts w:ascii="Arial" w:cs="Arial" w:eastAsia="Arial" w:hAnsi="Arial"/>
          <w:sz w:val="20"/>
          <w:szCs w:val="20"/>
          <w:color w:val="auto"/>
        </w:rPr>
        <w:t xml:space="preserve">12.2.2 </w:t>
      </w:r>
      <w:r>
        <w:rPr>
          <w:rFonts w:ascii="Arial" w:cs="Arial" w:eastAsia="Arial" w:hAnsi="Arial"/>
          <w:sz w:val="20"/>
          <w:szCs w:val="20"/>
          <w:u w:val="single" w:color="auto"/>
          <w:color w:val="auto"/>
        </w:rPr>
        <w:t>Insolvency</w:t>
      </w:r>
      <w:r>
        <w:rPr>
          <w:rFonts w:ascii="Arial" w:cs="Arial" w:eastAsia="Arial" w:hAnsi="Arial"/>
          <w:sz w:val="20"/>
          <w:szCs w:val="20"/>
          <w:color w:val="auto"/>
        </w:rPr>
        <w:t>. Either party may terminate this Agreement effective upon written notice if Customer: (i) becomes the subject of an involuntary petition in bankruptcy or any involuntary proceeding relating to insolvency, receivership, liquidation, or composition for the benefit of creditors, if such involuntary petition or involuntary proceeding is not dismissed within thirty (30) days of filing; or (ii) becomes the subject of a voluntary petition in bankruptcy or any voluntary proceeding relating to insolvency, receivership, liquidation, or composition for the benefit of creditors.</w:t>
      </w:r>
    </w:p>
    <w:p>
      <w:pPr>
        <w:spacing w:after="0" w:line="171" w:lineRule="exact"/>
        <w:rPr>
          <w:sz w:val="20"/>
          <w:szCs w:val="20"/>
          <w:color w:val="auto"/>
        </w:rPr>
      </w:pPr>
    </w:p>
    <w:p>
      <w:pPr>
        <w:ind w:right="100" w:firstLine="798"/>
        <w:spacing w:after="0" w:line="258" w:lineRule="auto"/>
        <w:rPr>
          <w:sz w:val="20"/>
          <w:szCs w:val="20"/>
          <w:color w:val="auto"/>
        </w:rPr>
      </w:pPr>
      <w:r>
        <w:rPr>
          <w:rFonts w:ascii="Arial" w:cs="Arial" w:eastAsia="Arial" w:hAnsi="Arial"/>
          <w:sz w:val="20"/>
          <w:szCs w:val="20"/>
          <w:color w:val="auto"/>
        </w:rPr>
        <w:t xml:space="preserve">12.2.3 </w:t>
      </w:r>
      <w:r>
        <w:rPr>
          <w:rFonts w:ascii="Arial" w:cs="Arial" w:eastAsia="Arial" w:hAnsi="Arial"/>
          <w:sz w:val="20"/>
          <w:szCs w:val="20"/>
          <w:u w:val="single" w:color="auto"/>
          <w:color w:val="auto"/>
        </w:rPr>
        <w:t>Incurable Breach E</w:t>
      </w:r>
      <w:r>
        <w:rPr>
          <w:rFonts w:ascii="Arial" w:cs="Arial" w:eastAsia="Arial" w:hAnsi="Arial"/>
          <w:sz w:val="20"/>
          <w:szCs w:val="20"/>
          <w:color w:val="auto"/>
        </w:rPr>
        <w:t>ither Party may terminate this Agreement effective upon written notice, if the other Party has breached its obligations of confidentiality set forth in Section 6.1 ("Confidential Information").</w:t>
      </w:r>
    </w:p>
    <w:p>
      <w:pPr>
        <w:spacing w:after="0" w:line="154" w:lineRule="exact"/>
        <w:rPr>
          <w:sz w:val="20"/>
          <w:szCs w:val="20"/>
          <w:color w:val="auto"/>
        </w:rPr>
      </w:pPr>
    </w:p>
    <w:p>
      <w:pPr>
        <w:ind w:right="160" w:firstLine="249"/>
        <w:spacing w:after="0" w:line="31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Liability Upon Expiration</w:t>
      </w:r>
      <w:r>
        <w:rPr>
          <w:rFonts w:ascii="Arial" w:cs="Arial" w:eastAsia="Arial" w:hAnsi="Arial"/>
          <w:sz w:val="18"/>
          <w:szCs w:val="18"/>
          <w:color w:val="auto"/>
        </w:rPr>
        <w:t>. Neither Party shall be liable to the other Party for any expiration of any Service in accordance with the terms of the applicable SLA or, excepting Section 12.2 ("Termination for Cause"), this Agreement in accordance with its terms.</w:t>
      </w:r>
    </w:p>
    <w:p>
      <w:pPr>
        <w:spacing w:after="0" w:line="106"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the effective date of termination of a Service pursuant to this Agreement:</w:t>
      </w:r>
    </w:p>
    <w:p>
      <w:pPr>
        <w:spacing w:after="0" w:line="19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20"/>
          <w:szCs w:val="20"/>
          <w:color w:val="auto"/>
        </w:rPr>
        <w:t>12.4.1</w:t>
      </w:r>
      <w:r>
        <w:rPr>
          <w:sz w:val="20"/>
          <w:szCs w:val="20"/>
          <w:color w:val="auto"/>
        </w:rPr>
        <w:tab/>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RagingWire will immediately cease providing such Service;</w:t>
      </w:r>
    </w:p>
    <w:p>
      <w:pPr>
        <w:spacing w:after="0" w:line="194" w:lineRule="exact"/>
        <w:rPr>
          <w:sz w:val="20"/>
          <w:szCs w:val="20"/>
          <w:color w:val="auto"/>
        </w:rPr>
      </w:pPr>
    </w:p>
    <w:p>
      <w:pPr>
        <w:jc w:val="both"/>
        <w:ind w:right="80" w:firstLine="798"/>
        <w:spacing w:after="0" w:line="246" w:lineRule="auto"/>
        <w:rPr>
          <w:sz w:val="20"/>
          <w:szCs w:val="20"/>
          <w:color w:val="auto"/>
        </w:rPr>
      </w:pPr>
      <w:r>
        <w:rPr>
          <w:rFonts w:ascii="Arial" w:cs="Arial" w:eastAsia="Arial" w:hAnsi="Arial"/>
          <w:sz w:val="20"/>
          <w:szCs w:val="20"/>
          <w:color w:val="auto"/>
        </w:rPr>
        <w:t xml:space="preserve">12.4.2 </w:t>
      </w:r>
      <w:r>
        <w:rPr>
          <w:rFonts w:ascii="Arial" w:cs="Arial" w:eastAsia="Arial" w:hAnsi="Arial"/>
          <w:sz w:val="20"/>
          <w:szCs w:val="20"/>
          <w:u w:val="single" w:color="auto"/>
          <w:color w:val="auto"/>
        </w:rPr>
        <w:t>Payment</w:t>
      </w:r>
      <w:r>
        <w:rPr>
          <w:rFonts w:ascii="Arial" w:cs="Arial" w:eastAsia="Arial" w:hAnsi="Arial"/>
          <w:sz w:val="20"/>
          <w:szCs w:val="20"/>
          <w:color w:val="auto"/>
        </w:rPr>
        <w:t>. Any and all payment obligations of Customer under this Agreement for such Service provided through the date of termination shall immediately become due and payable, and such payment obligations shall accrue interest, from the date that is thirty (30) days after the final invoice date for such Service, at the Applicable Rate; and</w:t>
      </w:r>
    </w:p>
    <w:p>
      <w:pPr>
        <w:spacing w:after="0" w:line="165" w:lineRule="exact"/>
        <w:rPr>
          <w:sz w:val="20"/>
          <w:szCs w:val="20"/>
          <w:color w:val="auto"/>
        </w:rPr>
      </w:pPr>
    </w:p>
    <w:p>
      <w:pPr>
        <w:ind w:right="20" w:firstLine="748"/>
        <w:spacing w:after="0" w:line="269" w:lineRule="auto"/>
        <w:rPr>
          <w:sz w:val="20"/>
          <w:szCs w:val="20"/>
          <w:color w:val="auto"/>
        </w:rPr>
      </w:pPr>
      <w:r>
        <w:rPr>
          <w:rFonts w:ascii="Arial" w:cs="Arial" w:eastAsia="Arial" w:hAnsi="Arial"/>
          <w:sz w:val="18"/>
          <w:szCs w:val="18"/>
          <w:color w:val="auto"/>
        </w:rPr>
        <w:t xml:space="preserve">12.4.3 </w:t>
      </w:r>
      <w:r>
        <w:rPr>
          <w:rFonts w:ascii="Arial" w:cs="Arial" w:eastAsia="Arial" w:hAnsi="Arial"/>
          <w:sz w:val="18"/>
          <w:szCs w:val="18"/>
          <w:u w:val="single" w:color="auto"/>
          <w:color w:val="auto"/>
        </w:rPr>
        <w:t>Return of Equipment</w:t>
      </w:r>
      <w:r>
        <w:rPr>
          <w:rFonts w:ascii="Arial" w:cs="Arial" w:eastAsia="Arial" w:hAnsi="Arial"/>
          <w:sz w:val="18"/>
          <w:szCs w:val="18"/>
          <w:color w:val="auto"/>
        </w:rPr>
        <w:t>. Subject to Section 12.5 ("Customer Equipment as Security"), within ten (10) business days of such termination Customer shall, with respect to such Service: (i) remove from the Data Center(s) all associated Customer Equipment (excluding any RagingWire Supplied Equipment) and any other Customer property; (ii) deliver or make available all associated RagingWire Supplied Equipment to an authorized representative of RagingWire; and (iii) return the Customer Area to RagingWire in the same condition as it was on the Service Commencement Date, normal wear and tear excepted. If Customer does not remove the Customer Equipment and other Customer property within such ten (10) business day period, RagingWire will have the option to (i) move any and all such property to secure storage and charge Customer for the cost of such removal and storage, and/or (ii) liquidate the property in any reasonable manner.</w:t>
      </w:r>
    </w:p>
    <w:p>
      <w:pPr>
        <w:spacing w:after="0" w:line="146"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 xml:space="preserve">Survival. </w:t>
      </w:r>
      <w:r>
        <w:rPr>
          <w:rFonts w:ascii="Arial" w:cs="Arial" w:eastAsia="Arial" w:hAnsi="Arial"/>
          <w:sz w:val="18"/>
          <w:szCs w:val="18"/>
          <w:color w:val="auto"/>
        </w:rPr>
        <w:t>The following will survive any expiration or termination of this Agreement: Sections 3.2, 5, 6.1, 6.2, 6.4, 7.2, 7.4, 7.5, 8,</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9.4, 9.5, 10, 11, 12 and 13.</w:t>
      </w:r>
    </w:p>
    <w:p>
      <w:pPr>
        <w:spacing w:after="0" w:line="172" w:lineRule="exact"/>
        <w:rPr>
          <w:sz w:val="20"/>
          <w:szCs w:val="20"/>
          <w:color w:val="auto"/>
        </w:rPr>
      </w:pPr>
    </w:p>
    <w:p>
      <w:pPr>
        <w:ind w:left="500" w:hanging="500"/>
        <w:spacing w:after="0"/>
        <w:tabs>
          <w:tab w:leader="none" w:pos="5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ind w:right="40" w:firstLine="249"/>
        <w:spacing w:after="0" w:line="26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Excepting any financial obligations arising under this Agreement, neither RagingWire nor Customer shall be liable for any failure or delay in its performance, including Service Outages, under this Agreement due to any cause beyond its reasonable control, including, without limitation, acts of war, acts of God, earthquake, flood, fire, embargo, riot, sabotage, labor dispute, strike or lockout, failure of an energy provider to supply power, governmental act or failure of the Internet (not resulting from the actions or inactions of a Party) (each, a </w:t>
      </w:r>
      <w:r>
        <w:rPr>
          <w:rFonts w:ascii="Arial" w:cs="Arial" w:eastAsia="Arial" w:hAnsi="Arial"/>
          <w:sz w:val="18"/>
          <w:szCs w:val="18"/>
          <w:b w:val="1"/>
          <w:bCs w:val="1"/>
          <w:color w:val="auto"/>
        </w:rPr>
        <w:t>"Force Majeure Event"</w:t>
      </w:r>
      <w:r>
        <w:rPr>
          <w:rFonts w:ascii="Arial" w:cs="Arial" w:eastAsia="Arial" w:hAnsi="Arial"/>
          <w:sz w:val="18"/>
          <w:szCs w:val="18"/>
          <w:color w:val="auto"/>
        </w:rPr>
        <w:t>), provided that the delayed Party: (i) gives the other Party prompt notice of such cause; and (ii) uses commercially reasonable efforts to correct such failure or delay in performance. In the event that a Force Majeure event continues for a period of five (5) business days, either party shall have the right to terminate this Agreement and any SLA upon written notice to the other party.</w:t>
      </w:r>
    </w:p>
    <w:p>
      <w:pPr>
        <w:spacing w:after="0" w:line="146" w:lineRule="exact"/>
        <w:rPr>
          <w:sz w:val="20"/>
          <w:szCs w:val="20"/>
          <w:color w:val="auto"/>
        </w:rPr>
      </w:pPr>
    </w:p>
    <w:p>
      <w:pPr>
        <w:ind w:right="100" w:firstLine="249"/>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Lease; Other Limitations</w:t>
      </w:r>
      <w:r>
        <w:rPr>
          <w:rFonts w:ascii="Arial" w:cs="Arial" w:eastAsia="Arial" w:hAnsi="Arial"/>
          <w:sz w:val="18"/>
          <w:szCs w:val="18"/>
          <w:color w:val="auto"/>
        </w:rPr>
        <w:t>. This Agreement is an agreement for services and is not intended to and shall not constitute a lease of any real property or a transaction for the sale of goods. Customer acknowledges and agrees that: (i) it has been granted only a non-exclusive, non-transferable revocable license to occupy the Customer Area and use the Data Center(s) and any RagingWire Supplied Equipment in accordance with this Agreement; (ii) Customer has not been granted any real property interest in the Customer Area or Data Center(s);</w:t>
      </w:r>
    </w:p>
    <w:p>
      <w:pPr>
        <w:spacing w:after="0" w:line="3" w:lineRule="exact"/>
        <w:rPr>
          <w:sz w:val="20"/>
          <w:szCs w:val="20"/>
          <w:color w:val="auto"/>
        </w:rPr>
      </w:pPr>
    </w:p>
    <w:p>
      <w:pPr>
        <w:ind w:right="120"/>
        <w:spacing w:after="0" w:line="263"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has no rights as a tenant or otherwise under any real property or landlord/tenant laws, regulations, or ordinances and to the full extent permissible under law waives and releases any rights or remedies with respect thereto; (iv) this Agreement, to the extent it involves the use of space or property leased by RagingWire, shall be subordinate to any lease between RagingWire and its landlord(s); and (v) the expiration or termination of any such lease shall terminate this Agreement as to such space or property subject to Customer retaining any rights or claims it may have against RagingWire arising from the expiration or termination of such lease. Customer hereby waives and releases any claims or rights to make a claim that it may have against the landlord(s) and RagingWire under any lease by RagingWire with respect to any Customer Equipment or other property of Customer located in the premises demised to RagingWire by such landlord(s). Customer will comply with all Rules and Regulations concerning use and occupancy of the Customer Area and other areas in the facilities. Except as expressly provided in Section 13.10 ("Assignment"), Customer shall have no right to transfer its rights of use and occupancy of the Customer Area or Data Center(s) or the RagingWire Supplied Equipment in whole or in part, and any attempted sublicense or transfer of its right of use and occupancy under the licenses granted under this Agreement shall be void.</w:t>
      </w:r>
    </w:p>
    <w:p>
      <w:pPr>
        <w:spacing w:after="0" w:line="156" w:lineRule="exact"/>
        <w:rPr>
          <w:sz w:val="20"/>
          <w:szCs w:val="20"/>
          <w:color w:val="auto"/>
        </w:rPr>
      </w:pPr>
    </w:p>
    <w:p>
      <w:pPr>
        <w:ind w:firstLine="249"/>
        <w:spacing w:after="0" w:line="246"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Marketing</w:t>
      </w:r>
      <w:r>
        <w:rPr>
          <w:rFonts w:ascii="Arial" w:cs="Arial" w:eastAsia="Arial" w:hAnsi="Arial"/>
          <w:sz w:val="20"/>
          <w:szCs w:val="20"/>
          <w:color w:val="auto"/>
        </w:rPr>
        <w:t>. Customer agrees that during the term of this Agreement RagingWire may publicly refer to Customer, orally and in writing, as a customer of RagingWire upon the prior written consent of Customer. Any other public reference to Customer by RagingWire will require Customer's prior written consent which consent may be for any reason or no reason withheld.</w:t>
      </w:r>
    </w:p>
    <w:p>
      <w:pPr>
        <w:spacing w:after="0" w:line="165" w:lineRule="exact"/>
        <w:rPr>
          <w:sz w:val="20"/>
          <w:szCs w:val="20"/>
          <w:color w:val="auto"/>
        </w:rPr>
      </w:pPr>
    </w:p>
    <w:p>
      <w:pPr>
        <w:ind w:right="240" w:firstLine="249"/>
        <w:spacing w:after="0" w:line="242"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Government Regulations</w:t>
      </w:r>
      <w:r>
        <w:rPr>
          <w:rFonts w:ascii="Arial" w:cs="Arial" w:eastAsia="Arial" w:hAnsi="Arial"/>
          <w:sz w:val="20"/>
          <w:szCs w:val="20"/>
          <w:color w:val="auto"/>
        </w:rPr>
        <w:t>. Customer will not export, re-export, transfer, or make available, whether directly or indirectly, any regulated item or information to anyone outside the United States in connection with this Agreement without first complying with all export control laws and regulations which may be imposed by the U.S. Government and any country or organization of nations within whose jurisdiction Customer operates or does business.</w:t>
      </w:r>
    </w:p>
    <w:p>
      <w:pPr>
        <w:sectPr>
          <w:pgSz w:w="11900" w:h="16838" w:orient="portrait"/>
          <w:cols w:equalWidth="0" w:num="1">
            <w:col w:w="11420"/>
          </w:cols>
          <w:pgMar w:left="240" w:top="120" w:right="239" w:bottom="95" w:gutter="0" w:footer="0" w:header="0"/>
        </w:sectPr>
      </w:pPr>
    </w:p>
    <w:bookmarkStart w:id="70" w:name="page71"/>
    <w:bookmarkEnd w:id="70"/>
    <w:p>
      <w:pPr>
        <w:ind w:right="200" w:firstLine="249"/>
        <w:spacing w:after="0" w:line="242"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Non-Solicitation</w:t>
      </w:r>
      <w:r>
        <w:rPr>
          <w:rFonts w:ascii="Arial" w:cs="Arial" w:eastAsia="Arial" w:hAnsi="Arial"/>
          <w:sz w:val="20"/>
          <w:szCs w:val="20"/>
          <w:color w:val="auto"/>
        </w:rPr>
        <w:t>. During the Term, neither RagingWire nor Customer will, and each Party will ensure that its respective affiliates do not, directly or indirectly, solicit or attempt to solicit for employment any persons employed by the other Party. Customer further agrees that during the Term, it will not, directly or indirectly, solicit or attempt to solicit for employment any persons contracted by RagingWire to provide any Services to Customer.</w:t>
      </w:r>
    </w:p>
    <w:p>
      <w:pPr>
        <w:spacing w:after="0" w:line="170" w:lineRule="exact"/>
        <w:rPr>
          <w:sz w:val="20"/>
          <w:szCs w:val="20"/>
          <w:color w:val="auto"/>
        </w:rPr>
      </w:pPr>
    </w:p>
    <w:p>
      <w:pPr>
        <w:ind w:right="20" w:firstLine="249"/>
        <w:spacing w:after="0" w:line="246"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RagingWire and Customer each agrees that, except as otherwise expressly provided in Section 11 ("Indemnification"), there shall be no third party beneficiaries to this Agreement, including but not limited to the insurance providers for either Party or the customers of Customer.</w:t>
      </w:r>
    </w:p>
    <w:p>
      <w:pPr>
        <w:spacing w:after="0" w:line="165" w:lineRule="exact"/>
        <w:rPr>
          <w:sz w:val="20"/>
          <w:szCs w:val="20"/>
          <w:color w:val="auto"/>
        </w:rPr>
      </w:pPr>
    </w:p>
    <w:p>
      <w:pPr>
        <w:ind w:right="80" w:firstLine="249"/>
        <w:spacing w:after="0" w:line="256"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Governing Law; Choice of Forum</w:t>
      </w:r>
      <w:r>
        <w:rPr>
          <w:rFonts w:ascii="Arial" w:cs="Arial" w:eastAsia="Arial" w:hAnsi="Arial"/>
          <w:sz w:val="19"/>
          <w:szCs w:val="19"/>
          <w:color w:val="auto"/>
        </w:rPr>
        <w:t>. This Agreement is made under and will be governed by and construed in accordance with the laws of the State of California (except that body of law controlling conflicts of law). The United Nations Convention on Contracts For the International Sale of Goods shall not apply to this Agreement. Any litigation resulting from a dispute or claim arising under or relating to this Agreement shall be resolved in a state or federal court in Sacramento, California. The Parties specifically submit to the personal jurisdiction and subject matter jurisdiction of the state and federal courts located in Sacramento, California.</w:t>
      </w:r>
    </w:p>
    <w:p>
      <w:pPr>
        <w:spacing w:after="0" w:line="156" w:lineRule="exact"/>
        <w:rPr>
          <w:sz w:val="20"/>
          <w:szCs w:val="20"/>
          <w:color w:val="auto"/>
        </w:rPr>
      </w:pPr>
    </w:p>
    <w:p>
      <w:pPr>
        <w:ind w:right="60" w:firstLine="249"/>
        <w:spacing w:after="0"/>
        <w:rPr>
          <w:sz w:val="20"/>
          <w:szCs w:val="20"/>
          <w:color w:val="auto"/>
        </w:rPr>
      </w:pPr>
      <w:r>
        <w:rPr>
          <w:rFonts w:ascii="Arial" w:cs="Arial" w:eastAsia="Arial" w:hAnsi="Arial"/>
          <w:sz w:val="20"/>
          <w:szCs w:val="20"/>
          <w:color w:val="auto"/>
        </w:rPr>
        <w:t xml:space="preserve">13.8 </w:t>
      </w:r>
      <w:r>
        <w:rPr>
          <w:rFonts w:ascii="Arial" w:cs="Arial" w:eastAsia="Arial" w:hAnsi="Arial"/>
          <w:sz w:val="20"/>
          <w:szCs w:val="20"/>
          <w:u w:val="single" w:color="auto"/>
          <w:color w:val="auto"/>
        </w:rPr>
        <w:t>Informal Dispute Resolution</w:t>
      </w:r>
      <w:r>
        <w:rPr>
          <w:rFonts w:ascii="Arial" w:cs="Arial" w:eastAsia="Arial" w:hAnsi="Arial"/>
          <w:sz w:val="20"/>
          <w:szCs w:val="20"/>
          <w:color w:val="auto"/>
        </w:rPr>
        <w:t>. The Parties shall endeavor to settle by mutual discussions in good faith any disputes or claims arising under or relating to this Agreement or any SLA, including the existence, validity, interpretation, performance, termination or breach of this Agreement or any SLA. Within ten (10) days of a Party's notice of a dispute or claim, at least one management level representative from each Party who is not directly involved in the dispute and with proper authority to resolve this matter shall meet face to face and exhaust all reasonable efforts to resolve the matter.</w:t>
      </w:r>
    </w:p>
    <w:p>
      <w:pPr>
        <w:spacing w:after="0" w:line="171" w:lineRule="exact"/>
        <w:rPr>
          <w:sz w:val="20"/>
          <w:szCs w:val="20"/>
          <w:color w:val="auto"/>
        </w:rPr>
      </w:pPr>
    </w:p>
    <w:p>
      <w:pPr>
        <w:ind w:firstLine="249"/>
        <w:spacing w:after="0" w:line="239"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u w:val="single" w:color="auto"/>
          <w:color w:val="auto"/>
        </w:rPr>
        <w:t>Severability; Waiver</w:t>
      </w:r>
      <w:r>
        <w:rPr>
          <w:rFonts w:ascii="Arial" w:cs="Arial" w:eastAsia="Arial" w:hAnsi="Arial"/>
          <w:sz w:val="20"/>
          <w:szCs w:val="20"/>
          <w:color w:val="auto"/>
        </w:rPr>
        <w:t>. If any provision of this Agreement is determined by any court of competent jurisdiction to be invalid, illegal or unenforceable to any extent, that provision shall, if possible, be construed as though more narrowly drawn, if a narrower construction would avoid such invalidity, illegality or unenforceability or, if that is not possible, such provision shall, to the extent of such invalidity, illegality or unenforceability, be severed, and the remaining provisions of this Agreement shall remain in full force and effect. The waiver of any breach or default of this Agreement will not constitute a waiver of any subsequent or continuing breach or default, and will not act to amend or negate the rights of the waiving Party.</w:t>
      </w:r>
    </w:p>
    <w:p>
      <w:pPr>
        <w:spacing w:after="0" w:line="171" w:lineRule="exact"/>
        <w:rPr>
          <w:sz w:val="20"/>
          <w:szCs w:val="20"/>
          <w:color w:val="auto"/>
        </w:rPr>
      </w:pPr>
    </w:p>
    <w:p>
      <w:pPr>
        <w:ind w:right="40" w:firstLine="249"/>
        <w:spacing w:after="0" w:line="242" w:lineRule="auto"/>
        <w:rPr>
          <w:sz w:val="20"/>
          <w:szCs w:val="20"/>
          <w:color w:val="auto"/>
        </w:rPr>
      </w:pPr>
      <w:r>
        <w:rPr>
          <w:rFonts w:ascii="Arial" w:cs="Arial" w:eastAsia="Arial" w:hAnsi="Arial"/>
          <w:sz w:val="20"/>
          <w:szCs w:val="20"/>
          <w:color w:val="auto"/>
        </w:rPr>
        <w:t xml:space="preserve">13.10 </w:t>
      </w:r>
      <w:r>
        <w:rPr>
          <w:rFonts w:ascii="Arial" w:cs="Arial" w:eastAsia="Arial" w:hAnsi="Arial"/>
          <w:sz w:val="20"/>
          <w:szCs w:val="20"/>
          <w:u w:val="single" w:color="auto"/>
          <w:color w:val="auto"/>
        </w:rPr>
        <w:t>Assignment</w:t>
      </w:r>
      <w:r>
        <w:rPr>
          <w:rFonts w:ascii="Arial" w:cs="Arial" w:eastAsia="Arial" w:hAnsi="Arial"/>
          <w:sz w:val="20"/>
          <w:szCs w:val="20"/>
          <w:color w:val="auto"/>
        </w:rPr>
        <w:t>. Customer may assign this Agreement in whole as part of a corporate reorganization, consolidation, merger, or sale of substantially all of its assets with the prior written consent of RagingWire. Customer shall not otherwise assign its rights or delegate its duties under this Agreement either in whole or in part, and any attempted assignment or delegation shall be void. This agreement will bind and inure to the benefit of each party's permitted assigns.</w:t>
      </w:r>
    </w:p>
    <w:p>
      <w:pPr>
        <w:spacing w:after="0" w:line="169" w:lineRule="exact"/>
        <w:rPr>
          <w:sz w:val="20"/>
          <w:szCs w:val="20"/>
          <w:color w:val="auto"/>
        </w:rPr>
      </w:pPr>
    </w:p>
    <w:p>
      <w:pPr>
        <w:ind w:firstLine="249"/>
        <w:spacing w:after="0" w:line="251"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u w:val="single" w:color="auto"/>
          <w:color w:val="auto"/>
        </w:rPr>
        <w:t>Notice</w:t>
      </w:r>
      <w:r>
        <w:rPr>
          <w:rFonts w:ascii="Arial" w:cs="Arial" w:eastAsia="Arial" w:hAnsi="Arial"/>
          <w:sz w:val="19"/>
          <w:szCs w:val="19"/>
          <w:color w:val="auto"/>
        </w:rPr>
        <w:t>. Any notice or communication required or permitted to be given under this Agreement may be delivered by hand, deposited with an overnight courier, sent by registered or certified mail, return receipt requested, postage prepaid, or by facsimile followed by such registered or certified mail, in each case to the address or facsimile number of the receiving Party as listed at the end of this Agreement, or at such other address or facsimile number as may later be furnished in writing by either Party to the other Party. Such notice shall be deemed to have been given upon personal delivery, three (3) days after deposit in the mail or upon electronic acknowledgment of receipt of such facsimile transmission. Notwithstanding the foregoing, notices relating to the Services (including, without limitation, invoices and Notices of Service Commencement) may be delivered from RagingWire to Customer by first class mail, postage prepaid and such notices shall be deemed to have been given three (3) days after deposit in the mail.</w:t>
      </w:r>
    </w:p>
    <w:p>
      <w:pPr>
        <w:spacing w:after="0" w:line="166" w:lineRule="exact"/>
        <w:rPr>
          <w:sz w:val="20"/>
          <w:szCs w:val="20"/>
          <w:color w:val="auto"/>
        </w:rPr>
      </w:pPr>
    </w:p>
    <w:p>
      <w:pPr>
        <w:ind w:right="300" w:firstLine="249"/>
        <w:spacing w:after="0" w:line="242" w:lineRule="auto"/>
        <w:rPr>
          <w:sz w:val="20"/>
          <w:szCs w:val="20"/>
          <w:color w:val="auto"/>
        </w:rPr>
      </w:pPr>
      <w:r>
        <w:rPr>
          <w:rFonts w:ascii="Arial" w:cs="Arial" w:eastAsia="Arial" w:hAnsi="Arial"/>
          <w:sz w:val="20"/>
          <w:szCs w:val="20"/>
          <w:color w:val="auto"/>
        </w:rPr>
        <w:t xml:space="preserve">13.12 </w:t>
      </w:r>
      <w:r>
        <w:rPr>
          <w:rFonts w:ascii="Arial" w:cs="Arial" w:eastAsia="Arial" w:hAnsi="Arial"/>
          <w:sz w:val="20"/>
          <w:szCs w:val="20"/>
          <w:u w:val="single" w:color="auto"/>
          <w:color w:val="auto"/>
        </w:rPr>
        <w:t>Relationship of Parties</w:t>
      </w:r>
      <w:r>
        <w:rPr>
          <w:rFonts w:ascii="Arial" w:cs="Arial" w:eastAsia="Arial" w:hAnsi="Arial"/>
          <w:sz w:val="20"/>
          <w:szCs w:val="20"/>
          <w:color w:val="auto"/>
        </w:rPr>
        <w:t>. RagingWire and Customer are independent contractors and this Agreement will not establish any relationship of partnership, joint venture, employment, franchise or agency between RagingWire and Customer. Neither RagingWire nor Customer will have the power to bind the other or incur obligations on the other's behalf without the other's prior written consent, except as otherwise expressly provided in this Agreement.</w:t>
      </w:r>
    </w:p>
    <w:p>
      <w:pPr>
        <w:spacing w:after="0" w:line="169" w:lineRule="exact"/>
        <w:rPr>
          <w:sz w:val="20"/>
          <w:szCs w:val="20"/>
          <w:color w:val="auto"/>
        </w:rPr>
      </w:pPr>
    </w:p>
    <w:p>
      <w:pPr>
        <w:ind w:right="20" w:firstLine="249"/>
        <w:spacing w:after="0" w:line="266"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Entire Agreement; Counterparts; Originals</w:t>
      </w:r>
      <w:r>
        <w:rPr>
          <w:rFonts w:ascii="Arial" w:cs="Arial" w:eastAsia="Arial" w:hAnsi="Arial"/>
          <w:sz w:val="18"/>
          <w:szCs w:val="18"/>
          <w:color w:val="auto"/>
        </w:rPr>
        <w:t xml:space="preserve">. This Agreement, including all other agreements referred to in this Agreement and documents incorporated by reference, constitutes the complete and exclusive agreement between the Parties with respect to the subject matter hereof, and supersedes and replaces any and all prior or contemporaneous discussions, negotiations, understandings and agreements, written and oral, regarding such subject matter. Any terms and conditions in any purchase order or other response by Customer which are additional to or different from the terms and conditions of this Agreement are hereby deemed rejected by RagingWire without need of further notice of rejection, and shall not be of any effect or in any way binding upon RagingWire. Such purchase order or other response shall not be deemed to be made a part of this Agreement. This Agreement may be executed in two or more counterparts, each of which will be deemed an original, but all of which together shall constitute one and the same instrument. This Agreement may be changed only by a written document signed by authorized representatives of RagingWire and Customer. For purposes of this Agreement, the term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means anything reduced to a tangible form by a Party, including a printed or handwritten document.</w:t>
      </w:r>
    </w:p>
    <w:p>
      <w:pPr>
        <w:spacing w:after="0" w:line="149" w:lineRule="exact"/>
        <w:rPr>
          <w:sz w:val="20"/>
          <w:szCs w:val="20"/>
          <w:color w:val="auto"/>
        </w:rPr>
      </w:pPr>
    </w:p>
    <w:p>
      <w:pPr>
        <w:ind w:right="260" w:firstLine="249"/>
        <w:spacing w:after="0" w:line="246" w:lineRule="auto"/>
        <w:rPr>
          <w:sz w:val="20"/>
          <w:szCs w:val="20"/>
          <w:color w:val="auto"/>
        </w:rPr>
      </w:pPr>
      <w:r>
        <w:rPr>
          <w:rFonts w:ascii="Arial" w:cs="Arial" w:eastAsia="Arial" w:hAnsi="Arial"/>
          <w:sz w:val="20"/>
          <w:szCs w:val="20"/>
          <w:color w:val="auto"/>
        </w:rPr>
        <w:t xml:space="preserve">13.14 </w:t>
      </w:r>
      <w:r>
        <w:rPr>
          <w:rFonts w:ascii="Arial" w:cs="Arial" w:eastAsia="Arial" w:hAnsi="Arial"/>
          <w:sz w:val="20"/>
          <w:szCs w:val="20"/>
          <w:u w:val="single" w:color="auto"/>
          <w:color w:val="auto"/>
        </w:rPr>
        <w:t>Interpretation of Conflicting Terms</w:t>
      </w:r>
      <w:r>
        <w:rPr>
          <w:rFonts w:ascii="Arial" w:cs="Arial" w:eastAsia="Arial" w:hAnsi="Arial"/>
          <w:sz w:val="20"/>
          <w:szCs w:val="20"/>
          <w:color w:val="auto"/>
        </w:rPr>
        <w:t>. In the event of a conflict between or among the terms in this Agreement, a SLA, and any other document made a part hereof, the documents shall control in the following order: (i) this Agreement; (ii) the SLA; and then (iii) other documents.</w:t>
      </w:r>
    </w:p>
    <w:p>
      <w:pPr>
        <w:spacing w:after="0" w:line="165" w:lineRule="exact"/>
        <w:rPr>
          <w:sz w:val="20"/>
          <w:szCs w:val="20"/>
          <w:color w:val="auto"/>
        </w:rPr>
      </w:pPr>
    </w:p>
    <w:p>
      <w:pPr>
        <w:ind w:right="240" w:firstLine="249"/>
        <w:spacing w:after="0" w:line="246" w:lineRule="auto"/>
        <w:rPr>
          <w:sz w:val="20"/>
          <w:szCs w:val="20"/>
          <w:color w:val="auto"/>
        </w:rPr>
      </w:pPr>
      <w:r>
        <w:rPr>
          <w:rFonts w:ascii="Arial" w:cs="Arial" w:eastAsia="Arial" w:hAnsi="Arial"/>
          <w:sz w:val="20"/>
          <w:szCs w:val="20"/>
          <w:color w:val="auto"/>
        </w:rPr>
        <w:t xml:space="preserve">13.15 </w:t>
      </w:r>
      <w:r>
        <w:rPr>
          <w:rFonts w:ascii="Arial" w:cs="Arial" w:eastAsia="Arial" w:hAnsi="Arial"/>
          <w:sz w:val="20"/>
          <w:szCs w:val="20"/>
          <w:u w:val="single" w:color="auto"/>
          <w:color w:val="auto"/>
        </w:rPr>
        <w:t>RagingWire Policies and Procedures</w:t>
      </w:r>
      <w:r>
        <w:rPr>
          <w:rFonts w:ascii="Arial" w:cs="Arial" w:eastAsia="Arial" w:hAnsi="Arial"/>
          <w:sz w:val="20"/>
          <w:szCs w:val="20"/>
          <w:color w:val="auto"/>
        </w:rPr>
        <w:t>. Customer agrees to comply with RagingWire's policies and procedures, including, but not limited to, no tolerance for workplace violence, sexual harrassment, or discrimination. The Policies and Procedures are available for Customer's reference.</w:t>
      </w:r>
    </w:p>
    <w:p>
      <w:pPr>
        <w:spacing w:after="0" w:line="165" w:lineRule="exact"/>
        <w:rPr>
          <w:sz w:val="20"/>
          <w:szCs w:val="20"/>
          <w:color w:val="auto"/>
        </w:rPr>
      </w:pPr>
    </w:p>
    <w:p>
      <w:pPr>
        <w:ind w:left="240"/>
        <w:spacing w:after="0"/>
        <w:tabs>
          <w:tab w:leader="none" w:pos="920" w:val="left"/>
        </w:tabs>
        <w:rPr>
          <w:sz w:val="20"/>
          <w:szCs w:val="20"/>
          <w:color w:val="auto"/>
        </w:rPr>
      </w:pPr>
      <w:r>
        <w:rPr>
          <w:rFonts w:ascii="Arial" w:cs="Arial" w:eastAsia="Arial" w:hAnsi="Arial"/>
          <w:sz w:val="20"/>
          <w:szCs w:val="20"/>
          <w:color w:val="auto"/>
        </w:rPr>
        <w:t>13.16</w:t>
      </w:r>
      <w:r>
        <w:rPr>
          <w:sz w:val="20"/>
          <w:szCs w:val="20"/>
          <w:color w:val="auto"/>
        </w:rPr>
        <w:tab/>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RagingWire providing the Services to Customer.</w:t>
      </w:r>
    </w:p>
    <w:p>
      <w:pPr>
        <w:spacing w:after="0" w:line="194" w:lineRule="exact"/>
        <w:rPr>
          <w:sz w:val="20"/>
          <w:szCs w:val="20"/>
          <w:color w:val="auto"/>
        </w:rPr>
      </w:pPr>
    </w:p>
    <w:p>
      <w:pPr>
        <w:ind w:right="140" w:firstLine="249"/>
        <w:spacing w:after="0" w:line="258" w:lineRule="auto"/>
        <w:rPr>
          <w:sz w:val="20"/>
          <w:szCs w:val="20"/>
          <w:color w:val="auto"/>
        </w:rPr>
      </w:pPr>
      <w:r>
        <w:rPr>
          <w:rFonts w:ascii="Arial" w:cs="Arial" w:eastAsia="Arial" w:hAnsi="Arial"/>
          <w:sz w:val="20"/>
          <w:szCs w:val="20"/>
          <w:color w:val="auto"/>
        </w:rPr>
        <w:t xml:space="preserve">13.17 </w:t>
      </w:r>
      <w:r>
        <w:rPr>
          <w:rFonts w:ascii="Arial" w:cs="Arial" w:eastAsia="Arial" w:hAnsi="Arial"/>
          <w:sz w:val="20"/>
          <w:szCs w:val="20"/>
          <w:u w:val="single" w:color="auto"/>
          <w:color w:val="auto"/>
        </w:rPr>
        <w:t>Right to Inspect Customer Area</w:t>
      </w:r>
      <w:r>
        <w:rPr>
          <w:rFonts w:ascii="Arial" w:cs="Arial" w:eastAsia="Arial" w:hAnsi="Arial"/>
          <w:sz w:val="20"/>
          <w:szCs w:val="20"/>
          <w:color w:val="auto"/>
        </w:rPr>
        <w:t>. Upon advance written notice, Customer may inspect the Customer Area during normal business hours of RagingWire.</w:t>
      </w:r>
    </w:p>
    <w:p>
      <w:pPr>
        <w:spacing w:after="0" w:line="154" w:lineRule="exact"/>
        <w:rPr>
          <w:sz w:val="20"/>
          <w:szCs w:val="20"/>
          <w:color w:val="auto"/>
        </w:rPr>
      </w:pPr>
    </w:p>
    <w:p>
      <w:pPr>
        <w:ind w:right="20" w:firstLine="249"/>
        <w:spacing w:after="0" w:line="258" w:lineRule="auto"/>
        <w:rPr>
          <w:sz w:val="20"/>
          <w:szCs w:val="20"/>
          <w:color w:val="auto"/>
        </w:rPr>
      </w:pPr>
      <w:r>
        <w:rPr>
          <w:rFonts w:ascii="Arial" w:cs="Arial" w:eastAsia="Arial" w:hAnsi="Arial"/>
          <w:sz w:val="20"/>
          <w:szCs w:val="20"/>
          <w:color w:val="auto"/>
        </w:rPr>
        <w:t>IN WITNESS WHEREOF, the Parties have read the foregoing and all documents incorporated in this Agreement and agree and accept such terms as of the Effective Date.</w:t>
      </w:r>
    </w:p>
    <w:p>
      <w:pPr>
        <w:spacing w:after="0" w:line="148" w:lineRule="exact"/>
        <w:rPr>
          <w:sz w:val="20"/>
          <w:szCs w:val="20"/>
          <w:color w:val="auto"/>
        </w:rPr>
      </w:pPr>
    </w:p>
    <w:p>
      <w:pPr>
        <w:spacing w:after="0"/>
        <w:tabs>
          <w:tab w:leader="none" w:pos="3660" w:val="left"/>
        </w:tabs>
        <w:rPr>
          <w:sz w:val="20"/>
          <w:szCs w:val="20"/>
          <w:color w:val="auto"/>
        </w:rPr>
      </w:pPr>
      <w:r>
        <w:rPr>
          <w:rFonts w:ascii="Arial" w:cs="Arial" w:eastAsia="Arial" w:hAnsi="Arial"/>
          <w:sz w:val="20"/>
          <w:szCs w:val="20"/>
          <w:b w:val="1"/>
          <w:bCs w:val="1"/>
          <w:color w:val="auto"/>
        </w:rPr>
        <w:t>PHOTRONICS, INC.:</w:t>
      </w:r>
      <w:r>
        <w:rPr>
          <w:sz w:val="20"/>
          <w:szCs w:val="20"/>
          <w:color w:val="auto"/>
        </w:rPr>
        <w:tab/>
      </w:r>
      <w:r>
        <w:rPr>
          <w:rFonts w:ascii="Arial" w:cs="Arial" w:eastAsia="Arial" w:hAnsi="Arial"/>
          <w:sz w:val="20"/>
          <w:szCs w:val="20"/>
          <w:b w:val="1"/>
          <w:bCs w:val="1"/>
          <w:color w:val="auto"/>
        </w:rPr>
        <w:t>RAGINGWIRE</w:t>
      </w:r>
    </w:p>
    <w:p>
      <w:pPr>
        <w:sectPr>
          <w:pgSz w:w="11900" w:h="16838" w:orient="portrait"/>
          <w:cols w:equalWidth="0" w:num="1">
            <w:col w:w="11420"/>
          </w:cols>
          <w:pgMar w:left="240" w:top="120" w:right="2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gridSpan w:val="13"/>
          </w:tcPr>
          <w:p>
            <w:pPr>
              <w:ind w:left="460"/>
              <w:spacing w:after="0"/>
              <w:rPr>
                <w:sz w:val="20"/>
                <w:szCs w:val="20"/>
                <w:color w:val="auto"/>
              </w:rPr>
            </w:pPr>
            <w:r>
              <w:rPr>
                <w:rFonts w:ascii="Arial" w:cs="Arial" w:eastAsia="Arial" w:hAnsi="Arial"/>
                <w:sz w:val="20"/>
                <w:szCs w:val="20"/>
                <w:b w:val="1"/>
                <w:bCs w:val="1"/>
                <w:color w:val="auto"/>
              </w:rPr>
              <w:t>TELECOMMUNICATIONS, INC.:</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01"/>
        </w:trPr>
        <w:tc>
          <w:tcPr>
            <w:tcW w:w="102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2200" w:type="dxa"/>
            <w:vAlign w:val="bottom"/>
            <w:tcBorders>
              <w:bottom w:val="single" w:sz="8" w:color="auto"/>
            </w:tcBorders>
            <w:gridSpan w:val="12"/>
          </w:tcPr>
          <w:p>
            <w:pPr>
              <w:spacing w:after="0"/>
              <w:rPr>
                <w:sz w:val="24"/>
                <w:szCs w:val="24"/>
                <w:color w:val="auto"/>
              </w:rPr>
            </w:pPr>
          </w:p>
        </w:tc>
        <w:tc>
          <w:tcPr>
            <w:tcW w:w="1480" w:type="dxa"/>
            <w:vAlign w:val="bottom"/>
          </w:tcPr>
          <w:p>
            <w:pPr>
              <w:ind w:left="460"/>
              <w:spacing w:after="0"/>
              <w:rPr>
                <w:sz w:val="20"/>
                <w:szCs w:val="20"/>
                <w:color w:val="auto"/>
              </w:rPr>
            </w:pPr>
            <w:r>
              <w:rPr>
                <w:rFonts w:ascii="Arial" w:cs="Arial" w:eastAsia="Arial" w:hAnsi="Arial"/>
                <w:sz w:val="20"/>
                <w:szCs w:val="20"/>
                <w:color w:val="auto"/>
              </w:rPr>
              <w:t>Signature:</w:t>
            </w:r>
          </w:p>
        </w:tc>
        <w:tc>
          <w:tcPr>
            <w:tcW w:w="2200" w:type="dxa"/>
            <w:vAlign w:val="bottom"/>
            <w:tcBorders>
              <w:bottom w:val="single" w:sz="8" w:color="auto"/>
            </w:tcBorders>
            <w:gridSpan w:val="10"/>
          </w:tcPr>
          <w:p>
            <w:pPr>
              <w:spacing w:after="0"/>
              <w:rPr>
                <w:sz w:val="24"/>
                <w:szCs w:val="24"/>
                <w:color w:val="auto"/>
              </w:rPr>
            </w:pPr>
          </w:p>
        </w:tc>
        <w:tc>
          <w:tcPr>
            <w:tcW w:w="2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060" w:type="dxa"/>
            <w:vAlign w:val="bottom"/>
            <w:gridSpan w:val="4"/>
          </w:tcPr>
          <w:p>
            <w:pPr>
              <w:spacing w:after="0" w:line="205" w:lineRule="exact"/>
              <w:rPr>
                <w:sz w:val="20"/>
                <w:szCs w:val="20"/>
                <w:color w:val="auto"/>
              </w:rPr>
            </w:pPr>
            <w:r>
              <w:rPr>
                <w:rFonts w:ascii="Arial" w:cs="Arial" w:eastAsia="Arial" w:hAnsi="Arial"/>
                <w:sz w:val="20"/>
                <w:szCs w:val="20"/>
                <w:color w:val="auto"/>
                <w:w w:val="98"/>
              </w:rPr>
              <w:t>Print Name:</w:t>
            </w:r>
          </w:p>
        </w:tc>
        <w:tc>
          <w:tcPr>
            <w:tcW w:w="2100" w:type="dxa"/>
            <w:vAlign w:val="bottom"/>
            <w:tcBorders>
              <w:bottom w:val="single" w:sz="8" w:color="auto"/>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1520" w:type="dxa"/>
            <w:vAlign w:val="bottom"/>
            <w:gridSpan w:val="3"/>
          </w:tcPr>
          <w:p>
            <w:pPr>
              <w:ind w:left="460"/>
              <w:spacing w:after="0" w:line="205" w:lineRule="exact"/>
              <w:rPr>
                <w:sz w:val="20"/>
                <w:szCs w:val="20"/>
                <w:color w:val="auto"/>
              </w:rPr>
            </w:pPr>
            <w:r>
              <w:rPr>
                <w:rFonts w:ascii="Arial" w:cs="Arial" w:eastAsia="Arial" w:hAnsi="Arial"/>
                <w:sz w:val="20"/>
                <w:szCs w:val="20"/>
                <w:color w:val="auto"/>
                <w:w w:val="98"/>
              </w:rPr>
              <w:t>Print Name:</w:t>
            </w:r>
          </w:p>
        </w:tc>
        <w:tc>
          <w:tcPr>
            <w:tcW w:w="2100" w:type="dxa"/>
            <w:vAlign w:val="bottom"/>
            <w:tcBorders>
              <w:bottom w:val="single" w:sz="8" w:color="auto"/>
            </w:tcBorders>
            <w:gridSpan w:val="6"/>
          </w:tcPr>
          <w:p>
            <w:pPr>
              <w:spacing w:after="0"/>
              <w:rPr>
                <w:sz w:val="17"/>
                <w:szCs w:val="17"/>
                <w:color w:val="auto"/>
              </w:rPr>
            </w:pPr>
          </w:p>
        </w:tc>
        <w:tc>
          <w:tcPr>
            <w:tcW w:w="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080" w:type="dxa"/>
            <w:vAlign w:val="bottom"/>
            <w:gridSpan w:val="5"/>
          </w:tcPr>
          <w:p>
            <w:pPr>
              <w:spacing w:after="0" w:line="205" w:lineRule="exact"/>
              <w:rPr>
                <w:sz w:val="20"/>
                <w:szCs w:val="20"/>
                <w:color w:val="auto"/>
              </w:rPr>
            </w:pPr>
            <w:r>
              <w:rPr>
                <w:rFonts w:ascii="Arial" w:cs="Arial" w:eastAsia="Arial" w:hAnsi="Arial"/>
                <w:sz w:val="20"/>
                <w:szCs w:val="20"/>
                <w:color w:val="auto"/>
              </w:rPr>
              <w:t>Title:</w:t>
            </w:r>
          </w:p>
        </w:tc>
        <w:tc>
          <w:tcPr>
            <w:tcW w:w="2140" w:type="dxa"/>
            <w:vAlign w:val="bottom"/>
            <w:tcBorders>
              <w:bottom w:val="single" w:sz="8" w:color="auto"/>
            </w:tcBorders>
            <w:gridSpan w:val="9"/>
          </w:tcPr>
          <w:p>
            <w:pPr>
              <w:spacing w:after="0"/>
              <w:rPr>
                <w:sz w:val="17"/>
                <w:szCs w:val="17"/>
                <w:color w:val="auto"/>
              </w:rPr>
            </w:pPr>
          </w:p>
        </w:tc>
        <w:tc>
          <w:tcPr>
            <w:tcW w:w="1520" w:type="dxa"/>
            <w:vAlign w:val="bottom"/>
            <w:gridSpan w:val="3"/>
          </w:tcPr>
          <w:p>
            <w:pPr>
              <w:ind w:left="460"/>
              <w:spacing w:after="0" w:line="205" w:lineRule="exact"/>
              <w:rPr>
                <w:sz w:val="20"/>
                <w:szCs w:val="20"/>
                <w:color w:val="auto"/>
              </w:rPr>
            </w:pPr>
            <w:r>
              <w:rPr>
                <w:rFonts w:ascii="Arial" w:cs="Arial" w:eastAsia="Arial" w:hAnsi="Arial"/>
                <w:sz w:val="20"/>
                <w:szCs w:val="20"/>
                <w:color w:val="auto"/>
              </w:rPr>
              <w:t>Title:</w:t>
            </w:r>
          </w:p>
        </w:tc>
        <w:tc>
          <w:tcPr>
            <w:tcW w:w="2160" w:type="dxa"/>
            <w:vAlign w:val="bottom"/>
            <w:tcBorders>
              <w:bottom w:val="single" w:sz="8" w:color="auto"/>
            </w:tcBorders>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120" w:type="dxa"/>
            <w:vAlign w:val="bottom"/>
            <w:gridSpan w:val="6"/>
          </w:tcPr>
          <w:p>
            <w:pPr>
              <w:ind w:left="60"/>
              <w:spacing w:after="0" w:line="205" w:lineRule="exact"/>
              <w:rPr>
                <w:sz w:val="20"/>
                <w:szCs w:val="20"/>
                <w:color w:val="auto"/>
              </w:rPr>
            </w:pPr>
            <w:r>
              <w:rPr>
                <w:rFonts w:ascii="Arial" w:cs="Arial" w:eastAsia="Arial" w:hAnsi="Arial"/>
                <w:sz w:val="20"/>
                <w:szCs w:val="20"/>
                <w:color w:val="auto"/>
              </w:rPr>
              <w:t>Address:</w:t>
            </w:r>
          </w:p>
        </w:tc>
        <w:tc>
          <w:tcPr>
            <w:tcW w:w="2080" w:type="dxa"/>
            <w:vAlign w:val="bottom"/>
            <w:tcBorders>
              <w:bottom w:val="single" w:sz="8" w:color="auto"/>
            </w:tcBorders>
            <w:gridSpan w:val="7"/>
          </w:tcPr>
          <w:p>
            <w:pPr>
              <w:spacing w:after="0"/>
              <w:rPr>
                <w:sz w:val="17"/>
                <w:szCs w:val="17"/>
                <w:color w:val="auto"/>
              </w:rPr>
            </w:pPr>
          </w:p>
        </w:tc>
        <w:tc>
          <w:tcPr>
            <w:tcW w:w="2260" w:type="dxa"/>
            <w:vAlign w:val="bottom"/>
            <w:gridSpan w:val="7"/>
          </w:tcPr>
          <w:p>
            <w:pPr>
              <w:ind w:left="1100"/>
              <w:spacing w:after="0" w:line="205" w:lineRule="exact"/>
              <w:rPr>
                <w:sz w:val="20"/>
                <w:szCs w:val="20"/>
                <w:color w:val="auto"/>
              </w:rPr>
            </w:pPr>
            <w:r>
              <w:rPr>
                <w:rFonts w:ascii="Arial" w:cs="Arial" w:eastAsia="Arial" w:hAnsi="Arial"/>
                <w:sz w:val="20"/>
                <w:szCs w:val="20"/>
                <w:color w:val="auto"/>
              </w:rPr>
              <w:t>Address:</w:t>
            </w:r>
          </w:p>
        </w:tc>
        <w:tc>
          <w:tcPr>
            <w:tcW w:w="1660" w:type="dxa"/>
            <w:vAlign w:val="bottom"/>
            <w:tcBorders>
              <w:bottom w:val="single" w:sz="8" w:color="auto"/>
            </w:tcBorders>
            <w:gridSpan w:val="6"/>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04"/>
        </w:trPr>
        <w:tc>
          <w:tcPr>
            <w:tcW w:w="1040" w:type="dxa"/>
            <w:vAlign w:val="bottom"/>
            <w:gridSpan w:val="3"/>
          </w:tcPr>
          <w:p>
            <w:pPr>
              <w:spacing w:after="0"/>
              <w:rPr>
                <w:sz w:val="17"/>
                <w:szCs w:val="17"/>
                <w:color w:val="auto"/>
              </w:rPr>
            </w:pPr>
          </w:p>
        </w:tc>
        <w:tc>
          <w:tcPr>
            <w:tcW w:w="60" w:type="dxa"/>
            <w:vAlign w:val="bottom"/>
            <w:gridSpan w:val="3"/>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040" w:type="dxa"/>
            <w:vAlign w:val="bottom"/>
            <w:gridSpan w:val="3"/>
          </w:tcPr>
          <w:p>
            <w:pPr>
              <w:spacing w:after="0" w:line="205" w:lineRule="exact"/>
              <w:rPr>
                <w:sz w:val="20"/>
                <w:szCs w:val="20"/>
                <w:color w:val="auto"/>
              </w:rPr>
            </w:pPr>
            <w:r>
              <w:rPr>
                <w:rFonts w:ascii="Arial" w:cs="Arial" w:eastAsia="Arial" w:hAnsi="Arial"/>
                <w:sz w:val="20"/>
                <w:szCs w:val="20"/>
                <w:color w:val="auto"/>
              </w:rPr>
              <w:t>Facsimile:</w:t>
            </w:r>
          </w:p>
        </w:tc>
        <w:tc>
          <w:tcPr>
            <w:tcW w:w="2180" w:type="dxa"/>
            <w:vAlign w:val="bottom"/>
            <w:tcBorders>
              <w:bottom w:val="single" w:sz="8" w:color="auto"/>
            </w:tcBorders>
            <w:gridSpan w:val="11"/>
          </w:tcPr>
          <w:p>
            <w:pPr>
              <w:spacing w:after="0"/>
              <w:rPr>
                <w:sz w:val="17"/>
                <w:szCs w:val="17"/>
                <w:color w:val="auto"/>
              </w:rPr>
            </w:pPr>
          </w:p>
        </w:tc>
        <w:tc>
          <w:tcPr>
            <w:tcW w:w="1500" w:type="dxa"/>
            <w:vAlign w:val="bottom"/>
            <w:gridSpan w:val="2"/>
          </w:tcPr>
          <w:p>
            <w:pPr>
              <w:ind w:left="460"/>
              <w:spacing w:after="0" w:line="205" w:lineRule="exact"/>
              <w:rPr>
                <w:sz w:val="20"/>
                <w:szCs w:val="20"/>
                <w:color w:val="auto"/>
              </w:rPr>
            </w:pPr>
            <w:r>
              <w:rPr>
                <w:rFonts w:ascii="Arial" w:cs="Arial" w:eastAsia="Arial" w:hAnsi="Arial"/>
                <w:sz w:val="20"/>
                <w:szCs w:val="20"/>
                <w:color w:val="auto"/>
              </w:rPr>
              <w:t>Facsimile:</w:t>
            </w:r>
          </w:p>
        </w:tc>
        <w:tc>
          <w:tcPr>
            <w:tcW w:w="2180" w:type="dxa"/>
            <w:vAlign w:val="bottom"/>
            <w:tcBorders>
              <w:bottom w:val="single" w:sz="8" w:color="auto"/>
            </w:tcBorders>
            <w:gridSpan w:val="9"/>
          </w:tcPr>
          <w:p>
            <w:pPr>
              <w:spacing w:after="0"/>
              <w:rPr>
                <w:sz w:val="17"/>
                <w:szCs w:val="17"/>
                <w:color w:val="auto"/>
              </w:rPr>
            </w:pPr>
          </w:p>
        </w:tc>
        <w:tc>
          <w:tcPr>
            <w:tcW w:w="24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gridSpan w:val="9"/>
          </w:tcPr>
          <w:p>
            <w:pPr>
              <w:spacing w:after="0" w:line="205" w:lineRule="exact"/>
              <w:rPr>
                <w:sz w:val="20"/>
                <w:szCs w:val="20"/>
                <w:color w:val="auto"/>
              </w:rPr>
            </w:pPr>
            <w:r>
              <w:rPr>
                <w:rFonts w:ascii="Arial" w:cs="Arial" w:eastAsia="Arial" w:hAnsi="Arial"/>
                <w:sz w:val="20"/>
                <w:szCs w:val="20"/>
                <w:color w:val="auto"/>
                <w:w w:val="99"/>
              </w:rPr>
              <w:t>E-Mail Address:</w:t>
            </w:r>
          </w:p>
        </w:tc>
        <w:tc>
          <w:tcPr>
            <w:tcW w:w="1780" w:type="dxa"/>
            <w:vAlign w:val="bottom"/>
            <w:tcBorders>
              <w:bottom w:val="single" w:sz="8" w:color="auto"/>
            </w:tcBorders>
            <w:gridSpan w:val="4"/>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5"/>
          </w:tcPr>
          <w:p>
            <w:pPr>
              <w:ind w:left="460"/>
              <w:spacing w:after="0" w:line="205" w:lineRule="exact"/>
              <w:rPr>
                <w:sz w:val="20"/>
                <w:szCs w:val="20"/>
                <w:color w:val="auto"/>
              </w:rPr>
            </w:pPr>
            <w:r>
              <w:rPr>
                <w:rFonts w:ascii="Arial" w:cs="Arial" w:eastAsia="Arial" w:hAnsi="Arial"/>
                <w:sz w:val="20"/>
                <w:szCs w:val="20"/>
                <w:color w:val="auto"/>
                <w:w w:val="97"/>
              </w:rPr>
              <w:t>E-Mail Address:</w:t>
            </w:r>
          </w:p>
        </w:tc>
        <w:tc>
          <w:tcPr>
            <w:tcW w:w="1800" w:type="dxa"/>
            <w:vAlign w:val="bottom"/>
            <w:tcBorders>
              <w:bottom w:val="single" w:sz="8" w:color="auto"/>
            </w:tcBorders>
            <w:gridSpan w:val="5"/>
          </w:tcPr>
          <w:p>
            <w:pPr>
              <w:spacing w:after="0"/>
              <w:rPr>
                <w:sz w:val="17"/>
                <w:szCs w:val="17"/>
                <w:color w:val="auto"/>
              </w:rPr>
            </w:pPr>
          </w:p>
        </w:tc>
        <w:tc>
          <w:tcPr>
            <w:tcW w:w="2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80" w:type="dxa"/>
            <w:vAlign w:val="bottom"/>
            <w:gridSpan w:val="8"/>
          </w:tcPr>
          <w:p>
            <w:pPr>
              <w:spacing w:after="0" w:line="205" w:lineRule="exact"/>
              <w:rPr>
                <w:sz w:val="20"/>
                <w:szCs w:val="20"/>
                <w:color w:val="auto"/>
              </w:rPr>
            </w:pPr>
            <w:r>
              <w:rPr>
                <w:rFonts w:ascii="Arial" w:cs="Arial" w:eastAsia="Arial" w:hAnsi="Arial"/>
                <w:sz w:val="20"/>
                <w:szCs w:val="20"/>
                <w:color w:val="auto"/>
              </w:rPr>
              <w:t>Date:</w:t>
            </w:r>
          </w:p>
        </w:tc>
        <w:tc>
          <w:tcPr>
            <w:tcW w:w="1740" w:type="dxa"/>
            <w:vAlign w:val="bottom"/>
            <w:tcBorders>
              <w:bottom w:val="single" w:sz="8" w:color="auto"/>
            </w:tcBorders>
            <w:gridSpan w:val="2"/>
          </w:tcPr>
          <w:p>
            <w:pPr>
              <w:spacing w:after="0"/>
              <w:rPr>
                <w:sz w:val="17"/>
                <w:szCs w:val="17"/>
                <w:color w:val="auto"/>
              </w:rPr>
            </w:pPr>
          </w:p>
        </w:tc>
        <w:tc>
          <w:tcPr>
            <w:tcW w:w="100" w:type="dxa"/>
            <w:vAlign w:val="bottom"/>
            <w:gridSpan w:val="4"/>
          </w:tcPr>
          <w:p>
            <w:pPr>
              <w:spacing w:after="0"/>
              <w:rPr>
                <w:sz w:val="17"/>
                <w:szCs w:val="17"/>
                <w:color w:val="auto"/>
              </w:rPr>
            </w:pPr>
          </w:p>
        </w:tc>
        <w:tc>
          <w:tcPr>
            <w:tcW w:w="1840" w:type="dxa"/>
            <w:vAlign w:val="bottom"/>
            <w:gridSpan w:val="4"/>
          </w:tcPr>
          <w:p>
            <w:pPr>
              <w:ind w:left="460"/>
              <w:spacing w:after="0" w:line="205" w:lineRule="exact"/>
              <w:rPr>
                <w:sz w:val="20"/>
                <w:szCs w:val="20"/>
                <w:color w:val="auto"/>
              </w:rPr>
            </w:pPr>
            <w:r>
              <w:rPr>
                <w:rFonts w:ascii="Arial" w:cs="Arial" w:eastAsia="Arial" w:hAnsi="Arial"/>
                <w:sz w:val="20"/>
                <w:szCs w:val="20"/>
                <w:color w:val="auto"/>
              </w:rPr>
              <w:t>Date:</w:t>
            </w:r>
          </w:p>
        </w:tc>
        <w:tc>
          <w:tcPr>
            <w:tcW w:w="1740" w:type="dxa"/>
            <w:vAlign w:val="bottom"/>
            <w:tcBorders>
              <w:bottom w:val="single" w:sz="8" w:color="auto"/>
            </w:tcBorders>
            <w:gridSpan w:val="4"/>
          </w:tcPr>
          <w:p>
            <w:pPr>
              <w:spacing w:after="0"/>
              <w:rPr>
                <w:sz w:val="17"/>
                <w:szCs w:val="17"/>
                <w:color w:val="auto"/>
              </w:rPr>
            </w:pPr>
          </w:p>
        </w:tc>
        <w:tc>
          <w:tcPr>
            <w:tcW w:w="34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75"/>
        </w:trPr>
        <w:tc>
          <w:tcPr>
            <w:tcW w:w="3220" w:type="dxa"/>
            <w:vAlign w:val="bottom"/>
            <w:gridSpan w:val="14"/>
          </w:tcPr>
          <w:p>
            <w:pPr>
              <w:spacing w:after="0"/>
              <w:rPr>
                <w:sz w:val="20"/>
                <w:szCs w:val="20"/>
                <w:color w:val="auto"/>
              </w:rPr>
            </w:pPr>
            <w:r>
              <w:rPr>
                <w:rFonts w:ascii="Arial" w:cs="Arial" w:eastAsia="Arial" w:hAnsi="Arial"/>
                <w:sz w:val="20"/>
                <w:szCs w:val="20"/>
                <w:b w:val="1"/>
                <w:bCs w:val="1"/>
                <w:color w:val="auto"/>
              </w:rPr>
              <w:t>Exhibit A</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200" w:type="dxa"/>
            <w:vAlign w:val="bottom"/>
            <w:tcBorders>
              <w:top w:val="single" w:sz="8" w:color="2C2C2C"/>
              <w:bottom w:val="single" w:sz="8" w:color="2C2C2C"/>
            </w:tcBorders>
            <w:gridSpan w:val="13"/>
          </w:tcPr>
          <w:p>
            <w:pPr>
              <w:spacing w:after="0" w:line="209" w:lineRule="exact"/>
              <w:rPr>
                <w:sz w:val="20"/>
                <w:szCs w:val="20"/>
                <w:color w:val="auto"/>
              </w:rPr>
            </w:pPr>
            <w:r>
              <w:rPr>
                <w:rFonts w:ascii="Arial" w:cs="Arial" w:eastAsia="Arial" w:hAnsi="Arial"/>
                <w:sz w:val="20"/>
                <w:szCs w:val="20"/>
                <w:b w:val="1"/>
                <w:bCs w:val="1"/>
                <w:color w:val="auto"/>
              </w:rPr>
              <w:t>Basic Managed Services</w:t>
            </w:r>
          </w:p>
        </w:tc>
        <w:tc>
          <w:tcPr>
            <w:tcW w:w="1480" w:type="dxa"/>
            <w:vAlign w:val="bottom"/>
            <w:tcBorders>
              <w:top w:val="single" w:sz="8" w:color="2C2C2C"/>
              <w:bottom w:val="single" w:sz="8" w:color="2C2C2C"/>
            </w:tcBorders>
          </w:tcPr>
          <w:p>
            <w:pPr>
              <w:spacing w:after="0"/>
              <w:rPr>
                <w:sz w:val="18"/>
                <w:szCs w:val="18"/>
                <w:color w:val="auto"/>
              </w:rPr>
            </w:pPr>
          </w:p>
        </w:tc>
        <w:tc>
          <w:tcPr>
            <w:tcW w:w="20" w:type="dxa"/>
            <w:vAlign w:val="bottom"/>
            <w:tcBorders>
              <w:top w:val="single" w:sz="8" w:color="2C2C2C"/>
              <w:bottom w:val="single" w:sz="8" w:color="2C2C2C"/>
            </w:tcBorders>
          </w:tcPr>
          <w:p>
            <w:pPr>
              <w:spacing w:after="0"/>
              <w:rPr>
                <w:sz w:val="18"/>
                <w:szCs w:val="18"/>
                <w:color w:val="auto"/>
              </w:rPr>
            </w:pPr>
          </w:p>
        </w:tc>
        <w:tc>
          <w:tcPr>
            <w:tcW w:w="20" w:type="dxa"/>
            <w:vAlign w:val="bottom"/>
            <w:tcBorders>
              <w:top w:val="single" w:sz="8" w:color="2C2C2C"/>
              <w:bottom w:val="single" w:sz="8" w:color="2C2C2C"/>
            </w:tcBorders>
          </w:tcPr>
          <w:p>
            <w:pPr>
              <w:spacing w:after="0"/>
              <w:rPr>
                <w:sz w:val="18"/>
                <w:szCs w:val="18"/>
                <w:color w:val="auto"/>
              </w:rPr>
            </w:pPr>
          </w:p>
        </w:tc>
        <w:tc>
          <w:tcPr>
            <w:tcW w:w="320" w:type="dxa"/>
            <w:vAlign w:val="bottom"/>
            <w:tcBorders>
              <w:top w:val="single" w:sz="8" w:color="2C2C2C"/>
              <w:bottom w:val="single" w:sz="8" w:color="2C2C2C"/>
            </w:tcBorders>
          </w:tcPr>
          <w:p>
            <w:pPr>
              <w:spacing w:after="0"/>
              <w:rPr>
                <w:sz w:val="18"/>
                <w:szCs w:val="18"/>
                <w:color w:val="auto"/>
              </w:rPr>
            </w:pPr>
          </w:p>
        </w:tc>
        <w:tc>
          <w:tcPr>
            <w:tcW w:w="20" w:type="dxa"/>
            <w:vAlign w:val="bottom"/>
            <w:tcBorders>
              <w:top w:val="single" w:sz="8" w:color="2C2C2C"/>
              <w:bottom w:val="single" w:sz="8" w:color="2C2C2C"/>
            </w:tcBorders>
          </w:tcPr>
          <w:p>
            <w:pPr>
              <w:spacing w:after="0"/>
              <w:rPr>
                <w:sz w:val="18"/>
                <w:szCs w:val="18"/>
                <w:color w:val="auto"/>
              </w:rPr>
            </w:pPr>
          </w:p>
        </w:tc>
        <w:tc>
          <w:tcPr>
            <w:tcW w:w="340" w:type="dxa"/>
            <w:vAlign w:val="bottom"/>
            <w:tcBorders>
              <w:top w:val="single" w:sz="8" w:color="2C2C2C"/>
              <w:bottom w:val="single" w:sz="8" w:color="2C2C2C"/>
            </w:tcBorders>
          </w:tcPr>
          <w:p>
            <w:pPr>
              <w:spacing w:after="0"/>
              <w:rPr>
                <w:sz w:val="18"/>
                <w:szCs w:val="18"/>
                <w:color w:val="auto"/>
              </w:rPr>
            </w:pPr>
          </w:p>
        </w:tc>
        <w:tc>
          <w:tcPr>
            <w:tcW w:w="60" w:type="dxa"/>
            <w:vAlign w:val="bottom"/>
            <w:tcBorders>
              <w:top w:val="single" w:sz="8" w:color="2C2C2C"/>
              <w:bottom w:val="single" w:sz="8" w:color="2C2C2C"/>
            </w:tcBorders>
          </w:tcPr>
          <w:p>
            <w:pPr>
              <w:spacing w:after="0"/>
              <w:rPr>
                <w:sz w:val="18"/>
                <w:szCs w:val="18"/>
                <w:color w:val="auto"/>
              </w:rPr>
            </w:pPr>
          </w:p>
        </w:tc>
        <w:tc>
          <w:tcPr>
            <w:tcW w:w="1640" w:type="dxa"/>
            <w:vAlign w:val="bottom"/>
            <w:tcBorders>
              <w:top w:val="single" w:sz="8" w:color="2C2C2C"/>
              <w:bottom w:val="single" w:sz="8" w:color="2C2C2C"/>
            </w:tcBorders>
            <w:gridSpan w:val="5"/>
          </w:tcPr>
          <w:p>
            <w:pPr>
              <w:ind w:left="380"/>
              <w:spacing w:after="0" w:line="209" w:lineRule="exact"/>
              <w:rPr>
                <w:sz w:val="20"/>
                <w:szCs w:val="20"/>
                <w:color w:val="auto"/>
              </w:rPr>
            </w:pPr>
            <w:r>
              <w:rPr>
                <w:rFonts w:ascii="Arial" w:cs="Arial" w:eastAsia="Arial" w:hAnsi="Arial"/>
                <w:sz w:val="20"/>
                <w:szCs w:val="20"/>
                <w:b w:val="1"/>
                <w:bCs w:val="1"/>
                <w:color w:val="auto"/>
              </w:rPr>
              <w:t>NRC   MRC</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-819150</wp:posOffset>
            </wp:positionV>
            <wp:extent cx="41275" cy="8324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1275" cy="832485"/>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-653415</wp:posOffset>
            </wp:positionV>
            <wp:extent cx="41275" cy="658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1275" cy="65849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-811530</wp:posOffset>
            </wp:positionV>
            <wp:extent cx="41275" cy="8166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1275" cy="81661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-819150</wp:posOffset>
            </wp:positionV>
            <wp:extent cx="41275" cy="8324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1275" cy="83248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-811530</wp:posOffset>
            </wp:positionV>
            <wp:extent cx="41275" cy="8166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1275" cy="81661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These rates apply for the length of the initial term specified in the Infrastructure SLA.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RagingWire Telecommunications, INC.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Master Services Agreement #1001.0.1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Effective as of January 11,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3"/>
              </w:rPr>
              <w:t>Page</w:t>
            </w:r>
          </w:p>
        </w:tc>
      </w:tr>
      <w:tr>
        <w:trPr>
          <w:trHeight w:val="476"/>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1.</w:t>
            </w:r>
          </w:p>
        </w:tc>
        <w:tc>
          <w:tcPr>
            <w:tcW w:w="6780" w:type="dxa"/>
            <w:vAlign w:val="bottom"/>
            <w:gridSpan w:val="2"/>
          </w:tcPr>
          <w:p>
            <w:pPr>
              <w:ind w:left="200"/>
              <w:spacing w:after="0"/>
              <w:rPr>
                <w:sz w:val="20"/>
                <w:szCs w:val="20"/>
                <w:color w:val="auto"/>
              </w:rPr>
            </w:pPr>
            <w:r>
              <w:rPr>
                <w:rFonts w:ascii="Arial" w:cs="Arial" w:eastAsia="Arial" w:hAnsi="Arial"/>
                <w:sz w:val="20"/>
                <w:szCs w:val="20"/>
                <w:b w:val="1"/>
                <w:bCs w:val="1"/>
                <w:color w:val="auto"/>
              </w:rPr>
              <w:t>PURPOSE OF AGREEMENT</w:t>
            </w:r>
          </w:p>
        </w:tc>
        <w:tc>
          <w:tcPr>
            <w:tcW w:w="420" w:type="dxa"/>
            <w:vAlign w:val="bottom"/>
          </w:tcPr>
          <w:p>
            <w:pPr>
              <w:spacing w:after="0"/>
              <w:rPr>
                <w:sz w:val="20"/>
                <w:szCs w:val="20"/>
                <w:color w:val="auto"/>
              </w:rPr>
            </w:pPr>
            <w:r>
              <w:rPr>
                <w:rFonts w:ascii="Arial" w:cs="Arial" w:eastAsia="Arial" w:hAnsi="Arial"/>
                <w:sz w:val="20"/>
                <w:szCs w:val="20"/>
                <w:b w:val="1"/>
                <w:bCs w:val="1"/>
                <w:color w:val="auto"/>
              </w:rPr>
              <w:t>1</w:t>
            </w:r>
          </w:p>
        </w:tc>
      </w:tr>
      <w:tr>
        <w:trPr>
          <w:trHeight w:val="419"/>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2.</w:t>
            </w:r>
          </w:p>
        </w:tc>
        <w:tc>
          <w:tcPr>
            <w:tcW w:w="2700" w:type="dxa"/>
            <w:vAlign w:val="bottom"/>
          </w:tcPr>
          <w:p>
            <w:pPr>
              <w:ind w:left="200"/>
              <w:spacing w:after="0"/>
              <w:rPr>
                <w:sz w:val="20"/>
                <w:szCs w:val="20"/>
                <w:color w:val="auto"/>
              </w:rPr>
            </w:pPr>
            <w:r>
              <w:rPr>
                <w:rFonts w:ascii="Arial" w:cs="Arial" w:eastAsia="Arial" w:hAnsi="Arial"/>
                <w:sz w:val="20"/>
                <w:szCs w:val="20"/>
                <w:b w:val="1"/>
                <w:bCs w:val="1"/>
                <w:color w:val="auto"/>
              </w:rPr>
              <w:t>DEFINITIONS</w:t>
            </w:r>
          </w:p>
        </w:tc>
        <w:tc>
          <w:tcPr>
            <w:tcW w:w="40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b w:val="1"/>
                <w:bCs w:val="1"/>
                <w:color w:val="auto"/>
              </w:rPr>
              <w:t>1</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Applicable Rate</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1</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Confidential Information</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1</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2.3</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Customer Area</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1</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2.4</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Customer Equipment</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1</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2.5</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Customer Registration Form</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2.6</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Customer Technology</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2.7</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Data Center(s)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2.8</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Initial Term</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2.9</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Intellectual Property Rights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2.10</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Notice of Service Commencement</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2.11</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Parties or Party</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2</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2.12</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Professional Service(s)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2.13</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RagingWire Supplied Equipment</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2.14</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RagingWire Technology</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2.12</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Renewal Term</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2.16</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Representative(s)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2.17</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Rules and Regulations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2.18</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Section</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2.19</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Service(s)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3</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2.20</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Service Commencement Date</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2.21</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Service Level Goals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2.22</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Service Outage</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2.23</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Service Level Agreement (SLA)</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2.24</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Supplemental Emergency Services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2.25</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Term</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54"/>
        </w:trPr>
        <w:tc>
          <w:tcPr>
            <w:tcW w:w="340" w:type="dxa"/>
            <w:vAlign w:val="bottom"/>
          </w:tcPr>
          <w:p>
            <w:pPr>
              <w:spacing w:after="0"/>
              <w:rPr>
                <w:sz w:val="22"/>
                <w:szCs w:val="22"/>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auto"/>
              </w:rPr>
              <w:t>2.26</w:t>
            </w:r>
          </w:p>
        </w:tc>
        <w:tc>
          <w:tcPr>
            <w:tcW w:w="4080" w:type="dxa"/>
            <w:vAlign w:val="bottom"/>
          </w:tcPr>
          <w:p>
            <w:pPr>
              <w:ind w:left="80"/>
              <w:spacing w:after="0"/>
              <w:rPr>
                <w:sz w:val="20"/>
                <w:szCs w:val="20"/>
                <w:color w:val="auto"/>
              </w:rPr>
            </w:pPr>
            <w:r>
              <w:rPr>
                <w:rFonts w:ascii="Arial" w:cs="Arial" w:eastAsia="Arial" w:hAnsi="Arial"/>
                <w:sz w:val="20"/>
                <w:szCs w:val="20"/>
                <w:color w:val="auto"/>
              </w:rPr>
              <w:t>Use Administrator</w:t>
            </w:r>
          </w:p>
        </w:tc>
        <w:tc>
          <w:tcPr>
            <w:tcW w:w="420" w:type="dxa"/>
            <w:vAlign w:val="bottom"/>
          </w:tcPr>
          <w:p>
            <w:pPr>
              <w:spacing w:after="0"/>
              <w:rPr>
                <w:sz w:val="20"/>
                <w:szCs w:val="20"/>
                <w:color w:val="auto"/>
              </w:rPr>
            </w:pPr>
            <w:r>
              <w:rPr>
                <w:rFonts w:ascii="Arial" w:cs="Arial" w:eastAsia="Arial" w:hAnsi="Arial"/>
                <w:sz w:val="20"/>
                <w:szCs w:val="20"/>
                <w:color w:val="auto"/>
              </w:rPr>
              <w:t>4</w:t>
            </w:r>
          </w:p>
        </w:tc>
      </w:tr>
      <w:tr>
        <w:trPr>
          <w:trHeight w:val="419"/>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3.</w:t>
            </w:r>
          </w:p>
        </w:tc>
        <w:tc>
          <w:tcPr>
            <w:tcW w:w="2700" w:type="dxa"/>
            <w:vAlign w:val="bottom"/>
          </w:tcPr>
          <w:p>
            <w:pPr>
              <w:ind w:left="200"/>
              <w:spacing w:after="0"/>
              <w:rPr>
                <w:sz w:val="20"/>
                <w:szCs w:val="20"/>
                <w:color w:val="auto"/>
              </w:rPr>
            </w:pPr>
            <w:r>
              <w:rPr>
                <w:rFonts w:ascii="Arial" w:cs="Arial" w:eastAsia="Arial" w:hAnsi="Arial"/>
                <w:sz w:val="20"/>
                <w:szCs w:val="20"/>
                <w:b w:val="1"/>
                <w:bCs w:val="1"/>
                <w:color w:val="auto"/>
              </w:rPr>
              <w:t>DELIVERY OF SERVICES</w:t>
            </w:r>
          </w:p>
        </w:tc>
        <w:tc>
          <w:tcPr>
            <w:tcW w:w="40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b w:val="1"/>
                <w:bCs w:val="1"/>
                <w:color w:val="auto"/>
              </w:rPr>
              <w:t>4</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3.1</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Delivery of Services</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4</w:t>
            </w:r>
          </w:p>
        </w:tc>
      </w:tr>
      <w:tr>
        <w:trPr>
          <w:trHeight w:val="254"/>
        </w:trPr>
        <w:tc>
          <w:tcPr>
            <w:tcW w:w="340" w:type="dxa"/>
            <w:vAlign w:val="bottom"/>
          </w:tcPr>
          <w:p>
            <w:pPr>
              <w:spacing w:after="0"/>
              <w:rPr>
                <w:sz w:val="22"/>
                <w:szCs w:val="22"/>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auto"/>
              </w:rPr>
              <w:t>3.2</w:t>
            </w:r>
          </w:p>
        </w:tc>
        <w:tc>
          <w:tcPr>
            <w:tcW w:w="4080" w:type="dxa"/>
            <w:vAlign w:val="bottom"/>
          </w:tcPr>
          <w:p>
            <w:pPr>
              <w:ind w:left="80"/>
              <w:spacing w:after="0"/>
              <w:rPr>
                <w:sz w:val="20"/>
                <w:szCs w:val="20"/>
                <w:color w:val="auto"/>
              </w:rPr>
            </w:pPr>
            <w:r>
              <w:rPr>
                <w:rFonts w:ascii="Arial" w:cs="Arial" w:eastAsia="Arial" w:hAnsi="Arial"/>
                <w:sz w:val="20"/>
                <w:szCs w:val="20"/>
                <w:color w:val="auto"/>
              </w:rPr>
              <w:t>Supplemental Emergency Services</w:t>
            </w:r>
          </w:p>
        </w:tc>
        <w:tc>
          <w:tcPr>
            <w:tcW w:w="420" w:type="dxa"/>
            <w:vAlign w:val="bottom"/>
          </w:tcPr>
          <w:p>
            <w:pPr>
              <w:spacing w:after="0"/>
              <w:rPr>
                <w:sz w:val="20"/>
                <w:szCs w:val="20"/>
                <w:color w:val="auto"/>
              </w:rPr>
            </w:pPr>
            <w:r>
              <w:rPr>
                <w:rFonts w:ascii="Arial" w:cs="Arial" w:eastAsia="Arial" w:hAnsi="Arial"/>
                <w:sz w:val="20"/>
                <w:szCs w:val="20"/>
                <w:color w:val="auto"/>
              </w:rPr>
              <w:t>4</w:t>
            </w:r>
          </w:p>
        </w:tc>
      </w:tr>
      <w:tr>
        <w:trPr>
          <w:trHeight w:val="419"/>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4.</w:t>
            </w:r>
          </w:p>
        </w:tc>
        <w:tc>
          <w:tcPr>
            <w:tcW w:w="2700" w:type="dxa"/>
            <w:vAlign w:val="bottom"/>
          </w:tcPr>
          <w:p>
            <w:pPr>
              <w:ind w:left="200"/>
              <w:spacing w:after="0"/>
              <w:rPr>
                <w:sz w:val="20"/>
                <w:szCs w:val="20"/>
                <w:color w:val="auto"/>
              </w:rPr>
            </w:pPr>
            <w:r>
              <w:rPr>
                <w:rFonts w:ascii="Arial" w:cs="Arial" w:eastAsia="Arial" w:hAnsi="Arial"/>
                <w:sz w:val="20"/>
                <w:szCs w:val="20"/>
                <w:b w:val="1"/>
                <w:bCs w:val="1"/>
                <w:color w:val="auto"/>
              </w:rPr>
              <w:t>TERM</w:t>
            </w:r>
          </w:p>
        </w:tc>
        <w:tc>
          <w:tcPr>
            <w:tcW w:w="40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20"/>
                <w:szCs w:val="20"/>
                <w:b w:val="1"/>
                <w:bCs w:val="1"/>
                <w:color w:val="auto"/>
              </w:rPr>
              <w:t>5</w:t>
            </w:r>
          </w:p>
        </w:tc>
      </w:tr>
      <w:tr>
        <w:trPr>
          <w:trHeight w:val="224"/>
        </w:trPr>
        <w:tc>
          <w:tcPr>
            <w:tcW w:w="340" w:type="dxa"/>
            <w:vAlign w:val="bottom"/>
          </w:tcPr>
          <w:p>
            <w:pPr>
              <w:spacing w:after="0"/>
              <w:rPr>
                <w:sz w:val="19"/>
                <w:szCs w:val="19"/>
                <w:color w:val="auto"/>
              </w:rPr>
            </w:pPr>
          </w:p>
        </w:tc>
        <w:tc>
          <w:tcPr>
            <w:tcW w:w="2700" w:type="dxa"/>
            <w:vAlign w:val="bottom"/>
          </w:tcPr>
          <w:p>
            <w:pPr>
              <w:ind w:left="200"/>
              <w:spacing w:after="0" w:line="225" w:lineRule="exact"/>
              <w:rPr>
                <w:sz w:val="20"/>
                <w:szCs w:val="20"/>
                <w:color w:val="auto"/>
              </w:rPr>
            </w:pPr>
            <w:r>
              <w:rPr>
                <w:rFonts w:ascii="Arial" w:cs="Arial" w:eastAsia="Arial" w:hAnsi="Arial"/>
                <w:sz w:val="20"/>
                <w:szCs w:val="20"/>
                <w:color w:val="auto"/>
              </w:rPr>
              <w:t>4.1</w:t>
            </w:r>
          </w:p>
        </w:tc>
        <w:tc>
          <w:tcPr>
            <w:tcW w:w="4080" w:type="dxa"/>
            <w:vAlign w:val="bottom"/>
          </w:tcPr>
          <w:p>
            <w:pPr>
              <w:ind w:left="80"/>
              <w:spacing w:after="0" w:line="225" w:lineRule="exact"/>
              <w:rPr>
                <w:sz w:val="20"/>
                <w:szCs w:val="20"/>
                <w:color w:val="auto"/>
              </w:rPr>
            </w:pPr>
            <w:r>
              <w:rPr>
                <w:rFonts w:ascii="Arial" w:cs="Arial" w:eastAsia="Arial" w:hAnsi="Arial"/>
                <w:sz w:val="20"/>
                <w:szCs w:val="20"/>
                <w:color w:val="auto"/>
              </w:rPr>
              <w:t>Term Commencement</w:t>
            </w:r>
          </w:p>
        </w:tc>
        <w:tc>
          <w:tcPr>
            <w:tcW w:w="420" w:type="dxa"/>
            <w:vAlign w:val="bottom"/>
          </w:tcPr>
          <w:p>
            <w:pPr>
              <w:spacing w:after="0" w:line="225" w:lineRule="exact"/>
              <w:rPr>
                <w:sz w:val="20"/>
                <w:szCs w:val="20"/>
                <w:color w:val="auto"/>
              </w:rPr>
            </w:pPr>
            <w:r>
              <w:rPr>
                <w:rFonts w:ascii="Arial" w:cs="Arial" w:eastAsia="Arial" w:hAnsi="Arial"/>
                <w:sz w:val="20"/>
                <w:szCs w:val="20"/>
                <w:color w:val="auto"/>
              </w:rPr>
              <w:t>5</w:t>
            </w:r>
          </w:p>
        </w:tc>
      </w:tr>
      <w:tr>
        <w:trPr>
          <w:trHeight w:val="254"/>
        </w:trPr>
        <w:tc>
          <w:tcPr>
            <w:tcW w:w="340" w:type="dxa"/>
            <w:vAlign w:val="bottom"/>
          </w:tcPr>
          <w:p>
            <w:pPr>
              <w:spacing w:after="0"/>
              <w:rPr>
                <w:sz w:val="22"/>
                <w:szCs w:val="22"/>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auto"/>
              </w:rPr>
              <w:t>4.2</w:t>
            </w:r>
          </w:p>
        </w:tc>
        <w:tc>
          <w:tcPr>
            <w:tcW w:w="4080" w:type="dxa"/>
            <w:vAlign w:val="bottom"/>
          </w:tcPr>
          <w:p>
            <w:pPr>
              <w:ind w:left="80"/>
              <w:spacing w:after="0"/>
              <w:rPr>
                <w:sz w:val="20"/>
                <w:szCs w:val="20"/>
                <w:color w:val="auto"/>
              </w:rPr>
            </w:pPr>
            <w:r>
              <w:rPr>
                <w:rFonts w:ascii="Arial" w:cs="Arial" w:eastAsia="Arial" w:hAnsi="Arial"/>
                <w:sz w:val="20"/>
                <w:szCs w:val="20"/>
                <w:color w:val="auto"/>
              </w:rPr>
              <w:t>Initial Term</w:t>
            </w:r>
          </w:p>
        </w:tc>
        <w:tc>
          <w:tcPr>
            <w:tcW w:w="420" w:type="dxa"/>
            <w:vAlign w:val="bottom"/>
          </w:tcPr>
          <w:p>
            <w:pPr>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0219"/>
          </w:cols>
          <w:pgMar w:left="240" w:top="114" w:right="1440"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0" w:type="dxa"/>
            <w:vAlign w:val="bottom"/>
          </w:tcPr>
          <w:p>
            <w:pPr>
              <w:spacing w:after="0"/>
              <w:rPr>
                <w:sz w:val="22"/>
                <w:szCs w:val="22"/>
                <w:color w:val="auto"/>
              </w:rPr>
            </w:pPr>
          </w:p>
        </w:tc>
        <w:tc>
          <w:tcPr>
            <w:tcW w:w="1820" w:type="dxa"/>
            <w:vAlign w:val="bottom"/>
          </w:tcPr>
          <w:p>
            <w:pPr>
              <w:ind w:left="200"/>
              <w:spacing w:after="0"/>
              <w:rPr>
                <w:sz w:val="20"/>
                <w:szCs w:val="20"/>
                <w:color w:val="auto"/>
              </w:rPr>
            </w:pPr>
            <w:r>
              <w:rPr>
                <w:rFonts w:ascii="Arial" w:cs="Arial" w:eastAsia="Arial" w:hAnsi="Arial"/>
                <w:sz w:val="20"/>
                <w:szCs w:val="20"/>
                <w:color w:val="auto"/>
              </w:rPr>
              <w:t>4.3</w:t>
            </w:r>
          </w:p>
        </w:tc>
        <w:tc>
          <w:tcPr>
            <w:tcW w:w="4440" w:type="dxa"/>
            <w:vAlign w:val="bottom"/>
          </w:tcPr>
          <w:p>
            <w:pPr>
              <w:ind w:left="960"/>
              <w:spacing w:after="0"/>
              <w:rPr>
                <w:sz w:val="20"/>
                <w:szCs w:val="20"/>
                <w:color w:val="auto"/>
              </w:rPr>
            </w:pPr>
            <w:r>
              <w:rPr>
                <w:rFonts w:ascii="Arial" w:cs="Arial" w:eastAsia="Arial" w:hAnsi="Arial"/>
                <w:sz w:val="20"/>
                <w:szCs w:val="20"/>
                <w:color w:val="auto"/>
              </w:rPr>
              <w:t>Renewal Term</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19"/>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5.</w:t>
            </w:r>
          </w:p>
        </w:tc>
        <w:tc>
          <w:tcPr>
            <w:tcW w:w="6260" w:type="dxa"/>
            <w:vAlign w:val="bottom"/>
            <w:gridSpan w:val="2"/>
          </w:tcPr>
          <w:p>
            <w:pPr>
              <w:ind w:left="200"/>
              <w:spacing w:after="0"/>
              <w:rPr>
                <w:sz w:val="20"/>
                <w:szCs w:val="20"/>
                <w:color w:val="auto"/>
              </w:rPr>
            </w:pPr>
            <w:r>
              <w:rPr>
                <w:rFonts w:ascii="Arial" w:cs="Arial" w:eastAsia="Arial" w:hAnsi="Arial"/>
                <w:sz w:val="20"/>
                <w:szCs w:val="20"/>
                <w:b w:val="1"/>
                <w:bCs w:val="1"/>
                <w:color w:val="auto"/>
              </w:rPr>
              <w:t>FEES AND PAYMENT TERMS</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5</w:t>
            </w:r>
          </w:p>
        </w:tc>
      </w:tr>
      <w:tr>
        <w:trPr>
          <w:trHeight w:val="224"/>
        </w:trPr>
        <w:tc>
          <w:tcPr>
            <w:tcW w:w="340" w:type="dxa"/>
            <w:vAlign w:val="bottom"/>
          </w:tcPr>
          <w:p>
            <w:pPr>
              <w:spacing w:after="0"/>
              <w:rPr>
                <w:sz w:val="19"/>
                <w:szCs w:val="19"/>
                <w:color w:val="auto"/>
              </w:rPr>
            </w:pPr>
          </w:p>
        </w:tc>
        <w:tc>
          <w:tcPr>
            <w:tcW w:w="1820" w:type="dxa"/>
            <w:vAlign w:val="bottom"/>
          </w:tcPr>
          <w:p>
            <w:pPr>
              <w:ind w:left="200"/>
              <w:spacing w:after="0" w:line="225" w:lineRule="exact"/>
              <w:rPr>
                <w:sz w:val="20"/>
                <w:szCs w:val="20"/>
                <w:color w:val="auto"/>
              </w:rPr>
            </w:pPr>
            <w:r>
              <w:rPr>
                <w:rFonts w:ascii="Arial" w:cs="Arial" w:eastAsia="Arial" w:hAnsi="Arial"/>
                <w:sz w:val="20"/>
                <w:szCs w:val="20"/>
                <w:color w:val="auto"/>
              </w:rPr>
              <w:t>5.1</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Fees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5</w:t>
            </w:r>
          </w:p>
        </w:tc>
      </w:tr>
      <w:tr>
        <w:trPr>
          <w:trHeight w:val="224"/>
        </w:trPr>
        <w:tc>
          <w:tcPr>
            <w:tcW w:w="340" w:type="dxa"/>
            <w:vAlign w:val="bottom"/>
          </w:tcPr>
          <w:p>
            <w:pPr>
              <w:spacing w:after="0"/>
              <w:rPr>
                <w:sz w:val="19"/>
                <w:szCs w:val="19"/>
                <w:color w:val="auto"/>
              </w:rPr>
            </w:pPr>
          </w:p>
        </w:tc>
        <w:tc>
          <w:tcPr>
            <w:tcW w:w="1820" w:type="dxa"/>
            <w:vAlign w:val="bottom"/>
          </w:tcPr>
          <w:p>
            <w:pPr>
              <w:ind w:left="200"/>
              <w:spacing w:after="0" w:line="225" w:lineRule="exact"/>
              <w:rPr>
                <w:sz w:val="20"/>
                <w:szCs w:val="20"/>
                <w:color w:val="auto"/>
              </w:rPr>
            </w:pPr>
            <w:r>
              <w:rPr>
                <w:rFonts w:ascii="Arial" w:cs="Arial" w:eastAsia="Arial" w:hAnsi="Arial"/>
                <w:sz w:val="20"/>
                <w:szCs w:val="20"/>
                <w:color w:val="auto"/>
              </w:rPr>
              <w:t>5.2</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Payment Terms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5</w:t>
            </w:r>
          </w:p>
        </w:tc>
      </w:tr>
      <w:tr>
        <w:trPr>
          <w:trHeight w:val="224"/>
        </w:trPr>
        <w:tc>
          <w:tcPr>
            <w:tcW w:w="340" w:type="dxa"/>
            <w:vAlign w:val="bottom"/>
          </w:tcPr>
          <w:p>
            <w:pPr>
              <w:spacing w:after="0"/>
              <w:rPr>
                <w:sz w:val="19"/>
                <w:szCs w:val="19"/>
                <w:color w:val="auto"/>
              </w:rPr>
            </w:pPr>
          </w:p>
        </w:tc>
        <w:tc>
          <w:tcPr>
            <w:tcW w:w="1820" w:type="dxa"/>
            <w:vAlign w:val="bottom"/>
          </w:tcPr>
          <w:p>
            <w:pPr>
              <w:ind w:left="460"/>
              <w:spacing w:after="0" w:line="225" w:lineRule="exact"/>
              <w:rPr>
                <w:sz w:val="20"/>
                <w:szCs w:val="20"/>
                <w:color w:val="auto"/>
              </w:rPr>
            </w:pPr>
            <w:r>
              <w:rPr>
                <w:rFonts w:ascii="Arial" w:cs="Arial" w:eastAsia="Arial" w:hAnsi="Arial"/>
                <w:sz w:val="20"/>
                <w:szCs w:val="20"/>
                <w:color w:val="auto"/>
              </w:rPr>
              <w:t>5.2.1</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Security Deposit, Security Interest</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24"/>
        </w:trPr>
        <w:tc>
          <w:tcPr>
            <w:tcW w:w="340" w:type="dxa"/>
            <w:vAlign w:val="bottom"/>
          </w:tcPr>
          <w:p>
            <w:pPr>
              <w:spacing w:after="0"/>
              <w:rPr>
                <w:sz w:val="19"/>
                <w:szCs w:val="19"/>
                <w:color w:val="auto"/>
              </w:rPr>
            </w:pPr>
          </w:p>
        </w:tc>
        <w:tc>
          <w:tcPr>
            <w:tcW w:w="1820" w:type="dxa"/>
            <w:vAlign w:val="bottom"/>
          </w:tcPr>
          <w:p>
            <w:pPr>
              <w:ind w:left="460"/>
              <w:spacing w:after="0" w:line="225" w:lineRule="exact"/>
              <w:rPr>
                <w:sz w:val="20"/>
                <w:szCs w:val="20"/>
                <w:color w:val="auto"/>
              </w:rPr>
            </w:pPr>
            <w:r>
              <w:rPr>
                <w:rFonts w:ascii="Arial" w:cs="Arial" w:eastAsia="Arial" w:hAnsi="Arial"/>
                <w:sz w:val="20"/>
                <w:szCs w:val="20"/>
                <w:color w:val="auto"/>
              </w:rPr>
              <w:t>5.2.2</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Payment on Service Commencement</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24"/>
        </w:trPr>
        <w:tc>
          <w:tcPr>
            <w:tcW w:w="340" w:type="dxa"/>
            <w:vAlign w:val="bottom"/>
          </w:tcPr>
          <w:p>
            <w:pPr>
              <w:spacing w:after="0"/>
              <w:rPr>
                <w:sz w:val="19"/>
                <w:szCs w:val="19"/>
                <w:color w:val="auto"/>
              </w:rPr>
            </w:pPr>
          </w:p>
        </w:tc>
        <w:tc>
          <w:tcPr>
            <w:tcW w:w="1820" w:type="dxa"/>
            <w:vAlign w:val="bottom"/>
          </w:tcPr>
          <w:p>
            <w:pPr>
              <w:ind w:left="460"/>
              <w:spacing w:after="0" w:line="225" w:lineRule="exact"/>
              <w:rPr>
                <w:sz w:val="20"/>
                <w:szCs w:val="20"/>
                <w:color w:val="auto"/>
              </w:rPr>
            </w:pPr>
            <w:r>
              <w:rPr>
                <w:rFonts w:ascii="Arial" w:cs="Arial" w:eastAsia="Arial" w:hAnsi="Arial"/>
                <w:sz w:val="20"/>
                <w:szCs w:val="20"/>
                <w:color w:val="auto"/>
              </w:rPr>
              <w:t>5.2.3</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Recurring Charges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24"/>
        </w:trPr>
        <w:tc>
          <w:tcPr>
            <w:tcW w:w="340" w:type="dxa"/>
            <w:vAlign w:val="bottom"/>
          </w:tcPr>
          <w:p>
            <w:pPr>
              <w:spacing w:after="0"/>
              <w:rPr>
                <w:sz w:val="19"/>
                <w:szCs w:val="19"/>
                <w:color w:val="auto"/>
              </w:rPr>
            </w:pPr>
          </w:p>
        </w:tc>
        <w:tc>
          <w:tcPr>
            <w:tcW w:w="1820" w:type="dxa"/>
            <w:vAlign w:val="bottom"/>
          </w:tcPr>
          <w:p>
            <w:pPr>
              <w:ind w:left="460"/>
              <w:spacing w:after="0" w:line="225" w:lineRule="exact"/>
              <w:rPr>
                <w:sz w:val="20"/>
                <w:szCs w:val="20"/>
                <w:color w:val="auto"/>
              </w:rPr>
            </w:pPr>
            <w:r>
              <w:rPr>
                <w:rFonts w:ascii="Arial" w:cs="Arial" w:eastAsia="Arial" w:hAnsi="Arial"/>
                <w:sz w:val="20"/>
                <w:szCs w:val="20"/>
                <w:color w:val="auto"/>
              </w:rPr>
              <w:t>5.2.4</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Variable and One-Time Charges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24"/>
        </w:trPr>
        <w:tc>
          <w:tcPr>
            <w:tcW w:w="340" w:type="dxa"/>
            <w:vAlign w:val="bottom"/>
          </w:tcPr>
          <w:p>
            <w:pPr>
              <w:spacing w:after="0"/>
              <w:rPr>
                <w:sz w:val="19"/>
                <w:szCs w:val="19"/>
                <w:color w:val="auto"/>
              </w:rPr>
            </w:pPr>
          </w:p>
        </w:tc>
        <w:tc>
          <w:tcPr>
            <w:tcW w:w="1820" w:type="dxa"/>
            <w:vAlign w:val="bottom"/>
          </w:tcPr>
          <w:p>
            <w:pPr>
              <w:ind w:left="200"/>
              <w:spacing w:after="0" w:line="225" w:lineRule="exact"/>
              <w:rPr>
                <w:sz w:val="20"/>
                <w:szCs w:val="20"/>
                <w:color w:val="auto"/>
              </w:rPr>
            </w:pPr>
            <w:r>
              <w:rPr>
                <w:rFonts w:ascii="Arial" w:cs="Arial" w:eastAsia="Arial" w:hAnsi="Arial"/>
                <w:sz w:val="20"/>
                <w:szCs w:val="20"/>
                <w:color w:val="auto"/>
              </w:rPr>
              <w:t>5.3</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Late Payments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24"/>
        </w:trPr>
        <w:tc>
          <w:tcPr>
            <w:tcW w:w="340" w:type="dxa"/>
            <w:vAlign w:val="bottom"/>
          </w:tcPr>
          <w:p>
            <w:pPr>
              <w:spacing w:after="0"/>
              <w:rPr>
                <w:sz w:val="19"/>
                <w:szCs w:val="19"/>
                <w:color w:val="auto"/>
              </w:rPr>
            </w:pPr>
          </w:p>
        </w:tc>
        <w:tc>
          <w:tcPr>
            <w:tcW w:w="1820" w:type="dxa"/>
            <w:vAlign w:val="bottom"/>
          </w:tcPr>
          <w:p>
            <w:pPr>
              <w:ind w:left="200"/>
              <w:spacing w:after="0" w:line="225" w:lineRule="exact"/>
              <w:rPr>
                <w:sz w:val="20"/>
                <w:szCs w:val="20"/>
                <w:color w:val="auto"/>
              </w:rPr>
            </w:pPr>
            <w:r>
              <w:rPr>
                <w:rFonts w:ascii="Arial" w:cs="Arial" w:eastAsia="Arial" w:hAnsi="Arial"/>
                <w:sz w:val="20"/>
                <w:szCs w:val="20"/>
                <w:color w:val="auto"/>
              </w:rPr>
              <w:t>5.4</w:t>
            </w:r>
          </w:p>
        </w:tc>
        <w:tc>
          <w:tcPr>
            <w:tcW w:w="4440" w:type="dxa"/>
            <w:vAlign w:val="bottom"/>
          </w:tcPr>
          <w:p>
            <w:pPr>
              <w:ind w:left="960"/>
              <w:spacing w:after="0" w:line="225" w:lineRule="exact"/>
              <w:rPr>
                <w:sz w:val="20"/>
                <w:szCs w:val="20"/>
                <w:color w:val="auto"/>
              </w:rPr>
            </w:pPr>
            <w:r>
              <w:rPr>
                <w:rFonts w:ascii="Arial" w:cs="Arial" w:eastAsia="Arial" w:hAnsi="Arial"/>
                <w:sz w:val="20"/>
                <w:szCs w:val="20"/>
                <w:color w:val="auto"/>
              </w:rPr>
              <w:t>Payment in U.S. dollars</w:t>
            </w:r>
          </w:p>
        </w:tc>
        <w:tc>
          <w:tcPr>
            <w:tcW w:w="620" w:type="dxa"/>
            <w:vAlign w:val="bottom"/>
          </w:tcPr>
          <w:p>
            <w:pPr>
              <w:jc w:val="right"/>
              <w:spacing w:after="0" w:line="225" w:lineRule="exact"/>
              <w:rPr>
                <w:sz w:val="20"/>
                <w:szCs w:val="20"/>
                <w:color w:val="auto"/>
              </w:rPr>
            </w:pPr>
            <w:r>
              <w:rPr>
                <w:rFonts w:ascii="Arial" w:cs="Arial" w:eastAsia="Arial" w:hAnsi="Arial"/>
                <w:sz w:val="20"/>
                <w:szCs w:val="20"/>
                <w:color w:val="auto"/>
              </w:rPr>
              <w:t>6</w:t>
            </w:r>
          </w:p>
        </w:tc>
      </w:tr>
      <w:tr>
        <w:trPr>
          <w:trHeight w:val="254"/>
        </w:trPr>
        <w:tc>
          <w:tcPr>
            <w:tcW w:w="340" w:type="dxa"/>
            <w:vAlign w:val="bottom"/>
          </w:tcPr>
          <w:p>
            <w:pPr>
              <w:spacing w:after="0"/>
              <w:rPr>
                <w:sz w:val="22"/>
                <w:szCs w:val="22"/>
                <w:color w:val="auto"/>
              </w:rPr>
            </w:pPr>
          </w:p>
        </w:tc>
        <w:tc>
          <w:tcPr>
            <w:tcW w:w="1820" w:type="dxa"/>
            <w:vAlign w:val="bottom"/>
          </w:tcPr>
          <w:p>
            <w:pPr>
              <w:ind w:left="200"/>
              <w:spacing w:after="0"/>
              <w:rPr>
                <w:sz w:val="20"/>
                <w:szCs w:val="20"/>
                <w:color w:val="auto"/>
              </w:rPr>
            </w:pPr>
            <w:r>
              <w:rPr>
                <w:rFonts w:ascii="Arial" w:cs="Arial" w:eastAsia="Arial" w:hAnsi="Arial"/>
                <w:sz w:val="20"/>
                <w:szCs w:val="20"/>
                <w:color w:val="auto"/>
              </w:rPr>
              <w:t>5.5</w:t>
            </w:r>
          </w:p>
        </w:tc>
        <w:tc>
          <w:tcPr>
            <w:tcW w:w="4440" w:type="dxa"/>
            <w:vAlign w:val="bottom"/>
          </w:tcPr>
          <w:p>
            <w:pPr>
              <w:ind w:left="960"/>
              <w:spacing w:after="0"/>
              <w:rPr>
                <w:sz w:val="20"/>
                <w:szCs w:val="20"/>
                <w:color w:val="auto"/>
              </w:rPr>
            </w:pPr>
            <w:r>
              <w:rPr>
                <w:rFonts w:ascii="Arial" w:cs="Arial" w:eastAsia="Arial" w:hAnsi="Arial"/>
                <w:sz w:val="20"/>
                <w:szCs w:val="20"/>
                <w:color w:val="auto"/>
              </w:rPr>
              <w:t>Taxes and Other Fees</w:t>
            </w:r>
          </w:p>
        </w:tc>
        <w:tc>
          <w:tcPr>
            <w:tcW w:w="620" w:type="dxa"/>
            <w:vAlign w:val="bottom"/>
          </w:tcPr>
          <w:p>
            <w:pPr>
              <w:jc w:val="right"/>
              <w:spacing w:after="0"/>
              <w:rPr>
                <w:sz w:val="20"/>
                <w:szCs w:val="20"/>
                <w:color w:val="auto"/>
              </w:rPr>
            </w:pPr>
            <w:r>
              <w:rPr>
                <w:rFonts w:ascii="Arial" w:cs="Arial" w:eastAsia="Arial" w:hAnsi="Arial"/>
                <w:sz w:val="20"/>
                <w:szCs w:val="20"/>
                <w:color w:val="auto"/>
              </w:rPr>
              <w:t>7</w:t>
            </w:r>
          </w:p>
        </w:tc>
      </w:tr>
    </w:tbl>
    <w:p>
      <w:pPr>
        <w:spacing w:after="0" w:line="189" w:lineRule="exact"/>
        <w:rPr>
          <w:sz w:val="20"/>
          <w:szCs w:val="20"/>
          <w:color w:val="auto"/>
        </w:rPr>
      </w:pPr>
    </w:p>
    <w:p>
      <w:pPr>
        <w:ind w:left="540" w:hanging="540"/>
        <w:spacing w:after="0"/>
        <w:tabs>
          <w:tab w:leader="none" w:pos="5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INTELLECTUAL</w:t>
      </w:r>
    </w:p>
    <w:tbl>
      <w:tblPr>
        <w:tblLayout w:type="fixed"/>
        <w:tblInd w:w="540" w:type="dxa"/>
        <w:tblCellMar>
          <w:top w:w="0" w:type="dxa"/>
          <w:left w:w="0" w:type="dxa"/>
          <w:bottom w:w="0" w:type="dxa"/>
          <w:right w:w="0" w:type="dxa"/>
        </w:tblCellMar>
      </w:tblPr>
      <w:tr>
        <w:trPr>
          <w:trHeight w:val="225"/>
        </w:trPr>
        <w:tc>
          <w:tcPr>
            <w:tcW w:w="5980" w:type="dxa"/>
            <w:vAlign w:val="bottom"/>
            <w:gridSpan w:val="2"/>
          </w:tcPr>
          <w:p>
            <w:pPr>
              <w:ind w:left="100"/>
              <w:spacing w:after="0" w:line="225" w:lineRule="exact"/>
              <w:rPr>
                <w:sz w:val="20"/>
                <w:szCs w:val="20"/>
                <w:color w:val="auto"/>
              </w:rPr>
            </w:pPr>
            <w:r>
              <w:rPr>
                <w:rFonts w:ascii="Arial" w:cs="Arial" w:eastAsia="Arial" w:hAnsi="Arial"/>
                <w:sz w:val="20"/>
                <w:szCs w:val="20"/>
                <w:b w:val="1"/>
                <w:bCs w:val="1"/>
                <w:color w:val="auto"/>
              </w:rPr>
              <w:t>PROPERTY OWNERSHIP; LICENSE GRANTS</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7</w:t>
            </w:r>
          </w:p>
        </w:tc>
      </w:tr>
      <w:tr>
        <w:trPr>
          <w:trHeight w:val="224"/>
        </w:trPr>
        <w:tc>
          <w:tcPr>
            <w:tcW w:w="1620" w:type="dxa"/>
            <w:vAlign w:val="bottom"/>
          </w:tcPr>
          <w:p>
            <w:pPr>
              <w:jc w:val="right"/>
              <w:ind w:right="1260"/>
              <w:spacing w:after="0" w:line="225" w:lineRule="exact"/>
              <w:rPr>
                <w:sz w:val="20"/>
                <w:szCs w:val="20"/>
                <w:color w:val="auto"/>
              </w:rPr>
            </w:pPr>
            <w:r>
              <w:rPr>
                <w:rFonts w:ascii="Arial" w:cs="Arial" w:eastAsia="Arial" w:hAnsi="Arial"/>
                <w:sz w:val="20"/>
                <w:szCs w:val="20"/>
                <w:color w:val="auto"/>
                <w:w w:val="86"/>
              </w:rPr>
              <w:t>6.1</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Confidential Information</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7</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6.1.1</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Non-Disclosure</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7</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6.1.2</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Non-Confidential Information</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7</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6.1.3</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Protection and Preservation</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7</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6.1.4</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Method of Disclosure</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8</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6.1.5</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Return of Confidential Information</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8</w:t>
            </w:r>
          </w:p>
        </w:tc>
      </w:tr>
      <w:tr>
        <w:trPr>
          <w:trHeight w:val="224"/>
        </w:trPr>
        <w:tc>
          <w:tcPr>
            <w:tcW w:w="1620" w:type="dxa"/>
            <w:vAlign w:val="bottom"/>
          </w:tcPr>
          <w:p>
            <w:pPr>
              <w:jc w:val="right"/>
              <w:ind w:right="1260"/>
              <w:spacing w:after="0" w:line="225" w:lineRule="exact"/>
              <w:rPr>
                <w:sz w:val="20"/>
                <w:szCs w:val="20"/>
                <w:color w:val="auto"/>
              </w:rPr>
            </w:pPr>
            <w:r>
              <w:rPr>
                <w:rFonts w:ascii="Arial" w:cs="Arial" w:eastAsia="Arial" w:hAnsi="Arial"/>
                <w:sz w:val="20"/>
                <w:szCs w:val="20"/>
                <w:color w:val="auto"/>
                <w:w w:val="86"/>
              </w:rPr>
              <w:t>6.2</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Intellectual Property</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8</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6.2.1</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Ownership</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8</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6.2.2</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General Skills and Knowledge</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9</w:t>
            </w:r>
          </w:p>
        </w:tc>
      </w:tr>
      <w:tr>
        <w:trPr>
          <w:trHeight w:val="224"/>
        </w:trPr>
        <w:tc>
          <w:tcPr>
            <w:tcW w:w="1620" w:type="dxa"/>
            <w:vAlign w:val="bottom"/>
          </w:tcPr>
          <w:p>
            <w:pPr>
              <w:jc w:val="right"/>
              <w:ind w:right="1260"/>
              <w:spacing w:after="0" w:line="225" w:lineRule="exact"/>
              <w:rPr>
                <w:sz w:val="20"/>
                <w:szCs w:val="20"/>
                <w:color w:val="auto"/>
              </w:rPr>
            </w:pPr>
            <w:r>
              <w:rPr>
                <w:rFonts w:ascii="Arial" w:cs="Arial" w:eastAsia="Arial" w:hAnsi="Arial"/>
                <w:sz w:val="20"/>
                <w:szCs w:val="20"/>
                <w:color w:val="auto"/>
                <w:w w:val="86"/>
              </w:rPr>
              <w:t>6.3</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License Grants</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9</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6.3.1</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Grant by RagingWire</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9</w:t>
            </w:r>
          </w:p>
        </w:tc>
      </w:tr>
      <w:tr>
        <w:trPr>
          <w:trHeight w:val="224"/>
        </w:trPr>
        <w:tc>
          <w:tcPr>
            <w:tcW w:w="1620" w:type="dxa"/>
            <w:vAlign w:val="bottom"/>
          </w:tcPr>
          <w:p>
            <w:pPr>
              <w:jc w:val="right"/>
              <w:ind w:right="860"/>
              <w:spacing w:after="0" w:line="225" w:lineRule="exact"/>
              <w:rPr>
                <w:sz w:val="20"/>
                <w:szCs w:val="20"/>
                <w:color w:val="auto"/>
              </w:rPr>
            </w:pPr>
            <w:r>
              <w:rPr>
                <w:rFonts w:ascii="Arial" w:cs="Arial" w:eastAsia="Arial" w:hAnsi="Arial"/>
                <w:sz w:val="20"/>
                <w:szCs w:val="20"/>
                <w:color w:val="auto"/>
              </w:rPr>
              <w:t>6.3.2</w:t>
            </w:r>
          </w:p>
        </w:tc>
        <w:tc>
          <w:tcPr>
            <w:tcW w:w="4360" w:type="dxa"/>
            <w:vAlign w:val="bottom"/>
          </w:tcPr>
          <w:p>
            <w:pPr>
              <w:ind w:left="960"/>
              <w:spacing w:after="0" w:line="225" w:lineRule="exact"/>
              <w:rPr>
                <w:sz w:val="20"/>
                <w:szCs w:val="20"/>
                <w:color w:val="auto"/>
              </w:rPr>
            </w:pPr>
            <w:r>
              <w:rPr>
                <w:rFonts w:ascii="Arial" w:cs="Arial" w:eastAsia="Arial" w:hAnsi="Arial"/>
                <w:sz w:val="20"/>
                <w:szCs w:val="20"/>
                <w:color w:val="auto"/>
              </w:rPr>
              <w:t>Grant by Customer</w:t>
            </w:r>
          </w:p>
        </w:tc>
        <w:tc>
          <w:tcPr>
            <w:tcW w:w="700" w:type="dxa"/>
            <w:vAlign w:val="bottom"/>
          </w:tcPr>
          <w:p>
            <w:pPr>
              <w:jc w:val="right"/>
              <w:spacing w:after="0" w:line="225" w:lineRule="exact"/>
              <w:rPr>
                <w:sz w:val="20"/>
                <w:szCs w:val="20"/>
                <w:color w:val="auto"/>
              </w:rPr>
            </w:pPr>
            <w:r>
              <w:rPr>
                <w:rFonts w:ascii="Arial" w:cs="Arial" w:eastAsia="Arial" w:hAnsi="Arial"/>
                <w:sz w:val="20"/>
                <w:szCs w:val="20"/>
                <w:color w:val="auto"/>
              </w:rPr>
              <w:t>9</w:t>
            </w:r>
          </w:p>
        </w:tc>
      </w:tr>
      <w:tr>
        <w:trPr>
          <w:trHeight w:val="254"/>
        </w:trPr>
        <w:tc>
          <w:tcPr>
            <w:tcW w:w="1620" w:type="dxa"/>
            <w:vAlign w:val="bottom"/>
          </w:tcPr>
          <w:p>
            <w:pPr>
              <w:jc w:val="right"/>
              <w:ind w:right="1260"/>
              <w:spacing w:after="0"/>
              <w:rPr>
                <w:sz w:val="20"/>
                <w:szCs w:val="20"/>
                <w:color w:val="auto"/>
              </w:rPr>
            </w:pPr>
            <w:r>
              <w:rPr>
                <w:rFonts w:ascii="Arial" w:cs="Arial" w:eastAsia="Arial" w:hAnsi="Arial"/>
                <w:sz w:val="20"/>
                <w:szCs w:val="20"/>
                <w:color w:val="auto"/>
                <w:w w:val="86"/>
              </w:rPr>
              <w:t>6.4</w:t>
            </w:r>
          </w:p>
        </w:tc>
        <w:tc>
          <w:tcPr>
            <w:tcW w:w="4360" w:type="dxa"/>
            <w:vAlign w:val="bottom"/>
          </w:tcPr>
          <w:p>
            <w:pPr>
              <w:ind w:left="960"/>
              <w:spacing w:after="0"/>
              <w:rPr>
                <w:sz w:val="20"/>
                <w:szCs w:val="20"/>
                <w:color w:val="auto"/>
              </w:rPr>
            </w:pPr>
            <w:r>
              <w:rPr>
                <w:rFonts w:ascii="Arial" w:cs="Arial" w:eastAsia="Arial" w:hAnsi="Arial"/>
                <w:sz w:val="20"/>
                <w:szCs w:val="20"/>
                <w:color w:val="auto"/>
              </w:rPr>
              <w:t>Restrictions</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189" w:lineRule="exact"/>
        <w:rPr>
          <w:sz w:val="20"/>
          <w:szCs w:val="20"/>
          <w:color w:val="auto"/>
        </w:rPr>
      </w:pPr>
    </w:p>
    <w:p>
      <w:pPr>
        <w:ind w:left="540" w:hanging="540"/>
        <w:spacing w:after="0"/>
        <w:tabs>
          <w:tab w:leader="none" w:pos="5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RAGINGWIRE'S WARRANTIES AND SERVICE LEVEL</w:t>
      </w:r>
    </w:p>
    <w:tbl>
      <w:tblPr>
        <w:tblLayout w:type="fixed"/>
        <w:tblInd w:w="540" w:type="dxa"/>
        <w:tblCellMar>
          <w:top w:w="0" w:type="dxa"/>
          <w:left w:w="0" w:type="dxa"/>
          <w:bottom w:w="0" w:type="dxa"/>
          <w:right w:w="0" w:type="dxa"/>
        </w:tblCellMar>
      </w:tblPr>
      <w:tr>
        <w:trPr>
          <w:trHeight w:val="225"/>
        </w:trPr>
        <w:tc>
          <w:tcPr>
            <w:tcW w:w="1640" w:type="dxa"/>
            <w:vAlign w:val="bottom"/>
          </w:tcPr>
          <w:p>
            <w:pPr>
              <w:spacing w:after="0" w:line="225" w:lineRule="exact"/>
              <w:rPr>
                <w:sz w:val="20"/>
                <w:szCs w:val="20"/>
                <w:color w:val="auto"/>
              </w:rPr>
            </w:pPr>
            <w:r>
              <w:rPr>
                <w:rFonts w:ascii="Arial" w:cs="Arial" w:eastAsia="Arial" w:hAnsi="Arial"/>
                <w:sz w:val="20"/>
                <w:szCs w:val="20"/>
                <w:b w:val="1"/>
                <w:bCs w:val="1"/>
                <w:color w:val="auto"/>
              </w:rPr>
              <w:t>GOALS</w:t>
            </w:r>
          </w:p>
        </w:tc>
        <w:tc>
          <w:tcPr>
            <w:tcW w:w="4820" w:type="dxa"/>
            <w:vAlign w:val="bottom"/>
          </w:tcPr>
          <w:p>
            <w:pPr>
              <w:spacing w:after="0"/>
              <w:rPr>
                <w:sz w:val="19"/>
                <w:szCs w:val="19"/>
                <w:color w:val="auto"/>
              </w:rPr>
            </w:pPr>
          </w:p>
        </w:tc>
        <w:tc>
          <w:tcPr>
            <w:tcW w:w="32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10</w:t>
            </w:r>
          </w:p>
        </w:tc>
      </w:tr>
      <w:tr>
        <w:trPr>
          <w:trHeight w:val="224"/>
        </w:trPr>
        <w:tc>
          <w:tcPr>
            <w:tcW w:w="1640" w:type="dxa"/>
            <w:vAlign w:val="bottom"/>
          </w:tcPr>
          <w:p>
            <w:pPr>
              <w:spacing w:after="0" w:line="225" w:lineRule="exact"/>
              <w:rPr>
                <w:sz w:val="20"/>
                <w:szCs w:val="20"/>
                <w:color w:val="auto"/>
              </w:rPr>
            </w:pPr>
            <w:r>
              <w:rPr>
                <w:rFonts w:ascii="Arial" w:cs="Arial" w:eastAsia="Arial" w:hAnsi="Arial"/>
                <w:sz w:val="20"/>
                <w:szCs w:val="20"/>
                <w:color w:val="auto"/>
              </w:rPr>
              <w:t>7.1</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RagingWire Warranties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10</w:t>
            </w:r>
          </w:p>
        </w:tc>
      </w:tr>
      <w:tr>
        <w:trPr>
          <w:trHeight w:val="224"/>
        </w:trPr>
        <w:tc>
          <w:tcPr>
            <w:tcW w:w="1640" w:type="dxa"/>
            <w:vAlign w:val="bottom"/>
          </w:tcPr>
          <w:p>
            <w:pPr>
              <w:spacing w:after="0" w:line="225" w:lineRule="exact"/>
              <w:rPr>
                <w:sz w:val="20"/>
                <w:szCs w:val="20"/>
                <w:color w:val="auto"/>
              </w:rPr>
            </w:pPr>
            <w:r>
              <w:rPr>
                <w:rFonts w:ascii="Arial" w:cs="Arial" w:eastAsia="Arial" w:hAnsi="Arial"/>
                <w:sz w:val="20"/>
                <w:szCs w:val="20"/>
                <w:color w:val="auto"/>
              </w:rPr>
              <w:t>7.2</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Service Level Goals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11</w:t>
            </w:r>
          </w:p>
        </w:tc>
      </w:tr>
      <w:tr>
        <w:trPr>
          <w:trHeight w:val="224"/>
        </w:trPr>
        <w:tc>
          <w:tcPr>
            <w:tcW w:w="1640" w:type="dxa"/>
            <w:vAlign w:val="bottom"/>
          </w:tcPr>
          <w:p>
            <w:pPr>
              <w:ind w:left="260"/>
              <w:spacing w:after="0" w:line="225" w:lineRule="exact"/>
              <w:rPr>
                <w:sz w:val="20"/>
                <w:szCs w:val="20"/>
                <w:color w:val="auto"/>
              </w:rPr>
            </w:pPr>
            <w:r>
              <w:rPr>
                <w:rFonts w:ascii="Arial" w:cs="Arial" w:eastAsia="Arial" w:hAnsi="Arial"/>
                <w:sz w:val="20"/>
                <w:szCs w:val="20"/>
                <w:color w:val="auto"/>
              </w:rPr>
              <w:t>7.2.1</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Liquidated Damages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11</w:t>
            </w:r>
          </w:p>
        </w:tc>
      </w:tr>
      <w:tr>
        <w:trPr>
          <w:trHeight w:val="224"/>
        </w:trPr>
        <w:tc>
          <w:tcPr>
            <w:tcW w:w="1640" w:type="dxa"/>
            <w:vAlign w:val="bottom"/>
          </w:tcPr>
          <w:p>
            <w:pPr>
              <w:ind w:left="260"/>
              <w:spacing w:after="0" w:line="225" w:lineRule="exact"/>
              <w:rPr>
                <w:sz w:val="20"/>
                <w:szCs w:val="20"/>
                <w:color w:val="auto"/>
              </w:rPr>
            </w:pPr>
            <w:r>
              <w:rPr>
                <w:rFonts w:ascii="Arial" w:cs="Arial" w:eastAsia="Arial" w:hAnsi="Arial"/>
                <w:sz w:val="20"/>
                <w:szCs w:val="20"/>
                <w:color w:val="auto"/>
              </w:rPr>
              <w:t>7.2.2</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Sole Remedy and Liability</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11</w:t>
            </w:r>
          </w:p>
        </w:tc>
      </w:tr>
      <w:tr>
        <w:trPr>
          <w:trHeight w:val="224"/>
        </w:trPr>
        <w:tc>
          <w:tcPr>
            <w:tcW w:w="1640" w:type="dxa"/>
            <w:vAlign w:val="bottom"/>
          </w:tcPr>
          <w:p>
            <w:pPr>
              <w:ind w:left="260"/>
              <w:spacing w:after="0" w:line="225" w:lineRule="exact"/>
              <w:rPr>
                <w:sz w:val="20"/>
                <w:szCs w:val="20"/>
                <w:color w:val="auto"/>
              </w:rPr>
            </w:pPr>
            <w:r>
              <w:rPr>
                <w:rFonts w:ascii="Arial" w:cs="Arial" w:eastAsia="Arial" w:hAnsi="Arial"/>
                <w:sz w:val="20"/>
                <w:szCs w:val="20"/>
                <w:color w:val="auto"/>
              </w:rPr>
              <w:t>7.2.3</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Maintenance</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11</w:t>
            </w:r>
          </w:p>
        </w:tc>
      </w:tr>
      <w:tr>
        <w:trPr>
          <w:trHeight w:val="224"/>
        </w:trPr>
        <w:tc>
          <w:tcPr>
            <w:tcW w:w="1640" w:type="dxa"/>
            <w:vAlign w:val="bottom"/>
          </w:tcPr>
          <w:p>
            <w:pPr>
              <w:ind w:left="260"/>
              <w:spacing w:after="0" w:line="225" w:lineRule="exact"/>
              <w:rPr>
                <w:sz w:val="20"/>
                <w:szCs w:val="20"/>
                <w:color w:val="auto"/>
              </w:rPr>
            </w:pPr>
            <w:r>
              <w:rPr>
                <w:rFonts w:ascii="Arial" w:cs="Arial" w:eastAsia="Arial" w:hAnsi="Arial"/>
                <w:sz w:val="20"/>
                <w:szCs w:val="20"/>
                <w:color w:val="auto"/>
              </w:rPr>
              <w:t>7.2.4</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Limitations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12</w:t>
            </w:r>
          </w:p>
        </w:tc>
      </w:tr>
      <w:tr>
        <w:trPr>
          <w:trHeight w:val="224"/>
        </w:trPr>
        <w:tc>
          <w:tcPr>
            <w:tcW w:w="1640" w:type="dxa"/>
            <w:vAlign w:val="bottom"/>
          </w:tcPr>
          <w:p>
            <w:pPr>
              <w:spacing w:after="0" w:line="225" w:lineRule="exact"/>
              <w:rPr>
                <w:sz w:val="20"/>
                <w:szCs w:val="20"/>
                <w:color w:val="auto"/>
              </w:rPr>
            </w:pPr>
            <w:r>
              <w:rPr>
                <w:rFonts w:ascii="Arial" w:cs="Arial" w:eastAsia="Arial" w:hAnsi="Arial"/>
                <w:sz w:val="20"/>
                <w:szCs w:val="20"/>
                <w:color w:val="auto"/>
              </w:rPr>
              <w:t>7.3</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w w:val="95"/>
              </w:rPr>
              <w:t>Selection of RagingWire Supplied Equipment;</w:t>
            </w:r>
          </w:p>
        </w:tc>
        <w:tc>
          <w:tcPr>
            <w:tcW w:w="320" w:type="dxa"/>
            <w:vAlign w:val="bottom"/>
          </w:tcPr>
          <w:p>
            <w:pPr>
              <w:spacing w:after="0"/>
              <w:rPr>
                <w:sz w:val="19"/>
                <w:szCs w:val="19"/>
                <w:color w:val="auto"/>
              </w:rPr>
            </w:pPr>
          </w:p>
        </w:tc>
      </w:tr>
      <w:tr>
        <w:trPr>
          <w:trHeight w:val="224"/>
        </w:trPr>
        <w:tc>
          <w:tcPr>
            <w:tcW w:w="1640" w:type="dxa"/>
            <w:vAlign w:val="bottom"/>
          </w:tcPr>
          <w:p>
            <w:pPr>
              <w:spacing w:after="0"/>
              <w:rPr>
                <w:sz w:val="19"/>
                <w:szCs w:val="19"/>
                <w:color w:val="auto"/>
              </w:rPr>
            </w:pP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Manufacturer Warranty</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12</w:t>
            </w:r>
          </w:p>
        </w:tc>
      </w:tr>
      <w:tr>
        <w:trPr>
          <w:trHeight w:val="224"/>
        </w:trPr>
        <w:tc>
          <w:tcPr>
            <w:tcW w:w="1640" w:type="dxa"/>
            <w:vAlign w:val="bottom"/>
          </w:tcPr>
          <w:p>
            <w:pPr>
              <w:spacing w:after="0" w:line="225" w:lineRule="exact"/>
              <w:rPr>
                <w:sz w:val="20"/>
                <w:szCs w:val="20"/>
                <w:color w:val="auto"/>
              </w:rPr>
            </w:pPr>
            <w:r>
              <w:rPr>
                <w:rFonts w:ascii="Arial" w:cs="Arial" w:eastAsia="Arial" w:hAnsi="Arial"/>
                <w:sz w:val="20"/>
                <w:szCs w:val="20"/>
                <w:color w:val="auto"/>
              </w:rPr>
              <w:t>7.4</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rPr>
              <w:t>No Other Warranty</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12</w:t>
            </w:r>
          </w:p>
        </w:tc>
      </w:tr>
      <w:tr>
        <w:trPr>
          <w:trHeight w:val="224"/>
        </w:trPr>
        <w:tc>
          <w:tcPr>
            <w:tcW w:w="1640" w:type="dxa"/>
            <w:vAlign w:val="bottom"/>
          </w:tcPr>
          <w:p>
            <w:pPr>
              <w:spacing w:after="0" w:line="225" w:lineRule="exact"/>
              <w:rPr>
                <w:sz w:val="20"/>
                <w:szCs w:val="20"/>
                <w:color w:val="auto"/>
              </w:rPr>
            </w:pPr>
            <w:r>
              <w:rPr>
                <w:rFonts w:ascii="Arial" w:cs="Arial" w:eastAsia="Arial" w:hAnsi="Arial"/>
                <w:sz w:val="20"/>
                <w:szCs w:val="20"/>
                <w:color w:val="auto"/>
              </w:rPr>
              <w:t>7.5</w:t>
            </w:r>
          </w:p>
        </w:tc>
        <w:tc>
          <w:tcPr>
            <w:tcW w:w="4820" w:type="dxa"/>
            <w:vAlign w:val="bottom"/>
          </w:tcPr>
          <w:p>
            <w:pPr>
              <w:ind w:left="940"/>
              <w:spacing w:after="0" w:line="225" w:lineRule="exact"/>
              <w:rPr>
                <w:sz w:val="20"/>
                <w:szCs w:val="20"/>
                <w:color w:val="auto"/>
              </w:rPr>
            </w:pPr>
            <w:r>
              <w:rPr>
                <w:rFonts w:ascii="Arial" w:cs="Arial" w:eastAsia="Arial" w:hAnsi="Arial"/>
                <w:sz w:val="20"/>
                <w:szCs w:val="20"/>
                <w:color w:val="auto"/>
                <w:w w:val="94"/>
              </w:rPr>
              <w:t>Disclaimer of Actions Caused by and/or Under</w:t>
            </w:r>
          </w:p>
        </w:tc>
        <w:tc>
          <w:tcPr>
            <w:tcW w:w="320" w:type="dxa"/>
            <w:vAlign w:val="bottom"/>
          </w:tcPr>
          <w:p>
            <w:pPr>
              <w:spacing w:after="0"/>
              <w:rPr>
                <w:sz w:val="19"/>
                <w:szCs w:val="19"/>
                <w:color w:val="auto"/>
              </w:rPr>
            </w:pPr>
          </w:p>
        </w:tc>
      </w:tr>
      <w:tr>
        <w:trPr>
          <w:trHeight w:val="254"/>
        </w:trPr>
        <w:tc>
          <w:tcPr>
            <w:tcW w:w="1640" w:type="dxa"/>
            <w:vAlign w:val="bottom"/>
          </w:tcPr>
          <w:p>
            <w:pPr>
              <w:spacing w:after="0"/>
              <w:rPr>
                <w:sz w:val="22"/>
                <w:szCs w:val="22"/>
                <w:color w:val="auto"/>
              </w:rPr>
            </w:pPr>
          </w:p>
        </w:tc>
        <w:tc>
          <w:tcPr>
            <w:tcW w:w="4820" w:type="dxa"/>
            <w:vAlign w:val="bottom"/>
          </w:tcPr>
          <w:p>
            <w:pPr>
              <w:ind w:left="1040"/>
              <w:spacing w:after="0"/>
              <w:rPr>
                <w:sz w:val="20"/>
                <w:szCs w:val="20"/>
                <w:color w:val="auto"/>
              </w:rPr>
            </w:pPr>
            <w:r>
              <w:rPr>
                <w:rFonts w:ascii="Arial" w:cs="Arial" w:eastAsia="Arial" w:hAnsi="Arial"/>
                <w:sz w:val="20"/>
                <w:szCs w:val="20"/>
                <w:color w:val="auto"/>
              </w:rPr>
              <w:t>the Control of Third Parties</w:t>
            </w:r>
          </w:p>
        </w:tc>
        <w:tc>
          <w:tcPr>
            <w:tcW w:w="32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8.</w:t>
            </w:r>
          </w:p>
        </w:tc>
        <w:tc>
          <w:tcPr>
            <w:tcW w:w="6660" w:type="dxa"/>
            <w:vAlign w:val="bottom"/>
            <w:gridSpan w:val="2"/>
          </w:tcPr>
          <w:p>
            <w:pPr>
              <w:ind w:left="200"/>
              <w:spacing w:after="0"/>
              <w:rPr>
                <w:sz w:val="20"/>
                <w:szCs w:val="20"/>
                <w:color w:val="auto"/>
              </w:rPr>
            </w:pPr>
            <w:r>
              <w:rPr>
                <w:rFonts w:ascii="Arial" w:cs="Arial" w:eastAsia="Arial" w:hAnsi="Arial"/>
                <w:sz w:val="20"/>
                <w:szCs w:val="20"/>
                <w:b w:val="1"/>
                <w:bCs w:val="1"/>
                <w:color w:val="auto"/>
              </w:rPr>
              <w:t>CUSTOMER'S REPRESENTATIONS, WARRANTIES</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Warranties of Customer</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13</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Warranties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13</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8.1.2</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Breach of Warranties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14</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8.2</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w w:val="93"/>
              </w:rPr>
              <w:t>Compliance with Laws; Rules and Regulations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14</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8.3</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Access and Security</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14</w:t>
            </w:r>
          </w:p>
        </w:tc>
      </w:tr>
      <w:tr>
        <w:trPr>
          <w:trHeight w:val="224"/>
        </w:trPr>
        <w:tc>
          <w:tcPr>
            <w:tcW w:w="340" w:type="dxa"/>
            <w:vAlign w:val="bottom"/>
          </w:tcPr>
          <w:p>
            <w:pPr>
              <w:spacing w:after="0"/>
              <w:rPr>
                <w:sz w:val="19"/>
                <w:szCs w:val="19"/>
                <w:color w:val="auto"/>
              </w:rPr>
            </w:pPr>
          </w:p>
        </w:tc>
        <w:tc>
          <w:tcPr>
            <w:tcW w:w="2080" w:type="dxa"/>
            <w:vAlign w:val="bottom"/>
          </w:tcPr>
          <w:p>
            <w:pPr>
              <w:ind w:left="400"/>
              <w:spacing w:after="0" w:line="225" w:lineRule="exact"/>
              <w:rPr>
                <w:sz w:val="20"/>
                <w:szCs w:val="20"/>
                <w:color w:val="auto"/>
              </w:rPr>
            </w:pPr>
            <w:r>
              <w:rPr>
                <w:rFonts w:ascii="Arial" w:cs="Arial" w:eastAsia="Arial" w:hAnsi="Arial"/>
                <w:sz w:val="20"/>
                <w:szCs w:val="20"/>
                <w:color w:val="auto"/>
              </w:rPr>
              <w:t>8.3.1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Use Administrator</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14</w:t>
            </w:r>
          </w:p>
        </w:tc>
      </w:tr>
      <w:tr>
        <w:trPr>
          <w:trHeight w:val="224"/>
        </w:trPr>
        <w:tc>
          <w:tcPr>
            <w:tcW w:w="340" w:type="dxa"/>
            <w:vAlign w:val="bottom"/>
          </w:tcPr>
          <w:p>
            <w:pPr>
              <w:spacing w:after="0"/>
              <w:rPr>
                <w:sz w:val="19"/>
                <w:szCs w:val="19"/>
                <w:color w:val="auto"/>
              </w:rPr>
            </w:pPr>
          </w:p>
        </w:tc>
        <w:tc>
          <w:tcPr>
            <w:tcW w:w="2080" w:type="dxa"/>
            <w:vAlign w:val="bottom"/>
          </w:tcPr>
          <w:p>
            <w:pPr>
              <w:ind w:left="400"/>
              <w:spacing w:after="0" w:line="225" w:lineRule="exact"/>
              <w:rPr>
                <w:sz w:val="20"/>
                <w:szCs w:val="20"/>
                <w:color w:val="auto"/>
              </w:rPr>
            </w:pPr>
            <w:r>
              <w:rPr>
                <w:rFonts w:ascii="Arial" w:cs="Arial" w:eastAsia="Arial" w:hAnsi="Arial"/>
                <w:sz w:val="20"/>
                <w:szCs w:val="20"/>
                <w:color w:val="auto"/>
              </w:rPr>
              <w:t>8.3.2</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Representatives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14</w:t>
            </w:r>
          </w:p>
        </w:tc>
      </w:tr>
      <w:tr>
        <w:trPr>
          <w:trHeight w:val="224"/>
        </w:trPr>
        <w:tc>
          <w:tcPr>
            <w:tcW w:w="340" w:type="dxa"/>
            <w:vAlign w:val="bottom"/>
          </w:tcPr>
          <w:p>
            <w:pPr>
              <w:spacing w:after="0"/>
              <w:rPr>
                <w:sz w:val="19"/>
                <w:szCs w:val="19"/>
                <w:color w:val="auto"/>
              </w:rPr>
            </w:pPr>
          </w:p>
        </w:tc>
        <w:tc>
          <w:tcPr>
            <w:tcW w:w="2080" w:type="dxa"/>
            <w:vAlign w:val="bottom"/>
          </w:tcPr>
          <w:p>
            <w:pPr>
              <w:ind w:left="400"/>
              <w:spacing w:after="0" w:line="225" w:lineRule="exact"/>
              <w:rPr>
                <w:sz w:val="20"/>
                <w:szCs w:val="20"/>
                <w:color w:val="auto"/>
              </w:rPr>
            </w:pPr>
            <w:r>
              <w:rPr>
                <w:rFonts w:ascii="Arial" w:cs="Arial" w:eastAsia="Arial" w:hAnsi="Arial"/>
                <w:sz w:val="20"/>
                <w:szCs w:val="20"/>
                <w:color w:val="auto"/>
              </w:rPr>
              <w:t>8.3.3</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Use of Passwords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4"/>
        </w:trPr>
        <w:tc>
          <w:tcPr>
            <w:tcW w:w="340" w:type="dxa"/>
            <w:vAlign w:val="bottom"/>
          </w:tcPr>
          <w:p>
            <w:pPr>
              <w:spacing w:after="0"/>
              <w:rPr>
                <w:sz w:val="19"/>
                <w:szCs w:val="19"/>
                <w:color w:val="auto"/>
              </w:rPr>
            </w:pPr>
          </w:p>
        </w:tc>
        <w:tc>
          <w:tcPr>
            <w:tcW w:w="2080" w:type="dxa"/>
            <w:vAlign w:val="bottom"/>
          </w:tcPr>
          <w:p>
            <w:pPr>
              <w:ind w:left="400"/>
              <w:spacing w:after="0" w:line="225" w:lineRule="exact"/>
              <w:rPr>
                <w:sz w:val="20"/>
                <w:szCs w:val="20"/>
                <w:color w:val="auto"/>
              </w:rPr>
            </w:pPr>
            <w:r>
              <w:rPr>
                <w:rFonts w:ascii="Arial" w:cs="Arial" w:eastAsia="Arial" w:hAnsi="Arial"/>
                <w:sz w:val="20"/>
                <w:szCs w:val="20"/>
                <w:color w:val="auto"/>
              </w:rPr>
              <w:t>8.3.4</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Data Center Access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8.4</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License to Use of Space</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8.5</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Restrictions on Use of Services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8.6</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Equipment And Connections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15</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8.7</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Relocation of Customer Equipment</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16</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8.8</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Use of Customer Area</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16</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8.9</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Conduct At Data Center</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16</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8.9.1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Conduct</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16</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8.9.2</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Prohibited Items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17</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8.9.3</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Prohibited Activities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17</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8.9.4</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Cameras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8.10</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w w:val="92"/>
              </w:rPr>
              <w:t>Suspension and Termination of Representative</w:t>
            </w:r>
          </w:p>
        </w:tc>
        <w:tc>
          <w:tcPr>
            <w:tcW w:w="32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ind w:left="800"/>
              <w:spacing w:after="0" w:line="225" w:lineRule="exact"/>
              <w:rPr>
                <w:sz w:val="20"/>
                <w:szCs w:val="20"/>
                <w:color w:val="auto"/>
              </w:rPr>
            </w:pPr>
            <w:r>
              <w:rPr>
                <w:rFonts w:ascii="Arial" w:cs="Arial" w:eastAsia="Arial" w:hAnsi="Arial"/>
                <w:sz w:val="20"/>
                <w:szCs w:val="20"/>
                <w:color w:val="auto"/>
              </w:rPr>
              <w:t>Access to Data Center</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24"/>
        </w:trPr>
        <w:tc>
          <w:tcPr>
            <w:tcW w:w="340" w:type="dxa"/>
            <w:vAlign w:val="bottom"/>
          </w:tcPr>
          <w:p>
            <w:pPr>
              <w:spacing w:after="0"/>
              <w:rPr>
                <w:sz w:val="19"/>
                <w:szCs w:val="19"/>
                <w:color w:val="auto"/>
              </w:rPr>
            </w:pPr>
          </w:p>
        </w:tc>
        <w:tc>
          <w:tcPr>
            <w:tcW w:w="2080" w:type="dxa"/>
            <w:vAlign w:val="bottom"/>
          </w:tcPr>
          <w:p>
            <w:pPr>
              <w:ind w:left="200"/>
              <w:spacing w:after="0" w:line="225" w:lineRule="exact"/>
              <w:rPr>
                <w:sz w:val="20"/>
                <w:szCs w:val="20"/>
                <w:color w:val="auto"/>
              </w:rPr>
            </w:pPr>
            <w:r>
              <w:rPr>
                <w:rFonts w:ascii="Arial" w:cs="Arial" w:eastAsia="Arial" w:hAnsi="Arial"/>
                <w:sz w:val="20"/>
                <w:szCs w:val="20"/>
                <w:color w:val="auto"/>
              </w:rPr>
              <w:t>8.11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RagingWire Supplied Equipment</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8.11.1</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Delivery and Term</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8.11.2</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Title</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18</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8.11.3</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Use, Maintenance and Repair</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19</w:t>
            </w:r>
          </w:p>
        </w:tc>
      </w:tr>
      <w:tr>
        <w:trPr>
          <w:trHeight w:val="224"/>
        </w:trPr>
        <w:tc>
          <w:tcPr>
            <w:tcW w:w="340" w:type="dxa"/>
            <w:vAlign w:val="bottom"/>
          </w:tcPr>
          <w:p>
            <w:pPr>
              <w:spacing w:after="0"/>
              <w:rPr>
                <w:sz w:val="19"/>
                <w:szCs w:val="19"/>
                <w:color w:val="auto"/>
              </w:rPr>
            </w:pPr>
          </w:p>
        </w:tc>
        <w:tc>
          <w:tcPr>
            <w:tcW w:w="2080" w:type="dxa"/>
            <w:vAlign w:val="bottom"/>
          </w:tcPr>
          <w:p>
            <w:pPr>
              <w:ind w:left="460"/>
              <w:spacing w:after="0" w:line="225" w:lineRule="exact"/>
              <w:rPr>
                <w:sz w:val="20"/>
                <w:szCs w:val="20"/>
                <w:color w:val="auto"/>
              </w:rPr>
            </w:pPr>
            <w:r>
              <w:rPr>
                <w:rFonts w:ascii="Arial" w:cs="Arial" w:eastAsia="Arial" w:hAnsi="Arial"/>
                <w:sz w:val="20"/>
                <w:szCs w:val="20"/>
                <w:color w:val="auto"/>
              </w:rPr>
              <w:t>8.11.4</w:t>
            </w:r>
          </w:p>
        </w:tc>
        <w:tc>
          <w:tcPr>
            <w:tcW w:w="4580" w:type="dxa"/>
            <w:vAlign w:val="bottom"/>
          </w:tcPr>
          <w:p>
            <w:pPr>
              <w:ind w:left="700"/>
              <w:spacing w:after="0" w:line="225" w:lineRule="exact"/>
              <w:rPr>
                <w:sz w:val="20"/>
                <w:szCs w:val="20"/>
                <w:color w:val="auto"/>
              </w:rPr>
            </w:pPr>
            <w:r>
              <w:rPr>
                <w:rFonts w:ascii="Arial" w:cs="Arial" w:eastAsia="Arial" w:hAnsi="Arial"/>
                <w:sz w:val="20"/>
                <w:szCs w:val="20"/>
                <w:color w:val="auto"/>
              </w:rPr>
              <w:t>Upgrades and Additions</w:t>
            </w:r>
          </w:p>
        </w:tc>
        <w:tc>
          <w:tcPr>
            <w:tcW w:w="320" w:type="dxa"/>
            <w:vAlign w:val="bottom"/>
          </w:tcPr>
          <w:p>
            <w:pPr>
              <w:jc w:val="right"/>
              <w:spacing w:after="0" w:line="225" w:lineRule="exact"/>
              <w:rPr>
                <w:sz w:val="20"/>
                <w:szCs w:val="20"/>
                <w:color w:val="auto"/>
              </w:rPr>
            </w:pPr>
            <w:r>
              <w:rPr>
                <w:rFonts w:ascii="Arial" w:cs="Arial" w:eastAsia="Arial" w:hAnsi="Arial"/>
                <w:sz w:val="20"/>
                <w:szCs w:val="20"/>
                <w:color w:val="auto"/>
              </w:rPr>
              <w:t>19</w:t>
            </w:r>
          </w:p>
        </w:tc>
      </w:tr>
      <w:tr>
        <w:trPr>
          <w:trHeight w:val="218"/>
        </w:trPr>
        <w:tc>
          <w:tcPr>
            <w:tcW w:w="340" w:type="dxa"/>
            <w:vAlign w:val="bottom"/>
          </w:tcPr>
          <w:p>
            <w:pPr>
              <w:spacing w:after="0"/>
              <w:rPr>
                <w:sz w:val="18"/>
                <w:szCs w:val="18"/>
                <w:color w:val="auto"/>
              </w:rPr>
            </w:pPr>
          </w:p>
        </w:tc>
        <w:tc>
          <w:tcPr>
            <w:tcW w:w="2080" w:type="dxa"/>
            <w:vAlign w:val="bottom"/>
          </w:tcPr>
          <w:p>
            <w:pPr>
              <w:ind w:left="200"/>
              <w:spacing w:after="0" w:line="218" w:lineRule="exact"/>
              <w:rPr>
                <w:sz w:val="20"/>
                <w:szCs w:val="20"/>
                <w:color w:val="auto"/>
              </w:rPr>
            </w:pPr>
            <w:r>
              <w:rPr>
                <w:rFonts w:ascii="Arial" w:cs="Arial" w:eastAsia="Arial" w:hAnsi="Arial"/>
                <w:sz w:val="20"/>
                <w:szCs w:val="20"/>
                <w:color w:val="auto"/>
              </w:rPr>
              <w:t>8.12</w:t>
            </w:r>
          </w:p>
        </w:tc>
        <w:tc>
          <w:tcPr>
            <w:tcW w:w="4580" w:type="dxa"/>
            <w:vAlign w:val="bottom"/>
          </w:tcPr>
          <w:p>
            <w:pPr>
              <w:ind w:left="700"/>
              <w:spacing w:after="0" w:line="218" w:lineRule="exact"/>
              <w:rPr>
                <w:sz w:val="20"/>
                <w:szCs w:val="20"/>
                <w:color w:val="auto"/>
              </w:rPr>
            </w:pPr>
            <w:r>
              <w:rPr>
                <w:rFonts w:ascii="Arial" w:cs="Arial" w:eastAsia="Arial" w:hAnsi="Arial"/>
                <w:sz w:val="20"/>
                <w:szCs w:val="20"/>
                <w:color w:val="auto"/>
              </w:rPr>
              <w:t>Scheduled And Emergency Maintenance</w:t>
            </w:r>
          </w:p>
        </w:tc>
        <w:tc>
          <w:tcPr>
            <w:tcW w:w="320" w:type="dxa"/>
            <w:vAlign w:val="bottom"/>
          </w:tcPr>
          <w:p>
            <w:pPr>
              <w:jc w:val="right"/>
              <w:spacing w:after="0" w:line="218" w:lineRule="exact"/>
              <w:rPr>
                <w:sz w:val="20"/>
                <w:szCs w:val="20"/>
                <w:color w:val="auto"/>
              </w:rPr>
            </w:pPr>
            <w:r>
              <w:rPr>
                <w:rFonts w:ascii="Arial" w:cs="Arial" w:eastAsia="Arial" w:hAnsi="Arial"/>
                <w:sz w:val="20"/>
                <w:szCs w:val="20"/>
                <w:color w:val="auto"/>
              </w:rPr>
              <w:t>20</w:t>
            </w:r>
          </w:p>
        </w:tc>
      </w:tr>
      <w:tr>
        <w:trPr>
          <w:trHeight w:val="230"/>
        </w:trPr>
        <w:tc>
          <w:tcPr>
            <w:tcW w:w="340" w:type="dxa"/>
            <w:vAlign w:val="bottom"/>
          </w:tcPr>
          <w:p>
            <w:pPr>
              <w:jc w:val="right"/>
              <w:ind w:right="100"/>
              <w:spacing w:after="0"/>
              <w:rPr>
                <w:sz w:val="20"/>
                <w:szCs w:val="20"/>
                <w:color w:val="auto"/>
              </w:rPr>
            </w:pPr>
            <w:r>
              <w:rPr>
                <w:rFonts w:ascii="Arial" w:cs="Arial" w:eastAsia="Arial" w:hAnsi="Arial"/>
                <w:sz w:val="20"/>
                <w:szCs w:val="20"/>
                <w:b w:val="1"/>
                <w:bCs w:val="1"/>
                <w:color w:val="auto"/>
                <w:w w:val="71"/>
              </w:rPr>
              <w:t>9.</w:t>
            </w:r>
          </w:p>
        </w:tc>
        <w:tc>
          <w:tcPr>
            <w:tcW w:w="2080" w:type="dxa"/>
            <w:vAlign w:val="bottom"/>
          </w:tcPr>
          <w:p>
            <w:pPr>
              <w:ind w:left="200"/>
              <w:spacing w:after="0"/>
              <w:rPr>
                <w:sz w:val="20"/>
                <w:szCs w:val="20"/>
                <w:color w:val="auto"/>
              </w:rPr>
            </w:pPr>
            <w:r>
              <w:rPr>
                <w:rFonts w:ascii="Arial" w:cs="Arial" w:eastAsia="Arial" w:hAnsi="Arial"/>
                <w:sz w:val="20"/>
                <w:szCs w:val="20"/>
                <w:b w:val="1"/>
                <w:bCs w:val="1"/>
                <w:color w:val="auto"/>
              </w:rPr>
              <w:t>INSURANCE</w:t>
            </w:r>
          </w:p>
        </w:tc>
        <w:tc>
          <w:tcPr>
            <w:tcW w:w="45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20</w:t>
            </w:r>
          </w:p>
        </w:tc>
      </w:tr>
      <w:tr>
        <w:trPr>
          <w:trHeight w:val="254"/>
        </w:trPr>
        <w:tc>
          <w:tcPr>
            <w:tcW w:w="340" w:type="dxa"/>
            <w:vAlign w:val="bottom"/>
          </w:tcPr>
          <w:p>
            <w:pPr>
              <w:spacing w:after="0"/>
              <w:rPr>
                <w:sz w:val="22"/>
                <w:szCs w:val="22"/>
                <w:color w:val="auto"/>
              </w:rPr>
            </w:pPr>
          </w:p>
        </w:tc>
        <w:tc>
          <w:tcPr>
            <w:tcW w:w="2080" w:type="dxa"/>
            <w:vAlign w:val="bottom"/>
          </w:tcPr>
          <w:p>
            <w:pPr>
              <w:ind w:left="200"/>
              <w:spacing w:after="0"/>
              <w:rPr>
                <w:sz w:val="20"/>
                <w:szCs w:val="20"/>
                <w:color w:val="auto"/>
              </w:rPr>
            </w:pPr>
            <w:r>
              <w:rPr>
                <w:rFonts w:ascii="Arial" w:cs="Arial" w:eastAsia="Arial" w:hAnsi="Arial"/>
                <w:sz w:val="20"/>
                <w:szCs w:val="20"/>
                <w:color w:val="auto"/>
              </w:rPr>
              <w:t>9.1</w:t>
            </w:r>
          </w:p>
        </w:tc>
        <w:tc>
          <w:tcPr>
            <w:tcW w:w="4580" w:type="dxa"/>
            <w:vAlign w:val="bottom"/>
          </w:tcPr>
          <w:p>
            <w:pPr>
              <w:ind w:left="700"/>
              <w:spacing w:after="0"/>
              <w:rPr>
                <w:sz w:val="20"/>
                <w:szCs w:val="20"/>
                <w:color w:val="auto"/>
              </w:rPr>
            </w:pPr>
            <w:r>
              <w:rPr>
                <w:rFonts w:ascii="Arial" w:cs="Arial" w:eastAsia="Arial" w:hAnsi="Arial"/>
                <w:sz w:val="20"/>
                <w:szCs w:val="20"/>
                <w:color w:val="auto"/>
              </w:rPr>
              <w:t>RagingWire Minimum Insurance Levels</w:t>
            </w:r>
          </w:p>
        </w:tc>
        <w:tc>
          <w:tcPr>
            <w:tcW w:w="320" w:type="dxa"/>
            <w:vAlign w:val="bottom"/>
          </w:tcPr>
          <w:p>
            <w:pPr>
              <w:jc w:val="right"/>
              <w:spacing w:after="0"/>
              <w:rPr>
                <w:sz w:val="20"/>
                <w:szCs w:val="20"/>
                <w:color w:val="auto"/>
              </w:rPr>
            </w:pPr>
            <w:r>
              <w:rPr>
                <w:rFonts w:ascii="Arial" w:cs="Arial" w:eastAsia="Arial" w:hAnsi="Arial"/>
                <w:sz w:val="20"/>
                <w:szCs w:val="20"/>
                <w:color w:val="auto"/>
              </w:rPr>
              <w:t>20</w:t>
            </w:r>
          </w:p>
        </w:tc>
      </w:tr>
    </w:tbl>
    <w:p>
      <w:pPr>
        <w:sectPr>
          <w:pgSz w:w="11900" w:h="16838" w:orient="portrait"/>
          <w:cols w:equalWidth="0" w:num="1">
            <w:col w:w="10219"/>
          </w:cols>
          <w:pgMar w:left="240" w:top="120"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9.2</w:t>
            </w:r>
          </w:p>
        </w:tc>
        <w:tc>
          <w:tcPr>
            <w:tcW w:w="4180" w:type="dxa"/>
            <w:vAlign w:val="bottom"/>
          </w:tcPr>
          <w:p>
            <w:pPr>
              <w:ind w:left="340"/>
              <w:spacing w:after="0"/>
              <w:rPr>
                <w:sz w:val="20"/>
                <w:szCs w:val="20"/>
                <w:color w:val="auto"/>
              </w:rPr>
            </w:pPr>
            <w:r>
              <w:rPr>
                <w:rFonts w:ascii="Arial" w:cs="Arial" w:eastAsia="Arial" w:hAnsi="Arial"/>
                <w:sz w:val="20"/>
                <w:szCs w:val="20"/>
                <w:color w:val="auto"/>
              </w:rPr>
              <w:t>Customer Minimum Insurance Levels</w:t>
            </w:r>
          </w:p>
        </w:tc>
        <w:tc>
          <w:tcPr>
            <w:tcW w:w="3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9.3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Certificates of Insurance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21</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9.4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w w:val="93"/>
              </w:rPr>
              <w:t>Obligations Continue Regardless of Insurance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22</w:t>
            </w:r>
          </w:p>
        </w:tc>
      </w:tr>
      <w:tr>
        <w:trPr>
          <w:trHeight w:val="254"/>
        </w:trPr>
        <w:tc>
          <w:tcPr>
            <w:tcW w:w="40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9.5</w:t>
            </w:r>
          </w:p>
        </w:tc>
        <w:tc>
          <w:tcPr>
            <w:tcW w:w="4180" w:type="dxa"/>
            <w:vAlign w:val="bottom"/>
          </w:tcPr>
          <w:p>
            <w:pPr>
              <w:ind w:left="340"/>
              <w:spacing w:after="0"/>
              <w:rPr>
                <w:sz w:val="20"/>
                <w:szCs w:val="20"/>
                <w:color w:val="auto"/>
              </w:rPr>
            </w:pPr>
            <w:r>
              <w:rPr>
                <w:rFonts w:ascii="Arial" w:cs="Arial" w:eastAsia="Arial" w:hAnsi="Arial"/>
                <w:sz w:val="20"/>
                <w:szCs w:val="20"/>
                <w:color w:val="auto"/>
              </w:rPr>
              <w:t>Waiver of Subrogation Rights</w:t>
            </w:r>
          </w:p>
        </w:tc>
        <w:tc>
          <w:tcPr>
            <w:tcW w:w="3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19"/>
        </w:trPr>
        <w:tc>
          <w:tcPr>
            <w:tcW w:w="400" w:type="dxa"/>
            <w:vAlign w:val="bottom"/>
          </w:tcPr>
          <w:p>
            <w:pPr>
              <w:spacing w:after="0"/>
              <w:rPr>
                <w:sz w:val="20"/>
                <w:szCs w:val="20"/>
                <w:color w:val="auto"/>
              </w:rPr>
            </w:pPr>
            <w:r>
              <w:rPr>
                <w:rFonts w:ascii="Arial" w:cs="Arial" w:eastAsia="Arial" w:hAnsi="Arial"/>
                <w:sz w:val="20"/>
                <w:szCs w:val="20"/>
                <w:b w:val="1"/>
                <w:bCs w:val="1"/>
                <w:color w:val="auto"/>
              </w:rPr>
              <w:t>10.</w:t>
            </w:r>
          </w:p>
        </w:tc>
        <w:tc>
          <w:tcPr>
            <w:tcW w:w="6560" w:type="dxa"/>
            <w:vAlign w:val="bottom"/>
            <w:gridSpan w:val="2"/>
          </w:tcPr>
          <w:p>
            <w:pPr>
              <w:ind w:left="140"/>
              <w:spacing w:after="0"/>
              <w:rPr>
                <w:sz w:val="20"/>
                <w:szCs w:val="20"/>
                <w:color w:val="auto"/>
              </w:rPr>
            </w:pPr>
            <w:r>
              <w:rPr>
                <w:rFonts w:ascii="Arial" w:cs="Arial" w:eastAsia="Arial" w:hAnsi="Arial"/>
                <w:sz w:val="20"/>
                <w:szCs w:val="20"/>
                <w:b w:val="1"/>
                <w:bCs w:val="1"/>
                <w:color w:val="auto"/>
              </w:rPr>
              <w:t>LIMITATIONS OF LIABILITY</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22</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Personal Injury</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22</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Damage to Customer Equipment</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22</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Waiver of Consequential and Incidental</w:t>
            </w:r>
          </w:p>
        </w:tc>
        <w:tc>
          <w:tcPr>
            <w:tcW w:w="360" w:type="dxa"/>
            <w:vAlign w:val="bottom"/>
          </w:tcPr>
          <w:p>
            <w:pPr>
              <w:spacing w:after="0"/>
              <w:rPr>
                <w:sz w:val="19"/>
                <w:szCs w:val="19"/>
                <w:color w:val="auto"/>
              </w:rPr>
            </w:pPr>
          </w:p>
        </w:tc>
      </w:tr>
      <w:tr>
        <w:trPr>
          <w:trHeight w:val="224"/>
        </w:trPr>
        <w:tc>
          <w:tcPr>
            <w:tcW w:w="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Damages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23</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Hazardous Materials; Assumption of Risk</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23</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10.5</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Maximum Liability</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23</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10.6</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Loss of Power</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23</w:t>
            </w:r>
          </w:p>
        </w:tc>
      </w:tr>
      <w:tr>
        <w:trPr>
          <w:trHeight w:val="254"/>
        </w:trPr>
        <w:tc>
          <w:tcPr>
            <w:tcW w:w="40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10.7</w:t>
            </w:r>
          </w:p>
        </w:tc>
        <w:tc>
          <w:tcPr>
            <w:tcW w:w="4540" w:type="dxa"/>
            <w:vAlign w:val="bottom"/>
            <w:gridSpan w:val="2"/>
          </w:tcPr>
          <w:p>
            <w:pPr>
              <w:ind w:left="340"/>
              <w:spacing w:after="0"/>
              <w:rPr>
                <w:sz w:val="20"/>
                <w:szCs w:val="20"/>
                <w:color w:val="auto"/>
              </w:rPr>
            </w:pPr>
            <w:r>
              <w:rPr>
                <w:rFonts w:ascii="Arial" w:cs="Arial" w:eastAsia="Arial" w:hAnsi="Arial"/>
                <w:sz w:val="20"/>
                <w:szCs w:val="20"/>
                <w:color w:val="auto"/>
                <w:w w:val="89"/>
              </w:rPr>
              <w:t>Basis of the Bargain; Failure of Essential Purpose 23</w:t>
            </w:r>
          </w:p>
        </w:tc>
      </w:tr>
      <w:tr>
        <w:trPr>
          <w:trHeight w:val="419"/>
        </w:trPr>
        <w:tc>
          <w:tcPr>
            <w:tcW w:w="400" w:type="dxa"/>
            <w:vAlign w:val="bottom"/>
          </w:tcPr>
          <w:p>
            <w:pPr>
              <w:spacing w:after="0"/>
              <w:rPr>
                <w:sz w:val="20"/>
                <w:szCs w:val="20"/>
                <w:color w:val="auto"/>
              </w:rPr>
            </w:pPr>
            <w:r>
              <w:rPr>
                <w:rFonts w:ascii="Arial" w:cs="Arial" w:eastAsia="Arial" w:hAnsi="Arial"/>
                <w:sz w:val="20"/>
                <w:szCs w:val="20"/>
                <w:b w:val="1"/>
                <w:bCs w:val="1"/>
                <w:color w:val="auto"/>
              </w:rPr>
              <w:t>11.</w:t>
            </w:r>
          </w:p>
        </w:tc>
        <w:tc>
          <w:tcPr>
            <w:tcW w:w="2380" w:type="dxa"/>
            <w:vAlign w:val="bottom"/>
          </w:tcPr>
          <w:p>
            <w:pPr>
              <w:ind w:left="140"/>
              <w:spacing w:after="0"/>
              <w:rPr>
                <w:sz w:val="20"/>
                <w:szCs w:val="20"/>
                <w:color w:val="auto"/>
              </w:rPr>
            </w:pPr>
            <w:r>
              <w:rPr>
                <w:rFonts w:ascii="Arial" w:cs="Arial" w:eastAsia="Arial" w:hAnsi="Arial"/>
                <w:sz w:val="20"/>
                <w:szCs w:val="20"/>
                <w:b w:val="1"/>
                <w:bCs w:val="1"/>
                <w:color w:val="auto"/>
              </w:rPr>
              <w:t>INDEMNIFICATION</w:t>
            </w:r>
          </w:p>
        </w:tc>
        <w:tc>
          <w:tcPr>
            <w:tcW w:w="4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24</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11.1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Indemnification By RagingWire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24</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11.2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Indemnification By Customer</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24</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11.3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Additional Indemnities of Customer</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25</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11.4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Notice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25</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11.5</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Enjoinment</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25</w:t>
            </w:r>
          </w:p>
        </w:tc>
      </w:tr>
      <w:tr>
        <w:trPr>
          <w:trHeight w:val="254"/>
        </w:trPr>
        <w:tc>
          <w:tcPr>
            <w:tcW w:w="40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11.6</w:t>
            </w:r>
          </w:p>
        </w:tc>
        <w:tc>
          <w:tcPr>
            <w:tcW w:w="4180" w:type="dxa"/>
            <w:vAlign w:val="bottom"/>
          </w:tcPr>
          <w:p>
            <w:pPr>
              <w:ind w:left="340"/>
              <w:spacing w:after="0"/>
              <w:rPr>
                <w:sz w:val="20"/>
                <w:szCs w:val="20"/>
                <w:color w:val="auto"/>
              </w:rPr>
            </w:pPr>
            <w:r>
              <w:rPr>
                <w:rFonts w:ascii="Arial" w:cs="Arial" w:eastAsia="Arial" w:hAnsi="Arial"/>
                <w:sz w:val="20"/>
                <w:szCs w:val="20"/>
                <w:color w:val="auto"/>
                <w:w w:val="93"/>
              </w:rPr>
              <w:t>Sole and Exclusive Obligations and Remedies</w:t>
            </w:r>
          </w:p>
        </w:tc>
        <w:tc>
          <w:tcPr>
            <w:tcW w:w="3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419"/>
        </w:trPr>
        <w:tc>
          <w:tcPr>
            <w:tcW w:w="400" w:type="dxa"/>
            <w:vAlign w:val="bottom"/>
          </w:tcPr>
          <w:p>
            <w:pPr>
              <w:spacing w:after="0"/>
              <w:rPr>
                <w:sz w:val="20"/>
                <w:szCs w:val="20"/>
                <w:color w:val="auto"/>
              </w:rPr>
            </w:pPr>
            <w:r>
              <w:rPr>
                <w:rFonts w:ascii="Arial" w:cs="Arial" w:eastAsia="Arial" w:hAnsi="Arial"/>
                <w:sz w:val="20"/>
                <w:szCs w:val="20"/>
                <w:color w:val="auto"/>
              </w:rPr>
              <w:t>12.</w:t>
            </w:r>
          </w:p>
        </w:tc>
        <w:tc>
          <w:tcPr>
            <w:tcW w:w="2380" w:type="dxa"/>
            <w:vAlign w:val="bottom"/>
          </w:tcPr>
          <w:p>
            <w:pPr>
              <w:ind w:left="140"/>
              <w:spacing w:after="0"/>
              <w:rPr>
                <w:sz w:val="20"/>
                <w:szCs w:val="20"/>
                <w:color w:val="auto"/>
              </w:rPr>
            </w:pPr>
            <w:r>
              <w:rPr>
                <w:rFonts w:ascii="Arial" w:cs="Arial" w:eastAsia="Arial" w:hAnsi="Arial"/>
                <w:sz w:val="20"/>
                <w:szCs w:val="20"/>
                <w:b w:val="1"/>
                <w:bCs w:val="1"/>
                <w:color w:val="auto"/>
              </w:rPr>
              <w:t>TERMINATION</w:t>
            </w:r>
          </w:p>
        </w:tc>
        <w:tc>
          <w:tcPr>
            <w:tcW w:w="4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12.1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Termination Without Cause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12.2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Termination For Cause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400"/>
              <w:spacing w:after="0" w:line="225" w:lineRule="exact"/>
              <w:rPr>
                <w:sz w:val="20"/>
                <w:szCs w:val="20"/>
                <w:color w:val="auto"/>
              </w:rPr>
            </w:pPr>
            <w:r>
              <w:rPr>
                <w:rFonts w:ascii="Arial" w:cs="Arial" w:eastAsia="Arial" w:hAnsi="Arial"/>
                <w:sz w:val="20"/>
                <w:szCs w:val="20"/>
                <w:color w:val="auto"/>
              </w:rPr>
              <w:t>12.2.1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For Curable Breach</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400"/>
              <w:spacing w:after="0" w:line="225" w:lineRule="exact"/>
              <w:rPr>
                <w:sz w:val="20"/>
                <w:szCs w:val="20"/>
                <w:color w:val="auto"/>
              </w:rPr>
            </w:pPr>
            <w:r>
              <w:rPr>
                <w:rFonts w:ascii="Arial" w:cs="Arial" w:eastAsia="Arial" w:hAnsi="Arial"/>
                <w:sz w:val="20"/>
                <w:szCs w:val="20"/>
                <w:color w:val="auto"/>
              </w:rPr>
              <w:t>12.2.2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Insolvency</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400"/>
              <w:spacing w:after="0" w:line="225" w:lineRule="exact"/>
              <w:rPr>
                <w:sz w:val="20"/>
                <w:szCs w:val="20"/>
                <w:color w:val="auto"/>
              </w:rPr>
            </w:pPr>
            <w:r>
              <w:rPr>
                <w:rFonts w:ascii="Arial" w:cs="Arial" w:eastAsia="Arial" w:hAnsi="Arial"/>
                <w:sz w:val="20"/>
                <w:szCs w:val="20"/>
                <w:color w:val="auto"/>
              </w:rPr>
              <w:t>12.2.3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Incurable Breach</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12.3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 Liability Upon Expiration</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12.4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Effect of Termination</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340"/>
              <w:spacing w:after="0" w:line="225" w:lineRule="exact"/>
              <w:rPr>
                <w:sz w:val="20"/>
                <w:szCs w:val="20"/>
                <w:color w:val="auto"/>
              </w:rPr>
            </w:pPr>
            <w:r>
              <w:rPr>
                <w:rFonts w:ascii="Arial" w:cs="Arial" w:eastAsia="Arial" w:hAnsi="Arial"/>
                <w:sz w:val="20"/>
                <w:szCs w:val="20"/>
                <w:color w:val="auto"/>
              </w:rPr>
              <w:t>12.4.1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Termination of Service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26</w:t>
            </w:r>
          </w:p>
        </w:tc>
      </w:tr>
      <w:tr>
        <w:trPr>
          <w:trHeight w:val="224"/>
        </w:trPr>
        <w:tc>
          <w:tcPr>
            <w:tcW w:w="400" w:type="dxa"/>
            <w:vAlign w:val="bottom"/>
          </w:tcPr>
          <w:p>
            <w:pPr>
              <w:spacing w:after="0"/>
              <w:rPr>
                <w:sz w:val="19"/>
                <w:szCs w:val="19"/>
                <w:color w:val="auto"/>
              </w:rPr>
            </w:pPr>
          </w:p>
        </w:tc>
        <w:tc>
          <w:tcPr>
            <w:tcW w:w="2380" w:type="dxa"/>
            <w:vAlign w:val="bottom"/>
          </w:tcPr>
          <w:p>
            <w:pPr>
              <w:ind w:left="400"/>
              <w:spacing w:after="0" w:line="225" w:lineRule="exact"/>
              <w:rPr>
                <w:sz w:val="20"/>
                <w:szCs w:val="20"/>
                <w:color w:val="auto"/>
              </w:rPr>
            </w:pPr>
            <w:r>
              <w:rPr>
                <w:rFonts w:ascii="Arial" w:cs="Arial" w:eastAsia="Arial" w:hAnsi="Arial"/>
                <w:sz w:val="20"/>
                <w:szCs w:val="20"/>
                <w:color w:val="auto"/>
              </w:rPr>
              <w:t>12.4.2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Payment</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27</w:t>
            </w:r>
          </w:p>
        </w:tc>
      </w:tr>
      <w:tr>
        <w:trPr>
          <w:trHeight w:val="224"/>
        </w:trPr>
        <w:tc>
          <w:tcPr>
            <w:tcW w:w="400" w:type="dxa"/>
            <w:vAlign w:val="bottom"/>
          </w:tcPr>
          <w:p>
            <w:pPr>
              <w:spacing w:after="0"/>
              <w:rPr>
                <w:sz w:val="19"/>
                <w:szCs w:val="19"/>
                <w:color w:val="auto"/>
              </w:rPr>
            </w:pPr>
          </w:p>
        </w:tc>
        <w:tc>
          <w:tcPr>
            <w:tcW w:w="2380" w:type="dxa"/>
            <w:vAlign w:val="bottom"/>
          </w:tcPr>
          <w:p>
            <w:pPr>
              <w:ind w:left="400"/>
              <w:spacing w:after="0" w:line="225" w:lineRule="exact"/>
              <w:rPr>
                <w:sz w:val="20"/>
                <w:szCs w:val="20"/>
                <w:color w:val="auto"/>
              </w:rPr>
            </w:pPr>
            <w:r>
              <w:rPr>
                <w:rFonts w:ascii="Arial" w:cs="Arial" w:eastAsia="Arial" w:hAnsi="Arial"/>
                <w:sz w:val="20"/>
                <w:szCs w:val="20"/>
                <w:color w:val="auto"/>
              </w:rPr>
              <w:t>12.4.3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Return of Equipment</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27</w:t>
            </w:r>
          </w:p>
        </w:tc>
      </w:tr>
      <w:tr>
        <w:trPr>
          <w:trHeight w:val="254"/>
        </w:trPr>
        <w:tc>
          <w:tcPr>
            <w:tcW w:w="40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12.5</w:t>
            </w:r>
          </w:p>
        </w:tc>
        <w:tc>
          <w:tcPr>
            <w:tcW w:w="4180" w:type="dxa"/>
            <w:vAlign w:val="bottom"/>
          </w:tcPr>
          <w:p>
            <w:pPr>
              <w:ind w:left="340"/>
              <w:spacing w:after="0"/>
              <w:rPr>
                <w:sz w:val="20"/>
                <w:szCs w:val="20"/>
                <w:color w:val="auto"/>
              </w:rPr>
            </w:pPr>
            <w:r>
              <w:rPr>
                <w:rFonts w:ascii="Arial" w:cs="Arial" w:eastAsia="Arial" w:hAnsi="Arial"/>
                <w:sz w:val="20"/>
                <w:szCs w:val="20"/>
                <w:color w:val="auto"/>
              </w:rPr>
              <w:t>Survival</w:t>
            </w:r>
          </w:p>
        </w:tc>
        <w:tc>
          <w:tcPr>
            <w:tcW w:w="3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419"/>
        </w:trPr>
        <w:tc>
          <w:tcPr>
            <w:tcW w:w="400" w:type="dxa"/>
            <w:vAlign w:val="bottom"/>
          </w:tcPr>
          <w:p>
            <w:pPr>
              <w:spacing w:after="0"/>
              <w:rPr>
                <w:sz w:val="20"/>
                <w:szCs w:val="20"/>
                <w:color w:val="auto"/>
              </w:rPr>
            </w:pPr>
            <w:r>
              <w:rPr>
                <w:rFonts w:ascii="Arial" w:cs="Arial" w:eastAsia="Arial" w:hAnsi="Arial"/>
                <w:sz w:val="20"/>
                <w:szCs w:val="20"/>
                <w:b w:val="1"/>
                <w:bCs w:val="1"/>
                <w:color w:val="auto"/>
              </w:rPr>
              <w:t>13.</w:t>
            </w:r>
          </w:p>
        </w:tc>
        <w:tc>
          <w:tcPr>
            <w:tcW w:w="6560" w:type="dxa"/>
            <w:vAlign w:val="bottom"/>
            <w:gridSpan w:val="2"/>
          </w:tcPr>
          <w:p>
            <w:pPr>
              <w:ind w:left="140"/>
              <w:spacing w:after="0"/>
              <w:rPr>
                <w:sz w:val="20"/>
                <w:szCs w:val="20"/>
                <w:color w:val="auto"/>
              </w:rPr>
            </w:pPr>
            <w:r>
              <w:rPr>
                <w:rFonts w:ascii="Arial" w:cs="Arial" w:eastAsia="Arial" w:hAnsi="Arial"/>
                <w:sz w:val="20"/>
                <w:szCs w:val="20"/>
                <w:b w:val="1"/>
                <w:bCs w:val="1"/>
                <w:color w:val="auto"/>
              </w:rPr>
              <w:t>MISCELLANEOUS PROVISIONS</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Force Majeure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27</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 Lease; Other Limitations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27</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Marketing</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28</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Government Regulations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28</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13.5</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Non-Solicitation</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28</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13.6</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 Third Party Beneficiaries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28</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13.7</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Governing Law; Choice of Forum</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29</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13.8</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Informal Dispute Resolution</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29</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13.9</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Severability; Waiver</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29</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13.10</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Assignment</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29</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13.11</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Notice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29</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13.12</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Relationship of Parties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30</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13.13</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Entire Agreement; Counterparts; Originals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30</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13.14</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Interpretation of Conflicting Terms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30</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13.15</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RagingWire Policies and Procedures</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30</w:t>
            </w:r>
          </w:p>
        </w:tc>
      </w:tr>
      <w:tr>
        <w:trPr>
          <w:trHeight w:val="224"/>
        </w:trPr>
        <w:tc>
          <w:tcPr>
            <w:tcW w:w="400" w:type="dxa"/>
            <w:vAlign w:val="bottom"/>
          </w:tcPr>
          <w:p>
            <w:pPr>
              <w:spacing w:after="0"/>
              <w:rPr>
                <w:sz w:val="19"/>
                <w:szCs w:val="19"/>
                <w:color w:val="auto"/>
              </w:rPr>
            </w:pPr>
          </w:p>
        </w:tc>
        <w:tc>
          <w:tcPr>
            <w:tcW w:w="2380" w:type="dxa"/>
            <w:vAlign w:val="bottom"/>
          </w:tcPr>
          <w:p>
            <w:pPr>
              <w:ind w:left="140"/>
              <w:spacing w:after="0" w:line="225" w:lineRule="exact"/>
              <w:rPr>
                <w:sz w:val="20"/>
                <w:szCs w:val="20"/>
                <w:color w:val="auto"/>
              </w:rPr>
            </w:pPr>
            <w:r>
              <w:rPr>
                <w:rFonts w:ascii="Arial" w:cs="Arial" w:eastAsia="Arial" w:hAnsi="Arial"/>
                <w:sz w:val="20"/>
                <w:szCs w:val="20"/>
                <w:color w:val="auto"/>
              </w:rPr>
              <w:t>13.16</w:t>
            </w:r>
          </w:p>
        </w:tc>
        <w:tc>
          <w:tcPr>
            <w:tcW w:w="4180" w:type="dxa"/>
            <w:vAlign w:val="bottom"/>
          </w:tcPr>
          <w:p>
            <w:pPr>
              <w:ind w:left="340"/>
              <w:spacing w:after="0" w:line="225" w:lineRule="exact"/>
              <w:rPr>
                <w:sz w:val="20"/>
                <w:szCs w:val="20"/>
                <w:color w:val="auto"/>
              </w:rPr>
            </w:pPr>
            <w:r>
              <w:rPr>
                <w:rFonts w:ascii="Arial" w:cs="Arial" w:eastAsia="Arial" w:hAnsi="Arial"/>
                <w:sz w:val="20"/>
                <w:szCs w:val="20"/>
                <w:color w:val="auto"/>
              </w:rPr>
              <w:t>Time is of the Essence</w:t>
            </w:r>
          </w:p>
        </w:tc>
        <w:tc>
          <w:tcPr>
            <w:tcW w:w="360" w:type="dxa"/>
            <w:vAlign w:val="bottom"/>
          </w:tcPr>
          <w:p>
            <w:pPr>
              <w:jc w:val="right"/>
              <w:spacing w:after="0" w:line="225" w:lineRule="exact"/>
              <w:rPr>
                <w:sz w:val="20"/>
                <w:szCs w:val="20"/>
                <w:color w:val="auto"/>
              </w:rPr>
            </w:pPr>
            <w:r>
              <w:rPr>
                <w:rFonts w:ascii="Arial" w:cs="Arial" w:eastAsia="Arial" w:hAnsi="Arial"/>
                <w:sz w:val="20"/>
                <w:szCs w:val="20"/>
                <w:color w:val="auto"/>
              </w:rPr>
              <w:t>30</w:t>
            </w:r>
          </w:p>
        </w:tc>
      </w:tr>
      <w:tr>
        <w:trPr>
          <w:trHeight w:val="254"/>
        </w:trPr>
        <w:tc>
          <w:tcPr>
            <w:tcW w:w="40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20"/>
                <w:szCs w:val="20"/>
                <w:color w:val="auto"/>
              </w:rPr>
              <w:t>13.17</w:t>
            </w:r>
          </w:p>
        </w:tc>
        <w:tc>
          <w:tcPr>
            <w:tcW w:w="4180" w:type="dxa"/>
            <w:vAlign w:val="bottom"/>
          </w:tcPr>
          <w:p>
            <w:pPr>
              <w:ind w:left="340"/>
              <w:spacing w:after="0"/>
              <w:rPr>
                <w:sz w:val="20"/>
                <w:szCs w:val="20"/>
                <w:color w:val="auto"/>
              </w:rPr>
            </w:pPr>
            <w:r>
              <w:rPr>
                <w:rFonts w:ascii="Arial" w:cs="Arial" w:eastAsia="Arial" w:hAnsi="Arial"/>
                <w:sz w:val="20"/>
                <w:szCs w:val="20"/>
                <w:color w:val="auto"/>
              </w:rPr>
              <w:t>Right to Inspect Customer Area</w:t>
            </w:r>
          </w:p>
        </w:tc>
        <w:tc>
          <w:tcPr>
            <w:tcW w:w="360" w:type="dxa"/>
            <w:vAlign w:val="bottom"/>
          </w:tcPr>
          <w:p>
            <w:pPr>
              <w:jc w:val="right"/>
              <w:spacing w:after="0"/>
              <w:rPr>
                <w:sz w:val="20"/>
                <w:szCs w:val="20"/>
                <w:color w:val="auto"/>
              </w:rPr>
            </w:pPr>
            <w:r>
              <w:rPr>
                <w:rFonts w:ascii="Arial" w:cs="Arial" w:eastAsia="Arial" w:hAnsi="Arial"/>
                <w:sz w:val="20"/>
                <w:szCs w:val="20"/>
                <w:color w:val="auto"/>
              </w:rPr>
              <w:t>30</w:t>
            </w:r>
          </w:p>
        </w:tc>
      </w:tr>
    </w:tbl>
    <w:p>
      <w:pPr>
        <w:sectPr>
          <w:pgSz w:w="11900" w:h="16838" w:orient="portrait"/>
          <w:cols w:equalWidth="0" w:num="1">
            <w:col w:w="10219"/>
          </w:cols>
          <w:pgMar w:left="240" w:top="115" w:right="1440"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Exhibit 10.12</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ind w:firstLine="246"/>
        <w:spacing w:after="0" w:line="246"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February 20, 2003 by and between Photronics, Inc., a Connecticut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having a principal place of business at 1061 East Indiantown Road, Jupiter, Florida 33477 and Sean T. Smith ("</w:t>
      </w:r>
      <w:r>
        <w:rPr>
          <w:rFonts w:ascii="Arial" w:cs="Arial" w:eastAsia="Arial" w:hAnsi="Arial"/>
          <w:sz w:val="20"/>
          <w:szCs w:val="20"/>
          <w:u w:val="single" w:color="auto"/>
          <w:color w:val="auto"/>
        </w:rPr>
        <w:t>Executive</w:t>
      </w:r>
      <w:r>
        <w:rPr>
          <w:rFonts w:ascii="Arial" w:cs="Arial" w:eastAsia="Arial" w:hAnsi="Arial"/>
          <w:sz w:val="20"/>
          <w:szCs w:val="20"/>
          <w:color w:val="auto"/>
        </w:rPr>
        <w:t>") residing at 60 Whitney Ridge Terrace, North Haven, Connecticut, 06473.</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WITNESSETH:</w:t>
      </w:r>
    </w:p>
    <w:p>
      <w:pPr>
        <w:spacing w:after="0" w:line="200" w:lineRule="exact"/>
        <w:rPr>
          <w:sz w:val="20"/>
          <w:szCs w:val="20"/>
          <w:color w:val="auto"/>
        </w:rPr>
      </w:pPr>
    </w:p>
    <w:p>
      <w:pPr>
        <w:ind w:right="60" w:firstLine="246"/>
        <w:spacing w:after="0" w:line="258" w:lineRule="auto"/>
        <w:rPr>
          <w:sz w:val="20"/>
          <w:szCs w:val="20"/>
          <w:color w:val="auto"/>
        </w:rPr>
      </w:pPr>
      <w:r>
        <w:rPr>
          <w:rFonts w:ascii="Arial" w:cs="Arial" w:eastAsia="Arial" w:hAnsi="Arial"/>
          <w:sz w:val="20"/>
          <w:szCs w:val="20"/>
          <w:color w:val="auto"/>
        </w:rPr>
        <w:t>WHEREAS, the Company and Executive desire to enter into this Agreement to assure the Company of the continuing service of Executive and to set forth the terms and conditions of Executive's employment with the Company.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NOW, THEREFORE, in consideration of the mutual promises and covenants set forth herein, the parties agree as follows:</w:t>
      </w:r>
    </w:p>
    <w:p>
      <w:pPr>
        <w:spacing w:after="0" w:line="188" w:lineRule="exact"/>
        <w:rPr>
          <w:sz w:val="20"/>
          <w:szCs w:val="20"/>
          <w:color w:val="auto"/>
        </w:rPr>
      </w:pPr>
    </w:p>
    <w:p>
      <w:pPr>
        <w:ind w:right="240"/>
        <w:spacing w:after="0"/>
        <w:tabs>
          <w:tab w:leader="none" w:pos="249"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agrees to employ Executive and Executive hereby accepts such employment, in accordance with the terms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Subject to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20"/>
          <w:szCs w:val="20"/>
          <w:u w:val="single" w:color="auto"/>
          <w:color w:val="auto"/>
        </w:rPr>
        <w:t>Section 1</w:t>
      </w:r>
      <w:r>
        <w:rPr>
          <w:rFonts w:ascii="Arial" w:cs="Arial" w:eastAsia="Arial" w:hAnsi="Arial"/>
          <w:sz w:val="20"/>
          <w:szCs w:val="20"/>
          <w:color w:val="auto"/>
        </w:rPr>
        <w:t>), on each anniversary of the date hereof, the Term of this Agreement shall automatically be extended for an additional one (1) year period.</w:t>
      </w:r>
    </w:p>
    <w:p>
      <w:pPr>
        <w:spacing w:after="0" w:line="165" w:lineRule="exact"/>
        <w:rPr>
          <w:rFonts w:ascii="Arial" w:cs="Arial" w:eastAsia="Arial" w:hAnsi="Arial"/>
          <w:sz w:val="20"/>
          <w:szCs w:val="20"/>
          <w:b w:val="1"/>
          <w:bCs w:val="1"/>
          <w:color w:val="auto"/>
        </w:rPr>
      </w:pPr>
    </w:p>
    <w:p>
      <w:pPr>
        <w:ind w:right="180"/>
        <w:spacing w:after="0" w:line="261" w:lineRule="auto"/>
        <w:tabs>
          <w:tab w:leader="none" w:pos="249"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this Agreement shall continue in effect, Executive shall devote Executive's full business time, energy and ability to</w:t>
      </w:r>
      <w:r>
        <w:rPr>
          <w:rFonts w:ascii="Arial" w:cs="Arial" w:eastAsia="Arial" w:hAnsi="Arial"/>
          <w:sz w:val="19"/>
          <w:szCs w:val="19"/>
          <w:b w:val="1"/>
          <w:bCs w:val="1"/>
          <w:color w:val="auto"/>
        </w:rPr>
        <w:t xml:space="preserve"> </w:t>
      </w:r>
      <w:r>
        <w:rPr>
          <w:rFonts w:ascii="Arial" w:cs="Arial" w:eastAsia="Arial" w:hAnsi="Arial"/>
          <w:sz w:val="19"/>
          <w:szCs w:val="19"/>
          <w:color w:val="auto"/>
        </w:rPr>
        <w:t>the business, 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46" w:lineRule="exact"/>
        <w:rPr>
          <w:rFonts w:ascii="Arial" w:cs="Arial" w:eastAsia="Arial" w:hAnsi="Arial"/>
          <w:sz w:val="19"/>
          <w:szCs w:val="19"/>
          <w:b w:val="1"/>
          <w:bCs w:val="1"/>
          <w:color w:val="auto"/>
        </w:rPr>
      </w:pPr>
    </w:p>
    <w:p>
      <w:pPr>
        <w:ind w:left="240" w:hanging="240"/>
        <w:spacing w:after="0"/>
        <w:tabs>
          <w:tab w:leader="none" w:pos="2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Duties and Responsibilities.</w:t>
      </w:r>
    </w:p>
    <w:p>
      <w:pPr>
        <w:spacing w:after="0" w:line="199" w:lineRule="exact"/>
        <w:rPr>
          <w:rFonts w:ascii="Arial" w:cs="Arial" w:eastAsia="Arial" w:hAnsi="Arial"/>
          <w:sz w:val="20"/>
          <w:szCs w:val="20"/>
          <w:b w:val="1"/>
          <w:bCs w:val="1"/>
          <w:color w:val="auto"/>
        </w:rPr>
      </w:pPr>
    </w:p>
    <w:p>
      <w:pPr>
        <w:ind w:right="260" w:firstLine="249"/>
        <w:spacing w:after="0" w:line="246" w:lineRule="auto"/>
        <w:tabs>
          <w:tab w:leader="none" w:pos="570" w:val="left"/>
        </w:tabs>
        <w:numPr>
          <w:ilvl w:val="1"/>
          <w:numId w:val="34"/>
        </w:numPr>
        <w:rPr>
          <w:rFonts w:ascii="Arial" w:cs="Arial" w:eastAsia="Arial" w:hAnsi="Arial"/>
          <w:sz w:val="20"/>
          <w:szCs w:val="20"/>
          <w:color w:val="auto"/>
        </w:rPr>
      </w:pPr>
      <w:r>
        <w:rPr>
          <w:rFonts w:ascii="Arial" w:cs="Arial" w:eastAsia="Arial" w:hAnsi="Arial"/>
          <w:sz w:val="20"/>
          <w:szCs w:val="20"/>
          <w:color w:val="auto"/>
        </w:rPr>
        <w:t>Executive shall serve as the Vice President, Chief Financial Officer of the Company. In the performance of Executive's duties, Executive shall report directly to the CEO and shall have such duties, responsibilities and authority as may from time to time be assigned to the Executive by the CEO.</w:t>
      </w:r>
    </w:p>
    <w:p>
      <w:pPr>
        <w:spacing w:after="0" w:line="165" w:lineRule="exact"/>
        <w:rPr>
          <w:rFonts w:ascii="Arial" w:cs="Arial" w:eastAsia="Arial" w:hAnsi="Arial"/>
          <w:sz w:val="20"/>
          <w:szCs w:val="20"/>
          <w:color w:val="auto"/>
        </w:rPr>
      </w:pPr>
    </w:p>
    <w:p>
      <w:pPr>
        <w:ind w:right="40" w:firstLine="249"/>
        <w:spacing w:after="0" w:line="265" w:lineRule="auto"/>
        <w:tabs>
          <w:tab w:leader="none" w:pos="582"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addition, Executive agrees to observe and comply with the policies, rules and regulations of the Company. The Company agrees that the duties which may be assigned to Executive shall be the customary duties of the office of Vice President, Chief Financial Officer and shall not be inconsistent with the provisions of the charter documents of the Company or applicable law.</w:t>
      </w:r>
    </w:p>
    <w:p>
      <w:pPr>
        <w:spacing w:after="0" w:line="142" w:lineRule="exact"/>
        <w:rPr>
          <w:rFonts w:ascii="Arial" w:cs="Arial" w:eastAsia="Arial" w:hAnsi="Arial"/>
          <w:sz w:val="19"/>
          <w:szCs w:val="19"/>
          <w:color w:val="auto"/>
        </w:rPr>
      </w:pPr>
    </w:p>
    <w:p>
      <w:pPr>
        <w:ind w:left="240" w:hanging="240"/>
        <w:spacing w:after="0"/>
        <w:tabs>
          <w:tab w:leader="none" w:pos="2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p>
    <w:p>
      <w:pPr>
        <w:spacing w:after="0" w:line="199" w:lineRule="exact"/>
        <w:rPr>
          <w:rFonts w:ascii="Arial" w:cs="Arial" w:eastAsia="Arial" w:hAnsi="Arial"/>
          <w:sz w:val="20"/>
          <w:szCs w:val="20"/>
          <w:b w:val="1"/>
          <w:bCs w:val="1"/>
          <w:color w:val="auto"/>
        </w:rPr>
      </w:pPr>
    </w:p>
    <w:p>
      <w:pPr>
        <w:ind w:right="20" w:firstLine="249"/>
        <w:spacing w:after="0" w:line="256" w:lineRule="auto"/>
        <w:tabs>
          <w:tab w:leader="none" w:pos="57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Base Compensation</w:t>
      </w:r>
      <w:r>
        <w:rPr>
          <w:rFonts w:ascii="Arial" w:cs="Arial" w:eastAsia="Arial" w:hAnsi="Arial"/>
          <w:sz w:val="19"/>
          <w:szCs w:val="19"/>
          <w:color w:val="auto"/>
        </w:rPr>
        <w:t>. During the Term, the Company agrees to pay Executive a base salary at the rate of $210,000 per year payable in accordance with the Company's customary payroll practices generally applicable to similarly situated employees as may be in effect from time to time (the "</w:t>
      </w: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All payments required hereunder, including the payments required by this </w:t>
      </w:r>
      <w:r>
        <w:rPr>
          <w:rFonts w:ascii="Arial" w:cs="Arial" w:eastAsia="Arial" w:hAnsi="Arial"/>
          <w:sz w:val="19"/>
          <w:szCs w:val="19"/>
          <w:u w:val="single" w:color="auto"/>
          <w:color w:val="auto"/>
        </w:rPr>
        <w:t>Section 4(a)</w:t>
      </w:r>
      <w:r>
        <w:rPr>
          <w:rFonts w:ascii="Arial" w:cs="Arial" w:eastAsia="Arial" w:hAnsi="Arial"/>
          <w:sz w:val="19"/>
          <w:szCs w:val="19"/>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155" w:lineRule="exact"/>
        <w:rPr>
          <w:rFonts w:ascii="Arial" w:cs="Arial" w:eastAsia="Arial" w:hAnsi="Arial"/>
          <w:sz w:val="19"/>
          <w:szCs w:val="19"/>
          <w:color w:val="auto"/>
        </w:rPr>
      </w:pPr>
    </w:p>
    <w:p>
      <w:pPr>
        <w:ind w:right="40" w:firstLine="249"/>
        <w:spacing w:after="0" w:line="242" w:lineRule="auto"/>
        <w:tabs>
          <w:tab w:leader="none" w:pos="582"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Periodic Review</w:t>
      </w:r>
      <w:r>
        <w:rPr>
          <w:rFonts w:ascii="Arial" w:cs="Arial" w:eastAsia="Arial" w:hAnsi="Arial"/>
          <w:sz w:val="20"/>
          <w:szCs w:val="20"/>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169" w:lineRule="exact"/>
        <w:rPr>
          <w:rFonts w:ascii="Arial" w:cs="Arial" w:eastAsia="Arial" w:hAnsi="Arial"/>
          <w:sz w:val="20"/>
          <w:szCs w:val="20"/>
          <w:color w:val="auto"/>
        </w:rPr>
      </w:pPr>
    </w:p>
    <w:p>
      <w:pPr>
        <w:ind w:right="120" w:firstLine="249"/>
        <w:spacing w:after="0"/>
        <w:tabs>
          <w:tab w:leader="none" w:pos="570"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Additional Benefits</w:t>
      </w:r>
      <w:r>
        <w:rPr>
          <w:rFonts w:ascii="Arial" w:cs="Arial" w:eastAsia="Arial" w:hAnsi="Arial"/>
          <w:sz w:val="20"/>
          <w:szCs w:val="20"/>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20"/>
          <w:szCs w:val="20"/>
          <w:u w:val="single" w:color="auto"/>
          <w:color w:val="auto"/>
        </w:rPr>
        <w:t>Benefits</w:t>
      </w:r>
      <w:r>
        <w:rPr>
          <w:rFonts w:ascii="Arial" w:cs="Arial" w:eastAsia="Arial" w:hAnsi="Arial"/>
          <w:sz w:val="20"/>
          <w:szCs w:val="20"/>
          <w:color w:val="auto"/>
        </w:rPr>
        <w:t>")). The Company shall have the right to terminate or change any such plans or programs at any time.</w:t>
      </w:r>
    </w:p>
    <w:p>
      <w:pPr>
        <w:spacing w:after="0" w:line="171" w:lineRule="exact"/>
        <w:rPr>
          <w:rFonts w:ascii="Arial" w:cs="Arial" w:eastAsia="Arial" w:hAnsi="Arial"/>
          <w:sz w:val="20"/>
          <w:szCs w:val="20"/>
          <w:color w:val="auto"/>
        </w:rPr>
      </w:pPr>
    </w:p>
    <w:p>
      <w:pPr>
        <w:ind w:right="140" w:firstLine="249"/>
        <w:spacing w:after="0" w:line="314" w:lineRule="auto"/>
        <w:tabs>
          <w:tab w:leader="none" w:pos="58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this Agreement, the Company shall provide the Executive with an automobile allowance or company car consistent with the Company's policies and provisions applicable to other similarly situated executives of the Company.</w:t>
      </w:r>
    </w:p>
    <w:p>
      <w:pPr>
        <w:spacing w:after="0" w:line="106" w:lineRule="exact"/>
        <w:rPr>
          <w:rFonts w:ascii="Arial" w:cs="Arial" w:eastAsia="Arial" w:hAnsi="Arial"/>
          <w:sz w:val="18"/>
          <w:szCs w:val="18"/>
          <w:color w:val="auto"/>
        </w:rPr>
      </w:pPr>
    </w:p>
    <w:p>
      <w:pPr>
        <w:ind w:right="380" w:firstLine="249"/>
        <w:spacing w:after="0" w:line="258" w:lineRule="auto"/>
        <w:tabs>
          <w:tab w:leader="none" w:pos="570"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of this Agreement, Executive shall be entitled to four (4) weeks' paid vacation per calendar year, which shall not be transferable to any subsequent year.</w:t>
      </w:r>
    </w:p>
    <w:p>
      <w:pPr>
        <w:spacing w:after="0" w:line="147" w:lineRule="exact"/>
        <w:rPr>
          <w:rFonts w:ascii="Arial" w:cs="Arial" w:eastAsia="Arial" w:hAnsi="Arial"/>
          <w:sz w:val="20"/>
          <w:szCs w:val="20"/>
          <w:color w:val="auto"/>
        </w:rPr>
      </w:pPr>
    </w:p>
    <w:p>
      <w:pPr>
        <w:ind w:right="160"/>
        <w:spacing w:after="0" w:line="249" w:lineRule="auto"/>
        <w:tabs>
          <w:tab w:leader="none" w:pos="249"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rights and obligations hereunder, except the rights and obligations contained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(Confidential Information),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(Non-Competition),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(Intellectual Property) and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(Remedies), which shall survive any termination hereunder, shall terminate upon the earliest to occur of any of the following:</w:t>
      </w:r>
    </w:p>
    <w:p>
      <w:pPr>
        <w:spacing w:after="0" w:line="162" w:lineRule="exact"/>
        <w:rPr>
          <w:rFonts w:ascii="Arial" w:cs="Arial" w:eastAsia="Arial" w:hAnsi="Arial"/>
          <w:sz w:val="20"/>
          <w:szCs w:val="20"/>
          <w:b w:val="1"/>
          <w:bCs w:val="1"/>
          <w:color w:val="auto"/>
        </w:rPr>
      </w:pPr>
    </w:p>
    <w:p>
      <w:pPr>
        <w:ind w:right="40" w:firstLine="249"/>
        <w:spacing w:after="0" w:line="269" w:lineRule="auto"/>
        <w:tabs>
          <w:tab w:leader="none" w:pos="57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 Retirement</w:t>
      </w:r>
      <w:r>
        <w:rPr>
          <w:rFonts w:ascii="Arial" w:cs="Arial" w:eastAsia="Arial" w:hAnsi="Arial"/>
          <w:sz w:val="18"/>
          <w:szCs w:val="18"/>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date of termination to the extent not theretofore paid, (B) any compensation previously deferred by Executive (together with any accrued interest or earnings thereon), and (C) any accrued vacation pay, in each case to the extent not theretofore paid (the sum of the amounts described in clauses (A), (B) and (C) shall be hereinafter referred to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a lump sum, subject to statutory deductions and withholdings, in cash within ten (10) business days after the date of termination or any earlier time required by applicable law.</w:t>
      </w:r>
    </w:p>
    <w:p>
      <w:pPr>
        <w:spacing w:after="0" w:line="145" w:lineRule="exact"/>
        <w:rPr>
          <w:rFonts w:ascii="Arial" w:cs="Arial" w:eastAsia="Arial" w:hAnsi="Arial"/>
          <w:sz w:val="18"/>
          <w:szCs w:val="18"/>
          <w:color w:val="auto"/>
        </w:rPr>
      </w:pPr>
    </w:p>
    <w:p>
      <w:pPr>
        <w:ind w:left="580" w:hanging="331"/>
        <w:spacing w:after="0"/>
        <w:tabs>
          <w:tab w:leader="none" w:pos="580"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Death or Disability of Executive</w:t>
      </w:r>
      <w:r>
        <w:rPr>
          <w:rFonts w:ascii="Arial" w:cs="Arial" w:eastAsia="Arial" w:hAnsi="Arial"/>
          <w:sz w:val="20"/>
          <w:szCs w:val="20"/>
          <w:color w:val="auto"/>
        </w:rPr>
        <w:t>.</w:t>
      </w:r>
    </w:p>
    <w:p>
      <w:pPr>
        <w:sectPr>
          <w:pgSz w:w="11900" w:h="16838" w:orient="portrait"/>
          <w:cols w:equalWidth="0" w:num="1">
            <w:col w:w="11400"/>
          </w:cols>
          <w:pgMar w:left="240" w:top="114" w:right="259" w:bottom="0" w:gutter="0" w:footer="0" w:header="0"/>
        </w:sectPr>
      </w:pPr>
    </w:p>
    <w:bookmarkStart w:id="75" w:name="page76"/>
    <w:bookmarkEnd w:id="75"/>
    <w:p>
      <w:pPr>
        <w:ind w:left="-249" w:right="80" w:firstLine="548"/>
        <w:spacing w:after="0" w:line="259" w:lineRule="auto"/>
        <w:tabs>
          <w:tab w:leader="none" w:pos="587"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52" w:lineRule="exact"/>
        <w:rPr>
          <w:rFonts w:ascii="Arial" w:cs="Arial" w:eastAsia="Arial" w:hAnsi="Arial"/>
          <w:sz w:val="20"/>
          <w:szCs w:val="20"/>
          <w:color w:val="auto"/>
        </w:rPr>
      </w:pPr>
    </w:p>
    <w:p>
      <w:pPr>
        <w:jc w:val="both"/>
        <w:ind w:left="-249" w:right="240" w:firstLine="797"/>
        <w:spacing w:after="0" w:line="246" w:lineRule="auto"/>
        <w:tabs>
          <w:tab w:leader="none" w:pos="881" w:val="left"/>
        </w:tabs>
        <w:numPr>
          <w:ilvl w:val="3"/>
          <w:numId w:val="35"/>
        </w:numPr>
        <w:rPr>
          <w:rFonts w:ascii="Arial" w:cs="Arial" w:eastAsia="Arial" w:hAnsi="Arial"/>
          <w:sz w:val="20"/>
          <w:szCs w:val="20"/>
          <w:color w:val="auto"/>
        </w:rPr>
      </w:pPr>
      <w:r>
        <w:rPr>
          <w:rFonts w:ascii="Arial" w:cs="Arial" w:eastAsia="Arial" w:hAnsi="Arial"/>
          <w:sz w:val="20"/>
          <w:szCs w:val="20"/>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65" w:lineRule="exact"/>
        <w:rPr>
          <w:rFonts w:ascii="Arial" w:cs="Arial" w:eastAsia="Arial" w:hAnsi="Arial"/>
          <w:sz w:val="20"/>
          <w:szCs w:val="20"/>
          <w:color w:val="auto"/>
        </w:rPr>
      </w:pPr>
    </w:p>
    <w:p>
      <w:pPr>
        <w:ind w:left="-249" w:right="380" w:firstLine="797"/>
        <w:spacing w:after="0" w:line="258" w:lineRule="auto"/>
        <w:tabs>
          <w:tab w:leader="none" w:pos="881" w:val="left"/>
        </w:tabs>
        <w:numPr>
          <w:ilvl w:val="3"/>
          <w:numId w:val="35"/>
        </w:numPr>
        <w:rPr>
          <w:rFonts w:ascii="Arial" w:cs="Arial" w:eastAsia="Arial" w:hAnsi="Arial"/>
          <w:sz w:val="20"/>
          <w:szCs w:val="20"/>
          <w:color w:val="auto"/>
        </w:rPr>
      </w:pPr>
      <w:r>
        <w:rPr>
          <w:rFonts w:ascii="Arial" w:cs="Arial" w:eastAsia="Arial" w:hAnsi="Arial"/>
          <w:sz w:val="20"/>
          <w:szCs w:val="20"/>
          <w:color w:val="auto"/>
        </w:rPr>
        <w:t>Payment to Executive or Executive's estate or beneficiary, as applicable, of any amount accrued pursuant to the terms of any other applicable benefit plan.</w:t>
      </w:r>
    </w:p>
    <w:p>
      <w:pPr>
        <w:spacing w:after="0" w:line="153" w:lineRule="exact"/>
        <w:rPr>
          <w:rFonts w:ascii="Arial" w:cs="Arial" w:eastAsia="Arial" w:hAnsi="Arial"/>
          <w:sz w:val="20"/>
          <w:szCs w:val="20"/>
          <w:color w:val="auto"/>
        </w:rPr>
      </w:pPr>
    </w:p>
    <w:p>
      <w:pPr>
        <w:ind w:left="-249" w:right="620" w:firstLine="498"/>
        <w:spacing w:after="0" w:line="258" w:lineRule="auto"/>
        <w:tabs>
          <w:tab w:leader="none" w:pos="593"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Executive shall become disabled, Executive's employment may be terminated only by written notice from the Company to Executive.</w:t>
      </w:r>
    </w:p>
    <w:p>
      <w:pPr>
        <w:spacing w:after="0" w:line="153" w:lineRule="exact"/>
        <w:rPr>
          <w:rFonts w:ascii="Arial" w:cs="Arial" w:eastAsia="Arial" w:hAnsi="Arial"/>
          <w:sz w:val="20"/>
          <w:szCs w:val="20"/>
          <w:color w:val="auto"/>
        </w:rPr>
      </w:pPr>
    </w:p>
    <w:p>
      <w:pPr>
        <w:ind w:left="-249" w:right="60" w:firstLine="498"/>
        <w:spacing w:after="0" w:line="246" w:lineRule="auto"/>
        <w:tabs>
          <w:tab w:leader="none" w:pos="648" w:val="left"/>
        </w:tabs>
        <w:numPr>
          <w:ilvl w:val="2"/>
          <w:numId w:val="35"/>
        </w:numPr>
        <w:rPr>
          <w:rFonts w:ascii="Arial" w:cs="Arial" w:eastAsia="Arial" w:hAnsi="Arial"/>
          <w:sz w:val="20"/>
          <w:szCs w:val="20"/>
          <w:color w:val="auto"/>
        </w:rPr>
      </w:pPr>
      <w:r>
        <w:rPr>
          <w:rFonts w:ascii="Arial" w:cs="Arial" w:eastAsia="Arial" w:hAnsi="Arial"/>
          <w:sz w:val="20"/>
          <w:szCs w:val="20"/>
          <w:color w:val="auto"/>
        </w:rPr>
        <w:t>For the purposes of this Agreement, "</w:t>
      </w:r>
      <w:r>
        <w:rPr>
          <w:rFonts w:ascii="Arial" w:cs="Arial" w:eastAsia="Arial" w:hAnsi="Arial"/>
          <w:sz w:val="20"/>
          <w:szCs w:val="20"/>
          <w:u w:val="single" w:color="auto"/>
          <w:color w:val="auto"/>
        </w:rPr>
        <w:t>disability</w:t>
      </w:r>
      <w:r>
        <w:rPr>
          <w:rFonts w:ascii="Arial" w:cs="Arial" w:eastAsia="Arial" w:hAnsi="Arial"/>
          <w:sz w:val="20"/>
          <w:szCs w:val="20"/>
          <w:color w:val="auto"/>
        </w:rPr>
        <w:t>" or "</w:t>
      </w:r>
      <w:r>
        <w:rPr>
          <w:rFonts w:ascii="Arial" w:cs="Arial" w:eastAsia="Arial" w:hAnsi="Arial"/>
          <w:sz w:val="20"/>
          <w:szCs w:val="20"/>
          <w:u w:val="single" w:color="auto"/>
          <w:color w:val="auto"/>
        </w:rPr>
        <w:t>disabled</w:t>
      </w:r>
      <w:r>
        <w:rPr>
          <w:rFonts w:ascii="Arial" w:cs="Arial" w:eastAsia="Arial" w:hAnsi="Arial"/>
          <w:sz w:val="20"/>
          <w:szCs w:val="20"/>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165" w:lineRule="exact"/>
        <w:rPr>
          <w:rFonts w:ascii="Arial" w:cs="Arial" w:eastAsia="Arial" w:hAnsi="Arial"/>
          <w:sz w:val="20"/>
          <w:szCs w:val="20"/>
          <w:color w:val="auto"/>
        </w:rPr>
      </w:pPr>
    </w:p>
    <w:p>
      <w:pPr>
        <w:ind w:left="311" w:hanging="311"/>
        <w:spacing w:after="0"/>
        <w:tabs>
          <w:tab w:leader="none" w:pos="31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left="-249" w:right="720" w:firstLine="548"/>
        <w:spacing w:after="0" w:line="258" w:lineRule="auto"/>
        <w:tabs>
          <w:tab w:leader="none" w:pos="584"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Company may terminate Executive's employment and all of Executive's rights to receive Base Salary, and any Benefits hereunder for Cause.</w:t>
      </w:r>
    </w:p>
    <w:p>
      <w:pPr>
        <w:spacing w:after="0" w:line="153" w:lineRule="exact"/>
        <w:rPr>
          <w:rFonts w:ascii="Arial" w:cs="Arial" w:eastAsia="Arial" w:hAnsi="Arial"/>
          <w:sz w:val="20"/>
          <w:szCs w:val="20"/>
          <w:color w:val="auto"/>
        </w:rPr>
      </w:pPr>
    </w:p>
    <w:p>
      <w:pPr>
        <w:ind w:left="-249" w:right="100" w:firstLine="548"/>
        <w:spacing w:after="0" w:line="246" w:lineRule="auto"/>
        <w:tabs>
          <w:tab w:leader="none" w:pos="643" w:val="left"/>
        </w:tabs>
        <w:numPr>
          <w:ilvl w:val="2"/>
          <w:numId w:val="36"/>
        </w:numPr>
        <w:rPr>
          <w:rFonts w:ascii="Arial" w:cs="Arial" w:eastAsia="Arial" w:hAnsi="Arial"/>
          <w:sz w:val="20"/>
          <w:szCs w:val="20"/>
          <w:color w:val="auto"/>
        </w:rPr>
      </w:pPr>
      <w:r>
        <w:rPr>
          <w:rFonts w:ascii="Arial" w:cs="Arial" w:eastAsia="Arial" w:hAnsi="Arial"/>
          <w:sz w:val="20"/>
          <w:szCs w:val="20"/>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65" w:lineRule="exact"/>
        <w:rPr>
          <w:sz w:val="20"/>
          <w:szCs w:val="20"/>
          <w:color w:val="auto"/>
        </w:rPr>
      </w:pPr>
    </w:p>
    <w:p>
      <w:pPr>
        <w:ind w:left="651" w:hanging="402"/>
        <w:spacing w:after="0"/>
        <w:tabs>
          <w:tab w:leader="none" w:pos="651" w:val="left"/>
        </w:tabs>
        <w:numPr>
          <w:ilvl w:val="1"/>
          <w:numId w:val="37"/>
        </w:numPr>
        <w:rPr>
          <w:rFonts w:ascii="Arial" w:cs="Arial" w:eastAsia="Arial" w:hAnsi="Arial"/>
          <w:sz w:val="20"/>
          <w:szCs w:val="20"/>
          <w:color w:val="auto"/>
        </w:rPr>
      </w:pPr>
      <w:r>
        <w:rPr>
          <w:rFonts w:ascii="Arial" w:cs="Arial" w:eastAsia="Arial" w:hAnsi="Arial"/>
          <w:sz w:val="20"/>
          <w:szCs w:val="20"/>
          <w:color w:val="auto"/>
        </w:rPr>
        <w:t>For purposes of this Agreement, the term "</w:t>
      </w:r>
      <w:r>
        <w:rPr>
          <w:rFonts w:ascii="Arial" w:cs="Arial" w:eastAsia="Arial" w:hAnsi="Arial"/>
          <w:sz w:val="20"/>
          <w:szCs w:val="20"/>
          <w:u w:val="single" w:color="auto"/>
          <w:color w:val="auto"/>
        </w:rPr>
        <w:t>Cause</w:t>
      </w:r>
      <w:r>
        <w:rPr>
          <w:rFonts w:ascii="Arial" w:cs="Arial" w:eastAsia="Arial" w:hAnsi="Arial"/>
          <w:sz w:val="20"/>
          <w:szCs w:val="20"/>
          <w:color w:val="auto"/>
        </w:rPr>
        <w:t>" shall be defined as any of the following</w:t>
      </w:r>
    </w:p>
    <w:p>
      <w:pPr>
        <w:spacing w:after="0" w:line="193" w:lineRule="exact"/>
        <w:rPr>
          <w:rFonts w:ascii="Arial" w:cs="Arial" w:eastAsia="Arial" w:hAnsi="Arial"/>
          <w:sz w:val="20"/>
          <w:szCs w:val="20"/>
          <w:color w:val="auto"/>
        </w:rPr>
      </w:pPr>
    </w:p>
    <w:p>
      <w:pPr>
        <w:ind w:left="-249" w:right="180" w:firstLine="797"/>
        <w:spacing w:after="0" w:line="258" w:lineRule="auto"/>
        <w:tabs>
          <w:tab w:leader="none" w:pos="881" w:val="left"/>
        </w:tabs>
        <w:numPr>
          <w:ilvl w:val="4"/>
          <w:numId w:val="37"/>
        </w:numPr>
        <w:rPr>
          <w:rFonts w:ascii="Arial" w:cs="Arial" w:eastAsia="Arial" w:hAnsi="Arial"/>
          <w:sz w:val="20"/>
          <w:szCs w:val="20"/>
          <w:color w:val="auto"/>
        </w:rPr>
      </w:pPr>
      <w:r>
        <w:rPr>
          <w:rFonts w:ascii="Arial" w:cs="Arial" w:eastAsia="Arial" w:hAnsi="Arial"/>
          <w:sz w:val="20"/>
          <w:szCs w:val="20"/>
          <w:color w:val="auto"/>
        </w:rPr>
        <w:t>Executive's material breach of any of any obligations under this Agreement (other than by reason of physical or mental illness, injury, or condition);</w:t>
      </w:r>
    </w:p>
    <w:p>
      <w:pPr>
        <w:spacing w:after="0" w:line="153" w:lineRule="exact"/>
        <w:rPr>
          <w:rFonts w:ascii="Arial" w:cs="Arial" w:eastAsia="Arial" w:hAnsi="Arial"/>
          <w:sz w:val="20"/>
          <w:szCs w:val="20"/>
          <w:color w:val="auto"/>
        </w:rPr>
      </w:pPr>
    </w:p>
    <w:p>
      <w:pPr>
        <w:ind w:left="-249" w:right="300" w:firstLine="797"/>
        <w:spacing w:after="0" w:line="258" w:lineRule="auto"/>
        <w:tabs>
          <w:tab w:leader="none" w:pos="881" w:val="left"/>
        </w:tabs>
        <w:numPr>
          <w:ilvl w:val="4"/>
          <w:numId w:val="37"/>
        </w:numPr>
        <w:rPr>
          <w:rFonts w:ascii="Arial" w:cs="Arial" w:eastAsia="Arial" w:hAnsi="Arial"/>
          <w:sz w:val="20"/>
          <w:szCs w:val="20"/>
          <w:color w:val="auto"/>
        </w:rPr>
      </w:pPr>
      <w:r>
        <w:rPr>
          <w:rFonts w:ascii="Arial" w:cs="Arial" w:eastAsia="Arial" w:hAnsi="Arial"/>
          <w:sz w:val="20"/>
          <w:szCs w:val="20"/>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53" w:lineRule="exact"/>
        <w:rPr>
          <w:rFonts w:ascii="Arial" w:cs="Arial" w:eastAsia="Arial" w:hAnsi="Arial"/>
          <w:sz w:val="20"/>
          <w:szCs w:val="20"/>
          <w:color w:val="auto"/>
        </w:rPr>
      </w:pPr>
    </w:p>
    <w:p>
      <w:pPr>
        <w:ind w:left="831" w:hanging="333"/>
        <w:spacing w:after="0"/>
        <w:tabs>
          <w:tab w:leader="none" w:pos="831" w:val="left"/>
        </w:tabs>
        <w:numPr>
          <w:ilvl w:val="3"/>
          <w:numId w:val="37"/>
        </w:numPr>
        <w:rPr>
          <w:rFonts w:ascii="Arial" w:cs="Arial" w:eastAsia="Arial" w:hAnsi="Arial"/>
          <w:sz w:val="20"/>
          <w:szCs w:val="20"/>
          <w:color w:val="auto"/>
        </w:rPr>
      </w:pPr>
      <w:r>
        <w:rPr>
          <w:rFonts w:ascii="Arial" w:cs="Arial" w:eastAsia="Arial" w:hAnsi="Arial"/>
          <w:sz w:val="20"/>
          <w:szCs w:val="20"/>
          <w:color w:val="auto"/>
        </w:rPr>
        <w:t>Executive's commission of an act of fraud upon the Company;</w:t>
      </w:r>
    </w:p>
    <w:p>
      <w:pPr>
        <w:spacing w:after="0" w:line="193" w:lineRule="exact"/>
        <w:rPr>
          <w:rFonts w:ascii="Arial" w:cs="Arial" w:eastAsia="Arial" w:hAnsi="Arial"/>
          <w:sz w:val="20"/>
          <w:szCs w:val="20"/>
          <w:color w:val="auto"/>
        </w:rPr>
      </w:pPr>
    </w:p>
    <w:p>
      <w:pPr>
        <w:ind w:left="-249" w:right="420" w:firstLine="747"/>
        <w:spacing w:after="0" w:line="258" w:lineRule="auto"/>
        <w:tabs>
          <w:tab w:leader="none" w:pos="831" w:val="left"/>
        </w:tabs>
        <w:numPr>
          <w:ilvl w:val="3"/>
          <w:numId w:val="37"/>
        </w:numPr>
        <w:rPr>
          <w:rFonts w:ascii="Arial" w:cs="Arial" w:eastAsia="Arial" w:hAnsi="Arial"/>
          <w:sz w:val="20"/>
          <w:szCs w:val="20"/>
          <w:color w:val="auto"/>
        </w:rPr>
      </w:pPr>
      <w:r>
        <w:rPr>
          <w:rFonts w:ascii="Arial" w:cs="Arial" w:eastAsia="Arial" w:hAnsi="Arial"/>
          <w:sz w:val="20"/>
          <w:szCs w:val="20"/>
          <w:color w:val="auto"/>
        </w:rPr>
        <w:t>Executive's engaging in willful or reckless misconduct or gross negligence in connection with any property or activity of the Company or its Affiliates;</w:t>
      </w:r>
    </w:p>
    <w:p>
      <w:pPr>
        <w:spacing w:after="0" w:line="153" w:lineRule="exact"/>
        <w:rPr>
          <w:rFonts w:ascii="Arial" w:cs="Arial" w:eastAsia="Arial" w:hAnsi="Arial"/>
          <w:sz w:val="20"/>
          <w:szCs w:val="20"/>
          <w:color w:val="auto"/>
        </w:rPr>
      </w:pPr>
    </w:p>
    <w:p>
      <w:pPr>
        <w:ind w:left="831" w:hanging="333"/>
        <w:spacing w:after="0"/>
        <w:tabs>
          <w:tab w:leader="none" w:pos="831" w:val="left"/>
        </w:tabs>
        <w:numPr>
          <w:ilvl w:val="3"/>
          <w:numId w:val="37"/>
        </w:numPr>
        <w:rPr>
          <w:rFonts w:ascii="Arial" w:cs="Arial" w:eastAsia="Arial" w:hAnsi="Arial"/>
          <w:sz w:val="20"/>
          <w:szCs w:val="20"/>
          <w:color w:val="auto"/>
        </w:rPr>
      </w:pPr>
      <w:r>
        <w:rPr>
          <w:rFonts w:ascii="Arial" w:cs="Arial" w:eastAsia="Arial" w:hAnsi="Arial"/>
          <w:sz w:val="20"/>
          <w:szCs w:val="20"/>
          <w:color w:val="auto"/>
        </w:rPr>
        <w:t>Executive's repeated and intemperate use of alcohol or illegal drugs after written notice from the Board or Directors;</w:t>
      </w:r>
    </w:p>
    <w:p>
      <w:pPr>
        <w:spacing w:after="0" w:line="193" w:lineRule="exact"/>
        <w:rPr>
          <w:rFonts w:ascii="Arial" w:cs="Arial" w:eastAsia="Arial" w:hAnsi="Arial"/>
          <w:sz w:val="20"/>
          <w:szCs w:val="20"/>
          <w:color w:val="auto"/>
        </w:rPr>
      </w:pPr>
    </w:p>
    <w:p>
      <w:pPr>
        <w:ind w:left="-249" w:right="200" w:firstLine="698"/>
        <w:spacing w:after="0" w:line="258" w:lineRule="auto"/>
        <w:tabs>
          <w:tab w:leader="none" w:pos="781" w:val="left"/>
        </w:tabs>
        <w:numPr>
          <w:ilvl w:val="2"/>
          <w:numId w:val="37"/>
        </w:numPr>
        <w:rPr>
          <w:rFonts w:ascii="Arial" w:cs="Arial" w:eastAsia="Arial" w:hAnsi="Arial"/>
          <w:sz w:val="20"/>
          <w:szCs w:val="20"/>
          <w:color w:val="auto"/>
        </w:rPr>
      </w:pPr>
      <w:r>
        <w:rPr>
          <w:rFonts w:ascii="Arial" w:cs="Arial" w:eastAsia="Arial" w:hAnsi="Arial"/>
          <w:sz w:val="20"/>
          <w:szCs w:val="20"/>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53" w:lineRule="exact"/>
        <w:rPr>
          <w:rFonts w:ascii="Arial" w:cs="Arial" w:eastAsia="Arial" w:hAnsi="Arial"/>
          <w:sz w:val="20"/>
          <w:szCs w:val="20"/>
          <w:color w:val="auto"/>
        </w:rPr>
      </w:pPr>
    </w:p>
    <w:p>
      <w:pPr>
        <w:ind w:left="771" w:hanging="322"/>
        <w:spacing w:after="0"/>
        <w:tabs>
          <w:tab w:leader="none" w:pos="771" w:val="left"/>
        </w:tabs>
        <w:numPr>
          <w:ilvl w:val="2"/>
          <w:numId w:val="37"/>
        </w:numPr>
        <w:rPr>
          <w:rFonts w:ascii="Arial" w:cs="Arial" w:eastAsia="Arial" w:hAnsi="Arial"/>
          <w:sz w:val="20"/>
          <w:szCs w:val="20"/>
          <w:color w:val="auto"/>
        </w:rPr>
      </w:pPr>
      <w:r>
        <w:rPr>
          <w:rFonts w:ascii="Arial" w:cs="Arial" w:eastAsia="Arial" w:hAnsi="Arial"/>
          <w:sz w:val="20"/>
          <w:szCs w:val="20"/>
          <w:color w:val="auto"/>
        </w:rPr>
        <w:t>Executive's becoming insolvent or filing for bankruptcy;</w:t>
      </w:r>
    </w:p>
    <w:p>
      <w:pPr>
        <w:spacing w:after="0" w:line="193" w:lineRule="exact"/>
        <w:rPr>
          <w:rFonts w:ascii="Arial" w:cs="Arial" w:eastAsia="Arial" w:hAnsi="Arial"/>
          <w:sz w:val="20"/>
          <w:szCs w:val="20"/>
          <w:color w:val="auto"/>
        </w:rPr>
      </w:pPr>
    </w:p>
    <w:p>
      <w:pPr>
        <w:ind w:left="771" w:hanging="322"/>
        <w:spacing w:after="0"/>
        <w:tabs>
          <w:tab w:leader="none" w:pos="771" w:val="left"/>
        </w:tabs>
        <w:numPr>
          <w:ilvl w:val="2"/>
          <w:numId w:val="37"/>
        </w:numPr>
        <w:rPr>
          <w:rFonts w:ascii="Arial" w:cs="Arial" w:eastAsia="Arial" w:hAnsi="Arial"/>
          <w:sz w:val="20"/>
          <w:szCs w:val="20"/>
          <w:color w:val="auto"/>
        </w:rPr>
      </w:pPr>
      <w:r>
        <w:rPr>
          <w:rFonts w:ascii="Arial" w:cs="Arial" w:eastAsia="Arial" w:hAnsi="Arial"/>
          <w:sz w:val="20"/>
          <w:szCs w:val="20"/>
          <w:color w:val="auto"/>
        </w:rPr>
        <w:t>Executive's becoming barred or prohibited by the SEC from holding my position with the Company; or</w:t>
      </w:r>
    </w:p>
    <w:p>
      <w:pPr>
        <w:spacing w:after="0" w:line="193" w:lineRule="exact"/>
        <w:rPr>
          <w:rFonts w:ascii="Arial" w:cs="Arial" w:eastAsia="Arial" w:hAnsi="Arial"/>
          <w:sz w:val="20"/>
          <w:szCs w:val="20"/>
          <w:color w:val="auto"/>
        </w:rPr>
      </w:pPr>
    </w:p>
    <w:p>
      <w:pPr>
        <w:ind w:left="-249" w:right="960" w:firstLine="698"/>
        <w:spacing w:after="0" w:line="258" w:lineRule="auto"/>
        <w:tabs>
          <w:tab w:leader="none" w:pos="781" w:val="left"/>
        </w:tabs>
        <w:numPr>
          <w:ilvl w:val="2"/>
          <w:numId w:val="37"/>
        </w:numPr>
        <w:rPr>
          <w:rFonts w:ascii="Arial" w:cs="Arial" w:eastAsia="Arial" w:hAnsi="Arial"/>
          <w:sz w:val="20"/>
          <w:szCs w:val="20"/>
          <w:color w:val="auto"/>
        </w:rPr>
      </w:pPr>
      <w:r>
        <w:rPr>
          <w:rFonts w:ascii="Arial" w:cs="Arial" w:eastAsia="Arial" w:hAnsi="Arial"/>
          <w:sz w:val="20"/>
          <w:szCs w:val="20"/>
          <w:color w:val="auto"/>
        </w:rPr>
        <w:t>Executive's violation of any duty of loyalty (i.e., engaging in self-interested transactions, misappropriation of business opportunities that belong to the Company, or a breach of Executive's fiduciary duties to the Company).</w:t>
      </w:r>
    </w:p>
    <w:p>
      <w:pPr>
        <w:spacing w:after="0" w:line="153" w:lineRule="exact"/>
        <w:rPr>
          <w:rFonts w:ascii="Arial" w:cs="Arial" w:eastAsia="Arial" w:hAnsi="Arial"/>
          <w:sz w:val="20"/>
          <w:szCs w:val="20"/>
          <w:color w:val="auto"/>
        </w:rPr>
      </w:pPr>
    </w:p>
    <w:p>
      <w:pPr>
        <w:ind w:left="331" w:hanging="331"/>
        <w:spacing w:after="0"/>
        <w:tabs>
          <w:tab w:leader="none" w:pos="33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Resignation For Good Reason</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left="-249" w:firstLine="498"/>
        <w:spacing w:after="0" w:line="287" w:lineRule="auto"/>
        <w:tabs>
          <w:tab w:leader="none" w:pos="5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5</w:t>
      </w:r>
      <w:r>
        <w:rPr>
          <w:rFonts w:ascii="Arial" w:cs="Arial" w:eastAsia="Arial" w:hAnsi="Arial"/>
          <w:sz w:val="18"/>
          <w:szCs w:val="18"/>
          <w:color w:val="auto"/>
        </w:rPr>
        <w:t>, (i) the Company, upon thirty (30) days advance notice to Executive, shall have the right to terminate Executive's employment with the Company without Cause at any time, including, without limitation, in connection expiration of the Term and (ii) Executive, upon thirty (30) days advance notice to the Company, shall have the right to resign for Good Reason.</w:t>
      </w:r>
    </w:p>
    <w:p>
      <w:pPr>
        <w:spacing w:after="0" w:line="130" w:lineRule="exact"/>
        <w:rPr>
          <w:sz w:val="20"/>
          <w:szCs w:val="20"/>
          <w:color w:val="auto"/>
        </w:rPr>
      </w:pPr>
    </w:p>
    <w:p>
      <w:pPr>
        <w:ind w:left="591" w:hanging="342"/>
        <w:spacing w:after="0"/>
        <w:tabs>
          <w:tab w:leader="none" w:pos="591"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Executive is so terminated without Cause or resigns for Good Reason, Executive shall receive from the Company:</w:t>
      </w:r>
    </w:p>
    <w:p>
      <w:pPr>
        <w:spacing w:after="0" w:line="193" w:lineRule="exact"/>
        <w:rPr>
          <w:rFonts w:ascii="Arial" w:cs="Arial" w:eastAsia="Arial" w:hAnsi="Arial"/>
          <w:sz w:val="20"/>
          <w:szCs w:val="20"/>
          <w:color w:val="auto"/>
        </w:rPr>
      </w:pPr>
    </w:p>
    <w:p>
      <w:pPr>
        <w:ind w:left="-249" w:right="100" w:firstLine="797"/>
        <w:spacing w:after="0" w:line="314" w:lineRule="auto"/>
        <w:tabs>
          <w:tab w:leader="none" w:pos="87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06" w:lineRule="exact"/>
        <w:rPr>
          <w:rFonts w:ascii="Arial" w:cs="Arial" w:eastAsia="Arial" w:hAnsi="Arial"/>
          <w:sz w:val="18"/>
          <w:szCs w:val="18"/>
          <w:color w:val="auto"/>
        </w:rPr>
      </w:pPr>
    </w:p>
    <w:p>
      <w:pPr>
        <w:ind w:left="-249" w:right="360" w:firstLine="797"/>
        <w:spacing w:after="0" w:line="287" w:lineRule="auto"/>
        <w:tabs>
          <w:tab w:leader="none" w:pos="87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payment ("</w:t>
      </w:r>
      <w:r>
        <w:rPr>
          <w:rFonts w:ascii="Arial" w:cs="Arial" w:eastAsia="Arial" w:hAnsi="Arial"/>
          <w:sz w:val="18"/>
          <w:szCs w:val="18"/>
          <w:u w:val="single" w:color="auto"/>
          <w:color w:val="auto"/>
        </w:rPr>
        <w:t>Severance Payment</w:t>
      </w:r>
      <w:r>
        <w:rPr>
          <w:rFonts w:ascii="Arial" w:cs="Arial" w:eastAsia="Arial" w:hAnsi="Arial"/>
          <w:sz w:val="18"/>
          <w:szCs w:val="18"/>
          <w:color w:val="auto"/>
        </w:rPr>
        <w:t>") equal to twelve (12) months of Executive's current Base Salary. The Severance Payment shall be paid by the Company to Executive in equal installments in accordance with the Company's customary payroll practices generally applicable to similarly situated employees as may be in effect from time and shall be subject to statutory deductions and withholdings.</w:t>
      </w:r>
    </w:p>
    <w:p>
      <w:pPr>
        <w:spacing w:after="0" w:line="129" w:lineRule="exact"/>
        <w:rPr>
          <w:rFonts w:ascii="Arial" w:cs="Arial" w:eastAsia="Arial" w:hAnsi="Arial"/>
          <w:sz w:val="18"/>
          <w:szCs w:val="18"/>
          <w:color w:val="auto"/>
        </w:rPr>
      </w:pPr>
    </w:p>
    <w:p>
      <w:pPr>
        <w:ind w:left="-249" w:right="280" w:firstLine="747"/>
        <w:spacing w:after="0" w:line="242" w:lineRule="auto"/>
        <w:tabs>
          <w:tab w:leader="none" w:pos="827" w:val="left"/>
        </w:tabs>
        <w:numPr>
          <w:ilvl w:val="1"/>
          <w:numId w:val="39"/>
        </w:numPr>
        <w:rPr>
          <w:rFonts w:ascii="Arial" w:cs="Arial" w:eastAsia="Arial" w:hAnsi="Arial"/>
          <w:sz w:val="20"/>
          <w:szCs w:val="20"/>
          <w:color w:val="auto"/>
        </w:rPr>
      </w:pPr>
      <w:r>
        <w:rPr>
          <w:rFonts w:ascii="Arial" w:cs="Arial" w:eastAsia="Arial" w:hAnsi="Arial"/>
          <w:sz w:val="20"/>
          <w:szCs w:val="20"/>
          <w:color w:val="auto"/>
        </w:rPr>
        <w:t>To the extent permitted by applicable law and the terms of the plans, the continuation of medical and dental plan benefits for a period of three hundred sixty (360) days ("</w:t>
      </w:r>
      <w:r>
        <w:rPr>
          <w:rFonts w:ascii="Arial" w:cs="Arial" w:eastAsia="Arial" w:hAnsi="Arial"/>
          <w:sz w:val="20"/>
          <w:szCs w:val="20"/>
          <w:u w:val="single" w:color="auto"/>
          <w:color w:val="auto"/>
        </w:rPr>
        <w:t>Benefit Period</w:t>
      </w:r>
      <w:r>
        <w:rPr>
          <w:rFonts w:ascii="Arial" w:cs="Arial" w:eastAsia="Arial" w:hAnsi="Arial"/>
          <w:sz w:val="20"/>
          <w:szCs w:val="20"/>
          <w:color w:val="auto"/>
        </w:rPr>
        <w:t>"), provided that Executive shall be required to make all required contributions to such plans as Executive did prior to the date of termination date. Subsequent to the Benefit Period, Executive will be eligible to continue medical insurance coverage for any remaining period required under COBRA.</w:t>
      </w:r>
    </w:p>
    <w:p>
      <w:pPr>
        <w:spacing w:after="0" w:line="169" w:lineRule="exact"/>
        <w:rPr>
          <w:rFonts w:ascii="Arial" w:cs="Arial" w:eastAsia="Arial" w:hAnsi="Arial"/>
          <w:sz w:val="20"/>
          <w:szCs w:val="20"/>
          <w:color w:val="auto"/>
        </w:rPr>
      </w:pPr>
    </w:p>
    <w:p>
      <w:pPr>
        <w:ind w:left="-249" w:right="600" w:firstLine="498"/>
        <w:spacing w:after="0" w:line="265" w:lineRule="auto"/>
        <w:tabs>
          <w:tab w:leader="none" w:pos="637"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As used in this Agreement, the term "Good Reason" shall mean (i) (except as set forth in </w:t>
      </w:r>
      <w:r>
        <w:rPr>
          <w:rFonts w:ascii="Arial" w:cs="Arial" w:eastAsia="Arial" w:hAnsi="Arial"/>
          <w:sz w:val="19"/>
          <w:szCs w:val="19"/>
          <w:u w:val="single" w:color="auto"/>
          <w:color w:val="auto"/>
        </w:rPr>
        <w:t>Section 5(e)</w:t>
      </w:r>
      <w:r>
        <w:rPr>
          <w:rFonts w:ascii="Arial" w:cs="Arial" w:eastAsia="Arial" w:hAnsi="Arial"/>
          <w:sz w:val="19"/>
          <w:szCs w:val="19"/>
          <w:color w:val="auto"/>
        </w:rPr>
        <w:t>) the relocation of the Company's principal executive offices to a location outside the contiguous 48 United States without the consent of Executive or (ii) any reduction in salary or benefits contrary to this Agreement, without the consent of Executive.</w:t>
      </w:r>
    </w:p>
    <w:p>
      <w:pPr>
        <w:sectPr>
          <w:pgSz w:w="11900" w:h="16838" w:orient="portrait"/>
          <w:cols w:equalWidth="0" w:num="1">
            <w:col w:w="11171"/>
          </w:cols>
          <w:pgMar w:left="489" w:top="120" w:right="239" w:bottom="100" w:gutter="0" w:footer="0" w:header="0"/>
        </w:sectPr>
      </w:pPr>
    </w:p>
    <w:bookmarkStart w:id="76" w:name="page77"/>
    <w:bookmarkEnd w:id="76"/>
    <w:p>
      <w:pPr>
        <w:spacing w:after="0" w:line="42" w:lineRule="exact"/>
        <w:rPr>
          <w:sz w:val="20"/>
          <w:szCs w:val="20"/>
          <w:color w:val="auto"/>
        </w:rPr>
      </w:pPr>
    </w:p>
    <w:p>
      <w:pPr>
        <w:ind w:right="120" w:firstLine="498"/>
        <w:spacing w:after="0" w:line="259" w:lineRule="auto"/>
        <w:tabs>
          <w:tab w:leader="none" w:pos="875"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As a condition to receiving the payment and benefits extension contemplated by this </w:t>
      </w:r>
      <w:r>
        <w:rPr>
          <w:rFonts w:ascii="Arial" w:cs="Arial" w:eastAsia="Arial" w:hAnsi="Arial"/>
          <w:sz w:val="20"/>
          <w:szCs w:val="20"/>
          <w:u w:val="single" w:color="auto"/>
          <w:color w:val="auto"/>
        </w:rPr>
        <w:t>Section 5(d)</w:t>
      </w:r>
      <w:r>
        <w:rPr>
          <w:rFonts w:ascii="Arial" w:cs="Arial" w:eastAsia="Arial" w:hAnsi="Arial"/>
          <w:sz w:val="20"/>
          <w:szCs w:val="20"/>
          <w:color w:val="auto"/>
        </w:rPr>
        <w:t xml:space="preserve">, Executive agrees to execute and deliver to the Company the Release substantially in the form attached to this Agreement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ind w:left="560" w:hanging="311"/>
        <w:spacing w:after="0"/>
        <w:tabs>
          <w:tab w:leader="none" w:pos="5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w:t>
      </w:r>
    </w:p>
    <w:p>
      <w:pPr>
        <w:spacing w:after="0" w:line="194" w:lineRule="exact"/>
        <w:rPr>
          <w:sz w:val="20"/>
          <w:szCs w:val="20"/>
          <w:color w:val="auto"/>
        </w:rPr>
      </w:pPr>
    </w:p>
    <w:p>
      <w:pPr>
        <w:ind w:left="840" w:hanging="292"/>
        <w:spacing w:after="0"/>
        <w:tabs>
          <w:tab w:leader="none" w:pos="8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 purposes of the Agreement, a "change of control" means, and shall be deemed to have taken place, if;</w:t>
      </w:r>
    </w:p>
    <w:p>
      <w:pPr>
        <w:spacing w:after="0" w:line="193" w:lineRule="exact"/>
        <w:rPr>
          <w:rFonts w:ascii="Arial" w:cs="Arial" w:eastAsia="Arial" w:hAnsi="Arial"/>
          <w:sz w:val="20"/>
          <w:szCs w:val="20"/>
          <w:color w:val="auto"/>
        </w:rPr>
      </w:pPr>
    </w:p>
    <w:p>
      <w:pPr>
        <w:ind w:right="280" w:firstLine="797"/>
        <w:spacing w:after="0"/>
        <w:tabs>
          <w:tab w:leader="none" w:pos="113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171" w:lineRule="exact"/>
        <w:rPr>
          <w:rFonts w:ascii="Arial" w:cs="Arial" w:eastAsia="Arial" w:hAnsi="Arial"/>
          <w:sz w:val="20"/>
          <w:szCs w:val="20"/>
          <w:color w:val="auto"/>
        </w:rPr>
      </w:pPr>
    </w:p>
    <w:p>
      <w:pPr>
        <w:ind w:right="240" w:firstLine="797"/>
        <w:spacing w:after="0"/>
        <w:tabs>
          <w:tab w:leader="none" w:pos="1130" w:val="left"/>
        </w:tabs>
        <w:numPr>
          <w:ilvl w:val="2"/>
          <w:numId w:val="42"/>
        </w:numPr>
        <w:rPr>
          <w:rFonts w:ascii="Arial" w:cs="Arial" w:eastAsia="Arial" w:hAnsi="Arial"/>
          <w:sz w:val="20"/>
          <w:szCs w:val="20"/>
          <w:color w:val="auto"/>
        </w:rPr>
      </w:pPr>
      <w:r>
        <w:rPr>
          <w:rFonts w:ascii="Arial" w:cs="Arial" w:eastAsia="Arial" w:hAnsi="Arial"/>
          <w:sz w:val="20"/>
          <w:szCs w:val="20"/>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71" w:lineRule="exact"/>
        <w:rPr>
          <w:rFonts w:ascii="Arial" w:cs="Arial" w:eastAsia="Arial" w:hAnsi="Arial"/>
          <w:sz w:val="20"/>
          <w:szCs w:val="20"/>
          <w:color w:val="auto"/>
        </w:rPr>
      </w:pPr>
    </w:p>
    <w:p>
      <w:pPr>
        <w:ind w:right="20" w:firstLine="797"/>
        <w:spacing w:after="0" w:line="265" w:lineRule="auto"/>
        <w:tabs>
          <w:tab w:leader="none" w:pos="1130"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there occurs a reorganization, merger, consolidation or other corporate transaction involving the Company (a "</w:t>
      </w:r>
      <w:r>
        <w:rPr>
          <w:rFonts w:ascii="Arial" w:cs="Arial" w:eastAsia="Arial" w:hAnsi="Arial"/>
          <w:sz w:val="19"/>
          <w:szCs w:val="19"/>
          <w:u w:val="single" w:color="auto"/>
          <w:color w:val="auto"/>
        </w:rPr>
        <w:t>Transaction</w:t>
      </w:r>
      <w:r>
        <w:rPr>
          <w:rFonts w:ascii="Arial" w:cs="Arial" w:eastAsia="Arial" w:hAnsi="Arial"/>
          <w:sz w:val="19"/>
          <w:szCs w:val="19"/>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148" w:lineRule="exact"/>
        <w:rPr>
          <w:rFonts w:ascii="Arial" w:cs="Arial" w:eastAsia="Arial" w:hAnsi="Arial"/>
          <w:sz w:val="19"/>
          <w:szCs w:val="19"/>
          <w:color w:val="auto"/>
        </w:rPr>
      </w:pPr>
    </w:p>
    <w:p>
      <w:pPr>
        <w:ind w:left="1120" w:hanging="323"/>
        <w:spacing w:after="0"/>
        <w:tabs>
          <w:tab w:leader="none" w:pos="11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there is a "change in control" of the Company within the meaning of Section 280G of the U.S. Federal internal revenue code of</w:t>
      </w:r>
    </w:p>
    <w:p>
      <w:pPr>
        <w:spacing w:after="0" w:line="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1986.</w:t>
      </w:r>
    </w:p>
    <w:p>
      <w:pPr>
        <w:spacing w:after="0" w:line="177" w:lineRule="exact"/>
        <w:rPr>
          <w:rFonts w:ascii="Arial" w:cs="Arial" w:eastAsia="Arial" w:hAnsi="Arial"/>
          <w:sz w:val="18"/>
          <w:szCs w:val="18"/>
          <w:color w:val="auto"/>
        </w:rPr>
      </w:pPr>
    </w:p>
    <w:p>
      <w:pPr>
        <w:ind w:right="460" w:firstLine="598"/>
        <w:spacing w:after="0" w:line="285" w:lineRule="auto"/>
        <w:tabs>
          <w:tab w:leader="none" w:pos="942"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5(e)</w:t>
      </w:r>
      <w:r>
        <w:rPr>
          <w:rFonts w:ascii="Arial" w:cs="Arial" w:eastAsia="Arial" w:hAnsi="Arial"/>
          <w:sz w:val="19"/>
          <w:szCs w:val="19"/>
          <w:color w:val="auto"/>
        </w:rPr>
        <w:t>, the term "Good Reason" shall mean the relocation of the Company's principal executive offices to a location which is more than fifty (50) miles from its then-current location without the consent of Executive.</w:t>
      </w:r>
    </w:p>
    <w:p>
      <w:pPr>
        <w:spacing w:after="0" w:line="129" w:lineRule="exact"/>
        <w:rPr>
          <w:rFonts w:ascii="Arial" w:cs="Arial" w:eastAsia="Arial" w:hAnsi="Arial"/>
          <w:sz w:val="19"/>
          <w:szCs w:val="19"/>
          <w:color w:val="auto"/>
        </w:rPr>
      </w:pPr>
    </w:p>
    <w:p>
      <w:pPr>
        <w:ind w:right="80" w:firstLine="598"/>
        <w:spacing w:after="0" w:line="269" w:lineRule="auto"/>
        <w:tabs>
          <w:tab w:leader="none" w:pos="9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In the event Executive is terminated by the Company for any reason (other than for Cause as defined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thereof, but including a resignation for Good Reason as defined in </w:t>
      </w:r>
      <w:r>
        <w:rPr>
          <w:rFonts w:ascii="Arial" w:cs="Arial" w:eastAsia="Arial" w:hAnsi="Arial"/>
          <w:sz w:val="18"/>
          <w:szCs w:val="18"/>
          <w:u w:val="single" w:color="auto"/>
          <w:color w:val="auto"/>
        </w:rPr>
        <w:t>Section 5(e)(ii)</w:t>
      </w:r>
      <w:r>
        <w:rPr>
          <w:rFonts w:ascii="Arial" w:cs="Arial" w:eastAsia="Arial" w:hAnsi="Arial"/>
          <w:sz w:val="18"/>
          <w:szCs w:val="18"/>
          <w:color w:val="auto"/>
        </w:rPr>
        <w:t xml:space="preserve">), during the period three (3) months before or two (2) years following a "change in control" of the Company (or any successor), Executive shall be entitled to receive a cash payment equal to eighteen (18) months of Executive's current Base Salary and the benefits described in </w:t>
      </w:r>
      <w:r>
        <w:rPr>
          <w:rFonts w:ascii="Arial" w:cs="Arial" w:eastAsia="Arial" w:hAnsi="Arial"/>
          <w:sz w:val="18"/>
          <w:szCs w:val="18"/>
          <w:u w:val="single" w:color="auto"/>
          <w:color w:val="auto"/>
        </w:rPr>
        <w:t>Section 5(d)(iii)</w:t>
      </w:r>
      <w:r>
        <w:rPr>
          <w:rFonts w:ascii="Arial" w:cs="Arial" w:eastAsia="Arial" w:hAnsi="Arial"/>
          <w:sz w:val="18"/>
          <w:szCs w:val="18"/>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hereof and the "change of control" payment described in this </w:t>
      </w:r>
      <w:r>
        <w:rPr>
          <w:rFonts w:ascii="Arial" w:cs="Arial" w:eastAsia="Arial" w:hAnsi="Arial"/>
          <w:sz w:val="18"/>
          <w:szCs w:val="18"/>
          <w:u w:val="single" w:color="auto"/>
          <w:color w:val="auto"/>
        </w:rPr>
        <w:t>Section 5(e)</w:t>
      </w:r>
      <w:r>
        <w:rPr>
          <w:rFonts w:ascii="Arial" w:cs="Arial" w:eastAsia="Arial" w:hAnsi="Arial"/>
          <w:sz w:val="18"/>
          <w:szCs w:val="18"/>
          <w:color w:val="auto"/>
        </w:rPr>
        <w:t>.</w:t>
      </w:r>
    </w:p>
    <w:p>
      <w:pPr>
        <w:spacing w:after="0" w:line="146" w:lineRule="exact"/>
        <w:rPr>
          <w:sz w:val="20"/>
          <w:szCs w:val="20"/>
          <w:color w:val="auto"/>
        </w:rPr>
      </w:pPr>
    </w:p>
    <w:p>
      <w:pPr>
        <w:ind w:right="100" w:firstLine="548"/>
        <w:spacing w:after="0" w:line="314" w:lineRule="auto"/>
        <w:tabs>
          <w:tab w:leader="none" w:pos="925"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Any payments to be made to Executive in connection with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made in a lump sum, subject to statutory deductions and withholdings, in cash within ten (10) business days after the date of termination or any earlier time required by applicable law.</w:t>
      </w:r>
    </w:p>
    <w:p>
      <w:pPr>
        <w:spacing w:after="0" w:line="106" w:lineRule="exact"/>
        <w:rPr>
          <w:rFonts w:ascii="Arial" w:cs="Arial" w:eastAsia="Arial" w:hAnsi="Arial"/>
          <w:sz w:val="18"/>
          <w:szCs w:val="18"/>
          <w:color w:val="auto"/>
        </w:rPr>
      </w:pPr>
    </w:p>
    <w:p>
      <w:pPr>
        <w:ind w:left="540" w:hanging="291"/>
        <w:spacing w:after="0"/>
        <w:tabs>
          <w:tab w:leader="none" w:pos="5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Tax Consideration</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firstLine="498"/>
        <w:spacing w:after="0" w:line="250" w:lineRule="auto"/>
        <w:tabs>
          <w:tab w:leader="none" w:pos="786" w:val="left"/>
        </w:tabs>
        <w:numPr>
          <w:ilvl w:val="1"/>
          <w:numId w:val="44"/>
        </w:numPr>
        <w:rPr>
          <w:rFonts w:ascii="Arial" w:cs="Arial" w:eastAsia="Arial" w:hAnsi="Arial"/>
          <w:sz w:val="19"/>
          <w:szCs w:val="19"/>
          <w:color w:val="auto"/>
        </w:rPr>
      </w:pPr>
      <w:r>
        <w:rPr>
          <w:rFonts w:ascii="Arial" w:cs="Arial" w:eastAsia="Arial" w:hAnsi="Arial"/>
          <w:sz w:val="19"/>
          <w:szCs w:val="19"/>
          <w:color w:val="auto"/>
        </w:rPr>
        <w:t>In the event that the aggregate of all payments or benefits made or provided to the Executive under this Agreement and under all other plans and programs of the Company (the "</w:t>
      </w:r>
      <w:r>
        <w:rPr>
          <w:rFonts w:ascii="Arial" w:cs="Arial" w:eastAsia="Arial" w:hAnsi="Arial"/>
          <w:sz w:val="19"/>
          <w:szCs w:val="19"/>
          <w:u w:val="single" w:color="auto"/>
          <w:color w:val="auto"/>
        </w:rPr>
        <w:t>Aggregate Payment</w:t>
      </w:r>
      <w:r>
        <w:rPr>
          <w:rFonts w:ascii="Arial" w:cs="Arial" w:eastAsia="Arial" w:hAnsi="Arial"/>
          <w:sz w:val="19"/>
          <w:szCs w:val="19"/>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9"/>
          <w:szCs w:val="19"/>
          <w:u w:val="single" w:color="auto"/>
          <w:color w:val="auto"/>
        </w:rPr>
        <w:t>Gross-Up Amount</w:t>
      </w:r>
      <w:r>
        <w:rPr>
          <w:rFonts w:ascii="Arial" w:cs="Arial" w:eastAsia="Arial" w:hAnsi="Arial"/>
          <w:sz w:val="19"/>
          <w:szCs w:val="19"/>
          <w:color w:val="auto"/>
        </w:rPr>
        <w:t>"), prior to the time any excise tax ("</w:t>
      </w:r>
      <w:r>
        <w:rPr>
          <w:rFonts w:ascii="Arial" w:cs="Arial" w:eastAsia="Arial" w:hAnsi="Arial"/>
          <w:sz w:val="19"/>
          <w:szCs w:val="19"/>
          <w:u w:val="single" w:color="auto"/>
          <w:color w:val="auto"/>
        </w:rPr>
        <w:t>Excise Tax</w:t>
      </w:r>
      <w:r>
        <w:rPr>
          <w:rFonts w:ascii="Arial" w:cs="Arial" w:eastAsia="Arial" w:hAnsi="Arial"/>
          <w:sz w:val="19"/>
          <w:szCs w:val="19"/>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 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166" w:lineRule="exact"/>
        <w:rPr>
          <w:rFonts w:ascii="Arial" w:cs="Arial" w:eastAsia="Arial" w:hAnsi="Arial"/>
          <w:sz w:val="19"/>
          <w:szCs w:val="19"/>
          <w:color w:val="auto"/>
        </w:rPr>
      </w:pPr>
    </w:p>
    <w:p>
      <w:pPr>
        <w:ind w:right="40" w:firstLine="498"/>
        <w:spacing w:after="0" w:line="250" w:lineRule="auto"/>
        <w:tabs>
          <w:tab w:leader="none" w:pos="831"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All determinations required to be made under this </w:t>
      </w:r>
      <w:r>
        <w:rPr>
          <w:rFonts w:ascii="Arial" w:cs="Arial" w:eastAsia="Arial" w:hAnsi="Arial"/>
          <w:sz w:val="19"/>
          <w:szCs w:val="19"/>
          <w:u w:val="single" w:color="auto"/>
          <w:color w:val="auto"/>
        </w:rPr>
        <w:t>Section 5(f)</w:t>
      </w:r>
      <w:r>
        <w:rPr>
          <w:rFonts w:ascii="Arial" w:cs="Arial" w:eastAsia="Arial" w:hAnsi="Arial"/>
          <w:sz w:val="19"/>
          <w:szCs w:val="19"/>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 Accounting Firm presents its rationale and supporting calculations to the Executive upon his request 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166" w:lineRule="exact"/>
        <w:rPr>
          <w:rFonts w:ascii="Arial" w:cs="Arial" w:eastAsia="Arial" w:hAnsi="Arial"/>
          <w:sz w:val="19"/>
          <w:szCs w:val="19"/>
          <w:color w:val="auto"/>
        </w:rPr>
      </w:pPr>
    </w:p>
    <w:p>
      <w:pPr>
        <w:ind w:right="40" w:firstLine="498"/>
        <w:spacing w:after="0" w:line="282" w:lineRule="auto"/>
        <w:tabs>
          <w:tab w:leader="none" w:pos="88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7"/>
          <w:szCs w:val="17"/>
          <w:u w:val="single" w:color="auto"/>
          <w:color w:val="auto"/>
        </w:rPr>
        <w:t>Overpayment</w:t>
      </w:r>
      <w:r>
        <w:rPr>
          <w:rFonts w:ascii="Arial" w:cs="Arial" w:eastAsia="Arial" w:hAnsi="Arial"/>
          <w:sz w:val="17"/>
          <w:szCs w:val="17"/>
          <w:color w:val="auto"/>
        </w:rPr>
        <w:t>") or that the Company will have paid a Gross-Up Amount that is less than the amount that the Company should have paid pursuant to this Section 5(f) (the "</w:t>
      </w:r>
      <w:r>
        <w:rPr>
          <w:rFonts w:ascii="Arial" w:cs="Arial" w:eastAsia="Arial" w:hAnsi="Arial"/>
          <w:sz w:val="17"/>
          <w:szCs w:val="17"/>
          <w:u w:val="single" w:color="auto"/>
          <w:color w:val="auto"/>
        </w:rPr>
        <w:t>Underpayment</w:t>
      </w:r>
      <w:r>
        <w:rPr>
          <w:rFonts w:ascii="Arial" w:cs="Arial" w:eastAsia="Arial" w:hAnsi="Arial"/>
          <w:sz w:val="17"/>
          <w:szCs w:val="17"/>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w:t>
      </w:r>
    </w:p>
    <w:p>
      <w:pPr>
        <w:sectPr>
          <w:pgSz w:w="11900" w:h="16881" w:orient="portrait"/>
          <w:cols w:equalWidth="0" w:num="1">
            <w:col w:w="11420"/>
          </w:cols>
          <w:pgMar w:left="240" w:top="120" w:right="239" w:bottom="0" w:gutter="0" w:footer="0" w:header="0"/>
        </w:sectPr>
      </w:pPr>
    </w:p>
    <w:bookmarkStart w:id="77" w:name="page78"/>
    <w:bookmarkEnd w:id="77"/>
    <w:p>
      <w:pPr>
        <w:ind w:right="180"/>
        <w:spacing w:after="0" w:line="259" w:lineRule="auto"/>
        <w:rPr>
          <w:sz w:val="20"/>
          <w:szCs w:val="20"/>
          <w:color w:val="auto"/>
        </w:rPr>
      </w:pPr>
      <w:r>
        <w:rPr>
          <w:rFonts w:ascii="Arial" w:cs="Arial" w:eastAsia="Arial" w:hAnsi="Arial"/>
          <w:sz w:val="20"/>
          <w:szCs w:val="20"/>
          <w:color w:val="auto"/>
        </w:rPr>
        <w:t>Company to or for the benefit of the Executive together with interest at the Applicable Federal Rate provided for in Section 7872(f)(2) of the Code.</w:t>
      </w:r>
    </w:p>
    <w:p>
      <w:pPr>
        <w:spacing w:after="0" w:line="153" w:lineRule="exact"/>
        <w:rPr>
          <w:sz w:val="20"/>
          <w:szCs w:val="20"/>
          <w:color w:val="auto"/>
        </w:rPr>
      </w:pPr>
    </w:p>
    <w:p>
      <w:pPr>
        <w:ind w:left="580" w:hanging="331"/>
        <w:spacing w:after="0"/>
        <w:tabs>
          <w:tab w:leader="none" w:pos="58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Options Upon a Termination</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right="40" w:firstLine="598"/>
        <w:spacing w:after="0" w:line="265" w:lineRule="auto"/>
        <w:tabs>
          <w:tab w:leader="none" w:pos="886"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If this Agreement is terminated pursuant to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w:t>
      </w:r>
      <w:r>
        <w:rPr>
          <w:rFonts w:ascii="Arial" w:cs="Arial" w:eastAsia="Arial" w:hAnsi="Arial"/>
          <w:sz w:val="19"/>
          <w:szCs w:val="19"/>
          <w:color w:val="auto"/>
        </w:rPr>
        <w:t>, all stock options or similar rights granted to Executive pursuant to the Company's stock option plans shall immediately vest as of the date of termination and Executive may exercise any such vested stock options for a period of 390 days following such termination, but in no event later than ten (10) years after grant.</w:t>
      </w:r>
    </w:p>
    <w:p>
      <w:pPr>
        <w:spacing w:after="0" w:line="148" w:lineRule="exact"/>
        <w:rPr>
          <w:rFonts w:ascii="Arial" w:cs="Arial" w:eastAsia="Arial" w:hAnsi="Arial"/>
          <w:sz w:val="19"/>
          <w:szCs w:val="19"/>
          <w:color w:val="auto"/>
        </w:rPr>
      </w:pPr>
    </w:p>
    <w:p>
      <w:pPr>
        <w:ind w:right="520" w:firstLine="598"/>
        <w:spacing w:after="0" w:line="258" w:lineRule="auto"/>
        <w:tabs>
          <w:tab w:leader="none" w:pos="942"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If this Agreement is terminated pursuant to clause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5</w:t>
      </w:r>
      <w:r>
        <w:rPr>
          <w:rFonts w:ascii="Arial" w:cs="Arial" w:eastAsia="Arial" w:hAnsi="Arial"/>
          <w:sz w:val="20"/>
          <w:szCs w:val="20"/>
          <w:color w:val="auto"/>
        </w:rPr>
        <w:t>, all stock options granted to Executive pursuant to the Company's stock plans shall terminate immediately.</w:t>
      </w:r>
    </w:p>
    <w:p>
      <w:pPr>
        <w:spacing w:after="0" w:line="154" w:lineRule="exact"/>
        <w:rPr>
          <w:sz w:val="20"/>
          <w:szCs w:val="20"/>
          <w:color w:val="auto"/>
        </w:rPr>
      </w:pPr>
    </w:p>
    <w:p>
      <w:pPr>
        <w:ind w:right="300" w:firstLine="894"/>
        <w:spacing w:after="0" w:line="242" w:lineRule="auto"/>
        <w:rPr>
          <w:sz w:val="20"/>
          <w:szCs w:val="20"/>
          <w:color w:val="auto"/>
        </w:rPr>
      </w:pPr>
      <w:r>
        <w:rPr>
          <w:rFonts w:ascii="Arial" w:cs="Arial" w:eastAsia="Arial" w:hAnsi="Arial"/>
          <w:sz w:val="20"/>
          <w:szCs w:val="20"/>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69" w:lineRule="exact"/>
        <w:rPr>
          <w:sz w:val="20"/>
          <w:szCs w:val="20"/>
          <w:color w:val="auto"/>
        </w:rPr>
      </w:pPr>
    </w:p>
    <w:p>
      <w:pPr>
        <w:ind w:right="160" w:firstLine="798"/>
        <w:spacing w:after="0" w:line="346" w:lineRule="auto"/>
        <w:rPr>
          <w:sz w:val="20"/>
          <w:szCs w:val="20"/>
          <w:color w:val="auto"/>
        </w:rPr>
      </w:pPr>
      <w:r>
        <w:rPr>
          <w:rFonts w:ascii="Arial" w:cs="Arial" w:eastAsia="Arial" w:hAnsi="Arial"/>
          <w:sz w:val="17"/>
          <w:szCs w:val="17"/>
          <w:color w:val="auto"/>
        </w:rPr>
        <w:t xml:space="preserve">Except as expressly modified by this clause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w:t>
      </w:r>
      <w:r>
        <w:rPr>
          <w:rFonts w:ascii="Arial" w:cs="Arial" w:eastAsia="Arial" w:hAnsi="Arial"/>
          <w:sz w:val="17"/>
          <w:szCs w:val="17"/>
          <w:color w:val="auto"/>
        </w:rPr>
        <w:t>, all stock options and similar rights granted under the Company's stock plans shall remain subject to all of the terms and conditions of the applicable stock plans and agreements evidencing the grants thereof.</w:t>
      </w:r>
    </w:p>
    <w:p>
      <w:pPr>
        <w:spacing w:after="0" w:line="84" w:lineRule="exact"/>
        <w:rPr>
          <w:sz w:val="20"/>
          <w:szCs w:val="20"/>
          <w:color w:val="auto"/>
        </w:rPr>
      </w:pPr>
    </w:p>
    <w:p>
      <w:pPr>
        <w:ind w:right="420" w:firstLine="249"/>
        <w:spacing w:after="0" w:line="246" w:lineRule="auto"/>
        <w:tabs>
          <w:tab w:leader="none" w:pos="582"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Status of Executive During Exclusivity Period</w:t>
      </w:r>
      <w:r>
        <w:rPr>
          <w:rFonts w:ascii="Arial" w:cs="Arial" w:eastAsia="Arial" w:hAnsi="Arial"/>
          <w:sz w:val="20"/>
          <w:szCs w:val="20"/>
          <w:color w:val="auto"/>
        </w:rPr>
        <w:t xml:space="preserve">. If this Agreement is terminated pursuant to clauses </w:t>
      </w:r>
      <w:r>
        <w:rPr>
          <w:rFonts w:ascii="Arial" w:cs="Arial" w:eastAsia="Arial" w:hAnsi="Arial"/>
          <w:sz w:val="20"/>
          <w:szCs w:val="20"/>
          <w:u w:val="single" w:color="auto"/>
          <w:color w:val="auto"/>
        </w:rPr>
        <w:t>(a), (b), or (d)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5</w:t>
      </w:r>
      <w:r>
        <w:rPr>
          <w:rFonts w:ascii="Arial" w:cs="Arial" w:eastAsia="Arial" w:hAnsi="Arial"/>
          <w:sz w:val="20"/>
          <w:szCs w:val="20"/>
          <w:color w:val="auto"/>
        </w:rPr>
        <w:t>, during Executive's Exclusivity Period the Executive shall be deemed and treated as an employee of the Company for the purposes of all payroll, benefits, welfare and stock option plans.</w:t>
      </w:r>
    </w:p>
    <w:p>
      <w:pPr>
        <w:spacing w:after="0" w:line="165" w:lineRule="exact"/>
        <w:rPr>
          <w:rFonts w:ascii="Arial" w:cs="Arial" w:eastAsia="Arial" w:hAnsi="Arial"/>
          <w:sz w:val="20"/>
          <w:szCs w:val="20"/>
          <w:color w:val="auto"/>
        </w:rPr>
      </w:pPr>
    </w:p>
    <w:p>
      <w:pPr>
        <w:ind w:right="20" w:firstLine="249"/>
        <w:spacing w:after="0" w:line="259" w:lineRule="auto"/>
        <w:tabs>
          <w:tab w:leader="none" w:pos="537"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147" w:lineRule="exact"/>
        <w:rPr>
          <w:rFonts w:ascii="Arial" w:cs="Arial" w:eastAsia="Arial" w:hAnsi="Arial"/>
          <w:sz w:val="19"/>
          <w:szCs w:val="19"/>
          <w:color w:val="auto"/>
        </w:rPr>
      </w:pPr>
    </w:p>
    <w:p>
      <w:pPr>
        <w:ind w:right="60"/>
        <w:spacing w:after="0" w:line="241" w:lineRule="auto"/>
        <w:tabs>
          <w:tab w:leader="none" w:pos="24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Business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of this Agreement, to the extent that such expenditures satisfy the criteria under the Internal Revenue</w:t>
      </w:r>
      <w:r>
        <w:rPr>
          <w:rFonts w:ascii="Arial" w:cs="Arial" w:eastAsia="Arial" w:hAnsi="Arial"/>
          <w:sz w:val="20"/>
          <w:szCs w:val="20"/>
          <w:b w:val="1"/>
          <w:bCs w:val="1"/>
          <w:color w:val="auto"/>
        </w:rPr>
        <w:t xml:space="preserve"> </w:t>
      </w:r>
      <w:r>
        <w:rPr>
          <w:rFonts w:ascii="Arial" w:cs="Arial" w:eastAsia="Arial" w:hAnsi="Arial"/>
          <w:sz w:val="20"/>
          <w:szCs w:val="20"/>
          <w:color w:val="auto"/>
        </w:rPr>
        <w:t>Code or 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66" w:lineRule="exact"/>
        <w:rPr>
          <w:rFonts w:ascii="Arial" w:cs="Arial" w:eastAsia="Arial" w:hAnsi="Arial"/>
          <w:sz w:val="20"/>
          <w:szCs w:val="20"/>
          <w:b w:val="1"/>
          <w:bCs w:val="1"/>
          <w:color w:val="auto"/>
        </w:rPr>
      </w:pPr>
    </w:p>
    <w:p>
      <w:pPr>
        <w:ind w:left="240" w:hanging="240"/>
        <w:spacing w:after="0"/>
        <w:tabs>
          <w:tab w:leader="none" w:pos="2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w:t>
      </w:r>
    </w:p>
    <w:p>
      <w:pPr>
        <w:spacing w:after="0" w:line="199" w:lineRule="exact"/>
        <w:rPr>
          <w:rFonts w:ascii="Arial" w:cs="Arial" w:eastAsia="Arial" w:hAnsi="Arial"/>
          <w:sz w:val="20"/>
          <w:szCs w:val="20"/>
          <w:b w:val="1"/>
          <w:bCs w:val="1"/>
          <w:color w:val="auto"/>
        </w:rPr>
      </w:pPr>
    </w:p>
    <w:p>
      <w:pPr>
        <w:ind w:firstLine="249"/>
        <w:spacing w:after="0" w:line="266" w:lineRule="auto"/>
        <w:tabs>
          <w:tab w:leader="none" w:pos="5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right="80" w:firstLine="249"/>
        <w:spacing w:after="0" w:line="254" w:lineRule="auto"/>
        <w:tabs>
          <w:tab w:leader="none" w:pos="582" w:val="left"/>
        </w:tabs>
        <w:numPr>
          <w:ilvl w:val="1"/>
          <w:numId w:val="47"/>
        </w:numPr>
        <w:rPr>
          <w:rFonts w:ascii="Arial" w:cs="Arial" w:eastAsia="Arial" w:hAnsi="Arial"/>
          <w:sz w:val="19"/>
          <w:szCs w:val="19"/>
          <w:color w:val="auto"/>
        </w:rPr>
      </w:pPr>
      <w:r>
        <w:rPr>
          <w:rFonts w:ascii="Arial" w:cs="Arial" w:eastAsia="Arial" w:hAnsi="Arial"/>
          <w:sz w:val="19"/>
          <w:szCs w:val="19"/>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lawfully obtainable from other sources,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52" w:lineRule="exact"/>
        <w:rPr>
          <w:rFonts w:ascii="Arial" w:cs="Arial" w:eastAsia="Arial" w:hAnsi="Arial"/>
          <w:sz w:val="19"/>
          <w:szCs w:val="19"/>
          <w:color w:val="auto"/>
        </w:rPr>
      </w:pPr>
    </w:p>
    <w:p>
      <w:pPr>
        <w:ind w:right="140"/>
        <w:spacing w:after="0" w:line="249" w:lineRule="auto"/>
        <w:tabs>
          <w:tab w:leader="none" w:pos="24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covenants and agrees that commencing on the date hereof and continuing for the entire Term of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and for period of twelve (12) months thereafter (the "</w:t>
      </w:r>
      <w:r>
        <w:rPr>
          <w:rFonts w:ascii="Arial" w:cs="Arial" w:eastAsia="Arial" w:hAnsi="Arial"/>
          <w:sz w:val="20"/>
          <w:szCs w:val="20"/>
          <w:u w:val="single" w:color="auto"/>
          <w:color w:val="auto"/>
        </w:rPr>
        <w:t>Exclusivity Period</w:t>
      </w:r>
      <w:r>
        <w:rPr>
          <w:rFonts w:ascii="Arial" w:cs="Arial" w:eastAsia="Arial" w:hAnsi="Arial"/>
          <w:sz w:val="20"/>
          <w:szCs w:val="20"/>
          <w:color w:val="auto"/>
        </w:rPr>
        <w:t>"), Executive shall not, and shall cause each of its affiliates (if applicable) not to:</w:t>
      </w:r>
    </w:p>
    <w:p>
      <w:pPr>
        <w:spacing w:after="0" w:line="162" w:lineRule="exact"/>
        <w:rPr>
          <w:rFonts w:ascii="Arial" w:cs="Arial" w:eastAsia="Arial" w:hAnsi="Arial"/>
          <w:sz w:val="20"/>
          <w:szCs w:val="20"/>
          <w:b w:val="1"/>
          <w:bCs w:val="1"/>
          <w:color w:val="auto"/>
        </w:rPr>
      </w:pPr>
    </w:p>
    <w:p>
      <w:pPr>
        <w:ind w:right="100" w:firstLine="249"/>
        <w:spacing w:after="0" w:line="246" w:lineRule="auto"/>
        <w:tabs>
          <w:tab w:leader="none" w:pos="5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Acquire any controlling ownership interest in or engage, directly or indirectly, for themselves or as agent, consultant, employee or otherwise, in any business which is competitive with or damaging to the business of the Company or any subsidiary of the Company, whether such business is now owned or hereafter organized or acquired;</w:t>
      </w:r>
    </w:p>
    <w:p>
      <w:pPr>
        <w:spacing w:after="0" w:line="165" w:lineRule="exact"/>
        <w:rPr>
          <w:rFonts w:ascii="Arial" w:cs="Arial" w:eastAsia="Arial" w:hAnsi="Arial"/>
          <w:sz w:val="20"/>
          <w:szCs w:val="20"/>
          <w:color w:val="auto"/>
        </w:rPr>
      </w:pPr>
    </w:p>
    <w:p>
      <w:pPr>
        <w:ind w:right="360" w:firstLine="249"/>
        <w:spacing w:after="0" w:line="285" w:lineRule="auto"/>
        <w:tabs>
          <w:tab w:leader="none" w:pos="582" w:val="left"/>
        </w:tabs>
        <w:numPr>
          <w:ilvl w:val="1"/>
          <w:numId w:val="47"/>
        </w:numPr>
        <w:rPr>
          <w:rFonts w:ascii="Arial" w:cs="Arial" w:eastAsia="Arial" w:hAnsi="Arial"/>
          <w:sz w:val="19"/>
          <w:szCs w:val="19"/>
          <w:color w:val="auto"/>
        </w:rPr>
      </w:pPr>
      <w:r>
        <w:rPr>
          <w:rFonts w:ascii="Arial" w:cs="Arial" w:eastAsia="Arial" w:hAnsi="Arial"/>
          <w:sz w:val="19"/>
          <w:szCs w:val="19"/>
          <w:color w:val="auto"/>
        </w:rPr>
        <w:t>Undertake the planning for or organization of, directly or indirectly, alone or in combination with any person or entity any business activity which is competitive with or damaging to the business of the Company or any subsidiary of the Company;</w:t>
      </w:r>
    </w:p>
    <w:p>
      <w:pPr>
        <w:spacing w:after="0" w:line="123" w:lineRule="exact"/>
        <w:rPr>
          <w:rFonts w:ascii="Arial" w:cs="Arial" w:eastAsia="Arial" w:hAnsi="Arial"/>
          <w:sz w:val="19"/>
          <w:szCs w:val="19"/>
          <w:color w:val="auto"/>
        </w:rPr>
      </w:pPr>
    </w:p>
    <w:p>
      <w:pPr>
        <w:ind w:right="200" w:firstLine="249"/>
        <w:spacing w:after="0"/>
        <w:tabs>
          <w:tab w:leader="none" w:pos="57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Solicit, attempt to solicit, </w:t>
      </w:r>
      <w:r>
        <w:rPr>
          <w:rFonts w:ascii="Arial" w:cs="Arial" w:eastAsia="Arial" w:hAnsi="Arial"/>
          <w:sz w:val="20"/>
          <w:szCs w:val="20"/>
          <w:b w:val="1"/>
          <w:bCs w:val="1"/>
          <w:color w:val="auto"/>
        </w:rPr>
        <w:t>or assist others in soliciting or attempting to solicit,</w:t>
      </w:r>
      <w:r>
        <w:rPr>
          <w:rFonts w:ascii="Arial" w:cs="Arial" w:eastAsia="Arial" w:hAnsi="Arial"/>
          <w:sz w:val="20"/>
          <w:szCs w:val="20"/>
          <w:color w:val="auto"/>
        </w:rPr>
        <w:t xml:space="preserve"> directly or indirectly, any business related to the business of the Company from any customers or prospective customers of the Company; for the purposes of this </w:t>
      </w:r>
      <w:r>
        <w:rPr>
          <w:rFonts w:ascii="Arial" w:cs="Arial" w:eastAsia="Arial" w:hAnsi="Arial"/>
          <w:sz w:val="20"/>
          <w:szCs w:val="20"/>
          <w:u w:val="single" w:color="auto"/>
          <w:color w:val="auto"/>
        </w:rPr>
        <w:t>Section 8</w:t>
      </w:r>
      <w:r>
        <w:rPr>
          <w:rFonts w:ascii="Arial" w:cs="Arial" w:eastAsia="Arial" w:hAnsi="Arial"/>
          <w:sz w:val="20"/>
          <w:szCs w:val="20"/>
          <w:color w:val="auto"/>
        </w:rPr>
        <w:t>, the term "</w:t>
      </w:r>
      <w:r>
        <w:rPr>
          <w:rFonts w:ascii="Arial" w:cs="Arial" w:eastAsia="Arial" w:hAnsi="Arial"/>
          <w:sz w:val="20"/>
          <w:szCs w:val="20"/>
          <w:u w:val="single" w:color="auto"/>
          <w:color w:val="auto"/>
        </w:rPr>
        <w:t>customer</w:t>
      </w:r>
      <w:r>
        <w:rPr>
          <w:rFonts w:ascii="Arial" w:cs="Arial" w:eastAsia="Arial" w:hAnsi="Arial"/>
          <w:sz w:val="20"/>
          <w:szCs w:val="20"/>
          <w:color w:val="auto"/>
        </w:rPr>
        <w:t>" means any entity or person who is or has been a client or customer of the Company during the time which Executive was employed with the Company, and the term "</w:t>
      </w:r>
      <w:r>
        <w:rPr>
          <w:rFonts w:ascii="Arial" w:cs="Arial" w:eastAsia="Arial" w:hAnsi="Arial"/>
          <w:sz w:val="20"/>
          <w:szCs w:val="20"/>
          <w:u w:val="single" w:color="auto"/>
          <w:color w:val="auto"/>
        </w:rPr>
        <w:t>prospective customer</w:t>
      </w:r>
      <w:r>
        <w:rPr>
          <w:rFonts w:ascii="Arial" w:cs="Arial" w:eastAsia="Arial" w:hAnsi="Arial"/>
          <w:sz w:val="20"/>
          <w:szCs w:val="20"/>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65" w:lineRule="exact"/>
        <w:rPr>
          <w:rFonts w:ascii="Arial" w:cs="Arial" w:eastAsia="Arial" w:hAnsi="Arial"/>
          <w:sz w:val="20"/>
          <w:szCs w:val="20"/>
          <w:color w:val="auto"/>
        </w:rPr>
      </w:pPr>
    </w:p>
    <w:p>
      <w:pPr>
        <w:jc w:val="both"/>
        <w:ind w:right="280" w:firstLine="249"/>
        <w:spacing w:after="0" w:line="290" w:lineRule="auto"/>
        <w:tabs>
          <w:tab w:leader="none" w:pos="582" w:val="left"/>
        </w:tabs>
        <w:numPr>
          <w:ilvl w:val="1"/>
          <w:numId w:val="47"/>
        </w:numPr>
        <w:rPr>
          <w:rFonts w:ascii="Arial" w:cs="Arial" w:eastAsia="Arial" w:hAnsi="Arial"/>
          <w:sz w:val="18"/>
          <w:szCs w:val="18"/>
          <w:color w:val="auto"/>
        </w:rPr>
      </w:pPr>
      <w:r>
        <w:rPr>
          <w:rFonts w:ascii="Arial" w:cs="Arial" w:eastAsia="Arial" w:hAnsi="Arial"/>
          <w:sz w:val="18"/>
          <w:szCs w:val="18"/>
          <w:color w:val="auto"/>
        </w:rPr>
        <w:t>Solicit, attempt to solicit</w:t>
      </w:r>
      <w:r>
        <w:rPr>
          <w:rFonts w:ascii="Arial" w:cs="Arial" w:eastAsia="Arial" w:hAnsi="Arial"/>
          <w:sz w:val="18"/>
          <w:szCs w:val="18"/>
          <w:b w:val="1"/>
          <w:bCs w:val="1"/>
          <w:color w:val="auto"/>
        </w:rPr>
        <w:t>, or assist others in soliciting or attempting to solicit, directly or indirectly, for employment or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similar capacity, </w:t>
      </w:r>
      <w:r>
        <w:rPr>
          <w:rFonts w:ascii="Arial" w:cs="Arial" w:eastAsia="Arial" w:hAnsi="Arial"/>
          <w:sz w:val="18"/>
          <w:szCs w:val="18"/>
          <w:color w:val="auto"/>
        </w:rPr>
        <w:t>any person who is an employee of, or an independent contractor for, the Company or its direct or indirect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parents or Affiliates or who was such an employee within twelve (12) months prior to the date of such solicitation or attempted solicitation.</w:t>
      </w:r>
    </w:p>
    <w:p>
      <w:pPr>
        <w:sectPr>
          <w:pgSz w:w="11900" w:h="16838" w:orient="portrait"/>
          <w:cols w:equalWidth="0" w:num="1">
            <w:col w:w="11400"/>
          </w:cols>
          <w:pgMar w:left="240" w:top="120" w:right="259" w:bottom="0" w:gutter="0" w:footer="0" w:header="0"/>
        </w:sectPr>
      </w:pPr>
    </w:p>
    <w:bookmarkStart w:id="78" w:name="page79"/>
    <w:bookmarkEnd w:id="78"/>
    <w:p>
      <w:pPr>
        <w:ind w:right="320" w:firstLine="249"/>
        <w:spacing w:after="0" w:line="259" w:lineRule="auto"/>
        <w:tabs>
          <w:tab w:leader="none" w:pos="570" w:val="left"/>
        </w:tabs>
        <w:numPr>
          <w:ilvl w:val="1"/>
          <w:numId w:val="48"/>
        </w:numPr>
        <w:rPr>
          <w:rFonts w:ascii="Arial" w:cs="Arial" w:eastAsia="Arial" w:hAnsi="Arial"/>
          <w:sz w:val="20"/>
          <w:szCs w:val="20"/>
          <w:color w:val="auto"/>
        </w:rPr>
      </w:pPr>
      <w:r>
        <w:rPr>
          <w:rFonts w:ascii="Arial" w:cs="Arial" w:eastAsia="Arial" w:hAnsi="Arial"/>
          <w:sz w:val="20"/>
          <w:szCs w:val="20"/>
          <w:color w:val="auto"/>
        </w:rPr>
        <w:t>Executive acknowledges that in the event of his employment with the Company terminates for any reason, Executive will be able to earn a livelihood without violating the foregoing restrictions.</w:t>
      </w:r>
    </w:p>
    <w:p>
      <w:pPr>
        <w:spacing w:after="0" w:line="152" w:lineRule="exact"/>
        <w:rPr>
          <w:rFonts w:ascii="Arial" w:cs="Arial" w:eastAsia="Arial" w:hAnsi="Arial"/>
          <w:sz w:val="20"/>
          <w:szCs w:val="20"/>
          <w:color w:val="auto"/>
        </w:rPr>
      </w:pPr>
    </w:p>
    <w:p>
      <w:pPr>
        <w:ind w:firstLine="249"/>
        <w:spacing w:after="0" w:line="239" w:lineRule="auto"/>
        <w:tabs>
          <w:tab w:leader="none" w:pos="548"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If any provision or clause, or portion thereof, within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20"/>
          <w:szCs w:val="20"/>
          <w:u w:val="single" w:color="auto"/>
          <w:color w:val="auto"/>
        </w:rPr>
        <w:t>Section 8</w:t>
      </w:r>
      <w:r>
        <w:rPr>
          <w:rFonts w:ascii="Arial" w:cs="Arial" w:eastAsia="Arial" w:hAnsi="Arial"/>
          <w:sz w:val="20"/>
          <w:szCs w:val="20"/>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65" w:lineRule="exact"/>
        <w:rPr>
          <w:rFonts w:ascii="Arial" w:cs="Arial" w:eastAsia="Arial" w:hAnsi="Arial"/>
          <w:sz w:val="20"/>
          <w:szCs w:val="20"/>
          <w:color w:val="auto"/>
        </w:rPr>
      </w:pPr>
    </w:p>
    <w:p>
      <w:pPr>
        <w:ind w:left="240" w:hanging="240"/>
        <w:spacing w:after="0"/>
        <w:tabs>
          <w:tab w:leader="none" w:pos="24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Intellectual Property</w:t>
      </w:r>
      <w:r>
        <w:rPr>
          <w:rFonts w:ascii="Arial" w:cs="Arial" w:eastAsia="Arial" w:hAnsi="Arial"/>
          <w:sz w:val="20"/>
          <w:szCs w:val="20"/>
          <w:color w:val="auto"/>
        </w:rPr>
        <w:t>.</w:t>
      </w:r>
    </w:p>
    <w:p>
      <w:pPr>
        <w:spacing w:after="0" w:line="199" w:lineRule="exact"/>
        <w:rPr>
          <w:rFonts w:ascii="Arial" w:cs="Arial" w:eastAsia="Arial" w:hAnsi="Arial"/>
          <w:sz w:val="20"/>
          <w:szCs w:val="20"/>
          <w:b w:val="1"/>
          <w:bCs w:val="1"/>
          <w:color w:val="auto"/>
        </w:rPr>
      </w:pPr>
    </w:p>
    <w:p>
      <w:pPr>
        <w:ind w:right="160" w:firstLine="249"/>
        <w:spacing w:after="0" w:line="251" w:lineRule="auto"/>
        <w:tabs>
          <w:tab w:leader="none" w:pos="570" w:val="left"/>
        </w:tabs>
        <w:numPr>
          <w:ilvl w:val="1"/>
          <w:numId w:val="49"/>
        </w:numPr>
        <w:rPr>
          <w:rFonts w:ascii="Arial" w:cs="Arial" w:eastAsia="Arial" w:hAnsi="Arial"/>
          <w:sz w:val="19"/>
          <w:szCs w:val="19"/>
          <w:color w:val="auto"/>
        </w:rPr>
      </w:pPr>
      <w:r>
        <w:rPr>
          <w:rFonts w:ascii="Arial" w:cs="Arial" w:eastAsia="Arial" w:hAnsi="Arial"/>
          <w:sz w:val="19"/>
          <w:szCs w:val="19"/>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166" w:lineRule="exact"/>
        <w:rPr>
          <w:rFonts w:ascii="Arial" w:cs="Arial" w:eastAsia="Arial" w:hAnsi="Arial"/>
          <w:sz w:val="19"/>
          <w:szCs w:val="19"/>
          <w:color w:val="auto"/>
        </w:rPr>
      </w:pPr>
    </w:p>
    <w:p>
      <w:pPr>
        <w:ind w:firstLine="249"/>
        <w:spacing w:after="0" w:line="264" w:lineRule="auto"/>
        <w:tabs>
          <w:tab w:leader="none" w:pos="582"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or for any other reason to secure Executive's signature to apply for or to pursue any application for any United States or foreign letters patent or copyright registrations covering inventions assigned to the Company,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further assist the Company in every way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49" w:lineRule="exact"/>
        <w:rPr>
          <w:rFonts w:ascii="Arial" w:cs="Arial" w:eastAsia="Arial" w:hAnsi="Arial"/>
          <w:sz w:val="18"/>
          <w:szCs w:val="18"/>
          <w:color w:val="auto"/>
        </w:rPr>
      </w:pPr>
    </w:p>
    <w:p>
      <w:pPr>
        <w:ind w:right="40"/>
        <w:spacing w:after="0" w:line="239" w:lineRule="auto"/>
        <w:tabs>
          <w:tab w:leader="none" w:pos="349"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agree that the services to be rendered by Executive pursuant to this Agreement, and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privileges granted to the 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shall not be construed as a waiver of any other rights or remedies which the Company may have for damages or otherwise.</w:t>
      </w:r>
    </w:p>
    <w:p>
      <w:pPr>
        <w:spacing w:after="0" w:line="166" w:lineRule="exact"/>
        <w:rPr>
          <w:rFonts w:ascii="Arial" w:cs="Arial" w:eastAsia="Arial" w:hAnsi="Arial"/>
          <w:sz w:val="20"/>
          <w:szCs w:val="20"/>
          <w:b w:val="1"/>
          <w:bCs w:val="1"/>
          <w:color w:val="auto"/>
        </w:rPr>
      </w:pPr>
    </w:p>
    <w:p>
      <w:pPr>
        <w:ind w:right="160"/>
        <w:spacing w:after="0" w:line="321" w:lineRule="auto"/>
        <w:tabs>
          <w:tab w:leader="none" w:pos="33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Executive agrees to return, on or before the termination date, all property belonging to the Company,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computers, PDA, telephone and other credit cards, Company business records, Company automobile (if applicable), etc.</w:t>
      </w:r>
    </w:p>
    <w:p>
      <w:pPr>
        <w:spacing w:after="0" w:line="94" w:lineRule="exact"/>
        <w:rPr>
          <w:rFonts w:ascii="Arial" w:cs="Arial" w:eastAsia="Arial" w:hAnsi="Arial"/>
          <w:sz w:val="18"/>
          <w:szCs w:val="18"/>
          <w:b w:val="1"/>
          <w:bCs w:val="1"/>
          <w:color w:val="auto"/>
        </w:rPr>
      </w:pPr>
    </w:p>
    <w:p>
      <w:pPr>
        <w:ind w:right="180"/>
        <w:spacing w:after="0" w:line="249" w:lineRule="auto"/>
        <w:tabs>
          <w:tab w:leader="none" w:pos="349"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provision of this Agreement is held to be unenforceable for any reason, it shall be adjusted rather than voided, if</w:t>
      </w:r>
      <w:r>
        <w:rPr>
          <w:rFonts w:ascii="Arial" w:cs="Arial" w:eastAsia="Arial" w:hAnsi="Arial"/>
          <w:sz w:val="20"/>
          <w:szCs w:val="20"/>
          <w:b w:val="1"/>
          <w:bCs w:val="1"/>
          <w:color w:val="auto"/>
        </w:rPr>
        <w:t xml:space="preserve"> </w:t>
      </w:r>
      <w:r>
        <w:rPr>
          <w:rFonts w:ascii="Arial" w:cs="Arial" w:eastAsia="Arial" w:hAnsi="Arial"/>
          <w:sz w:val="20"/>
          <w:szCs w:val="20"/>
          <w:color w:val="auto"/>
        </w:rPr>
        <w:t>possible, to achieve the intent of the parties to the extent possible. In any event, all other provisions of this Agreement shall be deemed valid and enforceable to the extent possible.</w:t>
      </w:r>
    </w:p>
    <w:p>
      <w:pPr>
        <w:spacing w:after="0" w:line="156" w:lineRule="exact"/>
        <w:rPr>
          <w:rFonts w:ascii="Arial" w:cs="Arial" w:eastAsia="Arial" w:hAnsi="Arial"/>
          <w:sz w:val="20"/>
          <w:szCs w:val="20"/>
          <w:b w:val="1"/>
          <w:bCs w:val="1"/>
          <w:color w:val="auto"/>
        </w:rPr>
      </w:pPr>
    </w:p>
    <w:p>
      <w:pPr>
        <w:ind w:right="40"/>
        <w:spacing w:after="0" w:line="272" w:lineRule="auto"/>
        <w:tabs>
          <w:tab w:leader="none" w:pos="349"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or 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37" w:lineRule="exact"/>
        <w:rPr>
          <w:rFonts w:ascii="Arial" w:cs="Arial" w:eastAsia="Arial" w:hAnsi="Arial"/>
          <w:sz w:val="18"/>
          <w:szCs w:val="18"/>
          <w:b w:val="1"/>
          <w:bCs w:val="1"/>
          <w:color w:val="auto"/>
        </w:rPr>
      </w:pPr>
    </w:p>
    <w:p>
      <w:pPr>
        <w:ind w:right="40"/>
        <w:spacing w:after="0" w:line="265" w:lineRule="auto"/>
        <w:tabs>
          <w:tab w:leader="none" w:pos="349"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notice or other communication provided for in this Agreement shall be in writing and sent if to the Company to its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office at: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Photronics, Inc.</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15 Secor Road, PO Box 5226</w:t>
      </w:r>
    </w:p>
    <w:p>
      <w:pPr>
        <w:spacing w:after="0"/>
        <w:rPr>
          <w:sz w:val="20"/>
          <w:szCs w:val="20"/>
          <w:color w:val="auto"/>
        </w:rPr>
      </w:pPr>
      <w:r>
        <w:rPr>
          <w:rFonts w:ascii="Arial" w:cs="Arial" w:eastAsia="Arial" w:hAnsi="Arial"/>
          <w:sz w:val="20"/>
          <w:szCs w:val="20"/>
          <w:color w:val="auto"/>
        </w:rPr>
        <w:t>Brookfield, Connecticut 06804</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Attention: Corporate Secretary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150" w:lineRule="exact"/>
        <w:rPr>
          <w:sz w:val="20"/>
          <w:szCs w:val="20"/>
          <w:color w:val="auto"/>
        </w:rPr>
      </w:pPr>
    </w:p>
    <w:p>
      <w:pPr>
        <w:spacing w:after="0" w:line="321" w:lineRule="auto"/>
        <w:tabs>
          <w:tab w:leader="none" w:pos="349"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color w:val="auto"/>
        </w:rPr>
        <w:t>. Executive acknowledges that the cash severance and other benefits to be provided by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are not available under any current plan or policies of the Company. Accordingly, Executive further acknowledges that the payments</w:t>
      </w:r>
    </w:p>
    <w:p>
      <w:pPr>
        <w:sectPr>
          <w:pgSz w:w="11900" w:h="16838" w:orient="portrait"/>
          <w:cols w:equalWidth="0" w:num="1">
            <w:col w:w="11420"/>
          </w:cols>
          <w:pgMar w:left="240" w:top="120" w:right="239" w:bottom="0" w:gutter="0" w:footer="0" w:header="0"/>
        </w:sectPr>
      </w:pPr>
    </w:p>
    <w:bookmarkStart w:id="79" w:name="page80"/>
    <w:bookmarkEnd w:id="79"/>
    <w:p>
      <w:pPr>
        <w:spacing w:after="0" w:line="80" w:lineRule="exact"/>
        <w:rPr>
          <w:sz w:val="20"/>
          <w:szCs w:val="20"/>
          <w:color w:val="auto"/>
        </w:rPr>
      </w:pPr>
    </w:p>
    <w:p>
      <w:pPr>
        <w:ind w:right="800"/>
        <w:spacing w:after="0" w:line="285" w:lineRule="auto"/>
        <w:rPr>
          <w:sz w:val="20"/>
          <w:szCs w:val="20"/>
          <w:color w:val="auto"/>
        </w:rPr>
      </w:pPr>
      <w:r>
        <w:rPr>
          <w:rFonts w:ascii="Arial" w:cs="Arial" w:eastAsia="Arial" w:hAnsi="Arial"/>
          <w:sz w:val="19"/>
          <w:szCs w:val="19"/>
          <w:color w:val="auto"/>
        </w:rPr>
        <w:t xml:space="preserve">and benefits under this Agreement provide adequate consideration for Executive's obligations to the Company contained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(Release).</w:t>
      </w:r>
    </w:p>
    <w:p>
      <w:pPr>
        <w:spacing w:after="0" w:line="124" w:lineRule="exact"/>
        <w:rPr>
          <w:sz w:val="20"/>
          <w:szCs w:val="20"/>
          <w:color w:val="auto"/>
        </w:rPr>
      </w:pPr>
    </w:p>
    <w:p>
      <w:pPr>
        <w:ind w:right="140"/>
        <w:spacing w:after="0" w:line="291" w:lineRule="auto"/>
        <w:tabs>
          <w:tab w:leader="none" w:pos="349"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agreement of the parties relating to the subject matter hereof and supersedes any</w:t>
      </w:r>
      <w:r>
        <w:rPr>
          <w:rFonts w:ascii="Arial" w:cs="Arial" w:eastAsia="Arial" w:hAnsi="Arial"/>
          <w:sz w:val="19"/>
          <w:szCs w:val="19"/>
          <w:b w:val="1"/>
          <w:bCs w:val="1"/>
          <w:color w:val="auto"/>
        </w:rPr>
        <w:t xml:space="preserve"> </w:t>
      </w:r>
      <w:r>
        <w:rPr>
          <w:rFonts w:ascii="Arial" w:cs="Arial" w:eastAsia="Arial" w:hAnsi="Arial"/>
          <w:sz w:val="19"/>
          <w:szCs w:val="19"/>
          <w:color w:val="auto"/>
        </w:rPr>
        <w:t>prior agreements, undertakings, commitments and practices relating to Executive's employment by the Company.</w:t>
      </w:r>
    </w:p>
    <w:p>
      <w:pPr>
        <w:spacing w:after="0" w:line="118" w:lineRule="exact"/>
        <w:rPr>
          <w:rFonts w:ascii="Arial" w:cs="Arial" w:eastAsia="Arial" w:hAnsi="Arial"/>
          <w:sz w:val="19"/>
          <w:szCs w:val="19"/>
          <w:b w:val="1"/>
          <w:bCs w:val="1"/>
          <w:color w:val="auto"/>
        </w:rPr>
      </w:pPr>
    </w:p>
    <w:p>
      <w:pPr>
        <w:ind w:right="360"/>
        <w:spacing w:after="0" w:line="265" w:lineRule="auto"/>
        <w:tabs>
          <w:tab w:leader="none" w:pos="34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color w:val="auto"/>
        </w:rPr>
        <w:t>. No amendment or modification of the terms of this Agreement shall be valid unless made in writing, duly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both parties.</w:t>
      </w:r>
    </w:p>
    <w:p>
      <w:pPr>
        <w:spacing w:after="0" w:line="140" w:lineRule="exact"/>
        <w:rPr>
          <w:rFonts w:ascii="Arial" w:cs="Arial" w:eastAsia="Arial" w:hAnsi="Arial"/>
          <w:sz w:val="20"/>
          <w:szCs w:val="20"/>
          <w:b w:val="1"/>
          <w:bCs w:val="1"/>
          <w:color w:val="auto"/>
        </w:rPr>
      </w:pPr>
    </w:p>
    <w:p>
      <w:pPr>
        <w:ind w:right="160"/>
        <w:spacing w:after="0" w:line="291" w:lineRule="auto"/>
        <w:tabs>
          <w:tab w:leader="none" w:pos="349"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No failure on the part of any party to exercise or delay in exercising any right hereunder shall be deemed a waiver thereof or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right, nor shall any single or partial exercise preclude any further or other exercise of such right or any other right.</w:t>
      </w:r>
    </w:p>
    <w:p>
      <w:pPr>
        <w:spacing w:after="0" w:line="118" w:lineRule="exact"/>
        <w:rPr>
          <w:rFonts w:ascii="Arial" w:cs="Arial" w:eastAsia="Arial" w:hAnsi="Arial"/>
          <w:sz w:val="19"/>
          <w:szCs w:val="19"/>
          <w:b w:val="1"/>
          <w:bCs w:val="1"/>
          <w:color w:val="auto"/>
        </w:rPr>
      </w:pPr>
    </w:p>
    <w:p>
      <w:pPr>
        <w:ind w:right="80"/>
        <w:spacing w:after="0" w:line="249" w:lineRule="auto"/>
        <w:tabs>
          <w:tab w:leader="none" w:pos="34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the legal relations between the parties, shall be governed by and construed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Connecticut without regard to conflicts of law doctrines and any court action arising out of this Agreement shall be brought in any court of competent jurisdiction within the State of Connecticut.</w:t>
      </w:r>
    </w:p>
    <w:p>
      <w:pPr>
        <w:spacing w:after="0" w:line="156" w:lineRule="exact"/>
        <w:rPr>
          <w:rFonts w:ascii="Arial" w:cs="Arial" w:eastAsia="Arial" w:hAnsi="Arial"/>
          <w:sz w:val="20"/>
          <w:szCs w:val="20"/>
          <w:b w:val="1"/>
          <w:bCs w:val="1"/>
          <w:color w:val="auto"/>
        </w:rPr>
      </w:pPr>
    </w:p>
    <w:p>
      <w:pPr>
        <w:ind w:right="20"/>
        <w:spacing w:after="0" w:line="269" w:lineRule="auto"/>
        <w:tabs>
          <w:tab w:leader="none" w:pos="349"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Attorneys' Fees.</w:t>
      </w:r>
      <w:r>
        <w:rPr>
          <w:rFonts w:ascii="Arial" w:cs="Arial" w:eastAsia="Arial" w:hAnsi="Arial"/>
          <w:sz w:val="19"/>
          <w:szCs w:val="19"/>
          <w:b w:val="1"/>
          <w:bCs w:val="1"/>
          <w:color w:val="auto"/>
        </w:rPr>
        <w:t xml:space="preserve"> </w:t>
      </w:r>
      <w:r>
        <w:rPr>
          <w:rFonts w:ascii="Arial" w:cs="Arial" w:eastAsia="Arial" w:hAnsi="Arial"/>
          <w:sz w:val="19"/>
          <w:szCs w:val="19"/>
          <w:color w:val="auto"/>
        </w:rPr>
        <w:t>If any litigation shall occur between Executive and the Company which litigation arises out of or as a result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acts of the parties hereto pursuant to this Agreement, or which seeks an interpretation of this Agreement, the prevailing party shall be entitled to recover all costs and expenses of such litigation, including reasonable attorneys' fees and costs.</w:t>
      </w:r>
    </w:p>
    <w:p>
      <w:pPr>
        <w:spacing w:after="0" w:line="137" w:lineRule="exact"/>
        <w:rPr>
          <w:rFonts w:ascii="Arial" w:cs="Arial" w:eastAsia="Arial" w:hAnsi="Arial"/>
          <w:sz w:val="19"/>
          <w:szCs w:val="19"/>
          <w:b w:val="1"/>
          <w:bCs w:val="1"/>
          <w:color w:val="auto"/>
        </w:rPr>
      </w:pPr>
    </w:p>
    <w:p>
      <w:pPr>
        <w:ind w:right="160"/>
        <w:spacing w:after="0" w:line="265" w:lineRule="auto"/>
        <w:tabs>
          <w:tab w:leader="none" w:pos="34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w:t>
      </w:r>
      <w:r>
        <w:rPr>
          <w:rFonts w:ascii="Arial" w:cs="Arial" w:eastAsia="Arial" w:hAnsi="Arial"/>
          <w:sz w:val="20"/>
          <w:szCs w:val="20"/>
          <w:color w:val="auto"/>
        </w:rPr>
        <w:t>. All compensation payable hereunder, including salary and other benefits, shall be subject to applicable taxes,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other required, normal or elected employee deductions.</w:t>
      </w:r>
    </w:p>
    <w:p>
      <w:pPr>
        <w:spacing w:after="0" w:line="140" w:lineRule="exact"/>
        <w:rPr>
          <w:rFonts w:ascii="Arial" w:cs="Arial" w:eastAsia="Arial" w:hAnsi="Arial"/>
          <w:sz w:val="20"/>
          <w:szCs w:val="20"/>
          <w:b w:val="1"/>
          <w:bCs w:val="1"/>
          <w:color w:val="auto"/>
        </w:rPr>
      </w:pPr>
    </w:p>
    <w:p>
      <w:pPr>
        <w:ind w:right="180"/>
        <w:spacing w:after="0" w:line="321" w:lineRule="auto"/>
        <w:tabs>
          <w:tab w:leader="none" w:pos="349"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executed in one or more counterparts. All of such counterparts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agreement and shall become effective when a copy signed by each party has been delivered to the other party.</w:t>
      </w:r>
    </w:p>
    <w:p>
      <w:pPr>
        <w:spacing w:after="0" w:line="94" w:lineRule="exact"/>
        <w:rPr>
          <w:rFonts w:ascii="Arial" w:cs="Arial" w:eastAsia="Arial" w:hAnsi="Arial"/>
          <w:sz w:val="18"/>
          <w:szCs w:val="18"/>
          <w:b w:val="1"/>
          <w:bCs w:val="1"/>
          <w:color w:val="auto"/>
        </w:rPr>
      </w:pPr>
    </w:p>
    <w:p>
      <w:pPr>
        <w:ind w:right="140"/>
        <w:spacing w:after="0" w:line="265" w:lineRule="auto"/>
        <w:tabs>
          <w:tab w:leader="none" w:pos="349"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Section and other headings contained in this Agreement are for convenience of reference only and shall not affect in any way</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or interpretation of this Agreement.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 WITNESS WHEREOF, the parties have executed this Agreement as of the date and year first above written.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PHOTRONICS, INC.</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____________________________</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w:t>
      </w:r>
    </w:p>
    <w:p>
      <w:pPr>
        <w:ind w:left="500"/>
        <w:spacing w:after="0"/>
        <w:rPr>
          <w:sz w:val="20"/>
          <w:szCs w:val="20"/>
          <w:color w:val="auto"/>
        </w:rPr>
      </w:pPr>
      <w:r>
        <w:rPr>
          <w:rFonts w:ascii="Arial" w:cs="Arial" w:eastAsia="Arial" w:hAnsi="Arial"/>
          <w:sz w:val="20"/>
          <w:szCs w:val="20"/>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7061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70610" cy="762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Sean T. Smith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RELEASE</w:t>
      </w:r>
    </w:p>
    <w:p>
      <w:pPr>
        <w:spacing w:after="0" w:line="194" w:lineRule="exact"/>
        <w:rPr>
          <w:sz w:val="20"/>
          <w:szCs w:val="20"/>
          <w:color w:val="auto"/>
        </w:rPr>
      </w:pPr>
    </w:p>
    <w:p>
      <w:pPr>
        <w:ind w:right="140"/>
        <w:spacing w:after="0" w:line="265" w:lineRule="auto"/>
        <w:tabs>
          <w:tab w:leader="none" w:pos="249" w:val="left"/>
        </w:tabs>
        <w:numPr>
          <w:ilvl w:val="0"/>
          <w:numId w:val="52"/>
        </w:numPr>
        <w:rPr>
          <w:rFonts w:ascii="Arial" w:cs="Arial" w:eastAsia="Arial" w:hAnsi="Arial"/>
          <w:sz w:val="19"/>
          <w:szCs w:val="19"/>
          <w:color w:val="auto"/>
        </w:rPr>
      </w:pPr>
      <w:r>
        <w:rPr>
          <w:rFonts w:ascii="Arial" w:cs="Arial" w:eastAsia="Arial" w:hAnsi="Arial"/>
          <w:sz w:val="19"/>
          <w:szCs w:val="19"/>
          <w:color w:val="auto"/>
        </w:rPr>
        <w:t>I signed an Employment Agreement with Photronics, Inc. (the "Company"), dated February 20, 2003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148" w:lineRule="exact"/>
        <w:rPr>
          <w:rFonts w:ascii="Arial" w:cs="Arial" w:eastAsia="Arial" w:hAnsi="Arial"/>
          <w:sz w:val="19"/>
          <w:szCs w:val="19"/>
          <w:color w:val="auto"/>
        </w:rPr>
      </w:pPr>
    </w:p>
    <w:p>
      <w:pPr>
        <w:spacing w:after="0" w:line="263"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the Agreement. In recognition of the consideration set forth in the Agreement, I hereby release and forever discharge the Released Parties from any and all claims, actions and causes of action, I have or may have as of the date of this Release arising under any state or federal civil rights or human rights law, or under the Federal Age Discrimination in Employment Act of 1967, as amended, and the applicable rules and regulations promulgated thereunder ("ADEA"). By signing this Release, I hereby acknowledge and confirm the following: (a) I was advised in writing by the Company in connection with my termination to consult with an attorney of my choice prior to signing this Agreement, including without limitation, the terms relating to my release of claims arising under ADEA and any other law, rule or regulation referred to above; (b) I was given a period of not fewer than 21 days to consider the terms of this Agreement and to consult with an attorney of my choosing with respect hereto; and (c) I am providing the release and discharge set forth in this paragraph only in exchange for consideration in addition to anything of value to which I was already entitled.</w:t>
      </w:r>
    </w:p>
    <w:p>
      <w:pPr>
        <w:spacing w:after="0" w:line="162" w:lineRule="exact"/>
        <w:rPr>
          <w:rFonts w:ascii="Arial" w:cs="Arial" w:eastAsia="Arial" w:hAnsi="Arial"/>
          <w:sz w:val="18"/>
          <w:szCs w:val="18"/>
          <w:color w:val="auto"/>
        </w:rPr>
      </w:pPr>
    </w:p>
    <w:p>
      <w:pPr>
        <w:ind w:right="60"/>
        <w:spacing w:after="0" w:line="256" w:lineRule="auto"/>
        <w:tabs>
          <w:tab w:leader="none" w:pos="24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Agreement and this Release may be revoked by me within the 7-day period commencing on the date I sign this Release (the "Revocation Period"). In the event of any such revocation, all obligations of the Company under the Agreement will terminate and be of no further force and effect as of the date of such revocation and both the Company and I will have and be entitled to exercise all rights that would have existed had the Agreement and Release not been entered into. No such revocation will be effective unless it is in writing and signed by me and received by the Company prior to the expiration of the Revocation Period.</w:t>
      </w:r>
    </w:p>
    <w:p>
      <w:pPr>
        <w:sectPr>
          <w:pgSz w:w="11900" w:h="16918" w:orient="portrait"/>
          <w:cols w:equalWidth="0" w:num="1">
            <w:col w:w="11420"/>
          </w:cols>
          <w:pgMar w:left="240" w:top="120" w:right="239" w:bottom="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Date</w:t>
      </w:r>
    </w:p>
    <w:p>
      <w:pPr>
        <w:sectPr>
          <w:pgSz w:w="11900" w:h="16918" w:orient="portrait"/>
          <w:cols w:equalWidth="0" w:num="2">
            <w:col w:w="3060" w:space="720"/>
            <w:col w:w="7640"/>
          </w:cols>
          <w:pgMar w:left="240" w:top="120" w:right="239" w:bottom="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color w:val="auto"/>
        </w:rPr>
        <w:t>_________________________</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______________</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Date</w:t>
      </w:r>
    </w:p>
    <w:p>
      <w:pPr>
        <w:sectPr>
          <w:pgSz w:w="11900" w:h="16838" w:orient="portrait"/>
          <w:cols w:equalWidth="0" w:num="2">
            <w:col w:w="3060" w:space="720"/>
            <w:col w:w="6439"/>
          </w:cols>
          <w:pgMar w:left="240" w:top="569" w:right="1440"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Exhibit 10.23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EXTENSION LETTER AGREEMENT TO EMPLOYMENT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January 6, 2010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Soo Hong Jeong</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#202 Sam-IK Park Villa</w:t>
      </w:r>
    </w:p>
    <w:p>
      <w:pPr>
        <w:spacing w:after="0" w:line="234" w:lineRule="auto"/>
        <w:rPr>
          <w:sz w:val="20"/>
          <w:szCs w:val="20"/>
          <w:color w:val="auto"/>
        </w:rPr>
      </w:pPr>
      <w:r>
        <w:rPr>
          <w:rFonts w:ascii="Arial" w:cs="Arial" w:eastAsia="Arial" w:hAnsi="Arial"/>
          <w:sz w:val="20"/>
          <w:szCs w:val="20"/>
          <w:color w:val="auto"/>
        </w:rPr>
        <w:t>248 Gumi-Dong</w:t>
      </w:r>
    </w:p>
    <w:p>
      <w:pPr>
        <w:spacing w:after="0" w:line="234" w:lineRule="auto"/>
        <w:rPr>
          <w:sz w:val="20"/>
          <w:szCs w:val="20"/>
          <w:color w:val="auto"/>
        </w:rPr>
      </w:pPr>
      <w:r>
        <w:rPr>
          <w:rFonts w:ascii="Arial" w:cs="Arial" w:eastAsia="Arial" w:hAnsi="Arial"/>
          <w:sz w:val="20"/>
          <w:szCs w:val="20"/>
          <w:color w:val="auto"/>
        </w:rPr>
        <w:t>Bundang, Seongnam, Kyeonggi</w:t>
      </w:r>
    </w:p>
    <w:p>
      <w:pPr>
        <w:spacing w:after="0"/>
        <w:rPr>
          <w:sz w:val="20"/>
          <w:szCs w:val="20"/>
          <w:color w:val="auto"/>
        </w:rPr>
      </w:pPr>
      <w:r>
        <w:rPr>
          <w:rFonts w:ascii="Arial" w:cs="Arial" w:eastAsia="Arial" w:hAnsi="Arial"/>
          <w:sz w:val="20"/>
          <w:szCs w:val="20"/>
          <w:color w:val="auto"/>
        </w:rPr>
        <w:t>Korea 463-802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RE: Extension of your Employment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Dear S.H.:</w:t>
      </w:r>
    </w:p>
    <w:p>
      <w:pPr>
        <w:spacing w:after="0" w:line="194" w:lineRule="exact"/>
        <w:rPr>
          <w:sz w:val="20"/>
          <w:szCs w:val="20"/>
          <w:color w:val="auto"/>
        </w:rPr>
      </w:pPr>
    </w:p>
    <w:p>
      <w:pPr>
        <w:ind w:right="380" w:firstLine="249"/>
        <w:spacing w:after="0" w:line="258" w:lineRule="auto"/>
        <w:rPr>
          <w:sz w:val="20"/>
          <w:szCs w:val="20"/>
          <w:color w:val="auto"/>
        </w:rPr>
      </w:pPr>
      <w:r>
        <w:rPr>
          <w:rFonts w:ascii="Arial" w:cs="Arial" w:eastAsia="Arial" w:hAnsi="Arial"/>
          <w:sz w:val="20"/>
          <w:szCs w:val="20"/>
          <w:color w:val="auto"/>
        </w:rPr>
        <w:t>Reference is made to the November 7, 2008 Letter Agreement between yourself and Photronics, Inc, extending your Employment Agreement dated June 9, 2006 (the “Agreement”) for an additional period of one year.</w:t>
      </w:r>
    </w:p>
    <w:p>
      <w:pPr>
        <w:spacing w:after="0" w:line="154" w:lineRule="exact"/>
        <w:rPr>
          <w:sz w:val="20"/>
          <w:szCs w:val="20"/>
          <w:color w:val="auto"/>
        </w:rPr>
      </w:pPr>
    </w:p>
    <w:p>
      <w:pPr>
        <w:ind w:right="20" w:firstLine="246"/>
        <w:spacing w:after="0" w:line="258" w:lineRule="auto"/>
        <w:rPr>
          <w:sz w:val="20"/>
          <w:szCs w:val="20"/>
          <w:color w:val="auto"/>
        </w:rPr>
      </w:pPr>
      <w:r>
        <w:rPr>
          <w:rFonts w:ascii="Arial" w:cs="Arial" w:eastAsia="Arial" w:hAnsi="Arial"/>
          <w:sz w:val="20"/>
          <w:szCs w:val="20"/>
          <w:color w:val="auto"/>
        </w:rPr>
        <w:t>This letter will amend your Agreement by renewing your Agreement for an additional period of one (1) year beginning on October 28, 2009 and ending on October 27, 2010. All other terms and conditions of the Agreement will remain the same.</w:t>
      </w:r>
    </w:p>
    <w:p>
      <w:pPr>
        <w:spacing w:after="0" w:line="154" w:lineRule="exact"/>
        <w:rPr>
          <w:sz w:val="20"/>
          <w:szCs w:val="20"/>
          <w:color w:val="auto"/>
        </w:rPr>
      </w:pPr>
    </w:p>
    <w:p>
      <w:pPr>
        <w:ind w:firstLine="249"/>
        <w:spacing w:after="0" w:line="258" w:lineRule="auto"/>
        <w:rPr>
          <w:sz w:val="20"/>
          <w:szCs w:val="20"/>
          <w:color w:val="auto"/>
        </w:rPr>
      </w:pPr>
      <w:r>
        <w:rPr>
          <w:rFonts w:ascii="Arial" w:cs="Arial" w:eastAsia="Arial" w:hAnsi="Arial"/>
          <w:sz w:val="20"/>
          <w:szCs w:val="20"/>
          <w:color w:val="auto"/>
        </w:rPr>
        <w:t>Please indicate your acceptance of the amendment of your Agreement by signing the enclosed copy of this letter and returning it to the undersigned.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 Constantine Macricostas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w:t>
      </w:r>
    </w:p>
    <w:p>
      <w:pPr>
        <w:spacing w:after="0" w:line="234" w:lineRule="auto"/>
        <w:rPr>
          <w:sz w:val="20"/>
          <w:szCs w:val="20"/>
          <w:color w:val="auto"/>
        </w:rPr>
      </w:pPr>
      <w:r>
        <w:rPr>
          <w:rFonts w:ascii="Arial" w:cs="Arial" w:eastAsia="Arial" w:hAnsi="Arial"/>
          <w:sz w:val="20"/>
          <w:szCs w:val="20"/>
          <w:color w:val="auto"/>
        </w:rPr>
        <w:t>Constantine Macricostas</w:t>
      </w:r>
    </w:p>
    <w:p>
      <w:pPr>
        <w:spacing w:after="0"/>
        <w:rPr>
          <w:sz w:val="20"/>
          <w:szCs w:val="20"/>
          <w:color w:val="auto"/>
        </w:rPr>
      </w:pPr>
      <w:r>
        <w:rPr>
          <w:rFonts w:ascii="Arial" w:cs="Arial" w:eastAsia="Arial" w:hAnsi="Arial"/>
          <w:sz w:val="20"/>
          <w:szCs w:val="20"/>
          <w:color w:val="auto"/>
        </w:rPr>
        <w:t>Chairman of the Board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 Soo Hong Jeong</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w:t>
      </w:r>
    </w:p>
    <w:p>
      <w:pPr>
        <w:spacing w:after="0"/>
        <w:rPr>
          <w:sz w:val="20"/>
          <w:szCs w:val="20"/>
          <w:color w:val="auto"/>
        </w:rPr>
      </w:pPr>
      <w:r>
        <w:rPr>
          <w:rFonts w:ascii="Arial" w:cs="Arial" w:eastAsia="Arial" w:hAnsi="Arial"/>
          <w:sz w:val="20"/>
          <w:szCs w:val="20"/>
          <w:color w:val="auto"/>
        </w:rPr>
        <w:t>Soo Hong Jeong</w:t>
      </w:r>
    </w:p>
    <w:p>
      <w:pPr>
        <w:sectPr>
          <w:pgSz w:w="11900" w:h="16838" w:orient="portrait"/>
          <w:cols w:equalWidth="0" w:num="1">
            <w:col w:w="11000"/>
          </w:cols>
          <w:pgMar w:left="240" w:top="114" w:right="6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10.33</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 October 26, 2009</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CREDIT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 June 6, 2007</w:t>
      </w:r>
    </w:p>
    <w:p>
      <w:pPr>
        <w:spacing w:after="0" w:line="2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color w:val="auto"/>
        </w:rPr>
        <w:t>THIS AMENDMENT NO. 8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October 26, 2009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National Association,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Credit Agreement dated as of June 6, 2007 by and among the Company, the Lenders and the Administrative Agent (as amended by that certain Amendment No. 1 thereto, dated as of April 25, 2008, that certain Amendment No. 2 thereto, dated as of October 31, 2008, that certain Amendment No. 3 thereto, dated as of December 3, 2008, that certain Amendment No. 4 thereto, dated as of December 12, 2008, that certain Amendment No. 5 thereto, dated as of May 15, 2009, that certain Amendment No. 6 thereto, dated as of June 8, 2009, and that certain Amendment No. 7 thereto, dated as of September 2, 2009, and as may be further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WHEREAS, the Company has requested that the Lenders, the Administrative Agent and the Collateral Agent agree to certain amendments to the Credit Agreement;</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WHEREAS, the Lenders party hereto, the Administrative Agent and the Collateral Agent have agreed to such amendments on the terms and conditions set forth herein;</w:t>
      </w:r>
    </w:p>
    <w:p>
      <w:pPr>
        <w:spacing w:after="0" w:line="27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6"/>
          <w:szCs w:val="16"/>
          <w:color w:val="auto"/>
        </w:rPr>
        <w:t>NOW, THEREFORE, in consideration of the premises set forth above, the terms and conditions contained herein, and other good and valuable consideration, the receipt and sufficiency of which are hereby acknowledged, the Company, the Lenders party hereto, the Administrative Agent and the Collateral Agent have agreed to enter into this Amendment.</w:t>
      </w:r>
    </w:p>
    <w:p>
      <w:pPr>
        <w:spacing w:after="0" w:line="217" w:lineRule="exact"/>
        <w:rPr>
          <w:sz w:val="20"/>
          <w:szCs w:val="20"/>
          <w:color w:val="auto"/>
        </w:rPr>
      </w:pPr>
    </w:p>
    <w:p>
      <w:pPr>
        <w:jc w:val="both"/>
        <w:ind w:firstLine="361"/>
        <w:spacing w:after="0" w:line="267" w:lineRule="auto"/>
        <w:tabs>
          <w:tab w:leader="none" w:pos="53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Amendments to Credit Agreement</w:t>
      </w:r>
      <w:r>
        <w:rPr>
          <w:rFonts w:ascii="Arial" w:cs="Arial" w:eastAsia="Arial" w:hAnsi="Arial"/>
          <w:sz w:val="16"/>
          <w:szCs w:val="16"/>
          <w:color w:val="auto"/>
        </w:rPr>
        <w:t xml:space="preserve">. Effective as of the date of satisfaction of the conditions precedent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Section 2.11(c) of the Credit Agreement is amended to add the parenthetical “(provided, however, that in the case of any Net Proceeds received in connection with the Chinese Facility Sale, within three (3) Business Days after approval by the State Administration of Foreign Exchange of the People’s Republic of China that the Company may repatriate such Net Proceeds to the United States of America)” immediately after the phrase “within three (3) Business Days after such net Proceeds are received by the Company or any Subsidiary” appearing therein.</w:t>
      </w:r>
    </w:p>
    <w:p>
      <w:pPr>
        <w:spacing w:after="0" w:line="222" w:lineRule="exact"/>
        <w:rPr>
          <w:rFonts w:ascii="Arial" w:cs="Arial" w:eastAsia="Arial" w:hAnsi="Arial"/>
          <w:sz w:val="16"/>
          <w:szCs w:val="16"/>
          <w:color w:val="auto"/>
        </w:rPr>
      </w:pPr>
    </w:p>
    <w:p>
      <w:pPr>
        <w:jc w:val="both"/>
        <w:ind w:firstLine="249"/>
        <w:spacing w:after="0" w:line="274" w:lineRule="auto"/>
        <w:tabs>
          <w:tab w:leader="none" w:pos="41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the Administrative Agent shall have received counterparts of this Amendment duly executed by the Company, the Required Lenders and the Administrative Agent and the Consent and Reaffirmation attached hereto duly executed by the 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27773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3" w:name="page84"/>
    <w:bookmarkEnd w:id="83"/>
    <w:p>
      <w:pPr>
        <w:ind w:left="171" w:hanging="171"/>
        <w:spacing w:after="0"/>
        <w:tabs>
          <w:tab w:leader="none" w:pos="17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 warrants as follows:</w:t>
      </w:r>
    </w:p>
    <w:p>
      <w:pPr>
        <w:spacing w:after="0" w:line="264" w:lineRule="exact"/>
        <w:rPr>
          <w:rFonts w:ascii="Arial" w:cs="Arial" w:eastAsia="Arial" w:hAnsi="Arial"/>
          <w:sz w:val="16"/>
          <w:szCs w:val="16"/>
          <w:color w:val="auto"/>
        </w:rPr>
      </w:pPr>
    </w:p>
    <w:p>
      <w:pPr>
        <w:jc w:val="both"/>
        <w:ind w:left="-249" w:firstLine="349"/>
        <w:spacing w:after="0" w:line="274" w:lineRule="auto"/>
        <w:tabs>
          <w:tab w:leader="none" w:pos="342"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7" w:lineRule="exact"/>
        <w:rPr>
          <w:rFonts w:ascii="Arial" w:cs="Arial" w:eastAsia="Arial" w:hAnsi="Arial"/>
          <w:sz w:val="16"/>
          <w:szCs w:val="16"/>
          <w:color w:val="auto"/>
        </w:rPr>
      </w:pPr>
    </w:p>
    <w:p>
      <w:pPr>
        <w:ind w:left="-249" w:firstLine="261"/>
        <w:spacing w:after="0" w:line="289" w:lineRule="auto"/>
        <w:tabs>
          <w:tab w:leader="none" w:pos="251" w:val="left"/>
        </w:tabs>
        <w:numPr>
          <w:ilvl w:val="1"/>
          <w:numId w:val="55"/>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205" w:lineRule="exact"/>
        <w:rPr>
          <w:sz w:val="20"/>
          <w:szCs w:val="20"/>
          <w:color w:val="auto"/>
        </w:rPr>
      </w:pPr>
    </w:p>
    <w:p>
      <w:pPr>
        <w:jc w:val="both"/>
        <w:ind w:left="-249" w:firstLine="249"/>
        <w:spacing w:after="0" w:line="282" w:lineRule="auto"/>
        <w:tabs>
          <w:tab w:leader="none" w:pos="23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Company (and by its execution of the Consent and Reaffirmation attached hereto, each Subsidiary Guarantor) hereby acknowledges and confirms that (i) it does not have any grounds, and hereby agrees not to challenge (or to allege or to pursue any matter, cause or claim arising under or with respect to) the effectiveness, genuineness, validity, collectibility or enforceability of the Credit Agreement or any of the other Loan Documents, the Secured Obligations, the Liens securing such Secured Obligations, or any of the terms or conditions of any Loan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Credit Agreement or any of the other Loan Documents (including, without limitation, with respect to the payment, performance, validity or enforceability of the Secured Obligations, the Liens securing the Secured Obligations or any or all of the terms or conditions of any Loan Document) or any transaction relating thereto.</w:t>
      </w:r>
    </w:p>
    <w:p>
      <w:pPr>
        <w:spacing w:after="0" w:line="213" w:lineRule="exact"/>
        <w:rPr>
          <w:sz w:val="20"/>
          <w:szCs w:val="20"/>
          <w:color w:val="auto"/>
        </w:rPr>
      </w:pPr>
    </w:p>
    <w:p>
      <w:pPr>
        <w:ind w:left="171" w:hanging="171"/>
        <w:spacing w:after="0"/>
        <w:tabs>
          <w:tab w:leader="none" w:pos="17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Reference to and Effect on the Credit Agreement</w:t>
      </w:r>
      <w:r>
        <w:rPr>
          <w:rFonts w:ascii="Arial" w:cs="Arial" w:eastAsia="Arial" w:hAnsi="Arial"/>
          <w:sz w:val="16"/>
          <w:szCs w:val="16"/>
          <w:color w:val="auto"/>
        </w:rPr>
        <w:t>.</w:t>
      </w:r>
    </w:p>
    <w:p>
      <w:pPr>
        <w:spacing w:after="0" w:line="265" w:lineRule="exact"/>
        <w:rPr>
          <w:sz w:val="20"/>
          <w:szCs w:val="20"/>
          <w:color w:val="auto"/>
        </w:rPr>
      </w:pPr>
    </w:p>
    <w:p>
      <w:pPr>
        <w:ind w:left="-249" w:firstLine="249"/>
        <w:spacing w:after="0" w:line="289" w:lineRule="auto"/>
        <w:tabs>
          <w:tab w:leader="none" w:pos="23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Upon the effectiveness hereof, each reference to the Credit Agreement in the Credit Agreement or any other Loan Document shall mean and be a reference to the Credit Agreement as amended hereby.</w:t>
      </w:r>
    </w:p>
    <w:p>
      <w:pPr>
        <w:spacing w:after="0" w:line="204" w:lineRule="exact"/>
        <w:rPr>
          <w:rFonts w:ascii="Arial" w:cs="Arial" w:eastAsia="Arial" w:hAnsi="Arial"/>
          <w:sz w:val="16"/>
          <w:szCs w:val="16"/>
          <w:color w:val="auto"/>
        </w:rPr>
      </w:pPr>
    </w:p>
    <w:p>
      <w:pPr>
        <w:ind w:left="-249" w:firstLine="286"/>
        <w:spacing w:after="0" w:line="289" w:lineRule="auto"/>
        <w:tabs>
          <w:tab w:leader="none" w:pos="276" w:val="left"/>
        </w:tabs>
        <w:numPr>
          <w:ilvl w:val="2"/>
          <w:numId w:val="58"/>
        </w:numPr>
        <w:rPr>
          <w:rFonts w:ascii="Arial" w:cs="Arial" w:eastAsia="Arial" w:hAnsi="Arial"/>
          <w:sz w:val="16"/>
          <w:szCs w:val="16"/>
          <w:color w:val="auto"/>
        </w:rPr>
      </w:pPr>
      <w:r>
        <w:rPr>
          <w:rFonts w:ascii="Arial" w:cs="Arial" w:eastAsia="Arial" w:hAnsi="Arial"/>
          <w:sz w:val="16"/>
          <w:szCs w:val="16"/>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204" w:lineRule="exact"/>
        <w:rPr>
          <w:rFonts w:ascii="Arial" w:cs="Arial" w:eastAsia="Arial" w:hAnsi="Arial"/>
          <w:sz w:val="16"/>
          <w:szCs w:val="16"/>
          <w:color w:val="auto"/>
        </w:rPr>
      </w:pPr>
    </w:p>
    <w:p>
      <w:pPr>
        <w:ind w:left="-249" w:firstLine="274"/>
        <w:spacing w:after="0" w:line="324" w:lineRule="auto"/>
        <w:tabs>
          <w:tab w:leader="none" w:pos="255"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82" w:lineRule="exact"/>
        <w:rPr>
          <w:sz w:val="20"/>
          <w:szCs w:val="20"/>
          <w:color w:val="auto"/>
        </w:rPr>
      </w:pPr>
    </w:p>
    <w:p>
      <w:pPr>
        <w:ind w:left="5431" w:right="2960" w:hanging="5431"/>
        <w:spacing w:after="0" w:line="581" w:lineRule="auto"/>
        <w:tabs>
          <w:tab w:leader="none" w:pos="17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and governed by the law of the State of New York.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38735</wp:posOffset>
            </wp:positionV>
            <wp:extent cx="7277735" cy="203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171"/>
          </w:cols>
          <w:pgMar w:left="489" w:top="380" w:right="239" w:bottom="1440" w:gutter="0" w:footer="0" w:header="0"/>
        </w:sectPr>
      </w:pPr>
    </w:p>
    <w:bookmarkStart w:id="84" w:name="page85"/>
    <w:bookmarkEnd w:id="84"/>
    <w:p>
      <w:pPr>
        <w:ind w:firstLine="299"/>
        <w:spacing w:after="0" w:line="289" w:lineRule="auto"/>
        <w:tabs>
          <w:tab w:leader="none" w:pos="47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in this Amendment are included herein for convenience of reference only and shall not constitute a part of this Amendment for any other purpose.</w:t>
      </w:r>
    </w:p>
    <w:p>
      <w:pPr>
        <w:spacing w:after="0" w:line="204" w:lineRule="exact"/>
        <w:rPr>
          <w:rFonts w:ascii="Arial" w:cs="Arial" w:eastAsia="Arial" w:hAnsi="Arial"/>
          <w:sz w:val="16"/>
          <w:szCs w:val="16"/>
          <w:color w:val="auto"/>
        </w:rPr>
      </w:pPr>
    </w:p>
    <w:p>
      <w:pPr>
        <w:jc w:val="both"/>
        <w:ind w:firstLine="249"/>
        <w:spacing w:after="0" w:line="274" w:lineRule="auto"/>
        <w:tabs>
          <w:tab w:leader="none" w:pos="42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auto"/>
        </w:rPr>
        <w:t>IN WITNESS WHEREOF, this Amendment has been duly executed as of the day and year first above written.</w:t>
      </w: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PHOTRONICS, INC.,</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the Company</w:t>
      </w: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7620</wp:posOffset>
            </wp:positionV>
            <wp:extent cx="181229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214630</wp:posOffset>
            </wp:positionV>
            <wp:extent cx="7277735"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979"/>
          </w:cols>
          <w:pgMar w:left="480" w:top="380" w:right="1440" w:bottom="1440" w:gutter="0" w:footer="0" w:header="0"/>
        </w:sectPr>
      </w:pPr>
    </w:p>
    <w:bookmarkStart w:id="86" w:name="page87"/>
    <w:bookmarkEnd w:id="86"/>
    <w:p>
      <w:pPr>
        <w:ind w:left="4280"/>
        <w:spacing w:after="0" w:line="289" w:lineRule="auto"/>
        <w:rPr>
          <w:sz w:val="20"/>
          <w:szCs w:val="20"/>
          <w:color w:val="auto"/>
        </w:rPr>
      </w:pPr>
      <w:r>
        <w:rPr>
          <w:rFonts w:ascii="Arial" w:cs="Arial" w:eastAsia="Arial" w:hAnsi="Arial"/>
          <w:sz w:val="16"/>
          <w:szCs w:val="16"/>
          <w:color w:val="auto"/>
        </w:rPr>
        <w:t>JPMORGAN CHASE BANK, NATIONAL ASSOCIATION, individually as a Lender, as the Swingline Lender, as the Issuing Bank and as Administrative Agent</w:t>
      </w: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57"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JPMORGAN CHASE BANK, NATIONAL ASSOCIATION,</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as Collateral Agent</w:t>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0100"/>
          </w:cols>
          <w:pgMar w:left="1440" w:top="355" w:right="359" w:bottom="1440" w:gutter="0" w:footer="0" w:header="0"/>
        </w:sectPr>
      </w:pPr>
    </w:p>
    <w:bookmarkStart w:id="87" w:name="page88"/>
    <w:bookmarkEnd w:id="87"/>
    <w:p>
      <w:pPr>
        <w:ind w:left="4280"/>
        <w:spacing w:after="0"/>
        <w:rPr>
          <w:sz w:val="20"/>
          <w:szCs w:val="20"/>
          <w:color w:val="auto"/>
        </w:rPr>
      </w:pPr>
      <w:r>
        <w:rPr>
          <w:rFonts w:ascii="Arial" w:cs="Arial" w:eastAsia="Arial" w:hAnsi="Arial"/>
          <w:sz w:val="15"/>
          <w:szCs w:val="15"/>
          <w:color w:val="auto"/>
        </w:rPr>
        <w:t>RBS CITIZENS, NATIONAL ASSOCIATION (successor by</w:t>
      </w:r>
    </w:p>
    <w:p>
      <w:pPr>
        <w:spacing w:after="0" w:line="34"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merger to Citizens Bank of Massachusetts), individually as a</w:t>
      </w:r>
    </w:p>
    <w:p>
      <w:pPr>
        <w:spacing w:after="0" w:line="38"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Lender and as Co-Syndication Agent</w:t>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8" w:name="page89"/>
    <w:bookmarkEnd w:id="88"/>
    <w:p>
      <w:pPr>
        <w:ind w:left="4280"/>
        <w:spacing w:after="0"/>
        <w:rPr>
          <w:sz w:val="20"/>
          <w:szCs w:val="20"/>
          <w:color w:val="auto"/>
        </w:rPr>
      </w:pPr>
      <w:r>
        <w:rPr>
          <w:rFonts w:ascii="Arial" w:cs="Arial" w:eastAsia="Arial" w:hAnsi="Arial"/>
          <w:sz w:val="15"/>
          <w:szCs w:val="15"/>
          <w:color w:val="auto"/>
        </w:rPr>
        <w:t>HSBC BANK USA, NATIONAL ASSOCIATION, individually</w:t>
      </w:r>
    </w:p>
    <w:p>
      <w:pPr>
        <w:spacing w:after="0" w:line="3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as a Lender and as Co-Syndication Agent</w:t>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9" w:name="page90"/>
    <w:bookmarkEnd w:id="89"/>
    <w:p>
      <w:pPr>
        <w:ind w:left="4280"/>
        <w:spacing w:after="0"/>
        <w:rPr>
          <w:sz w:val="20"/>
          <w:szCs w:val="20"/>
          <w:color w:val="auto"/>
        </w:rPr>
      </w:pPr>
      <w:r>
        <w:rPr>
          <w:rFonts w:ascii="Arial" w:cs="Arial" w:eastAsia="Arial" w:hAnsi="Arial"/>
          <w:sz w:val="15"/>
          <w:szCs w:val="15"/>
          <w:color w:val="auto"/>
        </w:rPr>
        <w:t>CITIBANK, N.A., individually as a Lender and as</w:t>
      </w:r>
    </w:p>
    <w:p>
      <w:pPr>
        <w:spacing w:after="0" w:line="3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Co-Syndication Agent</w:t>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0" w:name="page91"/>
    <w:bookmarkEnd w:id="90"/>
    <w:p>
      <w:pPr>
        <w:ind w:left="4280"/>
        <w:spacing w:after="0"/>
        <w:rPr>
          <w:sz w:val="20"/>
          <w:szCs w:val="20"/>
          <w:color w:val="auto"/>
        </w:rPr>
      </w:pPr>
      <w:r>
        <w:rPr>
          <w:rFonts w:ascii="Arial" w:cs="Arial" w:eastAsia="Arial" w:hAnsi="Arial"/>
          <w:sz w:val="16"/>
          <w:szCs w:val="16"/>
          <w:color w:val="auto"/>
        </w:rPr>
        <w:t>BANK OF AMERICA, N.A.,</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as a Lender</w:t>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181229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812290" cy="7620"/>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1" w:name="page92"/>
    <w:bookmarkEnd w:id="91"/>
    <w:p>
      <w:pPr>
        <w:ind w:left="4220"/>
        <w:spacing w:after="0"/>
        <w:rPr>
          <w:sz w:val="20"/>
          <w:szCs w:val="20"/>
          <w:color w:val="auto"/>
        </w:rPr>
      </w:pPr>
      <w:r>
        <w:rPr>
          <w:rFonts w:ascii="Arial" w:cs="Arial" w:eastAsia="Arial" w:hAnsi="Arial"/>
          <w:sz w:val="16"/>
          <w:szCs w:val="16"/>
          <w:color w:val="auto"/>
        </w:rPr>
        <w:t>UBS LOAN FINANCE LLC,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as a Lender</w:t>
      </w: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7620</wp:posOffset>
            </wp:positionV>
            <wp:extent cx="179641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96415" cy="762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23495</wp:posOffset>
            </wp:positionV>
            <wp:extent cx="179641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96415" cy="7620"/>
                    </a:xfrm>
                    <a:prstGeom prst="rect">
                      <a:avLst/>
                    </a:prstGeom>
                    <a:noFill/>
                  </pic:spPr>
                </pic:pic>
              </a:graphicData>
            </a:graphic>
          </wp:anchor>
        </w:drawing>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Name:</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Amendment No. 8</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color w:val="auto"/>
        </w:rPr>
        <w:t>CONSENT AND REAFFIRMATION</w:t>
      </w:r>
    </w:p>
    <w:p>
      <w:pPr>
        <w:spacing w:after="0" w:line="265" w:lineRule="exact"/>
        <w:rPr>
          <w:sz w:val="20"/>
          <w:szCs w:val="20"/>
          <w:color w:val="auto"/>
        </w:rPr>
      </w:pPr>
    </w:p>
    <w:p>
      <w:pPr>
        <w:jc w:val="both"/>
        <w:ind w:firstLine="262"/>
        <w:spacing w:after="0" w:line="281" w:lineRule="auto"/>
        <w:rPr>
          <w:sz w:val="20"/>
          <w:szCs w:val="20"/>
          <w:color w:val="auto"/>
        </w:rPr>
      </w:pPr>
      <w:r>
        <w:rPr>
          <w:rFonts w:ascii="Arial" w:cs="Arial" w:eastAsia="Arial" w:hAnsi="Arial"/>
          <w:sz w:val="15"/>
          <w:szCs w:val="15"/>
          <w:color w:val="auto"/>
        </w:rPr>
        <w:t>Each of the undersigned hereby acknowledges receipt of a copy of the foregoing Amendment No. 8 to the Credit Agreement dated as of June 6, 2007 (as amended by that certain Amendment No. 1 thereto, dated as of April 25, 2008, that certain Amendment No. 2 thereto, dated as of October 31, 2008, that certain Amendment No. 3 thereto, dated as of December 3, 2008, that certain Amendment No. 4 thereto, dated as of December 12, 2008, that certain Amendment No. 5 thereto, dated as of May 15, 2009, that certain Amendment No. 6 thereto, dated as of June 8, 2009, and that certain Amendment No. 7 thereto, dated as of September 2, 2009, and as may be further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Photronics, Inc. (the “</w:t>
      </w:r>
      <w:r>
        <w:rPr>
          <w:rFonts w:ascii="Arial" w:cs="Arial" w:eastAsia="Arial" w:hAnsi="Arial"/>
          <w:sz w:val="15"/>
          <w:szCs w:val="15"/>
          <w:u w:val="single" w:color="auto"/>
          <w:color w:val="auto"/>
        </w:rPr>
        <w:t>Company</w:t>
      </w:r>
      <w:r>
        <w:rPr>
          <w:rFonts w:ascii="Arial" w:cs="Arial" w:eastAsia="Arial" w:hAnsi="Arial"/>
          <w:sz w:val="15"/>
          <w:szCs w:val="15"/>
          <w:color w:val="auto"/>
        </w:rPr>
        <w:t>”), the Foreign Subsidiary Borrowers from time to time party thereto (together with the Company, the “</w:t>
      </w:r>
      <w:r>
        <w:rPr>
          <w:rFonts w:ascii="Arial" w:cs="Arial" w:eastAsia="Arial" w:hAnsi="Arial"/>
          <w:sz w:val="15"/>
          <w:szCs w:val="15"/>
          <w:u w:val="single" w:color="auto"/>
          <w:color w:val="auto"/>
        </w:rPr>
        <w:t>Borrowers</w:t>
      </w:r>
      <w:r>
        <w:rPr>
          <w:rFonts w:ascii="Arial" w:cs="Arial" w:eastAsia="Arial" w:hAnsi="Arial"/>
          <w:sz w:val="15"/>
          <w:szCs w:val="15"/>
          <w:color w:val="auto"/>
        </w:rPr>
        <w:t>”), the financial institutions from time to time party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and JPMorgan Chase Bank, National Association,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which Amendment No. 8 is dated as of October 26, 2009 (the “</w:t>
      </w:r>
      <w:r>
        <w:rPr>
          <w:rFonts w:ascii="Arial" w:cs="Arial" w:eastAsia="Arial" w:hAnsi="Arial"/>
          <w:sz w:val="15"/>
          <w:szCs w:val="15"/>
          <w:u w:val="single" w:color="auto"/>
          <w:color w:val="auto"/>
        </w:rPr>
        <w:t>Amendment</w:t>
      </w:r>
      <w:r>
        <w:rPr>
          <w:rFonts w:ascii="Arial" w:cs="Arial" w:eastAsia="Arial" w:hAnsi="Arial"/>
          <w:sz w:val="15"/>
          <w:szCs w:val="15"/>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Dated: October 26, 2009</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ALIGN-RITE,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ARIZONA,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 LLC</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By: Photronics Texas, Inc., its Sole Member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II, LLC</w:t>
      </w:r>
    </w:p>
    <w:p>
      <w:pPr>
        <w:spacing w:after="0" w:line="26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By: Photronics-Toppan Texas, Inc., its Sole Member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ind w:left="2220"/>
        <w:spacing w:after="0"/>
        <w:rPr>
          <w:sz w:val="20"/>
          <w:szCs w:val="20"/>
          <w:color w:val="auto"/>
        </w:rPr>
      </w:pPr>
      <w:r>
        <w:rPr>
          <w:rFonts w:ascii="Arial" w:cs="Arial" w:eastAsia="Arial" w:hAnsi="Arial"/>
          <w:sz w:val="16"/>
          <w:szCs w:val="16"/>
          <w:color w:val="auto"/>
        </w:rPr>
        <w:t>ALIGN-RITE INTERNATIONAL, INC.</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23495</wp:posOffset>
            </wp:positionV>
            <wp:extent cx="176466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PHOTRONICS CALIFORNIA, INC.</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23495</wp:posOffset>
            </wp:positionV>
            <wp:extent cx="176466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PHOTRONICS TEXAS ALLEN, INC. (formerly</w:t>
      </w:r>
    </w:p>
    <w:p>
      <w:pPr>
        <w:spacing w:after="0" w:line="5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known as Photronics-Toppan Texas, Inc.)</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23495</wp:posOffset>
            </wp:positionV>
            <wp:extent cx="176466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w:t>
      </w:r>
    </w:p>
    <w:p>
      <w:pPr>
        <w:spacing w:after="0" w:line="265"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PHOTRONICS TEXAS I, LP</w:t>
      </w:r>
    </w:p>
    <w:p>
      <w:pPr>
        <w:spacing w:after="0" w:line="265"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By: Photronics Texas, Inc., its General Partner</w:t>
      </w:r>
    </w:p>
    <w:p>
      <w:pPr>
        <w:spacing w:after="0" w:line="200" w:lineRule="exact"/>
        <w:rPr>
          <w:sz w:val="20"/>
          <w:szCs w:val="20"/>
          <w:color w:val="auto"/>
        </w:rPr>
      </w:pPr>
    </w:p>
    <w:p>
      <w:pPr>
        <w:spacing w:after="0" w:line="301"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23495</wp:posOffset>
            </wp:positionV>
            <wp:extent cx="176466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PHOTRONICS TEXAS II, LP</w:t>
      </w:r>
    </w:p>
    <w:p>
      <w:pPr>
        <w:spacing w:after="0" w:line="265"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By: Photronics-Toppan Texas, Inc., its General</w:t>
      </w:r>
    </w:p>
    <w:p>
      <w:pPr>
        <w:spacing w:after="0" w:line="52"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Partner</w:t>
      </w: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23495</wp:posOffset>
            </wp:positionV>
            <wp:extent cx="176466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59"/>
        <w:spacing w:after="0"/>
        <w:rPr>
          <w:sz w:val="20"/>
          <w:szCs w:val="20"/>
          <w:color w:val="auto"/>
        </w:rPr>
      </w:pPr>
      <w:r>
        <w:rPr>
          <w:rFonts w:ascii="Arial" w:cs="Arial" w:eastAsia="Arial" w:hAnsi="Arial"/>
          <w:sz w:val="14"/>
          <w:szCs w:val="14"/>
          <w:color w:val="auto"/>
        </w:rPr>
        <w:t>Signature Page to Consent and Reaffirmation to Amendment No. 8</w:t>
      </w:r>
    </w:p>
    <w:p>
      <w:pPr>
        <w:spacing w:after="0" w:line="45" w:lineRule="exact"/>
        <w:rPr>
          <w:sz w:val="20"/>
          <w:szCs w:val="20"/>
          <w:color w:val="auto"/>
        </w:rPr>
      </w:pPr>
    </w:p>
    <w:p>
      <w:pPr>
        <w:jc w:val="center"/>
        <w:ind w:right="235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ind w:right="2319"/>
        <w:spacing w:after="0"/>
        <w:rPr>
          <w:sz w:val="20"/>
          <w:szCs w:val="20"/>
          <w:color w:val="auto"/>
        </w:rPr>
      </w:pPr>
      <w:r>
        <w:rPr>
          <w:rFonts w:ascii="Arial" w:cs="Arial" w:eastAsia="Arial" w:hAnsi="Arial"/>
          <w:sz w:val="16"/>
          <w:szCs w:val="16"/>
          <w:color w:val="auto"/>
        </w:rPr>
        <w:t>Credit Agreement dated as of June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214630</wp:posOffset>
            </wp:positionV>
            <wp:extent cx="7277735"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2">
            <w:col w:w="2860" w:space="660"/>
            <w:col w:w="6699"/>
          </w:cols>
          <w:pgMar w:left="240" w:top="368" w:right="1440"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Exhibit 10.39</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 October 26, 2009</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LOAN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 June 8, 2009</w:t>
      </w:r>
    </w:p>
    <w:p>
      <w:pPr>
        <w:spacing w:after="0" w:line="2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THIS AMENDMENT NO. 2 (“</w:t>
      </w:r>
      <w:r>
        <w:rPr>
          <w:rFonts w:ascii="Arial" w:cs="Arial" w:eastAsia="Arial" w:hAnsi="Arial"/>
          <w:sz w:val="15"/>
          <w:szCs w:val="15"/>
          <w:u w:val="single" w:color="auto"/>
          <w:color w:val="auto"/>
        </w:rPr>
        <w:t>Amendment</w:t>
      </w:r>
      <w:r>
        <w:rPr>
          <w:rFonts w:ascii="Arial" w:cs="Arial" w:eastAsia="Arial" w:hAnsi="Arial"/>
          <w:sz w:val="15"/>
          <w:szCs w:val="15"/>
          <w:color w:val="auto"/>
        </w:rPr>
        <w:t>”) is made as of October 26, 2009 by and among Photronics, Inc. (the “</w:t>
      </w:r>
      <w:r>
        <w:rPr>
          <w:rFonts w:ascii="Arial" w:cs="Arial" w:eastAsia="Arial" w:hAnsi="Arial"/>
          <w:sz w:val="15"/>
          <w:szCs w:val="15"/>
          <w:u w:val="single" w:color="auto"/>
          <w:color w:val="auto"/>
        </w:rPr>
        <w:t>Borrower</w:t>
      </w:r>
      <w:r>
        <w:rPr>
          <w:rFonts w:ascii="Arial" w:cs="Arial" w:eastAsia="Arial" w:hAnsi="Arial"/>
          <w:sz w:val="15"/>
          <w:szCs w:val="15"/>
          <w:color w:val="auto"/>
        </w:rPr>
        <w:t>”), the financial institutions listed on the signature pages hereof and JPMorgan Chase Bank, National Association, as Administrative Agent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as Collateral Agent (in such capacity,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 under that certain Loan Agreement dated as of June 8, 2009 by and among the Borrower, the Lenders and the Administrative Agent (as amended by that certain Amendment No. 1 thereto, dated as of September 2, 2009, and as may be further amended, supplemented or otherwise modified from time to time, the “</w:t>
      </w:r>
      <w:r>
        <w:rPr>
          <w:rFonts w:ascii="Arial" w:cs="Arial" w:eastAsia="Arial" w:hAnsi="Arial"/>
          <w:sz w:val="15"/>
          <w:szCs w:val="15"/>
          <w:u w:val="single" w:color="auto"/>
          <w:color w:val="auto"/>
        </w:rPr>
        <w:t>Loan Agreement</w:t>
      </w:r>
      <w:r>
        <w:rPr>
          <w:rFonts w:ascii="Arial" w:cs="Arial" w:eastAsia="Arial" w:hAnsi="Arial"/>
          <w:sz w:val="15"/>
          <w:szCs w:val="15"/>
          <w:color w:val="auto"/>
        </w:rPr>
        <w:t>”). Capitalized terms used herein and not otherwise defined herein shall have the respective meanings given to them in the Loan Agreement.</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WHEREAS, the Borrower has requested that the Lenders, the Administrative Agent and the Collateral Agent agree to certain amendments to the Loan Agreement;</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WHEREAS, the Lenders party hereto, the Administrative Agent and the Collateral Agent have agreed to such amendments on the terms and conditions set forth herein;</w:t>
      </w:r>
    </w:p>
    <w:p>
      <w:pPr>
        <w:spacing w:after="0" w:line="276" w:lineRule="exact"/>
        <w:rPr>
          <w:sz w:val="20"/>
          <w:szCs w:val="20"/>
          <w:color w:val="auto"/>
        </w:rPr>
      </w:pPr>
    </w:p>
    <w:p>
      <w:pPr>
        <w:jc w:val="both"/>
        <w:ind w:firstLine="287"/>
        <w:spacing w:after="0" w:line="274" w:lineRule="auto"/>
        <w:rPr>
          <w:sz w:val="20"/>
          <w:szCs w:val="20"/>
          <w:color w:val="auto"/>
        </w:rPr>
      </w:pPr>
      <w:r>
        <w:rPr>
          <w:rFonts w:ascii="Arial" w:cs="Arial" w:eastAsia="Arial" w:hAnsi="Arial"/>
          <w:sz w:val="16"/>
          <w:szCs w:val="16"/>
          <w:color w:val="auto"/>
        </w:rPr>
        <w:t>NOW, THEREFORE, in consideration of the premises set forth above, the terms and conditions contained herein, and other good and valuable consideration, the receipt and sufficiency of which are hereby acknowledged, the Borrower, the Lenders party hereto, the Administrative Agent and the Collateral Agent have agreed to enter into this Amendment.</w:t>
      </w:r>
    </w:p>
    <w:p>
      <w:pPr>
        <w:spacing w:after="0" w:line="217" w:lineRule="exact"/>
        <w:rPr>
          <w:sz w:val="20"/>
          <w:szCs w:val="20"/>
          <w:color w:val="auto"/>
        </w:rPr>
      </w:pPr>
    </w:p>
    <w:p>
      <w:pPr>
        <w:jc w:val="both"/>
        <w:ind w:firstLine="261"/>
        <w:spacing w:after="0" w:line="269" w:lineRule="auto"/>
        <w:tabs>
          <w:tab w:leader="none" w:pos="43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Amendments to Loan Agreement</w:t>
      </w:r>
      <w:r>
        <w:rPr>
          <w:rFonts w:ascii="Arial" w:cs="Arial" w:eastAsia="Arial" w:hAnsi="Arial"/>
          <w:sz w:val="16"/>
          <w:szCs w:val="16"/>
          <w:color w:val="auto"/>
        </w:rPr>
        <w:t xml:space="preserve">. Effective as of the date of satisfaction of the conditions precedent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Section 2.11(c) of the Loan Agreement is amended to add the parenthetical “(provided, however, that in the case of any Net Proceeds received in connection with the Chinese Facility Sale, within three (3) Business Days after approval by SAFE that the Borrower may repatriate such Net Proceeds to the United States of America)” immediately after the phrase “within three (3) Business Days after such net Proceeds are received by the Borrower or any Subsidiary” appearing therein.</w:t>
      </w:r>
    </w:p>
    <w:p>
      <w:pPr>
        <w:spacing w:after="0" w:line="222" w:lineRule="exact"/>
        <w:rPr>
          <w:rFonts w:ascii="Arial" w:cs="Arial" w:eastAsia="Arial" w:hAnsi="Arial"/>
          <w:sz w:val="16"/>
          <w:szCs w:val="16"/>
          <w:color w:val="auto"/>
        </w:rPr>
      </w:pPr>
    </w:p>
    <w:p>
      <w:pPr>
        <w:jc w:val="both"/>
        <w:ind w:firstLine="274"/>
        <w:spacing w:after="0" w:line="274" w:lineRule="auto"/>
        <w:tabs>
          <w:tab w:leader="none" w:pos="445"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the Administrative Agent shall have received counterparts of this Amendment duly executed by the Borrower, the Required Lenders and the Administrative Agent and the Consent and Reaffirmation attached hereto duly executed by the Subsidiary Guarantors.</w:t>
      </w:r>
    </w:p>
    <w:p>
      <w:pPr>
        <w:spacing w:after="0" w:line="217" w:lineRule="exact"/>
        <w:rPr>
          <w:rFonts w:ascii="Arial" w:cs="Arial" w:eastAsia="Arial" w:hAnsi="Arial"/>
          <w:sz w:val="16"/>
          <w:szCs w:val="16"/>
          <w:color w:val="auto"/>
        </w:rPr>
      </w:pPr>
    </w:p>
    <w:p>
      <w:pPr>
        <w:ind w:left="420" w:hanging="171"/>
        <w:spacing w:after="0"/>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Borrower and Acknowledgements and Confirmations</w:t>
      </w:r>
      <w:r>
        <w:rPr>
          <w:rFonts w:ascii="Arial" w:cs="Arial" w:eastAsia="Arial" w:hAnsi="Arial"/>
          <w:sz w:val="16"/>
          <w:szCs w:val="16"/>
          <w:color w:val="auto"/>
        </w:rPr>
        <w:t>. The Borrower hereby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5" w:name="page96"/>
    <w:bookmarkEnd w:id="95"/>
    <w:p>
      <w:pPr>
        <w:jc w:val="both"/>
        <w:ind w:firstLine="249"/>
        <w:spacing w:after="0" w:line="274" w:lineRule="auto"/>
        <w:tabs>
          <w:tab w:leader="none" w:pos="4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Amendment and the Loan Agreement, as amended hereby, constitute legal, valid and binding obligations of the Borrower and are enforceable against the Borrower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7" w:lineRule="exact"/>
        <w:rPr>
          <w:rFonts w:ascii="Arial" w:cs="Arial" w:eastAsia="Arial" w:hAnsi="Arial"/>
          <w:sz w:val="16"/>
          <w:szCs w:val="16"/>
          <w:color w:val="auto"/>
        </w:rPr>
      </w:pPr>
    </w:p>
    <w:p>
      <w:pPr>
        <w:ind w:firstLine="261"/>
        <w:spacing w:after="0" w:line="289" w:lineRule="auto"/>
        <w:tabs>
          <w:tab w:leader="none" w:pos="5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 (ii) the representations and warranties of the Borrower set forth in the Loan Agreement, as amended hereby, are true and correct as of the date hereof.</w:t>
      </w:r>
    </w:p>
    <w:p>
      <w:pPr>
        <w:spacing w:after="0" w:line="205" w:lineRule="exact"/>
        <w:rPr>
          <w:sz w:val="20"/>
          <w:szCs w:val="20"/>
          <w:color w:val="auto"/>
        </w:rPr>
      </w:pPr>
    </w:p>
    <w:p>
      <w:pPr>
        <w:jc w:val="both"/>
        <w:ind w:firstLine="249"/>
        <w:spacing w:after="0" w:line="282" w:lineRule="auto"/>
        <w:tabs>
          <w:tab w:leader="none" w:pos="479"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Borrower (and by its execution of the Consent and Reaffirmation attached hereto, each Subsidiary Guarantor) hereby acknowledges and confirms that (i) it does not have any grounds, and hereby agrees not to challenge (or to allege or to pursue any matter, cause or claim arising under or with respect to) the effectiveness, genuineness, validity, collectibility or enforceability of the Loan Agreement or any of the other Loan Documents, the Secured Obligations, the Liens securing such Secured Obligations, or any of the terms or conditions of any Loan Document and (ii) it does not possess (and hereby forever waives, remises, releases, discharges and holds harmless the Lenders, the Agents and their respective affiliates, stockholders, directors, officers, employees, attorneys, agents and representatives and each of their respective heirs, executors, administrators, successors and assigns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from and against, and agrees not to allege or pursue) any action, cause of action, suit, debt, claim, counterclaim, cross-claim, demand, defense, offset, opposition, demand and other right of action whatsoever, whether in law, equity or otherwise (which it, all those claiming by, through or under it, or its successors or assigns, have or may have) against the Indemnified Parties, or any of them, by reason of, any matter, cause or thing whatsoever, with respect to events or omissions occurring or arising on or prior to the date hereof and relating to the Loan Agreement or any of the other Loan Documents (including, without limitation, with respect to the payment, performance, validity or enforceability of the Secured Obligations, the Liens securing the Secured Obligations or any or all of the terms or conditions of any Loan Document) or any transaction relating thereto.</w:t>
      </w:r>
    </w:p>
    <w:p>
      <w:pPr>
        <w:spacing w:after="0" w:line="213" w:lineRule="exact"/>
        <w:rPr>
          <w:sz w:val="20"/>
          <w:szCs w:val="20"/>
          <w:color w:val="auto"/>
        </w:rPr>
      </w:pPr>
    </w:p>
    <w:p>
      <w:pPr>
        <w:ind w:left="420" w:hanging="171"/>
        <w:spacing w:after="0"/>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Reference to and Effect on the Loan Agreement</w:t>
      </w:r>
      <w:r>
        <w:rPr>
          <w:rFonts w:ascii="Arial" w:cs="Arial" w:eastAsia="Arial" w:hAnsi="Arial"/>
          <w:sz w:val="16"/>
          <w:szCs w:val="16"/>
          <w:color w:val="auto"/>
        </w:rPr>
        <w:t>.</w:t>
      </w:r>
    </w:p>
    <w:p>
      <w:pPr>
        <w:spacing w:after="0" w:line="264" w:lineRule="exact"/>
        <w:rPr>
          <w:rFonts w:ascii="Arial" w:cs="Arial" w:eastAsia="Arial" w:hAnsi="Arial"/>
          <w:sz w:val="16"/>
          <w:szCs w:val="16"/>
          <w:color w:val="auto"/>
        </w:rPr>
      </w:pPr>
    </w:p>
    <w:p>
      <w:pPr>
        <w:ind w:firstLine="286"/>
        <w:spacing w:after="0" w:line="289" w:lineRule="auto"/>
        <w:tabs>
          <w:tab w:leader="none" w:pos="516" w:val="left"/>
        </w:tabs>
        <w:numPr>
          <w:ilvl w:val="2"/>
          <w:numId w:val="66"/>
        </w:numPr>
        <w:rPr>
          <w:rFonts w:ascii="Arial" w:cs="Arial" w:eastAsia="Arial" w:hAnsi="Arial"/>
          <w:sz w:val="16"/>
          <w:szCs w:val="16"/>
          <w:color w:val="auto"/>
        </w:rPr>
      </w:pPr>
      <w:r>
        <w:rPr>
          <w:rFonts w:ascii="Arial" w:cs="Arial" w:eastAsia="Arial" w:hAnsi="Arial"/>
          <w:sz w:val="16"/>
          <w:szCs w:val="16"/>
          <w:color w:val="auto"/>
        </w:rPr>
        <w:t>Upon the effectiveness hereof, each reference to the Loan Agreement in the Loan Agreement or any other Loan Document shall mean and be a reference to the Loan Agreement as amended hereby.</w:t>
      </w:r>
    </w:p>
    <w:p>
      <w:pPr>
        <w:spacing w:after="0" w:line="204" w:lineRule="exact"/>
        <w:rPr>
          <w:rFonts w:ascii="Arial" w:cs="Arial" w:eastAsia="Arial" w:hAnsi="Arial"/>
          <w:sz w:val="16"/>
          <w:szCs w:val="16"/>
          <w:color w:val="auto"/>
        </w:rPr>
      </w:pPr>
    </w:p>
    <w:p>
      <w:pPr>
        <w:ind w:firstLine="299"/>
        <w:spacing w:after="0" w:line="289" w:lineRule="auto"/>
        <w:tabs>
          <w:tab w:leader="none" w:pos="538" w:val="left"/>
        </w:tabs>
        <w:numPr>
          <w:ilvl w:val="3"/>
          <w:numId w:val="66"/>
        </w:numPr>
        <w:rPr>
          <w:rFonts w:ascii="Arial" w:cs="Arial" w:eastAsia="Arial" w:hAnsi="Arial"/>
          <w:sz w:val="16"/>
          <w:szCs w:val="16"/>
          <w:color w:val="auto"/>
        </w:rPr>
      </w:pPr>
      <w:r>
        <w:rPr>
          <w:rFonts w:ascii="Arial" w:cs="Arial" w:eastAsia="Arial" w:hAnsi="Arial"/>
          <w:sz w:val="16"/>
          <w:szCs w:val="16"/>
          <w:color w:val="auto"/>
        </w:rPr>
        <w:t>Except as specifically amended above, the Loan Agreement and all other documents, instruments and agreements executed and/or delivered in connection therewith shall remain in full force and effect and are hereby ratified and confirmed.</w:t>
      </w:r>
    </w:p>
    <w:p>
      <w:pPr>
        <w:spacing w:after="0" w:line="204" w:lineRule="exact"/>
        <w:rPr>
          <w:rFonts w:ascii="Arial" w:cs="Arial" w:eastAsia="Arial" w:hAnsi="Arial"/>
          <w:sz w:val="16"/>
          <w:szCs w:val="16"/>
          <w:color w:val="auto"/>
        </w:rPr>
      </w:pPr>
    </w:p>
    <w:p>
      <w:pPr>
        <w:ind w:firstLine="274"/>
        <w:spacing w:after="0" w:line="324" w:lineRule="auto"/>
        <w:tabs>
          <w:tab w:leader="none" w:pos="504"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The execution, delivery and effectiveness of this Amendment shall not operate as a waiver of any right, power or remedy of the Administrative Agent or the Lenders, nor constitute a waiver of any provision of the Loan Agreement or any other documents, instruments and agreements executed and/or delivered in connection therewith.</w:t>
      </w:r>
    </w:p>
    <w:p>
      <w:pPr>
        <w:spacing w:after="0" w:line="182" w:lineRule="exact"/>
        <w:rPr>
          <w:rFonts w:ascii="Arial" w:cs="Arial" w:eastAsia="Arial" w:hAnsi="Arial"/>
          <w:sz w:val="15"/>
          <w:szCs w:val="15"/>
          <w:color w:val="auto"/>
        </w:rPr>
      </w:pPr>
    </w:p>
    <w:p>
      <w:pPr>
        <w:ind w:left="420" w:hanging="171"/>
        <w:spacing w:after="0"/>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Amendment shall be construed in accordance with and governed by the law of the State of New York.</w:t>
      </w:r>
    </w:p>
    <w:p>
      <w:pPr>
        <w:spacing w:after="0" w:line="265" w:lineRule="exact"/>
        <w:rPr>
          <w:sz w:val="20"/>
          <w:szCs w:val="20"/>
          <w:color w:val="auto"/>
        </w:rPr>
      </w:pPr>
    </w:p>
    <w:p>
      <w:pPr>
        <w:ind w:firstLine="299"/>
        <w:spacing w:after="0" w:line="289" w:lineRule="auto"/>
        <w:tabs>
          <w:tab w:leader="none" w:pos="47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in this Amendment are included herein for convenience of reference only and shall not constitute a part of this Amendment for any other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6" w:name="page97"/>
    <w:bookmarkEnd w:id="96"/>
    <w:p>
      <w:pPr>
        <w:jc w:val="both"/>
        <w:ind w:firstLine="249"/>
        <w:spacing w:after="0" w:line="274" w:lineRule="auto"/>
        <w:tabs>
          <w:tab w:leader="none" w:pos="42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IN WITNESS WHEREOF, this Amendment has been duly executed as of the day and year first above written.</w:t>
      </w: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PHOTRONICS, INC.,</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as the Borrower</w:t>
      </w: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7620</wp:posOffset>
            </wp:positionV>
            <wp:extent cx="173291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Signature Page to Amendment No. 2</w:t>
      </w:r>
    </w:p>
    <w:p>
      <w:pPr>
        <w:spacing w:after="0" w:line="22"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214630</wp:posOffset>
            </wp:positionV>
            <wp:extent cx="7277735" cy="203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979"/>
          </w:cols>
          <w:pgMar w:left="480" w:top="380" w:right="1440" w:bottom="1440" w:gutter="0" w:footer="0" w:header="0"/>
        </w:sectPr>
      </w:pPr>
    </w:p>
    <w:bookmarkStart w:id="98" w:name="page99"/>
    <w:bookmarkEnd w:id="98"/>
    <w:p>
      <w:pPr>
        <w:ind w:left="4420"/>
        <w:spacing w:after="0"/>
        <w:rPr>
          <w:sz w:val="20"/>
          <w:szCs w:val="20"/>
          <w:color w:val="auto"/>
        </w:rPr>
      </w:pPr>
      <w:r>
        <w:rPr>
          <w:rFonts w:ascii="Arial" w:cs="Arial" w:eastAsia="Arial" w:hAnsi="Arial"/>
          <w:sz w:val="15"/>
          <w:szCs w:val="15"/>
          <w:color w:val="auto"/>
        </w:rPr>
        <w:t>JPMORGAN CHASE BANK, NATIONAL ASSOCIATION,</w:t>
      </w:r>
    </w:p>
    <w:p>
      <w:pPr>
        <w:spacing w:after="0" w:line="3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individually as a Lender and as Administrative Agent</w:t>
      </w: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7620</wp:posOffset>
            </wp:positionV>
            <wp:extent cx="173291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JPMORGAN CHASE BANK, NATIONAL ASSOCIATION,</w:t>
      </w:r>
    </w:p>
    <w:p>
      <w:pPr>
        <w:spacing w:after="0" w:line="3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as Collateral Agent</w:t>
      </w:r>
    </w:p>
    <w:p>
      <w:pPr>
        <w:spacing w:after="0" w:line="200" w:lineRule="exact"/>
        <w:rPr>
          <w:sz w:val="20"/>
          <w:szCs w:val="20"/>
          <w:color w:val="auto"/>
        </w:rPr>
      </w:pPr>
    </w:p>
    <w:p>
      <w:pPr>
        <w:spacing w:after="0" w:line="29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7620</wp:posOffset>
            </wp:positionV>
            <wp:extent cx="173291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9" w:name="page100"/>
    <w:bookmarkEnd w:id="99"/>
    <w:p>
      <w:pPr>
        <w:ind w:left="4300"/>
        <w:spacing w:after="0"/>
        <w:rPr>
          <w:sz w:val="20"/>
          <w:szCs w:val="20"/>
          <w:color w:val="auto"/>
        </w:rPr>
      </w:pPr>
      <w:r>
        <w:rPr>
          <w:rFonts w:ascii="Arial" w:cs="Arial" w:eastAsia="Arial" w:hAnsi="Arial"/>
          <w:sz w:val="15"/>
          <w:szCs w:val="15"/>
          <w:color w:val="auto"/>
        </w:rPr>
        <w:t>HSBC BANK USA, NATIONAL ASSOCIATION,</w:t>
      </w:r>
    </w:p>
    <w:p>
      <w:pPr>
        <w:spacing w:after="0" w:line="3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a Lender</w:t>
      </w:r>
    </w:p>
    <w:p>
      <w:pPr>
        <w:spacing w:after="0" w:line="200" w:lineRule="exact"/>
        <w:rPr>
          <w:sz w:val="20"/>
          <w:szCs w:val="20"/>
          <w:color w:val="auto"/>
        </w:rPr>
      </w:pPr>
    </w:p>
    <w:p>
      <w:pPr>
        <w:spacing w:after="0" w:line="29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7620</wp:posOffset>
            </wp:positionV>
            <wp:extent cx="173291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0" w:name="page101"/>
    <w:bookmarkEnd w:id="100"/>
    <w:p>
      <w:pPr>
        <w:ind w:left="4320"/>
        <w:spacing w:after="0"/>
        <w:rPr>
          <w:sz w:val="20"/>
          <w:szCs w:val="20"/>
          <w:color w:val="auto"/>
        </w:rPr>
      </w:pPr>
      <w:r>
        <w:rPr>
          <w:rFonts w:ascii="Arial" w:cs="Arial" w:eastAsia="Arial" w:hAnsi="Arial"/>
          <w:sz w:val="16"/>
          <w:szCs w:val="16"/>
          <w:color w:val="auto"/>
        </w:rPr>
        <w:t>CITIBANK, N.A.,</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as a Lender</w:t>
      </w:r>
    </w:p>
    <w:p>
      <w:pPr>
        <w:spacing w:after="0" w:line="200" w:lineRule="exact"/>
        <w:rPr>
          <w:sz w:val="20"/>
          <w:szCs w:val="20"/>
          <w:color w:val="auto"/>
        </w:rPr>
      </w:pPr>
    </w:p>
    <w:p>
      <w:pPr>
        <w:spacing w:after="0" w:line="29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7620</wp:posOffset>
            </wp:positionV>
            <wp:extent cx="173291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1" w:name="page102"/>
    <w:bookmarkEnd w:id="101"/>
    <w:p>
      <w:pPr>
        <w:ind w:left="4300"/>
        <w:spacing w:after="0"/>
        <w:rPr>
          <w:sz w:val="20"/>
          <w:szCs w:val="20"/>
          <w:color w:val="auto"/>
        </w:rPr>
      </w:pPr>
      <w:r>
        <w:rPr>
          <w:rFonts w:ascii="Arial" w:cs="Arial" w:eastAsia="Arial" w:hAnsi="Arial"/>
          <w:sz w:val="16"/>
          <w:szCs w:val="16"/>
          <w:color w:val="auto"/>
        </w:rPr>
        <w:t>BANK OF AMERICA, N.A.,</w:t>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a Lender</w:t>
      </w:r>
    </w:p>
    <w:p>
      <w:pPr>
        <w:spacing w:after="0" w:line="200" w:lineRule="exact"/>
        <w:rPr>
          <w:sz w:val="20"/>
          <w:szCs w:val="20"/>
          <w:color w:val="auto"/>
        </w:rPr>
      </w:pPr>
    </w:p>
    <w:p>
      <w:pPr>
        <w:spacing w:after="0" w:line="29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7620</wp:posOffset>
            </wp:positionV>
            <wp:extent cx="1732915"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32915" cy="7620"/>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Name: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Photronics,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229235</wp:posOffset>
            </wp:positionV>
            <wp:extent cx="7277735"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CONSENT AND REAFFIRMATION</w:t>
      </w:r>
    </w:p>
    <w:p>
      <w:pPr>
        <w:spacing w:after="0" w:line="265"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Each of the undersigned hereby acknowledges receipt of a copy of the foregoing Amendment No. 2 to the Loan Agreement dated as of June 8, 2009 (as amended by that certain Amendment No. 1 thereto, dated as of September 2, 2009, and as may be further amended, supplemented or otherwise modified from time to time, the “</w:t>
      </w:r>
      <w:r>
        <w:rPr>
          <w:rFonts w:ascii="Arial" w:cs="Arial" w:eastAsia="Arial" w:hAnsi="Arial"/>
          <w:sz w:val="14"/>
          <w:szCs w:val="14"/>
          <w:u w:val="single" w:color="auto"/>
          <w:color w:val="auto"/>
        </w:rPr>
        <w:t>Loan</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Photronics, Inc. (the “</w:t>
      </w:r>
      <w:r>
        <w:rPr>
          <w:rFonts w:ascii="Arial" w:cs="Arial" w:eastAsia="Arial" w:hAnsi="Arial"/>
          <w:sz w:val="14"/>
          <w:szCs w:val="14"/>
          <w:u w:val="single" w:color="auto"/>
          <w:color w:val="auto"/>
        </w:rPr>
        <w:t>Borrower</w:t>
      </w:r>
      <w:r>
        <w:rPr>
          <w:rFonts w:ascii="Arial" w:cs="Arial" w:eastAsia="Arial" w:hAnsi="Arial"/>
          <w:sz w:val="14"/>
          <w:szCs w:val="14"/>
          <w:color w:val="auto"/>
        </w:rPr>
        <w:t>”), the financial institutions from time to time party thereto (the “</w:t>
      </w:r>
      <w:r>
        <w:rPr>
          <w:rFonts w:ascii="Arial" w:cs="Arial" w:eastAsia="Arial" w:hAnsi="Arial"/>
          <w:sz w:val="14"/>
          <w:szCs w:val="14"/>
          <w:u w:val="single" w:color="auto"/>
          <w:color w:val="auto"/>
        </w:rPr>
        <w:t>Lenders</w:t>
      </w:r>
      <w:r>
        <w:rPr>
          <w:rFonts w:ascii="Arial" w:cs="Arial" w:eastAsia="Arial" w:hAnsi="Arial"/>
          <w:sz w:val="14"/>
          <w:szCs w:val="14"/>
          <w:color w:val="auto"/>
        </w:rPr>
        <w:t>”) and JPMorgan Chase Bank, National Association, as Administrative Agent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which Amendment No. 2 is dated as of October 26, 2009 (the “</w:t>
      </w:r>
      <w:r>
        <w:rPr>
          <w:rFonts w:ascii="Arial" w:cs="Arial" w:eastAsia="Arial" w:hAnsi="Arial"/>
          <w:sz w:val="14"/>
          <w:szCs w:val="14"/>
          <w:u w:val="single" w:color="auto"/>
          <w:color w:val="auto"/>
        </w:rPr>
        <w:t>Amendment</w:t>
      </w:r>
      <w:r>
        <w:rPr>
          <w:rFonts w:ascii="Arial" w:cs="Arial" w:eastAsia="Arial" w:hAnsi="Arial"/>
          <w:sz w:val="14"/>
          <w:szCs w:val="14"/>
          <w:color w:val="auto"/>
        </w:rPr>
        <w:t>”). Capitalized terms used in this Consent and Reaffirmation and not defined herein shall have the meanings given to them in the Loan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Loan Agreement remains in full force and effect and is hereby reaffirmed, ratified and confirmed. All references to the Loan Agreement contained in the above-referenced documents shall be a reference to the Loan Agreement as so modified by the Amendment and as the same may from time to time hereafter be amended, modified or restated.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Dated: October 26, 2009</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7735"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ALIGN-RITE,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ARIZONA,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 LLC</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By: Photronics Texas, Inc., its Sole Member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PHOTRONICS TEXAS II, LLC</w:t>
      </w:r>
    </w:p>
    <w:p>
      <w:pPr>
        <w:spacing w:after="0" w:line="26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By: Photronics-Toppan Texas, Inc., its Sole Member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168592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685925" cy="76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Arial" w:cs="Arial" w:eastAsia="Arial" w:hAnsi="Arial"/>
          <w:sz w:val="16"/>
          <w:szCs w:val="16"/>
          <w:color w:val="auto"/>
        </w:rPr>
        <w:t>ALIGN-RITE INTERNATIONAL, INC.</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23495</wp:posOffset>
            </wp:positionV>
            <wp:extent cx="176466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PHOTRONICS CALIFORNIA, INC.</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23495</wp:posOffset>
            </wp:positionV>
            <wp:extent cx="176466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PHOTRONICS TEXAS ALLEN, INC. (formerly</w:t>
      </w:r>
    </w:p>
    <w:p>
      <w:pPr>
        <w:spacing w:after="0" w:line="5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known as Photronics-Toppan Texas, Inc.)</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23495</wp:posOffset>
            </wp:positionV>
            <wp:extent cx="176466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Title:</w:t>
      </w:r>
    </w:p>
    <w:p>
      <w:pPr>
        <w:spacing w:after="0" w:line="26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PHOTRONICS TEXAS I, LP</w:t>
      </w:r>
    </w:p>
    <w:p>
      <w:pPr>
        <w:spacing w:after="0" w:line="265"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By: Photronics Texas, Inc., its General Partner</w:t>
      </w:r>
    </w:p>
    <w:p>
      <w:pPr>
        <w:spacing w:after="0" w:line="200" w:lineRule="exact"/>
        <w:rPr>
          <w:sz w:val="20"/>
          <w:szCs w:val="20"/>
          <w:color w:val="auto"/>
        </w:rPr>
      </w:pPr>
    </w:p>
    <w:p>
      <w:pPr>
        <w:spacing w:after="0" w:line="30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23495</wp:posOffset>
            </wp:positionV>
            <wp:extent cx="176466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PHOTRONICS TEXAS II, LP</w:t>
      </w:r>
    </w:p>
    <w:p>
      <w:pPr>
        <w:spacing w:after="0" w:line="265"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By: Photronics-Toppan Texas, Inc., its General</w:t>
      </w:r>
    </w:p>
    <w:p>
      <w:pPr>
        <w:spacing w:after="0" w:line="5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Partner</w:t>
      </w:r>
    </w:p>
    <w:p>
      <w:pPr>
        <w:spacing w:after="0" w:line="200" w:lineRule="exact"/>
        <w:rPr>
          <w:sz w:val="20"/>
          <w:szCs w:val="20"/>
          <w:color w:val="auto"/>
        </w:rPr>
      </w:pPr>
    </w:p>
    <w:p>
      <w:pPr>
        <w:spacing w:after="0" w:line="28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23495</wp:posOffset>
            </wp:positionV>
            <wp:extent cx="176466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Name:</w:t>
      </w:r>
    </w:p>
    <w:p>
      <w:pPr>
        <w:spacing w:after="0" w:line="4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279"/>
        <w:spacing w:after="0"/>
        <w:rPr>
          <w:sz w:val="20"/>
          <w:szCs w:val="20"/>
          <w:color w:val="auto"/>
        </w:rPr>
      </w:pPr>
      <w:r>
        <w:rPr>
          <w:rFonts w:ascii="Arial" w:cs="Arial" w:eastAsia="Arial" w:hAnsi="Arial"/>
          <w:sz w:val="15"/>
          <w:szCs w:val="15"/>
          <w:color w:val="auto"/>
        </w:rPr>
        <w:t>Signature Page to Consent and Reaffirmation to Amendment No. 2</w:t>
      </w:r>
    </w:p>
    <w:p>
      <w:pPr>
        <w:spacing w:after="0" w:line="40" w:lineRule="exact"/>
        <w:rPr>
          <w:sz w:val="20"/>
          <w:szCs w:val="20"/>
          <w:color w:val="auto"/>
        </w:rPr>
      </w:pPr>
    </w:p>
    <w:p>
      <w:pPr>
        <w:jc w:val="center"/>
        <w:ind w:right="2279"/>
        <w:spacing w:after="0"/>
        <w:rPr>
          <w:sz w:val="20"/>
          <w:szCs w:val="20"/>
          <w:color w:val="auto"/>
        </w:rPr>
      </w:pPr>
      <w:r>
        <w:rPr>
          <w:rFonts w:ascii="Arial" w:cs="Arial" w:eastAsia="Arial" w:hAnsi="Arial"/>
          <w:sz w:val="17"/>
          <w:szCs w:val="17"/>
          <w:color w:val="auto"/>
        </w:rPr>
        <w:t>Photronics, Inc.</w:t>
      </w:r>
    </w:p>
    <w:p>
      <w:pPr>
        <w:spacing w:after="0" w:line="4" w:lineRule="exact"/>
        <w:rPr>
          <w:sz w:val="20"/>
          <w:szCs w:val="20"/>
          <w:color w:val="auto"/>
        </w:rPr>
      </w:pPr>
    </w:p>
    <w:p>
      <w:pPr>
        <w:jc w:val="center"/>
        <w:ind w:right="2279"/>
        <w:spacing w:after="0"/>
        <w:rPr>
          <w:sz w:val="20"/>
          <w:szCs w:val="20"/>
          <w:color w:val="auto"/>
        </w:rPr>
      </w:pPr>
      <w:r>
        <w:rPr>
          <w:rFonts w:ascii="Arial" w:cs="Arial" w:eastAsia="Arial" w:hAnsi="Arial"/>
          <w:sz w:val="17"/>
          <w:szCs w:val="17"/>
          <w:color w:val="auto"/>
        </w:rPr>
        <w:t>Loan Agreement 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205740</wp:posOffset>
            </wp:positionV>
            <wp:extent cx="7277735" cy="203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2">
            <w:col w:w="2860" w:space="620"/>
            <w:col w:w="6739"/>
          </w:cols>
          <w:pgMar w:left="240" w:top="368"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color w:val="auto"/>
        </w:rPr>
        <w:t>Exhibit 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SUBSIDIARIES OF PHOTRONICS, INC.</w:t>
      </w:r>
    </w:p>
    <w:p>
      <w:pPr>
        <w:spacing w:after="0" w:line="229"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State or Jurisdiction</w:t>
      </w:r>
    </w:p>
    <w:p>
      <w:pPr>
        <w:spacing w:after="0" w:line="40"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of Incorporation or Organization</w:t>
      </w:r>
    </w:p>
    <w:p>
      <w:pPr>
        <w:spacing w:after="0" w:line="265"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Align-Rite International, Inc.</w:t>
      </w:r>
      <w:r>
        <w:rPr>
          <w:sz w:val="20"/>
          <w:szCs w:val="20"/>
          <w:color w:val="auto"/>
        </w:rPr>
        <w:tab/>
      </w:r>
      <w:r>
        <w:rPr>
          <w:rFonts w:ascii="Arial" w:cs="Arial" w:eastAsia="Arial" w:hAnsi="Arial"/>
          <w:sz w:val="15"/>
          <w:szCs w:val="15"/>
          <w:color w:val="auto"/>
        </w:rPr>
        <w:t>(California, USA)</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Align-Rite, Inc.</w:t>
      </w:r>
      <w:r>
        <w:rPr>
          <w:sz w:val="20"/>
          <w:szCs w:val="20"/>
          <w:color w:val="auto"/>
        </w:rPr>
        <w:tab/>
      </w:r>
      <w:r>
        <w:rPr>
          <w:rFonts w:ascii="Arial" w:cs="Arial" w:eastAsia="Arial" w:hAnsi="Arial"/>
          <w:sz w:val="15"/>
          <w:szCs w:val="15"/>
          <w:color w:val="auto"/>
        </w:rPr>
        <w:t>(Florida, USA)</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Align-Rite International, Ltd.</w:t>
      </w:r>
      <w:r>
        <w:rPr>
          <w:sz w:val="20"/>
          <w:szCs w:val="20"/>
          <w:color w:val="auto"/>
        </w:rPr>
        <w:tab/>
      </w:r>
      <w:r>
        <w:rPr>
          <w:rFonts w:ascii="Arial" w:cs="Arial" w:eastAsia="Arial" w:hAnsi="Arial"/>
          <w:sz w:val="15"/>
          <w:szCs w:val="15"/>
          <w:color w:val="auto"/>
        </w:rPr>
        <w:t>(United Kingdom)</w:t>
      </w:r>
    </w:p>
    <w:p>
      <w:pPr>
        <w:spacing w:after="0" w:line="40" w:lineRule="exact"/>
        <w:rPr>
          <w:sz w:val="20"/>
          <w:szCs w:val="20"/>
          <w:color w:val="auto"/>
        </w:rPr>
      </w:pPr>
    </w:p>
    <w:p>
      <w:pPr>
        <w:ind w:left="1000"/>
        <w:spacing w:after="0"/>
        <w:tabs>
          <w:tab w:leader="none" w:pos="9240" w:val="left"/>
        </w:tabs>
        <w:rPr>
          <w:sz w:val="20"/>
          <w:szCs w:val="20"/>
          <w:color w:val="auto"/>
        </w:rPr>
      </w:pPr>
      <w:r>
        <w:rPr>
          <w:rFonts w:ascii="Arial" w:cs="Arial" w:eastAsia="Arial" w:hAnsi="Arial"/>
          <w:sz w:val="16"/>
          <w:szCs w:val="16"/>
          <w:color w:val="auto"/>
        </w:rPr>
        <w:t>Photronics (Wales) Limited</w:t>
      </w:r>
      <w:r>
        <w:rPr>
          <w:sz w:val="20"/>
          <w:szCs w:val="20"/>
          <w:color w:val="auto"/>
        </w:rPr>
        <w:tab/>
      </w:r>
      <w:r>
        <w:rPr>
          <w:rFonts w:ascii="Arial" w:cs="Arial" w:eastAsia="Arial" w:hAnsi="Arial"/>
          <w:sz w:val="15"/>
          <w:szCs w:val="15"/>
          <w:color w:val="auto"/>
        </w:rPr>
        <w:t>(United Kingdom)</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Photronics, B.V.</w:t>
      </w:r>
      <w:r>
        <w:rPr>
          <w:sz w:val="20"/>
          <w:szCs w:val="20"/>
          <w:color w:val="auto"/>
        </w:rPr>
        <w:tab/>
      </w:r>
      <w:r>
        <w:rPr>
          <w:rFonts w:ascii="Arial" w:cs="Arial" w:eastAsia="Arial" w:hAnsi="Arial"/>
          <w:sz w:val="14"/>
          <w:szCs w:val="14"/>
          <w:color w:val="auto"/>
        </w:rPr>
        <w:t>(Netherlands)</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Photronics (Heilbronn) GmbH (in liquidation)</w:t>
      </w:r>
      <w:r>
        <w:rPr>
          <w:sz w:val="20"/>
          <w:szCs w:val="20"/>
          <w:color w:val="auto"/>
        </w:rPr>
        <w:tab/>
      </w:r>
      <w:r>
        <w:rPr>
          <w:rFonts w:ascii="Arial" w:cs="Arial" w:eastAsia="Arial" w:hAnsi="Arial"/>
          <w:sz w:val="15"/>
          <w:szCs w:val="15"/>
          <w:color w:val="auto"/>
        </w:rPr>
        <w:t>(Germany)</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Arizona, Inc.</w:t>
      </w:r>
      <w:r>
        <w:rPr>
          <w:sz w:val="20"/>
          <w:szCs w:val="20"/>
          <w:color w:val="auto"/>
        </w:rPr>
        <w:tab/>
      </w:r>
      <w:r>
        <w:rPr>
          <w:rFonts w:ascii="Arial" w:cs="Arial" w:eastAsia="Arial" w:hAnsi="Arial"/>
          <w:sz w:val="15"/>
          <w:szCs w:val="15"/>
          <w:color w:val="auto"/>
        </w:rPr>
        <w:t>(Arizona, USA)</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California, Inc.</w:t>
      </w:r>
      <w:r>
        <w:rPr>
          <w:sz w:val="20"/>
          <w:szCs w:val="20"/>
          <w:color w:val="auto"/>
        </w:rPr>
        <w:tab/>
      </w:r>
      <w:r>
        <w:rPr>
          <w:rFonts w:ascii="Arial" w:cs="Arial" w:eastAsia="Arial" w:hAnsi="Arial"/>
          <w:sz w:val="15"/>
          <w:szCs w:val="15"/>
          <w:color w:val="auto"/>
        </w:rPr>
        <w:t>(California, USA)</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Texas, Inc.</w:t>
      </w:r>
      <w:r>
        <w:rPr>
          <w:sz w:val="20"/>
          <w:szCs w:val="20"/>
          <w:color w:val="auto"/>
        </w:rPr>
        <w:tab/>
      </w:r>
      <w:r>
        <w:rPr>
          <w:rFonts w:ascii="Arial" w:cs="Arial" w:eastAsia="Arial" w:hAnsi="Arial"/>
          <w:sz w:val="14"/>
          <w:szCs w:val="14"/>
          <w:color w:val="auto"/>
        </w:rPr>
        <w:t>(Texas, USA)</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Photronics Texas I, LLC</w:t>
      </w:r>
      <w:r>
        <w:rPr>
          <w:sz w:val="20"/>
          <w:szCs w:val="20"/>
          <w:color w:val="auto"/>
        </w:rPr>
        <w:tab/>
      </w:r>
      <w:r>
        <w:rPr>
          <w:rFonts w:ascii="Arial" w:cs="Arial" w:eastAsia="Arial" w:hAnsi="Arial"/>
          <w:sz w:val="15"/>
          <w:szCs w:val="15"/>
          <w:color w:val="auto"/>
        </w:rPr>
        <w:t>(Delaware, USA)</w:t>
      </w:r>
    </w:p>
    <w:p>
      <w:pPr>
        <w:spacing w:after="0" w:line="40" w:lineRule="exact"/>
        <w:rPr>
          <w:sz w:val="20"/>
          <w:szCs w:val="20"/>
          <w:color w:val="auto"/>
        </w:rPr>
      </w:pPr>
    </w:p>
    <w:p>
      <w:pPr>
        <w:ind w:left="1000"/>
        <w:spacing w:after="0"/>
        <w:tabs>
          <w:tab w:leader="none" w:pos="9240" w:val="left"/>
        </w:tabs>
        <w:rPr>
          <w:sz w:val="20"/>
          <w:szCs w:val="20"/>
          <w:color w:val="auto"/>
        </w:rPr>
      </w:pPr>
      <w:r>
        <w:rPr>
          <w:rFonts w:ascii="Arial" w:cs="Arial" w:eastAsia="Arial" w:hAnsi="Arial"/>
          <w:sz w:val="16"/>
          <w:szCs w:val="16"/>
          <w:color w:val="auto"/>
        </w:rPr>
        <w:t xml:space="preserve">Photronics Texas I, LP </w:t>
      </w: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(Texas, USA)</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Texas Allen, Inc.</w:t>
      </w:r>
      <w:r>
        <w:rPr>
          <w:sz w:val="20"/>
          <w:szCs w:val="20"/>
          <w:color w:val="auto"/>
        </w:rPr>
        <w:tab/>
      </w:r>
      <w:r>
        <w:rPr>
          <w:rFonts w:ascii="Arial" w:cs="Arial" w:eastAsia="Arial" w:hAnsi="Arial"/>
          <w:sz w:val="14"/>
          <w:szCs w:val="14"/>
          <w:color w:val="auto"/>
        </w:rPr>
        <w:t>(Texas, USA)</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Photronics Texas II, LLC</w:t>
      </w:r>
      <w:r>
        <w:rPr>
          <w:sz w:val="20"/>
          <w:szCs w:val="20"/>
          <w:color w:val="auto"/>
        </w:rPr>
        <w:tab/>
      </w:r>
      <w:r>
        <w:rPr>
          <w:rFonts w:ascii="Arial" w:cs="Arial" w:eastAsia="Arial" w:hAnsi="Arial"/>
          <w:sz w:val="15"/>
          <w:szCs w:val="15"/>
          <w:color w:val="auto"/>
        </w:rPr>
        <w:t>(Delaware, USA)</w:t>
      </w:r>
    </w:p>
    <w:p>
      <w:pPr>
        <w:spacing w:after="0" w:line="40" w:lineRule="exact"/>
        <w:rPr>
          <w:sz w:val="20"/>
          <w:szCs w:val="20"/>
          <w:color w:val="auto"/>
        </w:rPr>
      </w:pPr>
    </w:p>
    <w:p>
      <w:pPr>
        <w:ind w:left="1000"/>
        <w:spacing w:after="0"/>
        <w:tabs>
          <w:tab w:leader="none" w:pos="9240" w:val="left"/>
        </w:tabs>
        <w:rPr>
          <w:sz w:val="20"/>
          <w:szCs w:val="20"/>
          <w:color w:val="auto"/>
        </w:rPr>
      </w:pPr>
      <w:r>
        <w:rPr>
          <w:rFonts w:ascii="Arial" w:cs="Arial" w:eastAsia="Arial" w:hAnsi="Arial"/>
          <w:sz w:val="16"/>
          <w:szCs w:val="16"/>
          <w:color w:val="auto"/>
        </w:rPr>
        <w:t xml:space="preserve">Photronics Texas II, LP </w:t>
      </w: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(Texas, USA)</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MZD, GmbH</w:t>
      </w:r>
      <w:r>
        <w:rPr>
          <w:sz w:val="20"/>
          <w:szCs w:val="20"/>
          <w:color w:val="auto"/>
        </w:rPr>
        <w:tab/>
      </w:r>
      <w:r>
        <w:rPr>
          <w:rFonts w:ascii="Arial" w:cs="Arial" w:eastAsia="Arial" w:hAnsi="Arial"/>
          <w:sz w:val="15"/>
          <w:szCs w:val="15"/>
          <w:color w:val="auto"/>
        </w:rPr>
        <w:t>(Germany)</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Imaging Technologies (Shanghai) Co., Ltd.</w:t>
      </w:r>
      <w:r>
        <w:rPr>
          <w:sz w:val="20"/>
          <w:szCs w:val="20"/>
          <w:color w:val="auto"/>
        </w:rPr>
        <w:tab/>
      </w:r>
      <w:r>
        <w:rPr>
          <w:rFonts w:ascii="Arial" w:cs="Arial" w:eastAsia="Arial" w:hAnsi="Arial"/>
          <w:sz w:val="15"/>
          <w:szCs w:val="15"/>
          <w:color w:val="auto"/>
        </w:rPr>
        <w:t>(China)</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 xml:space="preserve">Photronics Semiconductor Mask Corporation </w:t>
      </w:r>
      <w:r>
        <w:rPr>
          <w:rFonts w:ascii="Arial" w:cs="Arial" w:eastAsia="Arial" w:hAnsi="Arial"/>
          <w:sz w:val="12"/>
          <w:szCs w:val="12"/>
          <w:color w:val="auto"/>
        </w:rPr>
        <w:t>(3)</w:t>
      </w:r>
      <w:r>
        <w:rPr>
          <w:sz w:val="20"/>
          <w:szCs w:val="20"/>
          <w:color w:val="auto"/>
        </w:rPr>
        <w:tab/>
      </w:r>
      <w:r>
        <w:rPr>
          <w:rFonts w:ascii="Arial" w:cs="Arial" w:eastAsia="Arial" w:hAnsi="Arial"/>
          <w:sz w:val="14"/>
          <w:szCs w:val="14"/>
          <w:color w:val="auto"/>
        </w:rPr>
        <w:t>(Taiwan, R.O.C.)</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Switzerland, S.a.r.L</w:t>
      </w:r>
      <w:r>
        <w:rPr>
          <w:sz w:val="20"/>
          <w:szCs w:val="20"/>
          <w:color w:val="auto"/>
        </w:rPr>
        <w:tab/>
      </w:r>
      <w:r>
        <w:rPr>
          <w:rFonts w:ascii="Arial" w:cs="Arial" w:eastAsia="Arial" w:hAnsi="Arial"/>
          <w:sz w:val="15"/>
          <w:szCs w:val="15"/>
          <w:color w:val="auto"/>
        </w:rPr>
        <w:t>(Switzerland)</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Singapore Pte, Ltd.</w:t>
      </w:r>
      <w:r>
        <w:rPr>
          <w:sz w:val="20"/>
          <w:szCs w:val="20"/>
          <w:color w:val="auto"/>
        </w:rPr>
        <w:tab/>
      </w:r>
      <w:r>
        <w:rPr>
          <w:rFonts w:ascii="Arial" w:cs="Arial" w:eastAsia="Arial" w:hAnsi="Arial"/>
          <w:sz w:val="14"/>
          <w:szCs w:val="14"/>
          <w:color w:val="auto"/>
        </w:rPr>
        <w:t>(Singapore)</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Photronics UK, Ltd.</w:t>
      </w:r>
      <w:r>
        <w:rPr>
          <w:sz w:val="20"/>
          <w:szCs w:val="20"/>
          <w:color w:val="auto"/>
        </w:rPr>
        <w:tab/>
      </w:r>
      <w:r>
        <w:rPr>
          <w:rFonts w:ascii="Arial" w:cs="Arial" w:eastAsia="Arial" w:hAnsi="Arial"/>
          <w:sz w:val="15"/>
          <w:szCs w:val="15"/>
          <w:color w:val="auto"/>
        </w:rPr>
        <w:t>(United Kingdom)</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 xml:space="preserve">Photronics France SAS </w:t>
      </w:r>
      <w:r>
        <w:rPr>
          <w:rFonts w:ascii="Arial" w:cs="Arial" w:eastAsia="Arial" w:hAnsi="Arial"/>
          <w:sz w:val="12"/>
          <w:szCs w:val="12"/>
          <w:color w:val="auto"/>
        </w:rPr>
        <w:t>(4)</w:t>
      </w:r>
      <w:r>
        <w:rPr>
          <w:sz w:val="20"/>
          <w:szCs w:val="20"/>
          <w:color w:val="auto"/>
        </w:rPr>
        <w:tab/>
      </w:r>
      <w:r>
        <w:rPr>
          <w:rFonts w:ascii="Arial" w:cs="Arial" w:eastAsia="Arial" w:hAnsi="Arial"/>
          <w:sz w:val="14"/>
          <w:szCs w:val="14"/>
          <w:color w:val="auto"/>
        </w:rPr>
        <w:t>(France)</w:t>
      </w:r>
    </w:p>
    <w:p>
      <w:pPr>
        <w:spacing w:after="0" w:line="40"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 xml:space="preserve">PK, Ltd. </w:t>
      </w:r>
      <w:r>
        <w:rPr>
          <w:rFonts w:ascii="Arial" w:cs="Arial" w:eastAsia="Arial" w:hAnsi="Arial"/>
          <w:sz w:val="12"/>
          <w:szCs w:val="12"/>
          <w:color w:val="auto"/>
        </w:rPr>
        <w:t>(5)</w:t>
      </w:r>
      <w:r>
        <w:rPr>
          <w:sz w:val="20"/>
          <w:szCs w:val="20"/>
          <w:color w:val="auto"/>
        </w:rPr>
        <w:tab/>
      </w:r>
      <w:r>
        <w:rPr>
          <w:rFonts w:ascii="Arial" w:cs="Arial" w:eastAsia="Arial" w:hAnsi="Arial"/>
          <w:sz w:val="14"/>
          <w:szCs w:val="14"/>
          <w:color w:val="auto"/>
        </w:rPr>
        <w:t>(Korea)</w:t>
      </w:r>
    </w:p>
    <w:p>
      <w:pPr>
        <w:spacing w:after="0" w:line="40" w:lineRule="exact"/>
        <w:rPr>
          <w:sz w:val="20"/>
          <w:szCs w:val="20"/>
          <w:color w:val="auto"/>
        </w:rPr>
      </w:pPr>
    </w:p>
    <w:p>
      <w:pPr>
        <w:ind w:left="500"/>
        <w:spacing w:after="0"/>
        <w:tabs>
          <w:tab w:leader="none" w:pos="9240" w:val="left"/>
        </w:tabs>
        <w:rPr>
          <w:sz w:val="20"/>
          <w:szCs w:val="20"/>
          <w:color w:val="auto"/>
        </w:rPr>
      </w:pPr>
      <w:r>
        <w:rPr>
          <w:rFonts w:ascii="Arial" w:cs="Arial" w:eastAsia="Arial" w:hAnsi="Arial"/>
          <w:sz w:val="16"/>
          <w:szCs w:val="16"/>
          <w:color w:val="auto"/>
        </w:rPr>
        <w:t>PKLT</w:t>
      </w:r>
      <w:r>
        <w:rPr>
          <w:sz w:val="20"/>
          <w:szCs w:val="20"/>
          <w:color w:val="auto"/>
        </w:rPr>
        <w:tab/>
      </w:r>
      <w:r>
        <w:rPr>
          <w:rFonts w:ascii="Arial" w:cs="Arial" w:eastAsia="Arial" w:hAnsi="Arial"/>
          <w:sz w:val="16"/>
          <w:szCs w:val="16"/>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5741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Note: Entities directly owned by subsidiaries of Photronics, Inc. are indented and listed below their immediate parent. Ownership is 100% unless otherwise indicated.</w:t>
      </w:r>
    </w:p>
    <w:p>
      <w:pPr>
        <w:spacing w:after="0" w:line="251" w:lineRule="exact"/>
        <w:rPr>
          <w:sz w:val="20"/>
          <w:szCs w:val="20"/>
          <w:color w:val="auto"/>
        </w:rPr>
      </w:pPr>
    </w:p>
    <w:p>
      <w:pPr>
        <w:ind w:left="440" w:hanging="440"/>
        <w:spacing w:after="0"/>
        <w:tabs>
          <w:tab w:leader="none" w:pos="4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99.0% owned by Photronics Texas I, LLC, and 1.0% owned by Photronics Texas, Inc. (directly and indirectly, in the aggregate, wholly owned by Photronics, Inc.).</w:t>
      </w:r>
    </w:p>
    <w:p>
      <w:pPr>
        <w:spacing w:after="0" w:line="51" w:lineRule="exact"/>
        <w:rPr>
          <w:rFonts w:ascii="Arial" w:cs="Arial" w:eastAsia="Arial" w:hAnsi="Arial"/>
          <w:sz w:val="15"/>
          <w:szCs w:val="15"/>
          <w:color w:val="auto"/>
        </w:rPr>
      </w:pPr>
    </w:p>
    <w:p>
      <w:pPr>
        <w:ind w:left="440" w:right="300" w:hanging="440"/>
        <w:spacing w:after="0" w:line="264" w:lineRule="auto"/>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99.0% owned by Photronics Texas II, LLC., and 1.0% owned by Photronics Texas Allen, Inc. (directly and indirectly, in the aggregate, wholly owned by Photronics, Inc.).</w:t>
      </w:r>
    </w:p>
    <w:p>
      <w:pPr>
        <w:ind w:left="440" w:hanging="440"/>
        <w:spacing w:after="0"/>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57.53% owned by Photronics, Inc.</w:t>
      </w:r>
    </w:p>
    <w:p>
      <w:pPr>
        <w:spacing w:after="0" w:line="15" w:lineRule="exact"/>
        <w:rPr>
          <w:rFonts w:ascii="Arial" w:cs="Arial" w:eastAsia="Arial" w:hAnsi="Arial"/>
          <w:sz w:val="16"/>
          <w:szCs w:val="16"/>
          <w:color w:val="auto"/>
        </w:rPr>
      </w:pPr>
    </w:p>
    <w:p>
      <w:pPr>
        <w:ind w:left="440" w:hanging="440"/>
        <w:spacing w:after="0"/>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99% owned by Photronics UK, Ltd., and 1% owned by Photronics MZD, GmbH (directly and indirectly, in the aggregate, wholly owned by Photronics, Inc.).</w:t>
      </w:r>
    </w:p>
    <w:p>
      <w:pPr>
        <w:spacing w:after="0" w:line="15" w:lineRule="exact"/>
        <w:rPr>
          <w:rFonts w:ascii="Arial" w:cs="Arial" w:eastAsia="Arial" w:hAnsi="Arial"/>
          <w:sz w:val="16"/>
          <w:szCs w:val="16"/>
          <w:color w:val="auto"/>
        </w:rPr>
      </w:pPr>
    </w:p>
    <w:p>
      <w:pPr>
        <w:ind w:left="440" w:hanging="440"/>
        <w:spacing w:after="0"/>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77735"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7735"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ind w:left="600"/>
        <w:spacing w:after="0"/>
        <w:rPr>
          <w:sz w:val="20"/>
          <w:szCs w:val="20"/>
          <w:color w:val="auto"/>
        </w:rPr>
      </w:pPr>
      <w:r>
        <w:rPr>
          <w:rFonts w:ascii="Arial" w:cs="Arial" w:eastAsia="Arial" w:hAnsi="Arial"/>
          <w:sz w:val="20"/>
          <w:szCs w:val="20"/>
          <w:b w:val="1"/>
          <w:bCs w:val="1"/>
          <w:color w:val="auto"/>
        </w:rPr>
        <w:t>EXHIBIT 23</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5" w:lineRule="exact"/>
        <w:rPr>
          <w:sz w:val="20"/>
          <w:szCs w:val="20"/>
          <w:color w:val="auto"/>
        </w:rPr>
      </w:pPr>
    </w:p>
    <w:p>
      <w:pPr>
        <w:ind w:left="600" w:right="619" w:firstLine="246"/>
        <w:spacing w:after="0" w:line="238" w:lineRule="auto"/>
        <w:rPr>
          <w:sz w:val="20"/>
          <w:szCs w:val="20"/>
          <w:color w:val="auto"/>
        </w:rPr>
      </w:pPr>
      <w:r>
        <w:rPr>
          <w:rFonts w:ascii="Arial" w:cs="Arial" w:eastAsia="Arial" w:hAnsi="Arial"/>
          <w:sz w:val="20"/>
          <w:szCs w:val="20"/>
          <w:color w:val="auto"/>
        </w:rPr>
        <w:t>We consent to the incorporation by reference in Registration Statements Nos. 333-160235 and 333-161857 on Form S-3 and Nos. 333-02245, 333-42010, 333-50809, 333-86846, 33-78102 and 333-151763 on Form S-8 of our reports dated January 7, 2010 relating to the consolidated financial statements and financial statement schedule of Photronics, Inc. and subsidiaries and the effectiveness of Photronics, Inc. and subsidiaries internal control over financial reporting appearing in this Annual Report on Form 10-K of Photronics, Inc. and subsidiaries for the year ended November 1, 2009.</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/s/Deloitte &amp; Touche LLP</w:t>
      </w:r>
    </w:p>
    <w:p>
      <w:pPr>
        <w:spacing w:after="0" w:line="1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Stamford, Connecticut</w:t>
      </w:r>
    </w:p>
    <w:p>
      <w:pPr>
        <w:ind w:left="600"/>
        <w:spacing w:after="0"/>
        <w:rPr>
          <w:sz w:val="20"/>
          <w:szCs w:val="20"/>
          <w:color w:val="auto"/>
        </w:rPr>
      </w:pPr>
      <w:r>
        <w:rPr>
          <w:rFonts w:ascii="Arial" w:cs="Arial" w:eastAsia="Arial" w:hAnsi="Arial"/>
          <w:sz w:val="20"/>
          <w:szCs w:val="20"/>
          <w:b w:val="1"/>
          <w:bCs w:val="1"/>
          <w:color w:val="auto"/>
        </w:rPr>
        <w:t>January 7, 2010</w:t>
      </w:r>
    </w:p>
    <w:p>
      <w:pPr>
        <w:sectPr>
          <w:pgSz w:w="11900" w:h="16838" w:orient="portrait"/>
          <w:cols w:equalWidth="0" w:num="1">
            <w:col w:w="9019"/>
          </w:cols>
          <w:pgMar w:left="1440" w:top="538" w:right="1440"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I, Constantine S. Macricostas, certify that:</w:t>
      </w:r>
    </w:p>
    <w:p>
      <w:pPr>
        <w:spacing w:after="0" w:line="219" w:lineRule="exact"/>
        <w:rPr>
          <w:sz w:val="20"/>
          <w:szCs w:val="20"/>
          <w:color w:val="auto"/>
        </w:rPr>
      </w:pPr>
    </w:p>
    <w:p>
      <w:pPr>
        <w:ind w:left="300" w:hanging="300"/>
        <w:spacing w:after="0"/>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Photronics, Inc.</w:t>
      </w:r>
    </w:p>
    <w:p>
      <w:pPr>
        <w:spacing w:after="0" w:line="218" w:lineRule="exact"/>
        <w:rPr>
          <w:rFonts w:ascii="Arial" w:cs="Arial" w:eastAsia="Arial" w:hAnsi="Arial"/>
          <w:sz w:val="20"/>
          <w:szCs w:val="20"/>
          <w:color w:val="auto"/>
        </w:rPr>
      </w:pPr>
    </w:p>
    <w:p>
      <w:pPr>
        <w:ind w:left="300" w:right="2359" w:hanging="300"/>
        <w:spacing w:after="0" w:line="242" w:lineRule="auto"/>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20"/>
          <w:szCs w:val="20"/>
          <w:color w:val="auto"/>
        </w:rPr>
      </w:pPr>
    </w:p>
    <w:p>
      <w:pPr>
        <w:ind w:left="300" w:right="2439" w:hanging="300"/>
        <w:spacing w:after="0" w:line="287"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ind w:left="300" w:right="2499" w:hanging="300"/>
        <w:spacing w:after="0" w:line="242" w:lineRule="auto"/>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20"/>
          <w:szCs w:val="20"/>
          <w:color w:val="auto"/>
        </w:rPr>
      </w:pPr>
    </w:p>
    <w:p>
      <w:pPr>
        <w:ind w:left="620" w:right="2499" w:hanging="321"/>
        <w:spacing w:after="0"/>
        <w:tabs>
          <w:tab w:leader="none" w:pos="6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20"/>
          <w:szCs w:val="20"/>
          <w:color w:val="auto"/>
        </w:rPr>
      </w:pPr>
    </w:p>
    <w:p>
      <w:pPr>
        <w:ind w:left="620" w:right="2319" w:hanging="321"/>
        <w:spacing w:after="0" w:line="278" w:lineRule="auto"/>
        <w:tabs>
          <w:tab w:leader="none" w:pos="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20" w:right="2379" w:hanging="321"/>
        <w:spacing w:after="0" w:line="242" w:lineRule="auto"/>
        <w:tabs>
          <w:tab w:leader="none" w:pos="6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4" w:lineRule="exact"/>
        <w:rPr>
          <w:rFonts w:ascii="Arial" w:cs="Arial" w:eastAsia="Arial" w:hAnsi="Arial"/>
          <w:sz w:val="20"/>
          <w:szCs w:val="20"/>
          <w:color w:val="auto"/>
        </w:rPr>
      </w:pPr>
    </w:p>
    <w:p>
      <w:pPr>
        <w:ind w:left="620" w:right="2639" w:hanging="321"/>
        <w:spacing w:after="0"/>
        <w:tabs>
          <w:tab w:leader="none" w:pos="6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20"/>
          <w:szCs w:val="20"/>
          <w:color w:val="auto"/>
        </w:rPr>
      </w:pPr>
    </w:p>
    <w:p>
      <w:pPr>
        <w:ind w:left="300" w:right="2439" w:hanging="300"/>
        <w:spacing w:after="0" w:line="242" w:lineRule="auto"/>
        <w:tabs>
          <w:tab w:leader="none" w:pos="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20"/>
          <w:szCs w:val="20"/>
          <w:color w:val="auto"/>
        </w:rPr>
      </w:pPr>
    </w:p>
    <w:p>
      <w:pPr>
        <w:ind w:left="620" w:right="2519" w:hanging="321"/>
        <w:spacing w:after="0" w:line="287" w:lineRule="auto"/>
        <w:tabs>
          <w:tab w:leader="none" w:pos="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620" w:right="2699" w:hanging="321"/>
        <w:spacing w:after="0" w:line="314" w:lineRule="auto"/>
        <w:tabs>
          <w:tab w:leader="none" w:pos="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2204720" cy="203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204720" cy="2032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Constantine S. Macricostas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January 8, 2010</w:t>
      </w:r>
    </w:p>
    <w:p>
      <w:pPr>
        <w:sectPr>
          <w:pgSz w:w="11900" w:h="16838" w:orient="portrait"/>
          <w:cols w:equalWidth="0" w:num="1">
            <w:col w:w="10219"/>
          </w:cols>
          <w:pgMar w:left="240" w:top="114" w:right="1440"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I, Sean T. Smith, certify that:</w:t>
      </w:r>
    </w:p>
    <w:p>
      <w:pPr>
        <w:spacing w:after="0" w:line="219" w:lineRule="exact"/>
        <w:rPr>
          <w:sz w:val="20"/>
          <w:szCs w:val="20"/>
          <w:color w:val="auto"/>
        </w:rPr>
      </w:pPr>
    </w:p>
    <w:p>
      <w:pPr>
        <w:ind w:left="300" w:hanging="300"/>
        <w:spacing w:after="0"/>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Photronics, Inc.</w:t>
      </w:r>
    </w:p>
    <w:p>
      <w:pPr>
        <w:spacing w:after="0" w:line="218" w:lineRule="exact"/>
        <w:rPr>
          <w:rFonts w:ascii="Arial" w:cs="Arial" w:eastAsia="Arial" w:hAnsi="Arial"/>
          <w:sz w:val="20"/>
          <w:szCs w:val="20"/>
          <w:color w:val="auto"/>
        </w:rPr>
      </w:pPr>
    </w:p>
    <w:p>
      <w:pPr>
        <w:ind w:left="300" w:right="2359" w:hanging="300"/>
        <w:spacing w:after="0" w:line="242" w:lineRule="auto"/>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20"/>
          <w:szCs w:val="20"/>
          <w:color w:val="auto"/>
        </w:rPr>
      </w:pPr>
    </w:p>
    <w:p>
      <w:pPr>
        <w:ind w:left="300" w:right="2439" w:hanging="300"/>
        <w:spacing w:after="0" w:line="28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ind w:left="300" w:right="2499" w:hanging="300"/>
        <w:spacing w:after="0" w:line="242" w:lineRule="auto"/>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20"/>
          <w:szCs w:val="20"/>
          <w:color w:val="auto"/>
        </w:rPr>
      </w:pPr>
    </w:p>
    <w:p>
      <w:pPr>
        <w:ind w:left="620" w:right="2499" w:hanging="321"/>
        <w:spacing w:after="0"/>
        <w:tabs>
          <w:tab w:leader="none" w:pos="6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20"/>
          <w:szCs w:val="20"/>
          <w:color w:val="auto"/>
        </w:rPr>
      </w:pPr>
    </w:p>
    <w:p>
      <w:pPr>
        <w:ind w:left="620" w:right="2319" w:hanging="321"/>
        <w:spacing w:after="0" w:line="278" w:lineRule="auto"/>
        <w:tabs>
          <w:tab w:leader="none" w:pos="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20" w:right="2379" w:hanging="321"/>
        <w:spacing w:after="0" w:line="242" w:lineRule="auto"/>
        <w:tabs>
          <w:tab w:leader="none" w:pos="6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94" w:lineRule="exact"/>
        <w:rPr>
          <w:rFonts w:ascii="Arial" w:cs="Arial" w:eastAsia="Arial" w:hAnsi="Arial"/>
          <w:sz w:val="20"/>
          <w:szCs w:val="20"/>
          <w:color w:val="auto"/>
        </w:rPr>
      </w:pPr>
    </w:p>
    <w:p>
      <w:pPr>
        <w:ind w:left="620" w:right="2639" w:hanging="321"/>
        <w:spacing w:after="0"/>
        <w:tabs>
          <w:tab w:leader="none" w:pos="6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20"/>
          <w:szCs w:val="20"/>
          <w:color w:val="auto"/>
        </w:rPr>
      </w:pPr>
    </w:p>
    <w:p>
      <w:pPr>
        <w:ind w:left="300" w:right="2439" w:hanging="300"/>
        <w:spacing w:after="0" w:line="242" w:lineRule="auto"/>
        <w:tabs>
          <w:tab w:leader="none" w:pos="3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20"/>
          <w:szCs w:val="20"/>
          <w:color w:val="auto"/>
        </w:rPr>
      </w:pPr>
    </w:p>
    <w:p>
      <w:pPr>
        <w:ind w:left="620" w:right="2519" w:hanging="321"/>
        <w:spacing w:after="0" w:line="287" w:lineRule="auto"/>
        <w:tabs>
          <w:tab w:leader="none" w:pos="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620" w:right="2699" w:hanging="321"/>
        <w:spacing w:after="0" w:line="314" w:lineRule="auto"/>
        <w:tabs>
          <w:tab w:leader="none" w:pos="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1824990"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24990" cy="2032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Sean T. Smith</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January 8, 2010</w:t>
      </w:r>
    </w:p>
    <w:p>
      <w:pPr>
        <w:sectPr>
          <w:pgSz w:w="11900" w:h="16838" w:orient="portrait"/>
          <w:cols w:equalWidth="0" w:num="1">
            <w:col w:w="10219"/>
          </w:cols>
          <w:pgMar w:left="240" w:top="114" w:right="1440"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EXHIBIT 32.1</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1350 Certification of the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Oxley Act of 2002, 18 U.S.C. Section 1350, that:</w:t>
      </w:r>
    </w:p>
    <w:p>
      <w:pPr>
        <w:spacing w:after="0" w:line="203" w:lineRule="exact"/>
        <w:rPr>
          <w:sz w:val="20"/>
          <w:szCs w:val="20"/>
          <w:color w:val="auto"/>
        </w:rPr>
      </w:pPr>
    </w:p>
    <w:p>
      <w:pPr>
        <w:ind w:left="440" w:right="680" w:hanging="440"/>
        <w:spacing w:after="0" w:line="258"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year ended November 1, 2009 (the "Report") fully complies with the requirements of Section 13(a) or 15(d) of the Securities Exchange Act of 1934; and</w:t>
      </w:r>
    </w:p>
    <w:p>
      <w:pPr>
        <w:spacing w:after="0" w:line="178" w:lineRule="exact"/>
        <w:rPr>
          <w:rFonts w:ascii="Arial" w:cs="Arial" w:eastAsia="Arial" w:hAnsi="Arial"/>
          <w:sz w:val="20"/>
          <w:szCs w:val="20"/>
          <w:color w:val="auto"/>
        </w:rPr>
      </w:pPr>
    </w:p>
    <w:p>
      <w:pPr>
        <w:ind w:left="440" w:right="140" w:hanging="440"/>
        <w:spacing w:after="0" w:line="258" w:lineRule="auto"/>
        <w:tabs>
          <w:tab w:leader="none" w:pos="4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2204720"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204720" cy="2032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color w:val="auto"/>
        </w:rPr>
        <w:t>Constantine S. Macricostas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January 8, 2010</w:t>
      </w:r>
    </w:p>
    <w:p>
      <w:pPr>
        <w:sectPr>
          <w:pgSz w:w="11900" w:h="16838" w:orient="portrait"/>
          <w:cols w:equalWidth="0" w:num="1">
            <w:col w:w="11240"/>
          </w:cols>
          <w:pgMar w:left="240" w:top="114" w:right="41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EXHIBIT 32.2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1350 Certification of the Chief Financial Officer</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 Sean T. Smith, Chief Financial Officer of Photronics, Inc. (the "Company"), certify, pursuant to Section 906 of the Sarbanes-Oxley Act of 2002, 18 U.S.C. Section 1350, that:</w:t>
      </w:r>
    </w:p>
    <w:p>
      <w:pPr>
        <w:spacing w:after="0" w:line="179" w:lineRule="exact"/>
        <w:rPr>
          <w:sz w:val="20"/>
          <w:szCs w:val="20"/>
          <w:color w:val="auto"/>
        </w:rPr>
      </w:pPr>
    </w:p>
    <w:p>
      <w:pPr>
        <w:ind w:left="440" w:right="600" w:hanging="440"/>
        <w:spacing w:after="0" w:line="258"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year ended November 1, 2009 (the "Report") fully complies with the requirements of Section 13(a) or 15(d) of the Securities Exchange Act of 1934; and</w:t>
      </w:r>
    </w:p>
    <w:p>
      <w:pPr>
        <w:spacing w:after="0" w:line="178" w:lineRule="exact"/>
        <w:rPr>
          <w:rFonts w:ascii="Arial" w:cs="Arial" w:eastAsia="Arial" w:hAnsi="Arial"/>
          <w:sz w:val="20"/>
          <w:szCs w:val="20"/>
          <w:color w:val="auto"/>
        </w:rPr>
      </w:pPr>
    </w:p>
    <w:p>
      <w:pPr>
        <w:ind w:left="440" w:right="60" w:hanging="440"/>
        <w:spacing w:after="0" w:line="258"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1199515" cy="20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199515" cy="2032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Sean T. Smith</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January 8, 2010</w:t>
      </w:r>
    </w:p>
    <w:sectPr>
      <w:pgSz w:w="11900" w:h="16838" w:orient="portrait"/>
      <w:cols w:equalWidth="0" w:num="1">
        <w:col w:w="11160"/>
      </w:cols>
      <w:pgMar w:left="240" w:top="1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lowerLetter"/>
      <w:start w:val="1"/>
    </w:lvl>
  </w:abstractNum>
  <w:abstractNum w:abstractNumId="5">
    <w:nsid w:val="51EAD36B"/>
    <w:multiLevelType w:val="hybridMultilevel"/>
    <w:lvl w:ilvl="0">
      <w:lvlJc w:val="left"/>
      <w:lvlText w:val="(%1)"/>
      <w:numFmt w:val="lowerLetter"/>
      <w:start w:val="1"/>
    </w:lvl>
  </w:abstractNum>
  <w:abstractNum w:abstractNumId="6">
    <w:nsid w:val="2D517796"/>
    <w:multiLevelType w:val="hybridMultilevel"/>
    <w:lvl w:ilvl="0">
      <w:lvlJc w:val="left"/>
      <w:lvlText w:val="(%1)"/>
      <w:numFmt w:val="lowerLetter"/>
      <w:start w:val="3"/>
    </w:lvl>
  </w:abstractNum>
  <w:abstractNum w:abstractNumId="7">
    <w:nsid w:val="580BD78F"/>
    <w:multiLevelType w:val="hybridMultilevel"/>
    <w:lvl w:ilvl="0">
      <w:lvlJc w:val="left"/>
      <w:lvlText w:val="%1"/>
      <w:numFmt w:val="decimal"/>
      <w:start w:val="21"/>
    </w:lvl>
  </w:abstractNum>
  <w:abstractNum w:abstractNumId="8">
    <w:nsid w:val="153EA438"/>
    <w:multiLevelType w:val="hybridMultilevel"/>
    <w:lvl w:ilvl="0">
      <w:lvlJc w:val="left"/>
      <w:lvlText w:val="%1"/>
      <w:numFmt w:val="decimal"/>
      <w:start w:val="23"/>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2"/>
    </w:lvl>
  </w:abstractNum>
  <w:abstractNum w:abstractNumId="14">
    <w:nsid w:val="725A06FB"/>
    <w:multiLevelType w:val="hybridMultilevel"/>
    <w:lvl w:ilvl="0">
      <w:lvlJc w:val="left"/>
      <w:lvlText w:val="(%1)"/>
      <w:numFmt w:val="lowerLetter"/>
      <w:start w:val="4"/>
    </w:lvl>
  </w:abstractNum>
  <w:abstractNum w:abstractNumId="15">
    <w:nsid w:val="2CD89A32"/>
    <w:multiLevelType w:val="hybridMultilevel"/>
    <w:lvl w:ilvl="0">
      <w:lvlJc w:val="left"/>
      <w:lvlText w:val="%1."/>
      <w:numFmt w:val="decimal"/>
      <w:start w:val="3"/>
    </w:lvl>
  </w:abstractNum>
  <w:abstractNum w:abstractNumId="16">
    <w:nsid w:val="57E4CCAF"/>
    <w:multiLevelType w:val="hybridMultilevel"/>
    <w:lvl w:ilvl="0">
      <w:lvlJc w:val="left"/>
      <w:lvlText w:val="%1."/>
      <w:numFmt w:val="decimal"/>
      <w:start w:val="5"/>
    </w:lvl>
  </w:abstractNum>
  <w:abstractNum w:abstractNumId="17">
    <w:nsid w:val="7A6D8D3C"/>
    <w:multiLevelType w:val="hybridMultilevel"/>
    <w:lvl w:ilvl="0">
      <w:lvlJc w:val="left"/>
      <w:lvlText w:val="%1."/>
      <w:numFmt w:val="decimal"/>
      <w:start w:val="6"/>
    </w:lvl>
  </w:abstractNum>
  <w:abstractNum w:abstractNumId="18">
    <w:nsid w:val="4B588F54"/>
    <w:multiLevelType w:val="hybridMultilevel"/>
    <w:lvl w:ilvl="0">
      <w:lvlJc w:val="left"/>
      <w:lvlText w:val="(%1)"/>
      <w:numFmt w:val="lowerRoman"/>
      <w:start w:val="2"/>
    </w:lvl>
  </w:abstractNum>
  <w:abstractNum w:abstractNumId="19">
    <w:nsid w:val="542289EC"/>
    <w:multiLevelType w:val="hybridMultilevel"/>
    <w:lvl w:ilvl="0">
      <w:lvlJc w:val="left"/>
      <w:lvlText w:val="(%1)"/>
      <w:numFmt w:val="lowerRoman"/>
      <w:start w:val="5"/>
    </w:lvl>
  </w:abstractNum>
  <w:abstractNum w:abstractNumId="20">
    <w:nsid w:val="6DE91B18"/>
    <w:multiLevelType w:val="hybridMultilevel"/>
    <w:lvl w:ilvl="0">
      <w:lvlJc w:val="left"/>
      <w:lvlText w:val="%1."/>
      <w:numFmt w:val="decimal"/>
      <w:start w:val="7"/>
    </w:lvl>
  </w:abstractNum>
  <w:abstractNum w:abstractNumId="21">
    <w:nsid w:val="38437FDB"/>
    <w:multiLevelType w:val="hybridMultilevel"/>
    <w:lvl w:ilvl="0">
      <w:lvlJc w:val="left"/>
      <w:lvlText w:val="%1."/>
      <w:numFmt w:val="decimal"/>
      <w:start w:val="8"/>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4"/>
    </w:lvl>
  </w:abstractNum>
  <w:abstractNum w:abstractNumId="24">
    <w:nsid w:val="684A481A"/>
    <w:multiLevelType w:val="hybridMultilevel"/>
    <w:lvl w:ilvl="0">
      <w:lvlJc w:val="left"/>
      <w:lvlText w:val="%1."/>
      <w:numFmt w:val="decimal"/>
      <w:start w:val="9"/>
    </w:lvl>
  </w:abstractNum>
  <w:abstractNum w:abstractNumId="25">
    <w:nsid w:val="579478FE"/>
    <w:multiLevelType w:val="hybridMultilevel"/>
    <w:lvl w:ilvl="0">
      <w:lvlJc w:val="left"/>
      <w:lvlText w:val="%1."/>
      <w:numFmt w:val="decimal"/>
      <w:start w:val="10"/>
    </w:lvl>
  </w:abstractNum>
  <w:abstractNum w:abstractNumId="26">
    <w:nsid w:val="749ABB43"/>
    <w:multiLevelType w:val="hybridMultilevel"/>
    <w:lvl w:ilvl="0">
      <w:lvlJc w:val="left"/>
      <w:lvlText w:val="%1."/>
      <w:numFmt w:val="decimal"/>
      <w:start w:val="11"/>
    </w:lvl>
  </w:abstractNum>
  <w:abstractNum w:abstractNumId="27">
    <w:nsid w:val="3DC240FB"/>
    <w:multiLevelType w:val="hybridMultilevel"/>
    <w:lvl w:ilvl="0">
      <w:lvlJc w:val="left"/>
      <w:lvlText w:val="(%1)"/>
      <w:numFmt w:val="lowerRoman"/>
      <w:start w:val="3"/>
    </w:lvl>
  </w:abstractNum>
  <w:abstractNum w:abstractNumId="28">
    <w:nsid w:val="1BA026FA"/>
    <w:multiLevelType w:val="hybridMultilevel"/>
    <w:lvl w:ilvl="0">
      <w:lvlJc w:val="left"/>
      <w:lvlText w:val="%1."/>
      <w:numFmt w:val="decimal"/>
      <w:start w:val="12"/>
    </w:lvl>
  </w:abstractNum>
  <w:abstractNum w:abstractNumId="29">
    <w:nsid w:val="79A1DEAA"/>
    <w:multiLevelType w:val="hybridMultilevel"/>
    <w:lvl w:ilvl="0">
      <w:lvlJc w:val="left"/>
      <w:lvlText w:val="%1."/>
      <w:numFmt w:val="decimal"/>
      <w:start w:val="13"/>
    </w:lvl>
  </w:abstractNum>
  <w:abstractNum w:abstractNumId="30">
    <w:nsid w:val="75C6C33A"/>
    <w:multiLevelType w:val="hybridMultilevel"/>
    <w:lvl w:ilvl="0">
      <w:lvlJc w:val="left"/>
      <w:lvlText w:val="(%1)"/>
      <w:numFmt w:val="lowerRoman"/>
      <w:start w:val="3"/>
    </w:lvl>
  </w:abstractNum>
  <w:abstractNum w:abstractNumId="31">
    <w:nsid w:val="12E685FB"/>
    <w:multiLevelType w:val="hybridMultilevel"/>
    <w:lvl w:ilvl="0">
      <w:lvlJc w:val="left"/>
      <w:lvlText w:val="%1."/>
      <w:numFmt w:val="decimal"/>
      <w:start w:val="6"/>
    </w:lvl>
  </w:abstractNum>
  <w:abstractNum w:abstractNumId="32">
    <w:nsid w:val="70C6A529"/>
    <w:multiLevelType w:val="hybridMultilevel"/>
    <w:lvl w:ilvl="0">
      <w:lvlJc w:val="left"/>
      <w:lvlText w:val="%1."/>
      <w:numFmt w:val="decimal"/>
      <w:start w:val="7"/>
    </w:lvl>
  </w:abstractNum>
  <w:abstractNum w:abstractNumId="33">
    <w:nsid w:val="520EEDD1"/>
    <w:multiLevelType w:val="hybridMultilevel"/>
    <w:lvl w:ilvl="0">
      <w:lvlJc w:val="left"/>
      <w:lvlText w:val="%1."/>
      <w:numFmt w:val="decimal"/>
      <w:start w:val="1"/>
    </w:lvl>
    <w:lvl w:ilvl="1">
      <w:lvlJc w:val="left"/>
      <w:lvlText w:val="(%2)"/>
      <w:numFmt w:val="lowerLetter"/>
      <w:start w:val="1"/>
    </w:lvl>
  </w:abstractNum>
  <w:abstractNum w:abstractNumId="34">
    <w:nsid w:val="374A3FE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decimal"/>
      <w:start w:val="1"/>
    </w:lvl>
  </w:abstractNum>
  <w:abstractNum w:abstractNumId="35">
    <w:nsid w:val="4F4EF005"/>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lvl w:ilvl="3">
      <w:lvlJc w:val="left"/>
      <w:lvlText w:val="%4"/>
      <w:numFmt w:val="decimal"/>
      <w:start w:val="1"/>
    </w:lvl>
  </w:abstractNum>
  <w:abstractNum w:abstractNumId="36">
    <w:nsid w:val="23F9C13C"/>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5"/>
    </w:lvl>
    <w:lvl w:ilvl="3">
      <w:lvlJc w:val="left"/>
      <w:lvlText w:val="(%4)"/>
      <w:numFmt w:val="decimal"/>
      <w:start w:val="2"/>
    </w:lvl>
    <w:lvl w:ilvl="4">
      <w:lvlJc w:val="left"/>
      <w:lvlText w:val="(%5)"/>
      <w:numFmt w:val="decimal"/>
      <w:start w:val="1"/>
    </w:lvl>
  </w:abstractNum>
  <w:abstractNum w:abstractNumId="37">
    <w:nsid w:val="649BB77C"/>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38">
    <w:nsid w:val="275AC794"/>
    <w:multiLevelType w:val="hybridMultilevel"/>
    <w:lvl w:ilvl="0">
      <w:lvlJc w:val="left"/>
      <w:lvlText w:val="(%1)"/>
      <w:numFmt w:val="lowerRoman"/>
      <w:start w:val="2"/>
    </w:lvl>
    <w:lvl w:ilvl="1">
      <w:lvlJc w:val="left"/>
      <w:lvlText w:val="(%2)"/>
      <w:numFmt w:val="decimal"/>
      <w:start w:val="2"/>
    </w:lvl>
    <w:lvl w:ilvl="2">
      <w:lvlJc w:val="left"/>
      <w:lvlText w:val="(%3)"/>
      <w:numFmt w:val="decimal"/>
      <w:start w:val="1"/>
    </w:lvl>
  </w:abstractNum>
  <w:abstractNum w:abstractNumId="39">
    <w:nsid w:val="39386575"/>
    <w:multiLevelType w:val="hybridMultilevel"/>
    <w:lvl w:ilvl="0">
      <w:lvlJc w:val="left"/>
      <w:lvlText w:val="%1"/>
      <w:numFmt w:val="lowerLetter"/>
      <w:start w:val="1"/>
    </w:lvl>
    <w:lvl w:ilvl="1">
      <w:lvlJc w:val="left"/>
      <w:lvlText w:val="(%2)"/>
      <w:numFmt w:val="lowerRoman"/>
      <w:start w:val="4"/>
    </w:lvl>
  </w:abstractNum>
  <w:abstractNum w:abstractNumId="40">
    <w:nsid w:val="1CF10FD8"/>
    <w:multiLevelType w:val="hybridMultilevel"/>
    <w:lvl w:ilvl="0">
      <w:lvlJc w:val="left"/>
      <w:lvlText w:val="(%1)"/>
      <w:numFmt w:val="lowerLetter"/>
      <w:start w:val="5"/>
    </w:lvl>
    <w:lvl w:ilvl="1">
      <w:lvlJc w:val="left"/>
      <w:lvlText w:val="%2"/>
      <w:numFmt w:val="lowerRoman"/>
      <w:start w:val="1"/>
    </w:lvl>
  </w:abstractNum>
  <w:abstractNum w:abstractNumId="41">
    <w:nsid w:val="180115BE"/>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42">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43">
    <w:nsid w:val="47398C89"/>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44">
    <w:nsid w:val="354FE9F9"/>
    <w:multiLevelType w:val="hybridMultilevel"/>
    <w:lvl w:ilvl="0">
      <w:lvlJc w:val="left"/>
      <w:lvlText w:val="(%1)"/>
      <w:numFmt w:val="lowerLetter"/>
      <w:start w:val="7"/>
    </w:lvl>
    <w:lvl w:ilvl="1">
      <w:lvlJc w:val="left"/>
      <w:lvlText w:val="(%2)"/>
      <w:numFmt w:val="lowerRoman"/>
      <w:start w:val="1"/>
    </w:lvl>
  </w:abstractNum>
  <w:abstractNum w:abstractNumId="45">
    <w:nsid w:val="15B5AF5C"/>
    <w:multiLevelType w:val="hybridMultilevel"/>
    <w:lvl w:ilvl="0">
      <w:lvlJc w:val="left"/>
      <w:lvlText w:val="%1"/>
      <w:numFmt w:val="decimal"/>
      <w:start w:val="1"/>
    </w:lvl>
    <w:lvl w:ilvl="1">
      <w:lvlJc w:val="left"/>
      <w:lvlText w:val="(%2)"/>
      <w:numFmt w:val="lowerLetter"/>
      <w:start w:val="8"/>
    </w:lvl>
  </w:abstractNum>
  <w:abstractNum w:abstractNumId="46">
    <w:nsid w:val="741226BB"/>
    <w:multiLevelType w:val="hybridMultilevel"/>
    <w:lvl w:ilvl="0">
      <w:lvlJc w:val="left"/>
      <w:lvlText w:val="%1."/>
      <w:numFmt w:val="decimal"/>
      <w:start w:val="6"/>
    </w:lvl>
    <w:lvl w:ilvl="1">
      <w:lvlJc w:val="left"/>
      <w:lvlText w:val="(%2)"/>
      <w:numFmt w:val="lowerLetter"/>
      <w:start w:val="1"/>
    </w:lvl>
  </w:abstractNum>
  <w:abstractNum w:abstractNumId="47">
    <w:nsid w:val="D34B6A8"/>
    <w:multiLevelType w:val="hybridMultilevel"/>
    <w:lvl w:ilvl="0">
      <w:lvlJc w:val="left"/>
      <w:lvlText w:val="%1"/>
      <w:numFmt w:val="decimal"/>
      <w:start w:val="1"/>
    </w:lvl>
    <w:lvl w:ilvl="1">
      <w:lvlJc w:val="left"/>
      <w:lvlText w:val="(%2)"/>
      <w:numFmt w:val="lowerLetter"/>
      <w:start w:val="5"/>
    </w:lvl>
  </w:abstractNum>
  <w:abstractNum w:abstractNumId="48">
    <w:nsid w:val="10233C99"/>
    <w:multiLevelType w:val="hybridMultilevel"/>
    <w:lvl w:ilvl="0">
      <w:lvlJc w:val="left"/>
      <w:lvlText w:val="%1."/>
      <w:numFmt w:val="decimal"/>
      <w:start w:val="9"/>
    </w:lvl>
    <w:lvl w:ilvl="1">
      <w:lvlJc w:val="left"/>
      <w:lvlText w:val="(%2)"/>
      <w:numFmt w:val="lowerLetter"/>
      <w:start w:val="1"/>
    </w:lvl>
  </w:abstractNum>
  <w:abstractNum w:abstractNumId="49">
    <w:nsid w:val="3F6AB60F"/>
    <w:multiLevelType w:val="hybridMultilevel"/>
    <w:lvl w:ilvl="0">
      <w:lvlJc w:val="left"/>
      <w:lvlText w:val="%1."/>
      <w:numFmt w:val="decimal"/>
      <w:start w:val="15"/>
    </w:lvl>
  </w:abstractNum>
  <w:abstractNum w:abstractNumId="50">
    <w:nsid w:val="61574095"/>
    <w:multiLevelType w:val="hybridMultilevel"/>
    <w:lvl w:ilvl="0">
      <w:lvlJc w:val="left"/>
      <w:lvlText w:val="%1."/>
      <w:numFmt w:val="decimal"/>
      <w:start w:val="16"/>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lvl w:ilvl="1">
      <w:lvlJc w:val="left"/>
      <w:lvlText w:val="%2."/>
      <w:numFmt w:val="decimal"/>
      <w:start w:val="1"/>
    </w:lvl>
  </w:abstractNum>
  <w:abstractNum w:abstractNumId="53">
    <w:nsid w:val="579BE4F1"/>
    <w:multiLevelType w:val="hybridMultilevel"/>
    <w:lvl w:ilvl="0">
      <w:lvlJc w:val="left"/>
      <w:lvlText w:val="%1."/>
      <w:numFmt w:val="decimal"/>
      <w:start w:val="2"/>
    </w:lvl>
    <w:lvl w:ilvl="1">
      <w:lvlJc w:val="left"/>
      <w:lvlText w:val="%2"/>
      <w:numFmt w:val="decimal"/>
      <w:start w:val="1"/>
    </w:lvl>
  </w:abstractNum>
  <w:abstractNum w:abstractNumId="54">
    <w:nsid w:val="310C50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5">
    <w:nsid w:val="5FF87E05"/>
    <w:multiLevelType w:val="hybridMultilevel"/>
    <w:lvl w:ilvl="0">
      <w:lvlJc w:val="left"/>
      <w:lvlText w:val="(%1)"/>
      <w:numFmt w:val="lowerLetter"/>
      <w:start w:val="3"/>
    </w:lvl>
  </w:abstractNum>
  <w:abstractNum w:abstractNumId="56">
    <w:nsid w:val="2F305DEF"/>
    <w:multiLevelType w:val="hybridMultilevel"/>
    <w:lvl w:ilvl="0">
      <w:lvlJc w:val="left"/>
      <w:lvlText w:val="%1."/>
      <w:numFmt w:val="decimal"/>
      <w:start w:val="4"/>
    </w:lvl>
  </w:abstractNum>
  <w:abstractNum w:abstractNumId="57">
    <w:nsid w:val="25A70BF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58">
    <w:nsid w:val="1DBABF00"/>
    <w:multiLevelType w:val="hybridMultilevel"/>
    <w:lvl w:ilvl="0">
      <w:lvlJc w:val="left"/>
      <w:lvlText w:val="%1."/>
      <w:numFmt w:val="decimal"/>
      <w:start w:val="5"/>
    </w:lvl>
  </w:abstractNum>
  <w:abstractNum w:abstractNumId="59">
    <w:nsid w:val="4AD084E9"/>
    <w:multiLevelType w:val="hybridMultilevel"/>
    <w:lvl w:ilvl="0">
      <w:lvlJc w:val="left"/>
      <w:lvlText w:val="%1"/>
      <w:numFmt w:val="decimal"/>
      <w:start w:val="1"/>
    </w:lvl>
    <w:lvl w:ilvl="1">
      <w:lvlJc w:val="left"/>
      <w:lvlText w:val="%2."/>
      <w:numFmt w:val="decimal"/>
      <w:start w:val="6"/>
    </w:lvl>
  </w:abstractNum>
  <w:abstractNum w:abstractNumId="60">
    <w:nsid w:val="1F48EAA1"/>
    <w:multiLevelType w:val="hybridMultilevel"/>
    <w:lvl w:ilvl="0">
      <w:lvlJc w:val="left"/>
      <w:lvlText w:val="%1."/>
      <w:numFmt w:val="decimal"/>
      <w:start w:val="7"/>
    </w:lvl>
    <w:lvl w:ilvl="1">
      <w:lvlJc w:val="left"/>
      <w:lvlText w:val="%2"/>
      <w:numFmt w:val="decimal"/>
      <w:start w:val="1"/>
    </w:lvl>
  </w:abstractNum>
  <w:abstractNum w:abstractNumId="61">
    <w:nsid w:val="1381823A"/>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62">
    <w:nsid w:val="5DB70AE5"/>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63">
    <w:nsid w:val="100F8FCA"/>
    <w:multiLevelType w:val="hybridMultilevel"/>
    <w:lvl w:ilvl="0">
      <w:lvlJc w:val="left"/>
      <w:lvlText w:val="(%1)"/>
      <w:numFmt w:val="lowerLetter"/>
      <w:start w:val="1"/>
    </w:lvl>
    <w:lvl w:ilvl="1">
      <w:lvlJc w:val="left"/>
      <w:lvlText w:val="(%2)"/>
      <w:numFmt w:val="lowerLetter"/>
      <w:start w:val="2"/>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66">
    <w:nsid w:val="5F5E7FD0"/>
    <w:multiLevelType w:val="hybridMultilevel"/>
    <w:lvl w:ilvl="0">
      <w:lvlJc w:val="left"/>
      <w:lvlText w:val="%1."/>
      <w:numFmt w:val="decimal"/>
      <w:start w:val="6"/>
    </w:lvl>
  </w:abstractNum>
  <w:abstractNum w:abstractNumId="67">
    <w:nsid w:val="98A3148"/>
    <w:multiLevelType w:val="hybridMultilevel"/>
    <w:lvl w:ilvl="0">
      <w:lvlJc w:val="left"/>
      <w:lvlText w:val="%1."/>
      <w:numFmt w:val="decimal"/>
      <w:start w:val="7"/>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2019-12-10T07:49:23Z</dcterms:created>
  <dcterms:modified xsi:type="dcterms:W3CDTF">2019-12-10T07:49:23Z</dcterms:modified>
</cp:coreProperties>
</file>