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Hsueh-Chun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SECOR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PHOTRONICS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85"/>
        <w:spacing w:after="0"/>
        <w:rPr>
          <w:sz w:val="20"/>
          <w:szCs w:val="20"/>
          <w:color w:val="auto"/>
        </w:rPr>
      </w:pPr>
      <w:r>
        <w:rPr>
          <w:rFonts w:ascii="Times New Roman" w:cs="Times New Roman" w:eastAsia="Times New Roman" w:hAnsi="Times New Roman"/>
          <w:sz w:val="17"/>
          <w:szCs w:val="17"/>
          <w:color w:val="0000FF"/>
        </w:rPr>
        <w:t>SVP/COO IC &amp; US/EU Mnstrm Ops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BROOKFIELD  CT</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06804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19,250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$45.22 - $45.45. The price reported is a weighted average. The reporting person undertakes to provide, upon request by the SEC staff, the issuer, or any security holder of the issuer, full information regarding the number of shares sold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/s/Brandon DeSocio, attorney- </w:t>
      </w:r>
      <w:r>
        <w:rPr>
          <w:rFonts w:ascii="Times New Roman" w:cs="Times New Roman" w:eastAsia="Times New Roman" w:hAnsi="Times New Roman"/>
          <w:sz w:val="33"/>
          <w:szCs w:val="33"/>
          <w:color w:val="0000FF"/>
          <w:vertAlign w:val="subscript"/>
        </w:rPr>
        <w:t>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Wang Hsueh-Chun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0274" TargetMode="External"/><Relationship Id="rId14" Type="http://schemas.openxmlformats.org/officeDocument/2006/relationships/hyperlink" Target="http://www.sec.gov/cgi-bin/browse-edgar?action=getcompany&amp;CIK=00008101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2026-04-16T18:11:52Z</dcterms:created>
  <dcterms:modified xsi:type="dcterms:W3CDTF">2026-04-16T18:11:52Z</dcterms:modified>
</cp:coreProperties>
</file>