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940" w:right="1560" w:hanging="3932"/>
        <w:spacing w:after="0" w:line="266" w:lineRule="auto"/>
        <w:tabs>
          <w:tab w:leader="none" w:pos="49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May 1, 2022</w:t>
      </w:r>
    </w:p>
    <w:p>
      <w:pPr>
        <w:spacing w:after="0" w:line="172" w:lineRule="exact"/>
        <w:rPr>
          <w:sz w:val="24"/>
          <w:szCs w:val="24"/>
          <w:color w:val="auto"/>
        </w:rPr>
      </w:pPr>
    </w:p>
    <w:p>
      <w:pPr>
        <w:ind w:left="4100" w:right="1540" w:hanging="4092"/>
        <w:spacing w:after="0" w:line="500" w:lineRule="auto"/>
        <w:tabs>
          <w:tab w:leader="none" w:pos="49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 (d) OF THE SECURITIES EXCHANGE ACT OF 1934 </w:t>
      </w:r>
      <w:r>
        <w:rPr>
          <w:rFonts w:ascii="Times New Roman" w:cs="Times New Roman" w:eastAsia="Times New Roman" w:hAnsi="Times New Roman"/>
          <w:sz w:val="18"/>
          <w:szCs w:val="18"/>
          <w:b w:val="1"/>
          <w:bCs w:val="1"/>
          <w:i w:val="1"/>
          <w:iCs w:val="1"/>
          <w:color w:val="auto"/>
        </w:rPr>
        <w:t>For the transition period from ___ to 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1840" w:type="dxa"/>
            <w:vAlign w:val="bottom"/>
          </w:tcPr>
          <w:p>
            <w:pPr>
              <w:spacing w:after="0"/>
              <w:rPr>
                <w:sz w:val="18"/>
                <w:szCs w:val="18"/>
                <w:color w:val="auto"/>
              </w:rPr>
            </w:pPr>
          </w:p>
        </w:tc>
        <w:tc>
          <w:tcPr>
            <w:tcW w:w="444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6"/>
        </w:trPr>
        <w:tc>
          <w:tcPr>
            <w:tcW w:w="49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840" w:type="dxa"/>
            <w:vAlign w:val="bottom"/>
          </w:tcPr>
          <w:p>
            <w:pPr>
              <w:spacing w:after="0"/>
              <w:rPr>
                <w:sz w:val="20"/>
                <w:szCs w:val="20"/>
                <w:color w:val="auto"/>
              </w:rPr>
            </w:pPr>
          </w:p>
        </w:tc>
        <w:tc>
          <w:tcPr>
            <w:tcW w:w="444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12"/>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1840" w:type="dxa"/>
            <w:vAlign w:val="bottom"/>
          </w:tcPr>
          <w:p>
            <w:pPr>
              <w:spacing w:after="0"/>
              <w:rPr>
                <w:sz w:val="24"/>
                <w:szCs w:val="24"/>
                <w:color w:val="auto"/>
              </w:rPr>
            </w:pPr>
          </w:p>
        </w:tc>
        <w:tc>
          <w:tcPr>
            <w:tcW w:w="444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6"/>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32"/>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4"/>
                <w:szCs w:val="24"/>
                <w:color w:val="auto"/>
              </w:rPr>
            </w:pPr>
          </w:p>
        </w:tc>
        <w:tc>
          <w:tcPr>
            <w:tcW w:w="444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231F20"/>
                <w:w w:val="99"/>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231F20"/>
                <w:w w:val="98"/>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6"/>
              </w:rPr>
              <w:t>N/A</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70" w:right="339" w:bottom="1440" w:gutter="0" w:footer="0" w:header="0"/>
        </w:sectPr>
      </w:pPr>
    </w:p>
    <w:p>
      <w:pPr>
        <w:spacing w:after="0" w:line="17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6" w:lineRule="exact"/>
        <w:rPr>
          <w:sz w:val="24"/>
          <w:szCs w:val="24"/>
          <w:color w:val="auto"/>
        </w:rPr>
      </w:pPr>
    </w:p>
    <w:p>
      <w:pPr>
        <w:sectPr>
          <w:pgSz w:w="11900" w:h="16838" w:orient="portrait"/>
          <w:cols w:equalWidth="0" w:num="6">
            <w:col w:w="2080" w:space="520"/>
            <w:col w:w="160" w:space="640"/>
            <w:col w:w="1960" w:space="620"/>
            <w:col w:w="160" w:space="620"/>
            <w:col w:w="1860" w:space="720"/>
            <w:col w:w="1900"/>
          </w:cols>
          <w:pgMar w:left="320" w:top="570" w:right="339" w:bottom="1440" w:gutter="0" w:footer="0" w:header="0"/>
          <w:type w:val="continuous"/>
        </w:sect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61,601,263 shares of common stock outstanding as of 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4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11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4"/>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6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90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432"/>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ASC</w:t>
            </w: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ASP</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ASU</w:t>
            </w: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198"/>
        </w:trPr>
        <w:tc>
          <w:tcPr>
            <w:tcW w:w="21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Chip stacking</w:t>
            </w:r>
          </w:p>
        </w:tc>
        <w:tc>
          <w:tcPr>
            <w:tcW w:w="90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Placement of a computer chip on top of another computer chip, resulting in the reduction of the distance between the chips</w:t>
            </w:r>
          </w:p>
        </w:tc>
      </w:tr>
      <w:tr>
        <w:trPr>
          <w:trHeight w:val="234"/>
        </w:trPr>
        <w:tc>
          <w:tcPr>
            <w:tcW w:w="2160" w:type="dxa"/>
            <w:vAlign w:val="bottom"/>
          </w:tcPr>
          <w:p>
            <w:pPr>
              <w:spacing w:after="0"/>
              <w:rPr>
                <w:sz w:val="20"/>
                <w:szCs w:val="20"/>
                <w:color w:val="auto"/>
              </w:rPr>
            </w:pP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a circuit board</w:t>
            </w: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COVID-19</w:t>
            </w: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Coronavirus 2019, an infectious disease that was declared a pandemic by the World Health Organization in March 2020</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DNP</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2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EUV</w:t>
            </w:r>
          </w:p>
        </w:tc>
        <w:tc>
          <w:tcPr>
            <w:tcW w:w="9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 photomasks</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function by selectively reflecting or blocking light, in contrast to conventional photomasks which function by selectively</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transmitting or blocking light</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FASB</w:t>
            </w: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FPDs</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198"/>
        </w:trPr>
        <w:tc>
          <w:tcPr>
            <w:tcW w:w="2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9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refers to the size range of the underlying substrate to which a photomask is applied.</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Higher generation (or “G”) numbers represent larger substrates</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ICs</w:t>
            </w: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LIBOR</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198"/>
        </w:trPr>
        <w:tc>
          <w:tcPr>
            <w:tcW w:w="2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9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 silicon</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in thin-film transistors (TFTs) are used in liquid-crystal display (LCD) flat panels and to drive organic light-emitting diode</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(OLED) displays</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MLA</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Master Lease Agreement</w:t>
            </w:r>
          </w:p>
        </w:tc>
      </w:tr>
      <w:tr>
        <w:trPr>
          <w:trHeight w:val="198"/>
        </w:trPr>
        <w:tc>
          <w:tcPr>
            <w:tcW w:w="112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Optical proximity correction </w:t>
            </w:r>
            <w:r>
              <w:rPr>
                <w:rFonts w:ascii="Times New Roman" w:cs="Times New Roman" w:eastAsia="Times New Roman" w:hAnsi="Times New Roman"/>
                <w:sz w:val="18"/>
                <w:szCs w:val="18"/>
                <w:color w:val="auto"/>
              </w:rPr>
              <w:t>A photolithography enhancement technique applied to compensate for the limitations of light to maintain the edge</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placement integrity of an original design, after processing, into the etched image on a silicon wafer</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PDMCX</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198"/>
        </w:trPr>
        <w:tc>
          <w:tcPr>
            <w:tcW w:w="2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Phase-shift photomasks</w:t>
            </w:r>
          </w:p>
        </w:tc>
        <w:tc>
          <w:tcPr>
            <w:tcW w:w="9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Photomasks that take advantage of the interference generated by phase differences to improve image resolution in</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photolithography</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Chinese renminbi</w:t>
            </w: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198"/>
        </w:trPr>
        <w:tc>
          <w:tcPr>
            <w:tcW w:w="21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Sputtering</w:t>
            </w:r>
          </w:p>
        </w:tc>
        <w:tc>
          <w:tcPr>
            <w:tcW w:w="90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The bombardment of a material with energetic particles, to cause microscopic particles of the material to eject from its</w:t>
            </w:r>
          </w:p>
        </w:tc>
      </w:tr>
      <w:tr>
        <w:trPr>
          <w:trHeight w:val="234"/>
        </w:trPr>
        <w:tc>
          <w:tcPr>
            <w:tcW w:w="2160" w:type="dxa"/>
            <w:vAlign w:val="bottom"/>
          </w:tcPr>
          <w:p>
            <w:pPr>
              <w:spacing w:after="0"/>
              <w:rPr>
                <w:sz w:val="20"/>
                <w:szCs w:val="20"/>
                <w:color w:val="auto"/>
              </w:rPr>
            </w:pP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surface.</w:t>
            </w: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198"/>
        </w:trPr>
        <w:tc>
          <w:tcPr>
            <w:tcW w:w="21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90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w w:val="99"/>
              </w:rPr>
              <w:t>A wafer, or silicon wafer, is a thin slice of semiconductor material that, in the fabrication of microelectronics, serves as the</w:t>
            </w:r>
          </w:p>
        </w:tc>
      </w:tr>
      <w:tr>
        <w:trPr>
          <w:trHeight w:val="234"/>
        </w:trPr>
        <w:tc>
          <w:tcPr>
            <w:tcW w:w="2160" w:type="dxa"/>
            <w:vAlign w:val="bottom"/>
          </w:tcPr>
          <w:p>
            <w:pPr>
              <w:spacing w:after="0"/>
              <w:rPr>
                <w:sz w:val="20"/>
                <w:szCs w:val="20"/>
                <w:color w:val="auto"/>
              </w:rPr>
            </w:pP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substrate for microelectronic devices built in and upon the wafer</w:t>
            </w:r>
          </w:p>
        </w:tc>
      </w:tr>
      <w:tr>
        <w:trPr>
          <w:trHeight w:val="570"/>
        </w:trPr>
        <w:tc>
          <w:tcPr>
            <w:tcW w:w="2160" w:type="dxa"/>
            <w:vAlign w:val="bottom"/>
          </w:tcPr>
          <w:p>
            <w:pPr>
              <w:spacing w:after="0"/>
              <w:rPr>
                <w:sz w:val="24"/>
                <w:szCs w:val="24"/>
                <w:color w:val="auto"/>
              </w:rPr>
            </w:pPr>
          </w:p>
        </w:tc>
        <w:tc>
          <w:tcPr>
            <w:tcW w:w="908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160" w:type="dxa"/>
            <w:vAlign w:val="bottom"/>
            <w:tcBorders>
              <w:bottom w:val="single" w:sz="8" w:color="auto"/>
            </w:tcBorders>
          </w:tcPr>
          <w:p>
            <w:pPr>
              <w:spacing w:after="0"/>
              <w:rPr>
                <w:sz w:val="3"/>
                <w:szCs w:val="3"/>
                <w:color w:val="auto"/>
              </w:rPr>
            </w:pPr>
          </w:p>
        </w:tc>
        <w:tc>
          <w:tcPr>
            <w:tcW w:w="9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162"/>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right="60" w:firstLine="162"/>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Item 1A “Risk Factors” of our Form 10-K, as well as any additional risk factors we may provide in our Quarterly Reports on Form 10-Q.</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6"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276,670</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$1,107 in 2022 and $1,218 in 2021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174,447</w:t>
            </w:r>
          </w:p>
        </w:tc>
      </w:tr>
      <w:tr>
        <w:trPr>
          <w:trHeight w:val="216"/>
        </w:trPr>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55,249</w:t>
            </w: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52,864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44,250</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550,616</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696,553</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24,353</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17,930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22,680</w:t>
            </w:r>
          </w:p>
        </w:tc>
      </w:tr>
      <w:tr>
        <w:trPr>
          <w:trHeight w:val="256"/>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1,331,887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22,248</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81,534</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95,720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72,366</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176,148</w:t>
            </w:r>
          </w:p>
        </w:tc>
      </w:tr>
      <w:tr>
        <w:trPr>
          <w:trHeight w:val="216"/>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89,446</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25,048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28,046</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293,640</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60,637 shares issued and outstanding at May 1, 2022,</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60,024 shares issued and outstanding at October 31, 2021</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484,672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317,849</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(22,919)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20,571</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823,692</w:t>
            </w: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215,831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176,870</w:t>
            </w:r>
          </w:p>
        </w:tc>
        <w:tc>
          <w:tcPr>
            <w:tcW w:w="100" w:type="dxa"/>
            <w:vAlign w:val="bottom"/>
          </w:tcPr>
          <w:p>
            <w:pPr>
              <w:spacing w:after="0"/>
              <w:rPr>
                <w:sz w:val="19"/>
                <w:szCs w:val="19"/>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1,050,230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1,000,562</w:t>
            </w:r>
          </w:p>
        </w:tc>
        <w:tc>
          <w:tcPr>
            <w:tcW w:w="100" w:type="dxa"/>
            <w:vAlign w:val="bottom"/>
          </w:tcPr>
          <w:p>
            <w:pPr>
              <w:spacing w:after="0"/>
              <w:rPr>
                <w:sz w:val="19"/>
                <w:szCs w:val="19"/>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1,331,887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1,294,202</w:t>
            </w:r>
          </w:p>
        </w:tc>
      </w:tr>
      <w:tr>
        <w:trPr>
          <w:trHeight w:val="21"/>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520" w:type="dxa"/>
            <w:vAlign w:val="bottom"/>
            <w:gridSpan w:val="6"/>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159,763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394,336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311,830</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134,289</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120,514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264,253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242,052</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69,778</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28,120</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9,085</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18,442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42,485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37,205</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32,573</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13,112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 of subsidies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and expense, net</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100,326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32,481</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25,571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6,651</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16,321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74,755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25,830</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24,259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7,268</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27,432</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18,562</w:t>
            </w:r>
          </w:p>
        </w:tc>
      </w:tr>
      <w:tr>
        <w:trPr>
          <w:trHeight w:val="20"/>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10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62,054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62,265</w:t>
            </w:r>
          </w:p>
        </w:tc>
      </w:tr>
      <w:tr>
        <w:trPr>
          <w:trHeight w:val="20"/>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62,568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62,786</w:t>
            </w:r>
          </w:p>
        </w:tc>
      </w:tr>
      <w:tr>
        <w:trPr>
          <w:trHeight w:val="20"/>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43,029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 of $0: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(44,118)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22,066</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(43,989)</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(53,783)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22,087</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47,917</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5,092</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13,966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12,121</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Photronics, Inc. shareholders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35,796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gridSpan w:val="1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May 1, 2022</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9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Capital</w:t>
            </w:r>
          </w:p>
        </w:tc>
        <w:tc>
          <w:tcPr>
            <w:tcW w:w="22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9"/>
                <w:szCs w:val="19"/>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19"/>
                <w:szCs w:val="19"/>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30, 2022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60,564</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487,342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339,912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200,741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1,039,166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27,432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43,029</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(43,989)</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04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60,637</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489,368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367,344</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May 2, 2021</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31, 2021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63,506</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508,974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162,994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978,496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16,321</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04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2,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63,606</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511,215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297,599</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4"/>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99"/>
              </w:rPr>
              <w:t>Six Months Ended May 1, 2022</w:t>
            </w: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11"/>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bottom w:val="single" w:sz="8" w:color="auto"/>
            </w:tcBorders>
            <w:gridSpan w:val="5"/>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4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8"/>
                <w:szCs w:val="18"/>
                <w:color w:val="auto"/>
              </w:rPr>
            </w:pPr>
          </w:p>
        </w:tc>
        <w:tc>
          <w:tcPr>
            <w:tcW w:w="940" w:type="dxa"/>
            <w:vAlign w:val="bottom"/>
            <w:gridSpan w:val="4"/>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3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gridSpan w:val="2"/>
          </w:tcPr>
          <w:p>
            <w:pPr>
              <w:spacing w:after="0"/>
              <w:rPr>
                <w:sz w:val="19"/>
                <w:szCs w:val="19"/>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gridSpan w:val="2"/>
          </w:tcPr>
          <w:p>
            <w:pPr>
              <w:spacing w:after="0"/>
              <w:rPr>
                <w:sz w:val="19"/>
                <w:szCs w:val="19"/>
                <w:color w:val="auto"/>
              </w:rPr>
            </w:pPr>
          </w:p>
        </w:tc>
        <w:tc>
          <w:tcPr>
            <w:tcW w:w="13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31, 2021</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60,024</w:t>
            </w:r>
          </w:p>
        </w:tc>
        <w:tc>
          <w:tcPr>
            <w:tcW w:w="64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484,672</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317,849</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20,571</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176,870</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(43,490)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(53,783)</w:t>
            </w: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24,995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1, 2022</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489,368</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367,344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215,831</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5"/>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Six Months Ended May 2, 2021</w:t>
            </w: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11"/>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4"/>
          </w:tcPr>
          <w:p>
            <w:pPr>
              <w:jc w:val="right"/>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5"/>
              </w:rPr>
              <w:t>Retained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34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63,138</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507,336</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279,037</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17,958</w:t>
            </w: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157,304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962,266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25,830</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17,234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4,853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22,087</w:t>
            </w: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198"/>
        </w:trPr>
        <w:tc>
          <w:tcPr>
            <w:tcW w:w="23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2,723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(23,250)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3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1000" w:type="dxa"/>
            <w:vAlign w:val="bottom"/>
            <w:gridSpan w:val="3"/>
          </w:tcPr>
          <w:p>
            <w:pPr>
              <w:spacing w:after="0"/>
              <w:rPr>
                <w:sz w:val="19"/>
                <w:szCs w:val="19"/>
                <w:color w:val="auto"/>
              </w:rPr>
            </w:pPr>
          </w:p>
        </w:tc>
        <w:tc>
          <w:tcPr>
            <w:tcW w:w="140" w:type="dxa"/>
            <w:vAlign w:val="bottom"/>
            <w:gridSpan w:val="2"/>
          </w:tcPr>
          <w:p>
            <w:pPr>
              <w:spacing w:after="0"/>
              <w:rPr>
                <w:sz w:val="19"/>
                <w:szCs w:val="19"/>
                <w:color w:val="auto"/>
              </w:rPr>
            </w:pPr>
          </w:p>
        </w:tc>
        <w:tc>
          <w:tcPr>
            <w:tcW w:w="980" w:type="dxa"/>
            <w:vAlign w:val="bottom"/>
            <w:gridSpan w:val="3"/>
          </w:tcPr>
          <w:p>
            <w:pPr>
              <w:spacing w:after="0"/>
              <w:rPr>
                <w:sz w:val="19"/>
                <w:szCs w:val="19"/>
                <w:color w:val="auto"/>
              </w:rPr>
            </w:pPr>
          </w:p>
        </w:tc>
        <w:tc>
          <w:tcPr>
            <w:tcW w:w="100" w:type="dxa"/>
            <w:vAlign w:val="bottom"/>
            <w:gridSpan w:val="2"/>
          </w:tcPr>
          <w:p>
            <w:pPr>
              <w:spacing w:after="0"/>
              <w:rPr>
                <w:sz w:val="19"/>
                <w:szCs w:val="19"/>
                <w:color w:val="auto"/>
              </w:rPr>
            </w:pPr>
          </w:p>
        </w:tc>
        <w:tc>
          <w:tcPr>
            <w:tcW w:w="860" w:type="dxa"/>
            <w:vAlign w:val="bottom"/>
            <w:gridSpan w:val="3"/>
          </w:tcPr>
          <w:p>
            <w:pPr>
              <w:spacing w:after="0"/>
              <w:rPr>
                <w:sz w:val="19"/>
                <w:szCs w:val="19"/>
                <w:color w:val="auto"/>
              </w:rPr>
            </w:pPr>
          </w:p>
        </w:tc>
        <w:tc>
          <w:tcPr>
            <w:tcW w:w="300" w:type="dxa"/>
            <w:vAlign w:val="bottom"/>
            <w:gridSpan w:val="3"/>
          </w:tcPr>
          <w:p>
            <w:pPr>
              <w:spacing w:after="0"/>
              <w:rPr>
                <w:sz w:val="19"/>
                <w:szCs w:val="19"/>
                <w:color w:val="auto"/>
              </w:rPr>
            </w:pPr>
          </w:p>
        </w:tc>
        <w:tc>
          <w:tcPr>
            <w:tcW w:w="1040" w:type="dxa"/>
            <w:vAlign w:val="bottom"/>
            <w:gridSpan w:val="3"/>
          </w:tcPr>
          <w:p>
            <w:pPr>
              <w:spacing w:after="0"/>
              <w:rPr>
                <w:sz w:val="19"/>
                <w:szCs w:val="19"/>
                <w:color w:val="auto"/>
              </w:rPr>
            </w:pPr>
          </w:p>
        </w:tc>
        <w:tc>
          <w:tcPr>
            <w:tcW w:w="280" w:type="dxa"/>
            <w:vAlign w:val="bottom"/>
            <w:gridSpan w:val="3"/>
          </w:tcPr>
          <w:p>
            <w:pPr>
              <w:spacing w:after="0"/>
              <w:rPr>
                <w:sz w:val="19"/>
                <w:szCs w:val="19"/>
                <w:color w:val="auto"/>
              </w:rPr>
            </w:pPr>
          </w:p>
        </w:tc>
        <w:tc>
          <w:tcPr>
            <w:tcW w:w="920" w:type="dxa"/>
            <w:vAlign w:val="bottom"/>
            <w:gridSpan w:val="3"/>
          </w:tcPr>
          <w:p>
            <w:pPr>
              <w:spacing w:after="0"/>
              <w:rPr>
                <w:sz w:val="19"/>
                <w:szCs w:val="19"/>
                <w:color w:val="auto"/>
              </w:rPr>
            </w:pPr>
          </w:p>
        </w:tc>
        <w:tc>
          <w:tcPr>
            <w:tcW w:w="12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2, 2021</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511,215</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297,599</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25,830</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47,121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(25,122)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(5,655)</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2,266</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(8,591)</w:t>
            </w:r>
          </w:p>
        </w:tc>
      </w:tr>
      <w:tr>
        <w:trPr>
          <w:trHeight w:val="223"/>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(5,475)</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58,219</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(34,809)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(73,516)</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incentives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5,775</w:t>
            </w:r>
          </w:p>
        </w:tc>
      </w:tr>
      <w:tr>
        <w:trPr>
          <w:trHeight w:val="223"/>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(33,614)</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(67,898)</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(8,636)</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(23,250)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from noncontrolling interest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12,439</w:t>
            </w:r>
          </w:p>
        </w:tc>
      </w:tr>
      <w:tr>
        <w:trPr>
          <w:trHeight w:val="223"/>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(18,638)</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(14,917)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(22,631)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258,971</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329,282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255,965</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non-cash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34"/>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Accruals for property, plant and equipment purchased during the period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20,533</w:t>
            </w: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0"/>
        </w:trPr>
        <w:tc>
          <w:tcPr>
            <w:tcW w:w="8680" w:type="dxa"/>
            <w:vAlign w:val="bottom"/>
            <w:gridSpan w:val="2"/>
          </w:tcPr>
          <w:p>
            <w:pPr>
              <w:jc w:val="center"/>
              <w:ind w:left="2491"/>
              <w:spacing w:after="0"/>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29" w:lineRule="exact"/>
        <w:rPr>
          <w:sz w:val="20"/>
          <w:szCs w:val="20"/>
          <w:color w:val="auto"/>
        </w:rPr>
      </w:pPr>
    </w:p>
    <w:p>
      <w:pPr>
        <w:ind w:right="200" w:firstLine="324"/>
        <w:spacing w:after="0" w:line="277" w:lineRule="auto"/>
        <w:rPr>
          <w:sz w:val="20"/>
          <w:szCs w:val="20"/>
          <w:color w:val="auto"/>
        </w:rPr>
      </w:pPr>
      <w:r>
        <w:rPr>
          <w:rFonts w:ascii="Times New Roman" w:cs="Times New Roman" w:eastAsia="Times New Roman" w:hAnsi="Times New Roman"/>
          <w:sz w:val="17"/>
          <w:szCs w:val="17"/>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semiconductors and flat-panel displays (“FPDs” or “displays”), and are used as masters to transfer circuit patterns onto semiconductor wafers and FPD substrates during the fabrication of integrated circuits (“ICs” or “semiconductors”), a variety of FPDs and, to a lesser extent, other types of electrical and optical components. We operate eleven manufacturing facilities, which are located in Taiwan (3), Korea, China (2), the United States (3), and Europe (2).</w:t>
      </w:r>
    </w:p>
    <w:p>
      <w:pPr>
        <w:spacing w:after="0" w:line="16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our Form 10-K for the fiscal year ended October 31, 2021, where we discuss and provide additional information about our accounting policies and the methods and assumptions used in our estimates.</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amounts reported in them. Our estimates, including those on the impact of COVID-19, are based on historical experience and on various assumptions that we believe to be reasonable under the circumstances. Our estimates are based on the facts and circumstances available at the time they are made. Subsequent actual results may differ from such estimates. We review these estimates periodically and reflect any effects of revisions in the period in which they are determined.</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business is typically impacted during the first quarter of our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33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360" w:type="dxa"/>
            <w:vAlign w:val="bottom"/>
          </w:tcPr>
          <w:p>
            <w:pPr>
              <w:spacing w:after="0"/>
              <w:rPr>
                <w:sz w:val="18"/>
                <w:szCs w:val="18"/>
                <w:color w:val="auto"/>
              </w:rPr>
            </w:pPr>
          </w:p>
        </w:tc>
        <w:tc>
          <w:tcPr>
            <w:tcW w:w="55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54,019</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r>
      <w:tr>
        <w:trPr>
          <w:trHeight w:val="22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36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3360" w:type="dxa"/>
            <w:vAlign w:val="bottom"/>
            <w:shd w:val="clear" w:color="auto" w:fill="CCEEFF"/>
          </w:tcPr>
          <w:p>
            <w:pPr>
              <w:spacing w:after="0"/>
              <w:rPr>
                <w:sz w:val="22"/>
                <w:szCs w:val="22"/>
                <w:color w:val="auto"/>
              </w:rPr>
            </w:pPr>
          </w:p>
        </w:tc>
        <w:tc>
          <w:tcPr>
            <w:tcW w:w="5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55,249</w:t>
            </w:r>
          </w:p>
        </w:tc>
      </w:tr>
      <w:tr>
        <w:trPr>
          <w:trHeight w:val="564"/>
        </w:trPr>
        <w:tc>
          <w:tcPr>
            <w:tcW w:w="3360" w:type="dxa"/>
            <w:vAlign w:val="bottom"/>
            <w:tcBorders>
              <w:top w:val="single" w:sz="8" w:color="CCEEFF"/>
            </w:tcBorders>
          </w:tcPr>
          <w:p>
            <w:pPr>
              <w:spacing w:after="0"/>
              <w:rPr>
                <w:sz w:val="24"/>
                <w:szCs w:val="24"/>
                <w:color w:val="auto"/>
              </w:rPr>
            </w:pPr>
          </w:p>
        </w:tc>
        <w:tc>
          <w:tcPr>
            <w:tcW w:w="5320" w:type="dxa"/>
            <w:vAlign w:val="bottom"/>
            <w:tcBorders>
              <w:top w:val="single" w:sz="8" w:color="CCEEFF"/>
            </w:tcBorders>
          </w:tcPr>
          <w:p>
            <w:pPr>
              <w:jc w:val="right"/>
              <w:ind w:right="2896"/>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36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PROPERTY, PLANT AND EQUIPMENT, NET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181,922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1,961,474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15,534</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35,009</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2,147,876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2,228,132</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(1,487,995)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(1,531,579)</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1020" w:type="dxa"/>
            <w:vAlign w:val="bottom"/>
            <w:shd w:val="clear" w:color="auto" w:fill="CCEEFF"/>
          </w:tcPr>
          <w:p>
            <w:pPr>
              <w:spacing w:after="0"/>
              <w:rPr>
                <w:sz w:val="22"/>
                <w:szCs w:val="22"/>
                <w:color w:val="auto"/>
              </w:rPr>
            </w:pPr>
          </w:p>
        </w:tc>
        <w:tc>
          <w:tcPr>
            <w:tcW w:w="76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659,881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696,553</w:t>
            </w:r>
          </w:p>
        </w:tc>
      </w:tr>
      <w:tr>
        <w:trPr>
          <w:trHeight w:val="42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ROU assets resulting from finance leases are included in the table above as follows:</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42,760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(1,933)</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40,827</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for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20,506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44,857</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PDMCX JOINT VENTURE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leading-edge and advanced-generation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In 2020, in combination with local financing obtained by PDMCX, Photronics and DNP fulfilled their investment obligations under the PDMCX operating agreement (“the Agreement”). As discussed in Note 5, liens were granted to the local financing entity on property, plant and equipment with a May 1, 2022, and October 31, 2021, total carrying value of $82.9 million and $90.1 million, respectively, as collateral for the loans.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7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we recorded from the operations of PDMCX during the reporting periods.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2,194</w:t>
            </w: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prior-year periods, we had the obligation to absorb losses, and the right to receive benefits, that could potentially be significant to PDMCX.</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our condensed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May 1,</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6"/>
                <w:szCs w:val="16"/>
                <w:color w:val="auto"/>
              </w:rPr>
            </w:pPr>
          </w:p>
        </w:tc>
        <w:tc>
          <w:tcPr>
            <w:tcW w:w="98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r>
      <w:tr>
        <w:trPr>
          <w:trHeight w:val="245"/>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117,292</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67,469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137,799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68,913</w:t>
            </w:r>
          </w:p>
        </w:tc>
      </w:tr>
      <w:tr>
        <w:trPr>
          <w:trHeight w:val="216"/>
        </w:trPr>
        <w:tc>
          <w:tcPr>
            <w:tcW w:w="35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126,127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197,544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98,792</w:t>
            </w:r>
          </w:p>
        </w:tc>
      </w:tr>
      <w:tr>
        <w:trPr>
          <w:trHeight w:val="216"/>
        </w:trPr>
        <w:tc>
          <w:tcPr>
            <w:tcW w:w="35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37,439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13,282</w:t>
            </w:r>
          </w:p>
        </w:tc>
      </w:tr>
      <w:tr>
        <w:trPr>
          <w:trHeight w:val="22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29,613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14,809</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42,917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21,463</w:t>
            </w:r>
          </w:p>
        </w:tc>
      </w:tr>
      <w:tr>
        <w:trPr>
          <w:trHeight w:val="216"/>
        </w:trPr>
        <w:tc>
          <w:tcPr>
            <w:tcW w:w="35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67,052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33,532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69,476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34,745</w:t>
            </w:r>
          </w:p>
        </w:tc>
      </w:tr>
      <w:tr>
        <w:trPr>
          <w:trHeight w:val="216"/>
        </w:trPr>
        <w:tc>
          <w:tcPr>
            <w:tcW w:w="35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185,154</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64,047</w:t>
            </w:r>
          </w:p>
        </w:tc>
      </w:tr>
      <w:tr>
        <w:trPr>
          <w:trHeight w:val="564"/>
        </w:trPr>
        <w:tc>
          <w:tcPr>
            <w:tcW w:w="354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5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tables below provide information on our long-term 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Xiamen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Hefei</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Xiamen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Working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As of May 1, 2022</w:t>
            </w:r>
          </w:p>
        </w:tc>
        <w:tc>
          <w:tcPr>
            <w:tcW w:w="1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Project Loans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 Loans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20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12,410</w:t>
            </w:r>
          </w:p>
        </w:tc>
      </w:tr>
      <w:tr>
        <w:trPr>
          <w:trHeight w:val="27"/>
        </w:trPr>
        <w:tc>
          <w:tcPr>
            <w:tcW w:w="4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6,560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20,756</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21,279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38,683</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10,699</w:t>
            </w:r>
          </w:p>
        </w:tc>
      </w:tr>
      <w:tr>
        <w:trPr>
          <w:trHeight w:val="22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25,183</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34,740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82,548</w:t>
            </w:r>
          </w:p>
        </w:tc>
      </w:tr>
      <w:tr>
        <w:trPr>
          <w:trHeight w:val="21"/>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Interest rate at balance sheet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spread on interest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reset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frequency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0.00</w:t>
            </w:r>
          </w:p>
        </w:tc>
        <w:tc>
          <w:tcPr>
            <w:tcW w:w="16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76.00</w:t>
            </w:r>
          </w:p>
        </w:tc>
        <w:tc>
          <w:tcPr>
            <w:tcW w:w="18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tcPr>
          <w:p>
            <w:pPr>
              <w:spacing w:after="0"/>
              <w:rPr>
                <w:sz w:val="18"/>
                <w:szCs w:val="18"/>
                <w:color w:val="auto"/>
              </w:rPr>
            </w:pPr>
          </w:p>
        </w:tc>
        <w:tc>
          <w:tcPr>
            <w:tcW w:w="1080" w:type="dxa"/>
            <w:vAlign w:val="bottom"/>
          </w:tcPr>
          <w:p>
            <w:pPr>
              <w:jc w:val="right"/>
              <w:ind w:right="87"/>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8"/>
              <w:spacing w:after="0"/>
              <w:rPr>
                <w:sz w:val="20"/>
                <w:szCs w:val="20"/>
                <w:color w:val="auto"/>
              </w:rPr>
            </w:pPr>
            <w:r>
              <w:rPr>
                <w:rFonts w:ascii="Times New Roman" w:cs="Times New Roman" w:eastAsia="Times New Roman" w:hAnsi="Times New Roman"/>
                <w:sz w:val="18"/>
                <w:szCs w:val="18"/>
                <w:color w:val="auto"/>
                <w:w w:val="98"/>
              </w:rPr>
              <w:t>Quarterly</w:t>
            </w:r>
          </w:p>
        </w:tc>
        <w:tc>
          <w:tcPr>
            <w:tcW w:w="162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Monthly/Annually</w:t>
            </w:r>
          </w:p>
        </w:tc>
        <w:tc>
          <w:tcPr>
            <w:tcW w:w="180" w:type="dxa"/>
            <w:vAlign w:val="bottom"/>
          </w:tcPr>
          <w:p>
            <w:pPr>
              <w:spacing w:after="0"/>
              <w:rPr>
                <w:sz w:val="18"/>
                <w:szCs w:val="18"/>
                <w:color w:val="auto"/>
              </w:rPr>
            </w:pPr>
          </w:p>
        </w:tc>
        <w:tc>
          <w:tcPr>
            <w:tcW w:w="1200" w:type="dxa"/>
            <w:vAlign w:val="bottom"/>
          </w:tcPr>
          <w:p>
            <w:pPr>
              <w:jc w:val="center"/>
              <w:ind w:right="260"/>
              <w:spacing w:after="0"/>
              <w:rPr>
                <w:sz w:val="20"/>
                <w:szCs w:val="20"/>
                <w:color w:val="auto"/>
              </w:rPr>
            </w:pPr>
            <w:r>
              <w:rPr>
                <w:rFonts w:ascii="Times New Roman" w:cs="Times New Roman" w:eastAsia="Times New Roman" w:hAnsi="Times New Roman"/>
                <w:sz w:val="18"/>
                <w:szCs w:val="18"/>
                <w:color w:val="auto"/>
                <w:w w:val="98"/>
              </w:rPr>
              <w:t>Annually</w:t>
            </w:r>
          </w:p>
        </w:tc>
        <w:tc>
          <w:tcPr>
            <w:tcW w:w="220" w:type="dxa"/>
            <w:vAlign w:val="bottom"/>
          </w:tcPr>
          <w:p>
            <w:pPr>
              <w:spacing w:after="0"/>
              <w:rPr>
                <w:sz w:val="18"/>
                <w:szCs w:val="18"/>
                <w:color w:val="auto"/>
              </w:rPr>
            </w:pPr>
          </w:p>
        </w:tc>
        <w:tc>
          <w:tcPr>
            <w:tcW w:w="1080" w:type="dxa"/>
            <w:vAlign w:val="bottom"/>
          </w:tcPr>
          <w:p>
            <w:pPr>
              <w:jc w:val="right"/>
              <w:ind w:right="87"/>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8"/>
                <w:szCs w:val="18"/>
                <w:color w:val="auto"/>
                <w:w w:val="99"/>
              </w:rPr>
              <w:t>December</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60"/>
              <w:spacing w:after="0"/>
              <w:rPr>
                <w:sz w:val="20"/>
                <w:szCs w:val="20"/>
                <w:color w:val="auto"/>
              </w:rPr>
            </w:pPr>
            <w:r>
              <w:rPr>
                <w:rFonts w:ascii="Times New Roman" w:cs="Times New Roman" w:eastAsia="Times New Roman" w:hAnsi="Times New Roman"/>
                <w:sz w:val="18"/>
                <w:szCs w:val="18"/>
                <w:color w:val="auto"/>
              </w:rPr>
              <w:t>September</w:t>
            </w:r>
          </w:p>
        </w:tc>
        <w:tc>
          <w:tcPr>
            <w:tcW w:w="2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8"/>
              <w:spacing w:after="0"/>
              <w:rPr>
                <w:sz w:val="20"/>
                <w:szCs w:val="20"/>
                <w:color w:val="auto"/>
              </w:rPr>
            </w:pPr>
            <w:r>
              <w:rPr>
                <w:rFonts w:ascii="Times New Roman" w:cs="Times New Roman" w:eastAsia="Times New Roman" w:hAnsi="Times New Roman"/>
                <w:sz w:val="18"/>
                <w:szCs w:val="18"/>
                <w:color w:val="auto"/>
                <w:w w:val="99"/>
              </w:rPr>
              <w:t>2025</w:t>
            </w:r>
          </w:p>
        </w:tc>
        <w:tc>
          <w:tcPr>
            <w:tcW w:w="162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July 2023</w:t>
            </w:r>
          </w:p>
        </w:tc>
        <w:tc>
          <w:tcPr>
            <w:tcW w:w="180" w:type="dxa"/>
            <w:vAlign w:val="bottom"/>
          </w:tcPr>
          <w:p>
            <w:pPr>
              <w:spacing w:after="0"/>
              <w:rPr>
                <w:sz w:val="18"/>
                <w:szCs w:val="18"/>
                <w:color w:val="auto"/>
              </w:rPr>
            </w:pPr>
          </w:p>
        </w:tc>
        <w:tc>
          <w:tcPr>
            <w:tcW w:w="1200" w:type="dxa"/>
            <w:vAlign w:val="bottom"/>
          </w:tcPr>
          <w:p>
            <w:pPr>
              <w:jc w:val="center"/>
              <w:ind w:right="24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8"/>
              <w:spacing w:after="0"/>
              <w:rPr>
                <w:sz w:val="20"/>
                <w:szCs w:val="20"/>
                <w:color w:val="auto"/>
              </w:rPr>
            </w:pPr>
            <w:r>
              <w:rPr>
                <w:rFonts w:ascii="Times New Roman" w:cs="Times New Roman" w:eastAsia="Times New Roman" w:hAnsi="Times New Roman"/>
                <w:sz w:val="18"/>
                <w:szCs w:val="18"/>
                <w:color w:val="auto"/>
                <w:w w:val="99"/>
              </w:rPr>
              <w:t>Varies as loans</w:t>
            </w:r>
          </w:p>
        </w:tc>
        <w:tc>
          <w:tcPr>
            <w:tcW w:w="162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rPr>
              <w:t>Increases as loans</w:t>
            </w:r>
          </w:p>
        </w:tc>
        <w:tc>
          <w:tcPr>
            <w:tcW w:w="180" w:type="dxa"/>
            <w:vAlign w:val="bottom"/>
          </w:tcPr>
          <w:p>
            <w:pPr>
              <w:spacing w:after="0"/>
              <w:rPr>
                <w:sz w:val="18"/>
                <w:szCs w:val="18"/>
                <w:color w:val="auto"/>
              </w:rPr>
            </w:pPr>
          </w:p>
        </w:tc>
        <w:tc>
          <w:tcPr>
            <w:tcW w:w="1200" w:type="dxa"/>
            <w:vAlign w:val="bottom"/>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89"/>
              </w:rPr>
              <w:t xml:space="preserve">Varies </w:t>
            </w:r>
            <w:r>
              <w:rPr>
                <w:rFonts w:ascii="Times New Roman" w:cs="Times New Roman" w:eastAsia="Times New Roman" w:hAnsi="Times New Roman"/>
                <w:sz w:val="29"/>
                <w:szCs w:val="29"/>
                <w:color w:val="auto"/>
                <w:w w:val="89"/>
                <w:vertAlign w:val="superscript"/>
              </w:rPr>
              <w:t>(1)</w:t>
            </w:r>
          </w:p>
        </w:tc>
        <w:tc>
          <w:tcPr>
            <w:tcW w:w="2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8"/>
                <w:szCs w:val="18"/>
                <w:color w:val="auto"/>
                <w:w w:val="99"/>
              </w:rPr>
              <w:t>mature</w:t>
            </w:r>
          </w:p>
        </w:tc>
        <w:tc>
          <w:tcPr>
            <w:tcW w:w="162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mature</w:t>
            </w: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8"/>
              <w:spacing w:after="0"/>
              <w:rPr>
                <w:sz w:val="20"/>
                <w:szCs w:val="20"/>
                <w:color w:val="auto"/>
              </w:rPr>
            </w:pPr>
            <w:r>
              <w:rPr>
                <w:rFonts w:ascii="Times New Roman" w:cs="Times New Roman" w:eastAsia="Times New Roman" w:hAnsi="Times New Roman"/>
                <w:sz w:val="18"/>
                <w:szCs w:val="18"/>
                <w:color w:val="auto"/>
                <w:w w:val="98"/>
              </w:rPr>
              <w:t>Semiannual,</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8"/>
              <w:spacing w:after="0"/>
              <w:rPr>
                <w:sz w:val="20"/>
                <w:szCs w:val="20"/>
                <w:color w:val="auto"/>
              </w:rPr>
            </w:pPr>
            <w:r>
              <w:rPr>
                <w:rFonts w:ascii="Times New Roman" w:cs="Times New Roman" w:eastAsia="Times New Roman" w:hAnsi="Times New Roman"/>
                <w:sz w:val="18"/>
                <w:szCs w:val="18"/>
                <w:color w:val="auto"/>
              </w:rPr>
              <w:t>on individual</w:t>
            </w:r>
          </w:p>
        </w:tc>
        <w:tc>
          <w:tcPr>
            <w:tcW w:w="1620" w:type="dxa"/>
            <w:vAlign w:val="bottom"/>
          </w:tcPr>
          <w:p>
            <w:pPr>
              <w:jc w:val="center"/>
              <w:ind w:right="58"/>
              <w:spacing w:after="0"/>
              <w:rPr>
                <w:sz w:val="20"/>
                <w:szCs w:val="20"/>
                <w:color w:val="auto"/>
              </w:rPr>
            </w:pPr>
            <w:r>
              <w:rPr>
                <w:rFonts w:ascii="Times New Roman" w:cs="Times New Roman" w:eastAsia="Times New Roman" w:hAnsi="Times New Roman"/>
                <w:sz w:val="18"/>
                <w:szCs w:val="18"/>
                <w:color w:val="auto"/>
                <w:w w:val="99"/>
              </w:rPr>
              <w:t>Semiannual, on</w:t>
            </w: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4"/>
              </w:rPr>
              <w:t>Semiannual</w:t>
            </w:r>
            <w:r>
              <w:rPr>
                <w:rFonts w:ascii="Times New Roman" w:cs="Times New Roman" w:eastAsia="Times New Roman" w:hAnsi="Times New Roman"/>
                <w:sz w:val="29"/>
                <w:szCs w:val="29"/>
                <w:color w:val="auto"/>
                <w:w w:val="94"/>
                <w:vertAlign w:val="superscript"/>
              </w:rPr>
              <w:t>(2)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8"/>
                <w:szCs w:val="18"/>
                <w:color w:val="auto"/>
                <w:w w:val="99"/>
              </w:rPr>
              <w:t>loans</w:t>
            </w:r>
          </w:p>
        </w:tc>
        <w:tc>
          <w:tcPr>
            <w:tcW w:w="162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8"/>
              </w:rPr>
              <w:t>individual loans</w:t>
            </w:r>
          </w:p>
        </w:tc>
        <w:tc>
          <w:tcPr>
            <w:tcW w:w="1380" w:type="dxa"/>
            <w:vAlign w:val="bottom"/>
            <w:gridSpan w:val="2"/>
            <w:vMerge w:val="continue"/>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7"/>
              <w:spacing w:after="0"/>
              <w:rPr>
                <w:sz w:val="20"/>
                <w:szCs w:val="20"/>
                <w:color w:val="auto"/>
              </w:rPr>
            </w:pPr>
            <w:r>
              <w:rPr>
                <w:rFonts w:ascii="Times New Roman" w:cs="Times New Roman" w:eastAsia="Times New Roman" w:hAnsi="Times New Roman"/>
                <w:sz w:val="18"/>
                <w:szCs w:val="18"/>
                <w:color w:val="auto"/>
              </w:rPr>
              <w:t>Monthly</w:t>
            </w:r>
          </w:p>
        </w:tc>
        <w:tc>
          <w:tcPr>
            <w:tcW w:w="0" w:type="dxa"/>
            <w:vAlign w:val="bottom"/>
          </w:tcPr>
          <w:p>
            <w:pPr>
              <w:spacing w:after="0"/>
              <w:rPr>
                <w:sz w:val="1"/>
                <w:szCs w:val="1"/>
                <w:color w:val="auto"/>
              </w:rPr>
            </w:pPr>
          </w:p>
        </w:tc>
      </w:tr>
      <w:tr>
        <w:trPr>
          <w:trHeight w:val="33"/>
        </w:trPr>
        <w:tc>
          <w:tcPr>
            <w:tcW w:w="80" w:type="dxa"/>
            <w:vAlign w:val="bottom"/>
            <w:vMerge w:val="continue"/>
          </w:tcPr>
          <w:p>
            <w:pPr>
              <w:spacing w:after="0"/>
              <w:rPr>
                <w:sz w:val="2"/>
                <w:szCs w:val="2"/>
                <w:color w:val="auto"/>
              </w:rPr>
            </w:pPr>
          </w:p>
        </w:tc>
        <w:tc>
          <w:tcPr>
            <w:tcW w:w="1220" w:type="dxa"/>
            <w:vAlign w:val="bottom"/>
          </w:tcPr>
          <w:p>
            <w:pPr>
              <w:jc w:val="right"/>
              <w:ind w:right="138"/>
              <w:spacing w:after="0" w:line="34" w:lineRule="exact"/>
              <w:rPr>
                <w:sz w:val="20"/>
                <w:szCs w:val="20"/>
                <w:color w:val="auto"/>
              </w:rPr>
            </w:pPr>
            <w:r>
              <w:rPr>
                <w:rFonts w:ascii="Times New Roman" w:cs="Times New Roman" w:eastAsia="Times New Roman" w:hAnsi="Times New Roman"/>
                <w:sz w:val="3"/>
                <w:szCs w:val="3"/>
                <w:color w:val="auto"/>
              </w:rPr>
              <w:t>82,920</w:t>
            </w:r>
          </w:p>
        </w:tc>
        <w:tc>
          <w:tcPr>
            <w:tcW w:w="1620" w:type="dxa"/>
            <w:vAlign w:val="bottom"/>
          </w:tcPr>
          <w:p>
            <w:pPr>
              <w:jc w:val="right"/>
              <w:ind w:right="138"/>
              <w:spacing w:after="0" w:line="34" w:lineRule="exact"/>
              <w:rPr>
                <w:sz w:val="20"/>
                <w:szCs w:val="20"/>
                <w:color w:val="auto"/>
              </w:rPr>
            </w:pPr>
            <w:r>
              <w:rPr>
                <w:rFonts w:ascii="Times New Roman" w:cs="Times New Roman" w:eastAsia="Times New Roman" w:hAnsi="Times New Roman"/>
                <w:sz w:val="3"/>
                <w:szCs w:val="3"/>
                <w:color w:val="auto"/>
              </w:rPr>
              <w:t>N/A</w:t>
            </w:r>
          </w:p>
        </w:tc>
        <w:tc>
          <w:tcPr>
            <w:tcW w:w="180" w:type="dxa"/>
            <w:vAlign w:val="bottom"/>
          </w:tcPr>
          <w:p>
            <w:pPr>
              <w:jc w:val="right"/>
              <w:spacing w:after="0" w:line="34" w:lineRule="exact"/>
              <w:rPr>
                <w:sz w:val="20"/>
                <w:szCs w:val="20"/>
                <w:color w:val="auto"/>
              </w:rPr>
            </w:pPr>
            <w:r>
              <w:rPr>
                <w:rFonts w:ascii="Times New Roman" w:cs="Times New Roman" w:eastAsia="Times New Roman" w:hAnsi="Times New Roman"/>
                <w:sz w:val="3"/>
                <w:szCs w:val="3"/>
                <w:color w:val="auto"/>
              </w:rPr>
              <w:t>$</w:t>
            </w:r>
          </w:p>
        </w:tc>
        <w:tc>
          <w:tcPr>
            <w:tcW w:w="1200" w:type="dxa"/>
            <w:vAlign w:val="bottom"/>
          </w:tcPr>
          <w:p>
            <w:pPr>
              <w:jc w:val="right"/>
              <w:ind w:right="140"/>
              <w:spacing w:after="0" w:line="34" w:lineRule="exact"/>
              <w:rPr>
                <w:sz w:val="20"/>
                <w:szCs w:val="20"/>
                <w:color w:val="auto"/>
              </w:rPr>
            </w:pPr>
            <w:r>
              <w:rPr>
                <w:rFonts w:ascii="Times New Roman" w:cs="Times New Roman" w:eastAsia="Times New Roman" w:hAnsi="Times New Roman"/>
                <w:sz w:val="3"/>
                <w:szCs w:val="3"/>
                <w:color w:val="auto"/>
              </w:rPr>
              <w:t>81,024</w:t>
            </w:r>
          </w:p>
        </w:tc>
        <w:tc>
          <w:tcPr>
            <w:tcW w:w="220" w:type="dxa"/>
            <w:vAlign w:val="bottom"/>
            <w:vMerge w:val="continue"/>
          </w:tcPr>
          <w:p>
            <w:pPr>
              <w:spacing w:after="0"/>
              <w:rPr>
                <w:sz w:val="2"/>
                <w:szCs w:val="2"/>
                <w:color w:val="auto"/>
              </w:rPr>
            </w:pPr>
          </w:p>
        </w:tc>
        <w:tc>
          <w:tcPr>
            <w:tcW w:w="1080" w:type="dxa"/>
            <w:vAlign w:val="bottom"/>
          </w:tcPr>
          <w:p>
            <w:pPr>
              <w:jc w:val="right"/>
              <w:ind w:right="87"/>
              <w:spacing w:after="0" w:line="34" w:lineRule="exact"/>
              <w:rPr>
                <w:sz w:val="20"/>
                <w:szCs w:val="20"/>
                <w:color w:val="auto"/>
              </w:rPr>
            </w:pPr>
            <w:r>
              <w:rPr>
                <w:rFonts w:ascii="Times New Roman" w:cs="Times New Roman" w:eastAsia="Times New Roman" w:hAnsi="Times New Roman"/>
                <w:sz w:val="3"/>
                <w:szCs w:val="3"/>
                <w:color w:val="auto"/>
              </w:rPr>
              <w:t>39,405</w:t>
            </w:r>
          </w:p>
        </w:tc>
        <w:tc>
          <w:tcPr>
            <w:tcW w:w="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-1366520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-1092200</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-543560</wp:posOffset>
            </wp:positionV>
            <wp:extent cx="713232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16" w:right="339" w:bottom="1440" w:gutter="0" w:footer="0" w:header="0"/>
          <w:type w:val="continuous"/>
        </w:sectPr>
      </w:pPr>
    </w:p>
    <w:p>
      <w:pPr>
        <w:spacing w:after="0" w:line="46" w:lineRule="exact"/>
        <w:rPr>
          <w:sz w:val="20"/>
          <w:szCs w:val="20"/>
          <w:color w:val="auto"/>
        </w:rPr>
      </w:pPr>
    </w:p>
    <w:p>
      <w:pPr>
        <w:ind w:left="340" w:right="140" w:hanging="8"/>
        <w:spacing w:after="0" w:line="208" w:lineRule="auto"/>
        <w:tabs>
          <w:tab w:leader="none" w:pos="552"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First five loan repayments will each be for 7.5 percent of the approved 200 million RMB loan principal; last five installments will each be for 12.5 percent of the approved loan principal.</w:t>
      </w:r>
    </w:p>
    <w:p>
      <w:pPr>
        <w:spacing w:after="0" w:line="1" w:lineRule="exact"/>
        <w:rPr>
          <w:rFonts w:ascii="Times New Roman" w:cs="Times New Roman" w:eastAsia="Times New Roman" w:hAnsi="Times New Roman"/>
          <w:sz w:val="28"/>
          <w:szCs w:val="28"/>
          <w:color w:val="auto"/>
          <w:vertAlign w:val="superscript"/>
        </w:rPr>
      </w:pPr>
    </w:p>
    <w:p>
      <w:pPr>
        <w:ind w:left="540" w:hanging="208"/>
        <w:spacing w:after="0" w:line="205" w:lineRule="auto"/>
        <w:tabs>
          <w:tab w:leader="none" w:pos="540"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Semiannual repayments commenced in March 2022.</w:t>
      </w:r>
    </w:p>
    <w:p>
      <w:pPr>
        <w:spacing w:after="0" w:line="43" w:lineRule="exact"/>
        <w:rPr>
          <w:rFonts w:ascii="Times New Roman" w:cs="Times New Roman" w:eastAsia="Times New Roman" w:hAnsi="Times New Roman"/>
          <w:sz w:val="26"/>
          <w:szCs w:val="26"/>
          <w:color w:val="auto"/>
          <w:vertAlign w:val="superscript"/>
        </w:rPr>
      </w:pPr>
    </w:p>
    <w:p>
      <w:pPr>
        <w:ind w:left="540" w:hanging="208"/>
        <w:spacing w:after="0" w:line="194" w:lineRule="auto"/>
        <w:tabs>
          <w:tab w:leader="none" w:pos="5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See Note 7 for periodic payment amounts.</w:t>
      </w:r>
    </w:p>
    <w:p>
      <w:pPr>
        <w:spacing w:after="0" w:line="42" w:lineRule="exact"/>
        <w:rPr>
          <w:rFonts w:ascii="Times New Roman" w:cs="Times New Roman" w:eastAsia="Times New Roman" w:hAnsi="Times New Roman"/>
          <w:sz w:val="23"/>
          <w:szCs w:val="23"/>
          <w:color w:val="auto"/>
          <w:vertAlign w:val="superscript"/>
        </w:rPr>
      </w:pPr>
    </w:p>
    <w:p>
      <w:pPr>
        <w:ind w:left="540" w:hanging="208"/>
        <w:spacing w:after="0" w:line="194" w:lineRule="auto"/>
        <w:tabs>
          <w:tab w:leader="none" w:pos="5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the carrying amount at the balance sheet date of the related ROU assets, in which the lessors have secured interests.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Xiamen</w:t>
            </w:r>
          </w:p>
        </w:tc>
        <w:tc>
          <w:tcPr>
            <w:tcW w:w="14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Hefei</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Xiamen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Working</w:t>
            </w:r>
          </w:p>
        </w:tc>
        <w:tc>
          <w:tcPr>
            <w:tcW w:w="1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As of October 31, 2021</w:t>
            </w:r>
          </w:p>
        </w:tc>
        <w:tc>
          <w:tcPr>
            <w:tcW w:w="1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Project Loans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Capital Loans</w:t>
            </w:r>
          </w:p>
        </w:tc>
        <w:tc>
          <w:tcPr>
            <w:tcW w:w="14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80" w:type="dxa"/>
            <w:vAlign w:val="bottom"/>
          </w:tcPr>
          <w:p>
            <w:pPr>
              <w:spacing w:after="0"/>
              <w:rPr>
                <w:sz w:val="21"/>
                <w:szCs w:val="21"/>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7,289</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22,248</w:t>
            </w:r>
          </w:p>
        </w:tc>
      </w:tr>
      <w:tr>
        <w:trPr>
          <w:trHeight w:val="27"/>
        </w:trPr>
        <w:tc>
          <w:tcPr>
            <w:tcW w:w="10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6,512</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25,281</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23,145</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5,585</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33,448</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7,572</w:t>
            </w:r>
          </w:p>
        </w:tc>
      </w:tr>
      <w:tr>
        <w:trPr>
          <w:trHeight w:val="27"/>
        </w:trPr>
        <w:tc>
          <w:tcPr>
            <w:tcW w:w="10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31,083</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89,446</w:t>
            </w:r>
          </w:p>
        </w:tc>
      </w:tr>
      <w:tr>
        <w:trPr>
          <w:trHeight w:val="256"/>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39,891</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38,372</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at balance sheet date</w:t>
      </w:r>
    </w:p>
    <w:p>
      <w:pPr>
        <w:spacing w:after="0" w:line="36" w:lineRule="exact"/>
        <w:rPr>
          <w:sz w:val="20"/>
          <w:szCs w:val="20"/>
          <w:color w:val="auto"/>
        </w:rPr>
      </w:pPr>
    </w:p>
    <w:p>
      <w:pPr>
        <w:ind w:right="1240"/>
        <w:spacing w:after="0" w:line="282" w:lineRule="auto"/>
        <w:rPr>
          <w:sz w:val="20"/>
          <w:szCs w:val="20"/>
          <w:color w:val="auto"/>
        </w:rPr>
      </w:pPr>
      <w:r>
        <w:rPr>
          <w:rFonts w:ascii="Times New Roman" w:cs="Times New Roman" w:eastAsia="Times New Roman" w:hAnsi="Times New Roman"/>
          <w:sz w:val="18"/>
          <w:szCs w:val="18"/>
          <w:color w:val="auto"/>
        </w:rPr>
        <w:t>Basis spread on interest rates Interest rate reset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frequency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4.65%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- 4.61%</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0.00</w:t>
            </w:r>
          </w:p>
        </w:tc>
        <w:tc>
          <w:tcPr>
            <w:tcW w:w="17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67.75 - 76.00</w:t>
            </w:r>
          </w:p>
        </w:tc>
        <w:tc>
          <w:tcPr>
            <w:tcW w:w="240" w:type="dxa"/>
            <w:vAlign w:val="bottom"/>
          </w:tcPr>
          <w:p>
            <w:pPr>
              <w:spacing w:after="0"/>
              <w:rPr>
                <w:sz w:val="18"/>
                <w:szCs w:val="18"/>
                <w:color w:val="auto"/>
              </w:rPr>
            </w:pPr>
          </w:p>
        </w:tc>
        <w:tc>
          <w:tcPr>
            <w:tcW w:w="120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(45.00)</w:t>
            </w:r>
          </w:p>
        </w:tc>
        <w:tc>
          <w:tcPr>
            <w:tcW w:w="400" w:type="dxa"/>
            <w:vAlign w:val="bottom"/>
          </w:tcPr>
          <w:p>
            <w:pPr>
              <w:spacing w:after="0"/>
              <w:rPr>
                <w:sz w:val="18"/>
                <w:szCs w:val="18"/>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Quarterly</w:t>
            </w:r>
          </w:p>
        </w:tc>
        <w:tc>
          <w:tcPr>
            <w:tcW w:w="172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Monthly/Annually</w:t>
            </w:r>
          </w:p>
        </w:tc>
        <w:tc>
          <w:tcPr>
            <w:tcW w:w="240" w:type="dxa"/>
            <w:vAlign w:val="bottom"/>
          </w:tcPr>
          <w:p>
            <w:pPr>
              <w:spacing w:after="0"/>
              <w:rPr>
                <w:sz w:val="18"/>
                <w:szCs w:val="18"/>
                <w:color w:val="auto"/>
              </w:rPr>
            </w:pPr>
          </w:p>
        </w:tc>
        <w:tc>
          <w:tcPr>
            <w:tcW w:w="1200" w:type="dxa"/>
            <w:vAlign w:val="bottom"/>
          </w:tcPr>
          <w:p>
            <w:pPr>
              <w:jc w:val="right"/>
              <w:ind w:right="345"/>
              <w:spacing w:after="0"/>
              <w:rPr>
                <w:sz w:val="20"/>
                <w:szCs w:val="20"/>
                <w:color w:val="auto"/>
              </w:rPr>
            </w:pPr>
            <w:r>
              <w:rPr>
                <w:rFonts w:ascii="Times New Roman" w:cs="Times New Roman" w:eastAsia="Times New Roman" w:hAnsi="Times New Roman"/>
                <w:sz w:val="18"/>
                <w:szCs w:val="18"/>
                <w:color w:val="auto"/>
              </w:rPr>
              <w:t>Annually</w:t>
            </w:r>
          </w:p>
        </w:tc>
        <w:tc>
          <w:tcPr>
            <w:tcW w:w="400" w:type="dxa"/>
            <w:vAlign w:val="bottom"/>
          </w:tcPr>
          <w:p>
            <w:pPr>
              <w:spacing w:after="0"/>
              <w:rPr>
                <w:sz w:val="18"/>
                <w:szCs w:val="18"/>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8"/>
              <w:spacing w:after="0"/>
              <w:rPr>
                <w:sz w:val="20"/>
                <w:szCs w:val="20"/>
                <w:color w:val="auto"/>
              </w:rPr>
            </w:pPr>
            <w:r>
              <w:rPr>
                <w:rFonts w:ascii="Times New Roman" w:cs="Times New Roman" w:eastAsia="Times New Roman" w:hAnsi="Times New Roman"/>
                <w:sz w:val="18"/>
                <w:szCs w:val="18"/>
                <w:color w:val="auto"/>
                <w:w w:val="99"/>
              </w:rPr>
              <w:t>December</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98"/>
              <w:spacing w:after="0"/>
              <w:rPr>
                <w:sz w:val="20"/>
                <w:szCs w:val="20"/>
                <w:color w:val="auto"/>
              </w:rPr>
            </w:pPr>
            <w:r>
              <w:rPr>
                <w:rFonts w:ascii="Times New Roman" w:cs="Times New Roman" w:eastAsia="Times New Roman" w:hAnsi="Times New Roman"/>
                <w:sz w:val="18"/>
                <w:szCs w:val="18"/>
                <w:color w:val="auto"/>
                <w:w w:val="99"/>
              </w:rPr>
              <w:t>2025</w:t>
            </w:r>
          </w:p>
        </w:tc>
        <w:tc>
          <w:tcPr>
            <w:tcW w:w="1720" w:type="dxa"/>
            <w:vAlign w:val="bottom"/>
          </w:tcPr>
          <w:p>
            <w:pPr>
              <w:jc w:val="center"/>
              <w:ind w:right="138"/>
              <w:spacing w:after="0"/>
              <w:rPr>
                <w:sz w:val="20"/>
                <w:szCs w:val="20"/>
                <w:color w:val="auto"/>
              </w:rPr>
            </w:pPr>
            <w:r>
              <w:rPr>
                <w:rFonts w:ascii="Times New Roman" w:cs="Times New Roman" w:eastAsia="Times New Roman" w:hAnsi="Times New Roman"/>
                <w:sz w:val="18"/>
                <w:szCs w:val="18"/>
                <w:color w:val="auto"/>
                <w:w w:val="99"/>
              </w:rPr>
              <w:t>July 2023</w:t>
            </w:r>
          </w:p>
        </w:tc>
        <w:tc>
          <w:tcPr>
            <w:tcW w:w="1440" w:type="dxa"/>
            <w:vAlign w:val="bottom"/>
            <w:gridSpan w:val="2"/>
          </w:tcPr>
          <w:p>
            <w:pPr>
              <w:jc w:val="center"/>
              <w:ind w:right="65"/>
              <w:spacing w:after="0"/>
              <w:rPr>
                <w:sz w:val="20"/>
                <w:szCs w:val="20"/>
                <w:color w:val="auto"/>
              </w:rPr>
            </w:pPr>
            <w:r>
              <w:rPr>
                <w:rFonts w:ascii="Times New Roman" w:cs="Times New Roman" w:eastAsia="Times New Roman" w:hAnsi="Times New Roman"/>
                <w:sz w:val="18"/>
                <w:szCs w:val="18"/>
                <w:color w:val="auto"/>
              </w:rPr>
              <w:t>September 2025</w:t>
            </w: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78"/>
              <w:spacing w:after="0"/>
              <w:rPr>
                <w:sz w:val="20"/>
                <w:szCs w:val="20"/>
                <w:color w:val="auto"/>
              </w:rPr>
            </w:pPr>
            <w:r>
              <w:rPr>
                <w:rFonts w:ascii="Times New Roman" w:cs="Times New Roman" w:eastAsia="Times New Roman" w:hAnsi="Times New Roman"/>
                <w:sz w:val="18"/>
                <w:szCs w:val="18"/>
                <w:color w:val="auto"/>
                <w:w w:val="97"/>
              </w:rPr>
              <w:t>Varies as loans</w:t>
            </w:r>
          </w:p>
        </w:tc>
        <w:tc>
          <w:tcPr>
            <w:tcW w:w="1720" w:type="dxa"/>
            <w:vAlign w:val="bottom"/>
          </w:tcPr>
          <w:p>
            <w:pPr>
              <w:jc w:val="center"/>
              <w:ind w:right="138"/>
              <w:spacing w:after="0"/>
              <w:rPr>
                <w:sz w:val="20"/>
                <w:szCs w:val="20"/>
                <w:color w:val="auto"/>
              </w:rPr>
            </w:pPr>
            <w:r>
              <w:rPr>
                <w:rFonts w:ascii="Times New Roman" w:cs="Times New Roman" w:eastAsia="Times New Roman" w:hAnsi="Times New Roman"/>
                <w:sz w:val="18"/>
                <w:szCs w:val="18"/>
                <w:color w:val="auto"/>
              </w:rPr>
              <w:t>Increases as loans</w:t>
            </w:r>
          </w:p>
        </w:tc>
        <w:tc>
          <w:tcPr>
            <w:tcW w:w="240" w:type="dxa"/>
            <w:vAlign w:val="bottom"/>
          </w:tcPr>
          <w:p>
            <w:pPr>
              <w:spacing w:after="0"/>
              <w:rPr>
                <w:sz w:val="18"/>
                <w:szCs w:val="18"/>
                <w:color w:val="auto"/>
              </w:rPr>
            </w:pPr>
          </w:p>
        </w:tc>
        <w:tc>
          <w:tcPr>
            <w:tcW w:w="1200" w:type="dxa"/>
            <w:vAlign w:val="bottom"/>
            <w:vMerge w:val="restart"/>
          </w:tcPr>
          <w:p>
            <w:pPr>
              <w:jc w:val="center"/>
              <w:ind w:right="305"/>
              <w:spacing w:after="0"/>
              <w:rPr>
                <w:sz w:val="20"/>
                <w:szCs w:val="20"/>
                <w:color w:val="auto"/>
              </w:rPr>
            </w:pPr>
            <w:r>
              <w:rPr>
                <w:rFonts w:ascii="Times New Roman" w:cs="Times New Roman" w:eastAsia="Times New Roman" w:hAnsi="Times New Roman"/>
                <w:sz w:val="18"/>
                <w:szCs w:val="18"/>
                <w:color w:val="auto"/>
                <w:w w:val="89"/>
              </w:rPr>
              <w:t>Varies</w:t>
            </w:r>
            <w:r>
              <w:rPr>
                <w:rFonts w:ascii="Times New Roman" w:cs="Times New Roman" w:eastAsia="Times New Roman" w:hAnsi="Times New Roman"/>
                <w:sz w:val="29"/>
                <w:szCs w:val="29"/>
                <w:color w:val="auto"/>
                <w:w w:val="89"/>
                <w:vertAlign w:val="superscript"/>
              </w:rPr>
              <w:t>(1)</w:t>
            </w:r>
          </w:p>
        </w:tc>
        <w:tc>
          <w:tcPr>
            <w:tcW w:w="4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8"/>
              <w:spacing w:after="0"/>
              <w:rPr>
                <w:sz w:val="20"/>
                <w:szCs w:val="20"/>
                <w:color w:val="auto"/>
              </w:rPr>
            </w:pPr>
            <w:r>
              <w:rPr>
                <w:rFonts w:ascii="Times New Roman" w:cs="Times New Roman" w:eastAsia="Times New Roman" w:hAnsi="Times New Roman"/>
                <w:sz w:val="18"/>
                <w:szCs w:val="18"/>
                <w:color w:val="auto"/>
                <w:w w:val="99"/>
              </w:rPr>
              <w:t>mature</w:t>
            </w:r>
          </w:p>
        </w:tc>
        <w:tc>
          <w:tcPr>
            <w:tcW w:w="1720" w:type="dxa"/>
            <w:vAlign w:val="bottom"/>
          </w:tcPr>
          <w:p>
            <w:pPr>
              <w:jc w:val="center"/>
              <w:ind w:right="138"/>
              <w:spacing w:after="0"/>
              <w:rPr>
                <w:sz w:val="20"/>
                <w:szCs w:val="20"/>
                <w:color w:val="auto"/>
              </w:rPr>
            </w:pPr>
            <w:r>
              <w:rPr>
                <w:rFonts w:ascii="Times New Roman" w:cs="Times New Roman" w:eastAsia="Times New Roman" w:hAnsi="Times New Roman"/>
                <w:sz w:val="18"/>
                <w:szCs w:val="18"/>
                <w:color w:val="auto"/>
                <w:w w:val="99"/>
              </w:rPr>
              <w:t>mature</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8"/>
              <w:spacing w:after="0"/>
              <w:rPr>
                <w:sz w:val="20"/>
                <w:szCs w:val="20"/>
                <w:color w:val="auto"/>
              </w:rPr>
            </w:pPr>
            <w:r>
              <w:rPr>
                <w:rFonts w:ascii="Times New Roman" w:cs="Times New Roman" w:eastAsia="Times New Roman" w:hAnsi="Times New Roman"/>
                <w:sz w:val="18"/>
                <w:szCs w:val="18"/>
                <w:color w:val="auto"/>
              </w:rPr>
              <w:t>Semiannual,</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98"/>
              <w:spacing w:after="0"/>
              <w:rPr>
                <w:sz w:val="20"/>
                <w:szCs w:val="20"/>
                <w:color w:val="auto"/>
              </w:rPr>
            </w:pPr>
            <w:r>
              <w:rPr>
                <w:rFonts w:ascii="Times New Roman" w:cs="Times New Roman" w:eastAsia="Times New Roman" w:hAnsi="Times New Roman"/>
                <w:sz w:val="18"/>
                <w:szCs w:val="18"/>
                <w:color w:val="auto"/>
              </w:rPr>
              <w:t>on individual</w:t>
            </w:r>
          </w:p>
        </w:tc>
        <w:tc>
          <w:tcPr>
            <w:tcW w:w="172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99"/>
              </w:rPr>
              <w:t>Semiannual, on</w:t>
            </w:r>
          </w:p>
        </w:tc>
        <w:tc>
          <w:tcPr>
            <w:tcW w:w="144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8"/>
                <w:szCs w:val="18"/>
                <w:color w:val="auto"/>
                <w:w w:val="94"/>
              </w:rPr>
              <w:t>Semiannual</w:t>
            </w:r>
            <w:r>
              <w:rPr>
                <w:rFonts w:ascii="Times New Roman" w:cs="Times New Roman" w:eastAsia="Times New Roman" w:hAnsi="Times New Roman"/>
                <w:sz w:val="29"/>
                <w:szCs w:val="29"/>
                <w:color w:val="auto"/>
                <w:w w:val="94"/>
                <w:vertAlign w:val="superscript"/>
              </w:rPr>
              <w:t>(2)</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center"/>
              <w:ind w:right="278"/>
              <w:spacing w:after="0"/>
              <w:rPr>
                <w:sz w:val="20"/>
                <w:szCs w:val="20"/>
                <w:color w:val="auto"/>
              </w:rPr>
            </w:pPr>
            <w:r>
              <w:rPr>
                <w:rFonts w:ascii="Times New Roman" w:cs="Times New Roman" w:eastAsia="Times New Roman" w:hAnsi="Times New Roman"/>
                <w:sz w:val="18"/>
                <w:szCs w:val="18"/>
                <w:color w:val="auto"/>
                <w:w w:val="99"/>
              </w:rPr>
              <w:t>loans</w:t>
            </w:r>
          </w:p>
        </w:tc>
        <w:tc>
          <w:tcPr>
            <w:tcW w:w="1720" w:type="dxa"/>
            <w:vAlign w:val="bottom"/>
          </w:tcPr>
          <w:p>
            <w:pPr>
              <w:jc w:val="center"/>
              <w:ind w:right="138"/>
              <w:spacing w:after="0"/>
              <w:rPr>
                <w:sz w:val="20"/>
                <w:szCs w:val="20"/>
                <w:color w:val="auto"/>
              </w:rPr>
            </w:pPr>
            <w:r>
              <w:rPr>
                <w:rFonts w:ascii="Times New Roman" w:cs="Times New Roman" w:eastAsia="Times New Roman" w:hAnsi="Times New Roman"/>
                <w:sz w:val="18"/>
                <w:szCs w:val="18"/>
                <w:color w:val="auto"/>
                <w:w w:val="98"/>
              </w:rPr>
              <w:t>individual loans</w:t>
            </w:r>
          </w:p>
        </w:tc>
        <w:tc>
          <w:tcPr>
            <w:tcW w:w="1440" w:type="dxa"/>
            <w:vAlign w:val="bottom"/>
            <w:gridSpan w:val="2"/>
            <w:vMerge w:val="continue"/>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Monthly</w:t>
            </w:r>
          </w:p>
        </w:tc>
        <w:tc>
          <w:tcPr>
            <w:tcW w:w="0" w:type="dxa"/>
            <w:vAlign w:val="bottom"/>
          </w:tcPr>
          <w:p>
            <w:pPr>
              <w:spacing w:after="0"/>
              <w:rPr>
                <w:sz w:val="1"/>
                <w:szCs w:val="1"/>
                <w:color w:val="auto"/>
              </w:rPr>
            </w:pPr>
          </w:p>
        </w:tc>
      </w:tr>
      <w:tr>
        <w:trPr>
          <w:trHeight w:val="33"/>
        </w:trPr>
        <w:tc>
          <w:tcPr>
            <w:tcW w:w="100" w:type="dxa"/>
            <w:vAlign w:val="bottom"/>
            <w:vMerge w:val="continue"/>
          </w:tcPr>
          <w:p>
            <w:pPr>
              <w:spacing w:after="0"/>
              <w:rPr>
                <w:sz w:val="2"/>
                <w:szCs w:val="2"/>
                <w:color w:val="auto"/>
              </w:rPr>
            </w:pPr>
          </w:p>
        </w:tc>
        <w:tc>
          <w:tcPr>
            <w:tcW w:w="1260" w:type="dxa"/>
            <w:vAlign w:val="bottom"/>
          </w:tcPr>
          <w:p>
            <w:pPr>
              <w:jc w:val="right"/>
              <w:ind w:right="178"/>
              <w:spacing w:after="0" w:line="34" w:lineRule="exact"/>
              <w:rPr>
                <w:sz w:val="20"/>
                <w:szCs w:val="20"/>
                <w:color w:val="auto"/>
              </w:rPr>
            </w:pPr>
            <w:r>
              <w:rPr>
                <w:rFonts w:ascii="Times New Roman" w:cs="Times New Roman" w:eastAsia="Times New Roman" w:hAnsi="Times New Roman"/>
                <w:sz w:val="3"/>
                <w:szCs w:val="3"/>
                <w:color w:val="auto"/>
              </w:rPr>
              <w:t>90,096</w:t>
            </w:r>
          </w:p>
        </w:tc>
        <w:tc>
          <w:tcPr>
            <w:tcW w:w="1720" w:type="dxa"/>
            <w:vAlign w:val="bottom"/>
          </w:tcPr>
          <w:p>
            <w:pPr>
              <w:jc w:val="right"/>
              <w:ind w:right="138"/>
              <w:spacing w:after="0" w:line="34" w:lineRule="exact"/>
              <w:rPr>
                <w:sz w:val="20"/>
                <w:szCs w:val="20"/>
                <w:color w:val="auto"/>
              </w:rPr>
            </w:pPr>
            <w:r>
              <w:rPr>
                <w:rFonts w:ascii="Times New Roman" w:cs="Times New Roman" w:eastAsia="Times New Roman" w:hAnsi="Times New Roman"/>
                <w:sz w:val="3"/>
                <w:szCs w:val="3"/>
                <w:color w:val="auto"/>
              </w:rPr>
              <w:t>N/A</w:t>
            </w:r>
          </w:p>
        </w:tc>
        <w:tc>
          <w:tcPr>
            <w:tcW w:w="240" w:type="dxa"/>
            <w:vAlign w:val="bottom"/>
          </w:tcPr>
          <w:p>
            <w:pPr>
              <w:jc w:val="right"/>
              <w:ind w:right="34"/>
              <w:spacing w:after="0" w:line="34" w:lineRule="exact"/>
              <w:rPr>
                <w:sz w:val="20"/>
                <w:szCs w:val="20"/>
                <w:color w:val="auto"/>
              </w:rPr>
            </w:pPr>
            <w:r>
              <w:rPr>
                <w:rFonts w:ascii="Times New Roman" w:cs="Times New Roman" w:eastAsia="Times New Roman" w:hAnsi="Times New Roman"/>
                <w:sz w:val="3"/>
                <w:szCs w:val="3"/>
                <w:color w:val="auto"/>
              </w:rPr>
              <w:t>$</w:t>
            </w:r>
          </w:p>
        </w:tc>
        <w:tc>
          <w:tcPr>
            <w:tcW w:w="1200" w:type="dxa"/>
            <w:vAlign w:val="bottom"/>
          </w:tcPr>
          <w:p>
            <w:pPr>
              <w:jc w:val="right"/>
              <w:ind w:right="125"/>
              <w:spacing w:after="0" w:line="34" w:lineRule="exact"/>
              <w:rPr>
                <w:sz w:val="20"/>
                <w:szCs w:val="20"/>
                <w:color w:val="auto"/>
              </w:rPr>
            </w:pPr>
            <w:r>
              <w:rPr>
                <w:rFonts w:ascii="Times New Roman" w:cs="Times New Roman" w:eastAsia="Times New Roman" w:hAnsi="Times New Roman"/>
                <w:sz w:val="3"/>
                <w:szCs w:val="3"/>
                <w:color w:val="auto"/>
              </w:rPr>
              <w:t>86,487</w:t>
            </w:r>
          </w:p>
        </w:tc>
        <w:tc>
          <w:tcPr>
            <w:tcW w:w="400" w:type="dxa"/>
            <w:vAlign w:val="bottom"/>
          </w:tcPr>
          <w:p>
            <w:pPr>
              <w:ind w:left="60"/>
              <w:spacing w:after="0" w:line="34" w:lineRule="exact"/>
              <w:rPr>
                <w:sz w:val="20"/>
                <w:szCs w:val="20"/>
                <w:color w:val="auto"/>
              </w:rPr>
            </w:pPr>
            <w:r>
              <w:rPr>
                <w:rFonts w:ascii="Times New Roman" w:cs="Times New Roman" w:eastAsia="Times New Roman" w:hAnsi="Times New Roman"/>
                <w:sz w:val="3"/>
                <w:szCs w:val="3"/>
                <w:color w:val="auto"/>
              </w:rPr>
              <w:t>$</w:t>
            </w:r>
          </w:p>
        </w:tc>
        <w:tc>
          <w:tcPr>
            <w:tcW w:w="920" w:type="dxa"/>
            <w:vAlign w:val="bottom"/>
          </w:tcPr>
          <w:p>
            <w:pPr>
              <w:jc w:val="right"/>
              <w:ind w:right="109"/>
              <w:spacing w:after="0" w:line="34" w:lineRule="exact"/>
              <w:rPr>
                <w:sz w:val="20"/>
                <w:szCs w:val="20"/>
                <w:color w:val="auto"/>
              </w:rPr>
            </w:pPr>
            <w:r>
              <w:rPr>
                <w:rFonts w:ascii="Times New Roman" w:cs="Times New Roman" w:eastAsia="Times New Roman" w:hAnsi="Times New Roman"/>
                <w:sz w:val="3"/>
                <w:szCs w:val="3"/>
                <w:color w:val="auto"/>
              </w:rPr>
              <w:t>40,826</w:t>
            </w:r>
          </w:p>
        </w:tc>
        <w:tc>
          <w:tcPr>
            <w:tcW w:w="0" w:type="dxa"/>
            <w:vAlign w:val="bottom"/>
          </w:tcPr>
          <w:p>
            <w:pPr>
              <w:spacing w:after="0" w:line="20" w:lineRule="exact"/>
              <w:rPr>
                <w:sz w:val="1"/>
                <w:szCs w:val="1"/>
                <w:color w:val="auto"/>
              </w:rPr>
            </w:pPr>
          </w:p>
        </w:tc>
      </w:tr>
      <w:tr>
        <w:trPr>
          <w:trHeight w:val="194"/>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-1529080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-1228725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-817245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-131445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180"/>
          </w:cols>
          <w:pgMar w:left="320" w:top="114" w:right="339" w:bottom="1440" w:gutter="0" w:footer="0" w:header="0"/>
          <w:type w:val="continuous"/>
        </w:sectPr>
      </w:pPr>
    </w:p>
    <w:p>
      <w:pPr>
        <w:spacing w:after="0" w:line="46" w:lineRule="exact"/>
        <w:rPr>
          <w:sz w:val="20"/>
          <w:szCs w:val="20"/>
          <w:color w:val="auto"/>
        </w:rPr>
      </w:pPr>
    </w:p>
    <w:p>
      <w:pPr>
        <w:ind w:left="340" w:right="140" w:hanging="8"/>
        <w:spacing w:after="0" w:line="208" w:lineRule="auto"/>
        <w:tabs>
          <w:tab w:leader="none" w:pos="552"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First five loan repayments will each be for 7.5 percent of the approved 200 million RMB loan principal; last five installments will each be for 12.5 percent of the approved loan principal.</w:t>
      </w:r>
    </w:p>
    <w:p>
      <w:pPr>
        <w:spacing w:after="0" w:line="1" w:lineRule="exact"/>
        <w:rPr>
          <w:rFonts w:ascii="Times New Roman" w:cs="Times New Roman" w:eastAsia="Times New Roman" w:hAnsi="Times New Roman"/>
          <w:sz w:val="28"/>
          <w:szCs w:val="28"/>
          <w:color w:val="auto"/>
          <w:vertAlign w:val="superscript"/>
        </w:rPr>
      </w:pPr>
    </w:p>
    <w:p>
      <w:pPr>
        <w:ind w:left="560" w:hanging="228"/>
        <w:spacing w:after="0" w:line="184" w:lineRule="auto"/>
        <w:tabs>
          <w:tab w:leader="none" w:pos="5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Semiannual repayments commenced in March 2022.</w:t>
      </w:r>
    </w:p>
    <w:p>
      <w:pPr>
        <w:spacing w:after="0" w:line="42" w:lineRule="exact"/>
        <w:rPr>
          <w:rFonts w:ascii="Times New Roman" w:cs="Times New Roman" w:eastAsia="Times New Roman" w:hAnsi="Times New Roman"/>
          <w:sz w:val="29"/>
          <w:szCs w:val="29"/>
          <w:color w:val="auto"/>
          <w:vertAlign w:val="superscript"/>
        </w:rPr>
      </w:pPr>
    </w:p>
    <w:p>
      <w:pPr>
        <w:ind w:left="560" w:hanging="228"/>
        <w:spacing w:after="0" w:line="194" w:lineRule="auto"/>
        <w:tabs>
          <w:tab w:leader="none" w:pos="5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See Note 7 for interest rates on lease liabilities, maturity dates, and periodic payment amounts.</w:t>
      </w:r>
    </w:p>
    <w:p>
      <w:pPr>
        <w:spacing w:after="0" w:line="42" w:lineRule="exact"/>
        <w:rPr>
          <w:rFonts w:ascii="Times New Roman" w:cs="Times New Roman" w:eastAsia="Times New Roman" w:hAnsi="Times New Roman"/>
          <w:sz w:val="23"/>
          <w:szCs w:val="23"/>
          <w:color w:val="auto"/>
          <w:vertAlign w:val="superscript"/>
        </w:rPr>
      </w:pPr>
    </w:p>
    <w:p>
      <w:pPr>
        <w:ind w:left="560" w:hanging="228"/>
        <w:spacing w:after="0" w:line="194" w:lineRule="auto"/>
        <w:tabs>
          <w:tab w:leader="none" w:pos="5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the carrying amount at the balance sheet date of the related ROU assets, in which the lessors have secured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Project Loans</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November 2018, PDMCX obtained approval to borrow 345.0 million RMB from the Industrial and Commercial Bank of China. From November 2018 through July 2020, PDMCX entered into separate loan agreements (the “Project Loans”) for the entire approved amount and, as of May 1, 2022,</w:t>
      </w:r>
    </w:p>
    <w:p>
      <w:pPr>
        <w:ind w:right="120"/>
        <w:spacing w:after="0" w:line="252" w:lineRule="auto"/>
        <w:rPr>
          <w:sz w:val="20"/>
          <w:szCs w:val="20"/>
          <w:color w:val="auto"/>
        </w:rPr>
      </w:pPr>
      <w:r>
        <w:rPr>
          <w:rFonts w:ascii="Times New Roman" w:cs="Times New Roman" w:eastAsia="Times New Roman" w:hAnsi="Times New Roman"/>
          <w:sz w:val="18"/>
          <w:szCs w:val="18"/>
          <w:color w:val="auto"/>
        </w:rPr>
        <w:t>166.4 million RMB ($25.2 million) remained outstanding. The Project Loans were used to finance certain capital expenditures at the PDMCX facility and are collateralized by liens granted on the land use right, building, and certain equipment located at the facility. The interest rates on the Project Loans are variable (based on the RMB Loan Prime Rate of the National Interbank Funding Center), and interest incurred on the loans is eligible for reimbursement through incentives provided by the Xiamen Torch Hi-Tech Industrial Development Zone, which provide for such reimbursements up to a prescribed limit and duration. The Project Loans are subject to covenants and provisions, certain of which relate to the assets pledged as security for the loans, all of which we were in compliance with at May 1,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extensions, with the most recent extension set to expire in October 2022. As of May 1, 2022, PDMCX had 28.8 million RMB ($4.4 million) outstanding against the approval. The interest rates are variable, based on the RMB Loan Prime Rate of the National Interbank Funding Center. Interest incurred on the loans was eligible for reimbursement through incentives provided by the Xiamen Torch Hi-Tech Industrial Development Zone, which provided for such reimbursements up to a prescribed limit and duration.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Hefei Equipment Loan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2020, our Hefei, China, facility was approved to borrow 200 million RMB (approximately $30.3 million, at the balance sheet date) from the China Construction Bank Corporation. This credit facility is subject to annual reviews and extensions, with the most recent extension set to expire in August 2022. The loan proceeds were used to fund the purchase of two lithography tools at the Hefei facility. As of May 1, 2022, we had borrowed 135.7 million RMB against this approval, of which 120.7 million RMB ($18.3 million) was then outstanding, and 64.3 million RMB ($9.7 million) remained available to borrow. The interest rate on the loan is variable and based on the RMB Loan Prime Rate of the National Interbank Funding Center. The borrowings are secured by the Hefei facility, its related land use right, and certain manufacturing equipment. The Hefei Equipment Loan is subject to covenants and provisions, certain of which relate to the assets pledged as security for the loan, including covenants for the ratio of total liabilities to total assets and the ratio of current assets to current liabilities, all of which we were in compliance with at May 1, 2022.</w:t>
      </w:r>
    </w:p>
    <w:p>
      <w:pPr>
        <w:sectPr>
          <w:pgSz w:w="11900" w:h="16838" w:orient="portrait"/>
          <w:cols w:equalWidth="0" w:num="1">
            <w:col w:w="11240"/>
          </w:cols>
          <w:pgMar w:left="320" w:top="114" w:right="339" w:bottom="1440" w:gutter="0" w:footer="0" w:header="0"/>
          <w:type w:val="continuous"/>
        </w:sectPr>
      </w:pP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 w:name="page16"/>
    <w:bookmarkEnd w:id="15"/>
    <w:p>
      <w:pPr>
        <w:ind w:left="34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February 2021, we entered into a five-year $7.2 million finance lease for a high-end inspection tool and, in December 2020, we entered into a $35.5 million lease for a high-end lithography tool. See Note 7 for additional information on these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Credit Agreement</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subsidiaries. The Credit Agreement includes covenants around minimum interest coverage ratio, total leverage ratio, and minimum unrestricted cash balance (all of which we were in compliance with at May 1, 2022), and limits the amount of cash dividends, distributions, and redemptions we can pay on our common stock to an aggregate annual amount of $50 million. We had no outstanding borrowings against the Credit Agreement at May 1, 2022. The interest rate on the Credit Agreement (1.76% at May 1, 2022) is based on our total leverage ratio at one-month LIBOR plus a spread, as defined in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REVENUE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identify impairment indicators for any outstanding contract assets during the three or six-month periods ended May 1, 2022, or May 2, 2021.</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4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contract balances at the balance sheet dates.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392"/>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9,859</w:t>
            </w: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5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w w:val="99"/>
              </w:rPr>
              <w:t>Accrued liabilities</w:t>
            </w:r>
          </w:p>
        </w:tc>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14,717</w:t>
            </w:r>
          </w:p>
        </w:tc>
      </w:tr>
      <w:tr>
        <w:trPr>
          <w:trHeight w:val="223"/>
        </w:trPr>
        <w:tc>
          <w:tcPr>
            <w:tcW w:w="85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19,914</w:t>
            </w:r>
          </w:p>
        </w:tc>
      </w:tr>
      <w:tr>
        <w:trPr>
          <w:trHeight w:val="27"/>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revenue recognized from contract liabilities that existed at the beginning of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11,460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r>
    </w:tbl>
    <w:p>
      <w:pPr>
        <w:spacing w:after="0" w:line="198" w:lineRule="exact"/>
        <w:rPr>
          <w:sz w:val="20"/>
          <w:szCs w:val="20"/>
          <w:color w:val="auto"/>
        </w:rPr>
      </w:pPr>
    </w:p>
    <w:p>
      <w:pPr>
        <w:jc w:val="both"/>
        <w:ind w:right="60" w:firstLine="324"/>
        <w:spacing w:after="0" w:line="281" w:lineRule="auto"/>
        <w:rPr>
          <w:sz w:val="20"/>
          <w:szCs w:val="20"/>
          <w:color w:val="auto"/>
        </w:rPr>
      </w:pPr>
      <w:r>
        <w:rPr>
          <w:rFonts w:ascii="Times New Roman" w:cs="Times New Roman" w:eastAsia="Times New Roman" w:hAnsi="Times New Roman"/>
          <w:sz w:val="17"/>
          <w:szCs w:val="17"/>
          <w:color w:val="auto"/>
        </w:rPr>
        <w:t>We generally record our accounts receivable at their billed amounts. All outstanding past due customer invoices are reviewed for collectibility during, and at the end of, every reporting period. To the extent we believe a loss on the collection of a customer invoice is probable, we record the loss and credit an allowance for credit losses. In the event that an amount is determined to be uncollectible, we charge the allowance for credit losses and derecognize the related receivable. We did not incur any credit losses on our accounts receivable during the three or six-month periods ended May 1, 2022, or May 2, 2021.</w:t>
      </w:r>
    </w:p>
    <w:p>
      <w:pPr>
        <w:spacing w:after="0" w:line="16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revenue for the three and six-month periods ended May 1, 2022 and May 2, 2021,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391"/>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98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IC</w:t>
            </w:r>
          </w:p>
        </w:tc>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51,362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97,896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78,039</w:t>
            </w:r>
          </w:p>
        </w:tc>
      </w:tr>
      <w:tr>
        <w:trPr>
          <w:trHeight w:val="223"/>
        </w:trPr>
        <w:tc>
          <w:tcPr>
            <w:tcW w:w="59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Mainstream</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94,437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70,732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177,664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138,908</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145,799</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275,560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FPD</w:t>
            </w:r>
          </w:p>
        </w:tc>
        <w:tc>
          <w:tcPr>
            <w:tcW w:w="564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59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High-end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46,610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92,886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74,046</w:t>
            </w:r>
          </w:p>
        </w:tc>
      </w:tr>
      <w:tr>
        <w:trPr>
          <w:trHeight w:val="216"/>
        </w:trPr>
        <w:tc>
          <w:tcPr>
            <w:tcW w:w="59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Mainstream</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20,837</w:t>
            </w:r>
          </w:p>
        </w:tc>
      </w:tr>
      <w:tr>
        <w:trPr>
          <w:trHeight w:val="27"/>
        </w:trPr>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80" w:type="dxa"/>
            <w:vAlign w:val="bottom"/>
          </w:tcPr>
          <w:p>
            <w:pPr>
              <w:spacing w:after="0"/>
              <w:rPr>
                <w:sz w:val="19"/>
                <w:szCs w:val="19"/>
                <w:color w:val="auto"/>
              </w:rPr>
            </w:pPr>
          </w:p>
        </w:tc>
        <w:tc>
          <w:tcPr>
            <w:tcW w:w="5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58,710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118,776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94,883</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394,336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100" w:type="dxa"/>
            <w:vAlign w:val="bottom"/>
          </w:tcPr>
          <w:p>
            <w:pPr>
              <w:spacing w:after="0"/>
              <w:rPr>
                <w:sz w:val="16"/>
                <w:szCs w:val="16"/>
                <w:color w:val="auto"/>
              </w:rPr>
            </w:pPr>
          </w:p>
        </w:tc>
      </w:tr>
      <w:tr>
        <w:trPr>
          <w:trHeight w:val="245"/>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391"/>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25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7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69,852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137,693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115,592</w:t>
            </w:r>
          </w:p>
        </w:tc>
      </w:tr>
      <w:tr>
        <w:trPr>
          <w:trHeight w:val="216"/>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53,691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44,727</w:t>
            </w: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40,769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79,022</w:t>
            </w:r>
          </w:p>
        </w:tc>
      </w:tr>
      <w:tr>
        <w:trPr>
          <w:trHeight w:val="216"/>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30,335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57,511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53,754</w:t>
            </w: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17,832</w:t>
            </w:r>
          </w:p>
        </w:tc>
      </w:tr>
      <w:tr>
        <w:trPr>
          <w:trHeight w:val="22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394,336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100" w:type="dxa"/>
            <w:vAlign w:val="bottom"/>
          </w:tcPr>
          <w:p>
            <w:pPr>
              <w:spacing w:after="0"/>
              <w:rPr>
                <w:sz w:val="16"/>
                <w:szCs w:val="16"/>
                <w:color w:val="auto"/>
              </w:rPr>
            </w:pPr>
          </w:p>
        </w:tc>
      </w:tr>
      <w:tr>
        <w:trPr>
          <w:trHeight w:val="245"/>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391"/>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7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363,034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285,982</w:t>
            </w:r>
          </w:p>
        </w:tc>
      </w:tr>
      <w:tr>
        <w:trPr>
          <w:trHeight w:val="22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15,066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25,848</w:t>
            </w:r>
          </w:p>
        </w:tc>
      </w:tr>
      <w:tr>
        <w:trPr>
          <w:trHeight w:val="256"/>
        </w:trPr>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394,336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we are typically required to fulfill customer orders within a short period of time, our backlog of orders has historically been two to three weeks for FPD photomasks and one to two weeks for IC photomasks. However, the demand for some IC photomasks has expanded beyond the industry’s capacity to supply them within the traditional time period, thus the backlog in some cases can expand to as long as two to three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photomasks are sold under warranties that generally range from one to twenty-four months. We warrant that our photomasks conform to customer specifications and will typically repair, replace, or issue a refund (at our option) for any photomasks that fail to do so. The warranties do not represent separate performance obligations in our revenue contracts. Historically, customer claims under warranties have been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involvement in lease arrangements has typically been as a lessee. We determine if an agreement is or contains a lease on the earlier of the date of the agreement or the date on which we commit to entering the agreement. Our evaluation considers whether the agreement includes an identified asset and whether it affords us the right to control the asset. Our having the right to control an identified asset is determined by whether we are entitled to substantially all of its economic benefits and can direct its use.</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recognize leases on our consolidated balance sheet when a lessor makes an asset underlying a lease having a term in excess of twelve months available for our use. As allowed under ASC Topic 842 – “Leases” (“Topic 842”), we have elected not to apply the recognition requirements to leases that, at their commencement dates, have lease terms of twelve months or less and do not include options to purchase their underlying assets that we are reasonably certain to exercise. The present value of lease payments over the term of the lease provides the basis for the initial measurement of ROU assets and their related lease liabilities. We measure finance lease liabilities using the rates implicit in the leases; operating lease liabilities are measured using our incremental borrowing rates, for collateralized loans, at the commencement date. Variable lease payments, other than those that are dependent on an index or on a rate, are not included in the measurement of ROU assets and their related lease liabilities. Lease terms include extension periods if the lease agreement includes an option to extend the lease that we are reasonably certain to exercise. As allowed under Topic 842, we have elected, for all classes of assets, the practical expedient to not separate lease components of a contract from nonlease components of a contract.</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5, and includes a cross-default provision for any agreement or instrument with an outstanding, committed balance greater than $5.0 million in which we are the indebted party.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10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40" w:type="dxa"/>
            <w:vAlign w:val="bottom"/>
            <w:gridSpan w:val="5"/>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9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on operating and finance leases included in our consolidated balance sheets.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198"/>
        </w:trPr>
        <w:tc>
          <w:tcPr>
            <w:tcW w:w="868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Pr>
          <w:p>
            <w:pPr>
              <w:spacing w:after="0"/>
              <w:rPr>
                <w:sz w:val="17"/>
                <w:szCs w:val="17"/>
                <w:color w:val="auto"/>
              </w:rPr>
            </w:pPr>
          </w:p>
        </w:tc>
        <w:tc>
          <w:tcPr>
            <w:tcW w:w="90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86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ROU Assets – Operating Leases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868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ROU Assets – Finance Leases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40,827</w:t>
            </w:r>
          </w:p>
        </w:tc>
        <w:tc>
          <w:tcPr>
            <w:tcW w:w="0" w:type="dxa"/>
            <w:vAlign w:val="bottom"/>
          </w:tcPr>
          <w:p>
            <w:pPr>
              <w:spacing w:after="0"/>
              <w:rPr>
                <w:sz w:val="1"/>
                <w:szCs w:val="1"/>
                <w:color w:val="auto"/>
              </w:rPr>
            </w:pPr>
          </w:p>
        </w:tc>
      </w:tr>
      <w:tr>
        <w:trPr>
          <w:trHeight w:val="216"/>
        </w:trPr>
        <w:tc>
          <w:tcPr>
            <w:tcW w:w="104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Operating Leases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23"/>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57"/>
        </w:trPr>
        <w:tc>
          <w:tcPr>
            <w:tcW w:w="1040" w:type="dxa"/>
            <w:vAlign w:val="bottom"/>
            <w:tcBorders>
              <w:bottom w:val="single" w:sz="8" w:color="CCEEFF"/>
              <w:right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Finance Leases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i w:val="1"/>
                <w:iCs w:val="1"/>
                <w:color w:val="auto"/>
              </w:rPr>
              <w:t>Current portion of long-term debt</w:t>
            </w:r>
          </w:p>
        </w:tc>
        <w:tc>
          <w:tcPr>
            <w:tcW w:w="620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38,372</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323"/>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lease payments under noncancelable operating and finance leases as of May 1, 2022. Imputed interest represents the difference between undiscounted cash flows and discounted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lease costs for the three and six-month periods ended May 1, 2022, and May 2,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4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2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570"/>
        </w:trPr>
        <w:tc>
          <w:tcPr>
            <w:tcW w:w="4000" w:type="dxa"/>
            <w:vAlign w:val="bottom"/>
          </w:tcPr>
          <w:p>
            <w:pPr>
              <w:spacing w:after="0"/>
              <w:rPr>
                <w:sz w:val="24"/>
                <w:szCs w:val="24"/>
                <w:color w:val="auto"/>
              </w:rPr>
            </w:pPr>
          </w:p>
        </w:tc>
        <w:tc>
          <w:tcPr>
            <w:tcW w:w="198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0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statistical information related to our operating and finance leases. The information presented is as of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240" w:type="dxa"/>
            <w:vAlign w:val="bottom"/>
            <w:gridSpan w:val="4"/>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May 1,</w:t>
            </w:r>
          </w:p>
        </w:tc>
        <w:tc>
          <w:tcPr>
            <w:tcW w:w="314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10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29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194"/>
        </w:trPr>
        <w:tc>
          <w:tcPr>
            <w:tcW w:w="10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 lease</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 lease</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198"/>
        </w:trPr>
        <w:tc>
          <w:tcPr>
            <w:tcW w:w="4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Classification</w:t>
            </w:r>
          </w:p>
        </w:tc>
        <w:tc>
          <w:tcPr>
            <w:tcW w:w="16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term (in years)</w:t>
            </w:r>
          </w:p>
        </w:tc>
        <w:tc>
          <w:tcPr>
            <w:tcW w:w="164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b w:val="1"/>
                <w:bCs w:val="1"/>
                <w:color w:val="auto"/>
              </w:rPr>
              <w:t>discount rate</w:t>
            </w:r>
          </w:p>
        </w:tc>
        <w:tc>
          <w:tcPr>
            <w:tcW w:w="16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term (in years)</w:t>
            </w:r>
          </w:p>
        </w:tc>
        <w:tc>
          <w:tcPr>
            <w:tcW w:w="154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b w:val="1"/>
                <w:bCs w:val="1"/>
                <w:color w:val="auto"/>
              </w:rPr>
              <w:t>discount rate</w:t>
            </w:r>
          </w:p>
        </w:tc>
      </w:tr>
      <w:tr>
        <w:trPr>
          <w:trHeight w:val="28"/>
        </w:trPr>
        <w:tc>
          <w:tcPr>
            <w:tcW w:w="1040" w:type="dxa"/>
            <w:vAlign w:val="bottom"/>
            <w:tcBorders>
              <w:top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leases on our condensed consolidated statements of cash flows, and provides leases-related non-cash information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used for finance leases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obligations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finance lease obligations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42,672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The table below presents information on our share-based compensation expenses for the three and six-month periods ended May 1, 2022, and May 2, 2021.</w:t>
      </w: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4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432"/>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2,304</w:t>
            </w:r>
          </w:p>
        </w:tc>
      </w:tr>
      <w:tr>
        <w:trPr>
          <w:trHeight w:val="223"/>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2,723</w:t>
            </w:r>
          </w:p>
        </w:tc>
      </w:tr>
      <w:tr>
        <w:trPr>
          <w:trHeight w:val="209"/>
        </w:trPr>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w:t>
            </w:r>
          </w:p>
        </w:tc>
      </w:tr>
      <w:tr>
        <w:trPr>
          <w:trHeight w:val="216"/>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ESPP</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2,723</w:t>
            </w:r>
          </w:p>
        </w:tc>
      </w:tr>
      <w:tr>
        <w:trPr>
          <w:trHeight w:val="209"/>
        </w:trPr>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 capitalized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 table below presents information on our restricted stock awards for the three and six-months ended May 1, 2022, and May 2,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535,400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10,779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891,429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1,022,327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891,429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1,022,327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our stock options for the three and six-months ended May 1, 2022, and May 2, 2021.</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2220" w:type="dxa"/>
            <w:vAlign w:val="bottom"/>
            <w:gridSpan w:val="4"/>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received from option exercised</w:t>
            </w:r>
          </w:p>
        </w:tc>
        <w:tc>
          <w:tcPr>
            <w:tcW w:w="840" w:type="dxa"/>
            <w:vAlign w:val="bottom"/>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438</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232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84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8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outstanding and exercisable option awards as of May 1, 2022,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8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May 1, 2022</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718,213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3,657</w:t>
            </w:r>
          </w:p>
        </w:tc>
      </w:t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May 1, 2022</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693,987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of 25.1% differs from the U.S. statutory rate of 21.0% in the three-month period ended May 1, 2022, primarily due to the non-recognition of the tax benefit of losses that, in certain jurisdictions, have been offset by valuation allowances, non-U.S. pre-tax income being taxed at higher statutory rates in the non-U.S. jurisdictions, and the establishment of uncertain tax positions in non-U.S. jurisdiction.</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of 18.5% in the three-month period end May 2, 2021, differs from the U.S. statutory rate of 21.0% primarily due to changes in forecasted jurisdictional earnings.</w:t>
      </w:r>
    </w:p>
    <w:p>
      <w:pPr>
        <w:spacing w:after="0" w:line="162"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of 25.5% in the six-month period ended May 1, 2022, differs from the U.S. statutory rate of 21.0% primarily due to the non-recognition of the tax benefit of losses that, in certain jurisdictions, have been offset by valuation allowances, non-U.S. pre-tax income being taxed at higher statutory rates in the non-U.S. jurisdictions, and the establishment of uncertain tax positions in non-U.S. jurisdiction.</w:t>
      </w:r>
    </w:p>
    <w:p>
      <w:pPr>
        <w:spacing w:after="0" w:line="176"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of 20.5% differs from the U.S. statutory rate of 21.0% in the six-month period ended May 2, 2021, primarily due to changes in forecasted jurisdictional earnings, the benefits of investment credits in certain foreign jurisdictions, which were partially offset by the non-recognition of taxes or benefits that, in certain jurisdictions, have been offset by valuation allowances.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the expirations of statutes of limitations may be uncertain, as they can be dependent upon the settlement of tax audits, we believe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We are no longer subject to tax authority examinations in the U.S. and major foreign or state jurisdictions for years prior to fiscal year 2016. The table below presents information on our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570"/>
        </w:trPr>
        <w:tc>
          <w:tcPr>
            <w:tcW w:w="8680" w:type="dxa"/>
            <w:vAlign w:val="bottom"/>
          </w:tcPr>
          <w:p>
            <w:pPr>
              <w:jc w:val="right"/>
              <w:ind w:right="2735"/>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8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27,432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50,496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18,562</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used for diluted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27,432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18,562</w:t>
            </w: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60,606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62,054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62,265</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61,145</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62,568</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61,041</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62,786</w:t>
            </w:r>
          </w:p>
        </w:tc>
      </w:tr>
      <w:tr>
        <w:trPr>
          <w:trHeight w:val="209"/>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840" w:type="dxa"/>
            <w:vAlign w:val="bottom"/>
            <w:tcBorders>
              <w:top w:val="single" w:sz="8" w:color="auto"/>
            </w:tcBorders>
          </w:tcPr>
          <w:p>
            <w:pPr>
              <w:jc w:val="center"/>
              <w:ind w:left="1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left="1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11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682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427</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59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8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427</w:t>
            </w:r>
          </w:p>
        </w:tc>
        <w:tc>
          <w:tcPr>
            <w:tcW w:w="8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r>
      <w:tr>
        <w:trPr>
          <w:trHeight w:val="425"/>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May 1, 2022, the Company had commitments outstanding for capital expenditures of approximately $115.1 million, primarily for purchases of high-end equipment.</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May 2022, the Company was informed of a customs audit at one of its China operations. As of the date of this filing, the audit is ongoing. The Company estimated a contingency ranging from $2.2 million to $3.7 million which includes unpaid additional customs duties and related interest and penalties for the previous three years (the period under audit). We recorded a contingent loss of $2.2 million, as we believe this is the most likely outcome. The $2.2 million amount was recorded with a charge to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condensed consolidated statements of income and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in the condensed consolidated balance sheets.</w:t>
      </w:r>
    </w:p>
    <w:p>
      <w:pPr>
        <w:spacing w:after="0" w:line="183"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various other claims that arise in the ordinary course of business. We believe that our potential liability under such claims, individually or in the aggregate, will not have a material effect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CHANGES IN ACCUMULATED OTHER COMPREHENSIVE INCOME BY COMPONENT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our accumulated other comprehensive income by component (net of tax of $0) for the three and six-month periods ended May 1, 2022, and May 2, 2021.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May 1, 2022</w:t>
            </w:r>
          </w:p>
        </w:tc>
      </w:tr>
      <w:tr>
        <w:trPr>
          <w:trHeight w:val="194"/>
        </w:trPr>
        <w:tc>
          <w:tcPr>
            <w:tcW w:w="10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30, 2022</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11,451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10,565</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(43,989)</w:t>
            </w:r>
          </w:p>
        </w:tc>
      </w:tr>
      <w:tr>
        <w:trPr>
          <w:trHeight w:val="223"/>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(loss) income attributable to noncontrolling interests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(10,505)</w:t>
            </w:r>
          </w:p>
        </w:tc>
      </w:tr>
      <w:tr>
        <w:trPr>
          <w:trHeight w:val="216"/>
        </w:trPr>
        <w:tc>
          <w:tcPr>
            <w:tcW w:w="10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2022</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(22,097)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(22,919)</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May 2, 2021</w:t>
            </w:r>
          </w:p>
        </w:tc>
      </w:tr>
      <w:tr>
        <w:trPr>
          <w:trHeight w:val="194"/>
        </w:trPr>
        <w:tc>
          <w:tcPr>
            <w:tcW w:w="10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2021</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32,029</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3,799</w:t>
            </w:r>
          </w:p>
        </w:tc>
      </w:tr>
      <w:tr>
        <w:trPr>
          <w:trHeight w:val="223"/>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10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2, 2021</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35,192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Six Months Ended May 1, 2022</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21,476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20,571</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(53,783)</w:t>
            </w:r>
          </w:p>
        </w:tc>
      </w:tr>
      <w:tr>
        <w:trPr>
          <w:trHeight w:val="223"/>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(loss) income attributable to noncontrolling interests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(10,293)</w:t>
            </w:r>
          </w:p>
        </w:tc>
      </w:tr>
      <w:tr>
        <w:trPr>
          <w:trHeight w:val="216"/>
        </w:trPr>
        <w:tc>
          <w:tcPr>
            <w:tcW w:w="10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2022</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(22,097)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(22,919)</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Six Months Ended May 2, 2021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18,828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17,958</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22,087</w:t>
            </w:r>
          </w:p>
        </w:tc>
      </w:tr>
      <w:tr>
        <w:trPr>
          <w:trHeight w:val="223"/>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4,853</w:t>
            </w:r>
          </w:p>
        </w:tc>
      </w:tr>
      <w:tr>
        <w:trPr>
          <w:trHeight w:val="216"/>
        </w:trPr>
        <w:tc>
          <w:tcPr>
            <w:tcW w:w="10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2, 2021</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36,052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35,192</w:t>
            </w:r>
          </w:p>
        </w:tc>
      </w:tr>
      <w:tr>
        <w:trPr>
          <w:trHeight w:val="564"/>
        </w:trPr>
        <w:tc>
          <w:tcPr>
            <w:tcW w:w="6440" w:type="dxa"/>
            <w:vAlign w:val="bottom"/>
            <w:tcBorders>
              <w:top w:val="single" w:sz="8" w:color="CCEEFF"/>
            </w:tcBorders>
            <w:gridSpan w:val="2"/>
          </w:tcPr>
          <w:p>
            <w:pPr>
              <w:ind w:left="5560"/>
              <w:spacing w:after="0"/>
              <w:rPr>
                <w:sz w:val="20"/>
                <w:szCs w:val="20"/>
                <w:color w:val="auto"/>
              </w:rPr>
            </w:pPr>
            <w:r>
              <w:rPr>
                <w:rFonts w:ascii="Times New Roman" w:cs="Times New Roman" w:eastAsia="Times New Roman" w:hAnsi="Times New Roman"/>
                <w:sz w:val="14"/>
                <w:szCs w:val="14"/>
                <w:color w:val="auto"/>
              </w:rPr>
              <w:t>25</w:t>
            </w:r>
          </w:p>
        </w:tc>
        <w:tc>
          <w:tcPr>
            <w:tcW w:w="6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 their carrying values due to the variable nature of the underlying interest rates. We did not have any assets or liabilities measured at fair value, on a recurring or a nonrecurring basis, at May 1, 2022, or October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REPURCHASE PROGRAMS</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We commenced repurchasing shares under this authorization on September 16, 2020. All of the shares repurchased under this authorization prior to January 30, 2022, were retired prior to that date. As of May 1, 2022, $31.7 million was available under this authorization for the purchase of additional shares. The table below presents information on this repurchase program for the three and six-month periods ended May 1, 2022, and May 2,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940" w:type="dxa"/>
            <w:vAlign w:val="bottom"/>
            <w:tcBorders>
              <w:top w:val="single" w:sz="8" w:color="auto"/>
            </w:tcBorders>
          </w:tcPr>
          <w:p>
            <w:pPr>
              <w:jc w:val="right"/>
              <w:ind w:right="32"/>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RECENT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Adopted</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as part of its overall simplification initiative to reduce costs and complexity of applying accounting standards while maintaining or improving the usefulness of the information provided to users of financial statements. The FASB’s amendments primarily impact ASC 740, Income Taxes, and may impact both interim and annual reporting periods. We adopted ASU 2019-12 on November 1, 2021; the effect of the adoption was immaterial.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to be Adopted</w:t>
      </w:r>
    </w:p>
    <w:p>
      <w:pPr>
        <w:spacing w:after="0" w:line="22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In April 2022, the FASB issued ASU 2022-2, “Financial Instruments – Credit Losses (Topic 326): Troubled Debt Restructurings and Vintage Disclosures”, which requires: 1) an entity to measure and record the lifetime expected credit losses of an asset that is within the scope of the Update upon origination or acquisition; as a result, credit losses from loans modified as troubled debt restructurings are to be incorporated into the allowance for credit losses and, 2) public business entities to disclose current-period gross writeoffs by year of origination for financing receivables and net investments in leases within the scope of Subtopic 326-20, “Financial Instruments—Credit Losses—Measured at Amortized Cost”. The guidance in this Update will be effective for Photronics in its first quarter of fiscal 2024. The amendments are to be applied prospectively, with the exception of the transition method related to the recognition and measurement of troubled debt restructurings for which an entity has the option to apply a modified retrospective transition method. We are currently evaluating the effect the adoption of this ASU may have on our disclosures.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to increase the transparency of government assistance including the disclosure of the types of assistance an entity receives, an entity’s method of accounting for government assistance, and the effect of the assistance on an entity’s financial statements. The guidance in this Update will be effective for Photronics in its fiscal year 2023 Form 10-K, with early application of the amendments allowed. The amendments are to be applied prospectively to all transactions within the scope of the amendments that are reflected in financial statements at the date of initial application and new transactions that are entered into after the date of initial application or, retrospectively to those transactions. We are currently evaluating the effect the adoption of this ASU may have on our disclosures.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is to be applied prospectively through December 31, 2022. We do not expect the impact of this ASU to be material to our consolidated financial statements.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162"/>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and results of operations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Form 10-K for fiscal 2021), that may cause actual results to materially differ from these expectations.</w:t>
      </w:r>
    </w:p>
    <w:p>
      <w:pPr>
        <w:spacing w:after="0" w:line="180" w:lineRule="exact"/>
        <w:rPr>
          <w:sz w:val="20"/>
          <w:szCs w:val="20"/>
          <w:color w:val="auto"/>
        </w:rPr>
      </w:pPr>
    </w:p>
    <w:p>
      <w:pPr>
        <w:ind w:right="100" w:firstLine="162"/>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120" w:firstLine="162"/>
        <w:spacing w:after="0" w:line="266"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This results in a minimal level of backlog, typically two to three weeks of backlog for FPD photomasks and one to two weeks for IC photomasks. However, the demand for some IC photomasks has expanded beyond the industry’s capacity to supply them within the traditional time period, thus the backlog in some cases can expand to as long as two to three months.</w:t>
      </w:r>
    </w:p>
    <w:p>
      <w:pPr>
        <w:spacing w:after="0" w:line="176" w:lineRule="exact"/>
        <w:rPr>
          <w:sz w:val="20"/>
          <w:szCs w:val="20"/>
          <w:color w:val="auto"/>
        </w:rPr>
      </w:pPr>
    </w:p>
    <w:p>
      <w:pPr>
        <w:ind w:firstLine="162"/>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ind w:right="180" w:firstLine="162"/>
        <w:spacing w:after="0" w:line="258" w:lineRule="auto"/>
        <w:rPr>
          <w:sz w:val="20"/>
          <w:szCs w:val="20"/>
          <w:color w:val="auto"/>
        </w:rPr>
      </w:pPr>
      <w:r>
        <w:rPr>
          <w:rFonts w:ascii="Times New Roman" w:cs="Times New Roman" w:eastAsia="Times New Roman" w:hAnsi="Times New Roman"/>
          <w:sz w:val="18"/>
          <w:szCs w:val="18"/>
          <w:color w:val="auto"/>
        </w:rPr>
        <w:t>All of our facilities have continued to operate throughout the COVID-19 pandemic. The pandemic, particularly at its height, impacted our business in a number of ways including customer shutdowns, which led to delays in new photomask design releases, and travel restrictions, which delayed tool installations and servicing. To date we have not experienced significant raw material shortages, however, supply chain disruptions could potentially delay or prevent us from fulfilling customer orders. While our business has continued to grow over the course of the pandemic, we cannot predict its future impact on our business with a high level of certainty.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May 1, 2022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94"/>
        </w:trPr>
        <w:tc>
          <w:tcPr>
            <w:tcW w:w="44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138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8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110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60" w:type="dxa"/>
            <w:vAlign w:val="bottom"/>
          </w:tcPr>
          <w:p>
            <w:pPr>
              <w:spacing w:after="0"/>
              <w:rPr>
                <w:sz w:val="16"/>
                <w:szCs w:val="16"/>
                <w:color w:val="auto"/>
              </w:rPr>
            </w:pPr>
          </w:p>
        </w:tc>
      </w:tr>
      <w:tr>
        <w:trPr>
          <w:trHeight w:val="238"/>
        </w:trPr>
        <w:tc>
          <w:tcPr>
            <w:tcW w:w="44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65.7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68.5</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w:t>
            </w:r>
          </w:p>
        </w:tc>
      </w:tr>
      <w:tr>
        <w:trPr>
          <w:trHeight w:val="223"/>
        </w:trPr>
        <w:tc>
          <w:tcPr>
            <w:tcW w:w="44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34.3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44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24.2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8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1260" w:type="dxa"/>
            <w:vAlign w:val="bottom"/>
            <w:gridSpan w:val="2"/>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4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4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4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Note: All tabular comparisons included in the following discussion, unless otherwise indicated, are for the three months ended May 1, 2022 (Q2 FY22), January 30, 2022 (Q1 FY22), and May 2, 2021 (Q2 FY21), and for the six months ended May 1, 2022 (YTD FY22) and May 2, 2021 (YTD FY21), in millions of dollars. The columns may not foot due to rounding.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288"/>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or second quarter of our fiscal year by the North American, European, and Asian holiday periods, as some of our customers reduce their development and, consequently, their buying activities during those periods.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tables present changes in disaggregated revenue in Q2 FY22 and YTD FY22 from revenue in prior reporting periods.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Product Type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gridSpan w:val="8"/>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Q2 FY22 from Q1 FY22</w:t>
            </w:r>
          </w:p>
        </w:tc>
        <w:tc>
          <w:tcPr>
            <w:tcW w:w="100" w:type="dxa"/>
            <w:vAlign w:val="bottom"/>
          </w:tcPr>
          <w:p>
            <w:pPr>
              <w:spacing w:after="0"/>
              <w:rPr>
                <w:sz w:val="21"/>
                <w:szCs w:val="21"/>
                <w:color w:val="auto"/>
              </w:rPr>
            </w:pPr>
          </w:p>
        </w:tc>
        <w:tc>
          <w:tcPr>
            <w:tcW w:w="2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Q2 FY22 from Q2 FY21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20" w:type="dxa"/>
            <w:vAlign w:val="bottom"/>
            <w:gridSpan w:val="7"/>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YTD FY22 from YTD FY21</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980" w:type="dxa"/>
            <w:vAlign w:val="bottom"/>
            <w:tcBorders>
              <w:top w:val="single" w:sz="8" w:color="auto"/>
            </w:tcBorders>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0" w:type="dxa"/>
            <w:vAlign w:val="bottom"/>
            <w:tcBorders>
              <w:top w:val="single" w:sz="8" w:color="auto"/>
            </w:tcBorders>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top w:val="single" w:sz="8" w:color="auto"/>
            </w:tcBorders>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02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Q2 FY22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0"/>
                <w:szCs w:val="20"/>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YTD FY22</w:t>
            </w: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IC</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High-end photomasks typically have higher average selling prices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Geographic Origin**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8"/>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Q2 FY22 from Q1 FY22</w:t>
            </w: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Q2 FY22 from Q2 FY21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YTD FY22 from YTD FY21</w:t>
            </w:r>
          </w:p>
        </w:tc>
      </w:tr>
      <w:tr>
        <w:trPr>
          <w:trHeight w:val="223"/>
        </w:trPr>
        <w:tc>
          <w:tcPr>
            <w:tcW w:w="22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4"/>
        </w:trPr>
        <w:tc>
          <w:tcPr>
            <w:tcW w:w="2220" w:type="dxa"/>
            <w:vAlign w:val="bottom"/>
          </w:tcPr>
          <w:p>
            <w:pPr>
              <w:spacing w:after="0"/>
              <w:rPr>
                <w:sz w:val="16"/>
                <w:szCs w:val="16"/>
                <w:color w:val="auto"/>
              </w:rPr>
            </w:pPr>
          </w:p>
        </w:tc>
        <w:tc>
          <w:tcPr>
            <w:tcW w:w="9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80" w:type="dxa"/>
            <w:vAlign w:val="bottom"/>
            <w:tcBorders>
              <w:top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86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3"/>
          </w:tcPr>
          <w:p>
            <w:pPr>
              <w:jc w:val="right"/>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80" w:type="dxa"/>
            <w:vAlign w:val="bottom"/>
            <w:tcBorders>
              <w:top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Q2 FY22</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YTD FY22</w:t>
            </w:r>
          </w:p>
        </w:tc>
        <w:tc>
          <w:tcPr>
            <w:tcW w:w="10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2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r>
      <w:tr>
        <w:trPr>
          <w:trHeight w:val="257"/>
        </w:trPr>
        <w:tc>
          <w:tcPr>
            <w:tcW w:w="2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Revenue in Q2 FY22 was $204.5 million, representing an increase of 7.7% compared with Q1 FY22 and 28.0% from Q2 FY21. Revenue in YTD FY22 was $394.3 million, representing an increase of 26.5% over YTD FY21.</w:t>
      </w:r>
    </w:p>
    <w:p>
      <w:pPr>
        <w:spacing w:after="0" w:line="16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IC photomask revenue increased 12.4% and 30.2% in Q2 FY22, compared with Q1 FY22 and Q2 FY21, respectively, and increased 27.0% in YTD FY22, compared with YTD FY21. These increases were driven by continued demand growth and better pricing for mainstream photomasks used for computer chips needed for the production of products considered part of the “internet-of-things”, 5G wireless technology applications, cryptocurrency mining, and consumer products. Concurrently, strong demand for high-end logic photomasks in Asia also allowed for better pricing.</w:t>
      </w:r>
    </w:p>
    <w:p>
      <w:pPr>
        <w:spacing w:after="0" w:line="18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FPD revenue decreased 2.3% in Q2 FY22, compared with Q1 FY22, due to a decline in mainstream demand, unfavorable product mix, and the weakening of the Japanese yen, as well as softened demand for G10.5+ large area masks. FPD revenues increased 22.9% in Q2 FY22, compared with Q2 FY21, as a result of improved demand for both AMOLED photomasks used in mobile applications and G10.5+ large area masks. Demand and ASPs also improved from the prior year quarter for mainstream photomasks. On a year-to-date basis, FPD revenue increased 25.2% as a result of improved demand for AMOLED photomasks and ASPs for mainstream products.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94"/>
        </w:trPr>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Q2 FY22</w:t>
            </w:r>
          </w:p>
        </w:tc>
        <w:tc>
          <w:tcPr>
            <w:tcW w:w="6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Q1 FY22</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Q2 FY21</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FY22</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YTD FY21</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70.2</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59.9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39.2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69.8</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31.5%</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24.6%</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22.4%</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243"/>
        <w:spacing w:after="0" w:line="258" w:lineRule="auto"/>
        <w:rPr>
          <w:sz w:val="20"/>
          <w:szCs w:val="20"/>
          <w:color w:val="auto"/>
        </w:rPr>
      </w:pPr>
      <w:r>
        <w:rPr>
          <w:rFonts w:ascii="Times New Roman" w:cs="Times New Roman" w:eastAsia="Times New Roman" w:hAnsi="Times New Roman"/>
          <w:sz w:val="18"/>
          <w:szCs w:val="18"/>
          <w:color w:val="auto"/>
        </w:rPr>
        <w:t>Gross margin increased by 2.8 percentage points in Q2 FY22, from Q1 FY22, primarily as a result of the increase in revenue from the prior quarter. Material costs increased 2.4% from the prior quarter, but decreased, as a percentage of revenue, by 140 basis points. Labor costs increased 5.4%, but decreased 20 basis points, as a percentage of revenue. Equipment and other overhead costs increased 3.4% but decreased 120 basis points as a percentage of revenue, primarily driven by increased importation costs into China, partially offset by decreased outside processing costs, including sputtering and coating.</w:t>
      </w:r>
    </w:p>
    <w:p>
      <w:pPr>
        <w:spacing w:after="0" w:line="183" w:lineRule="exact"/>
        <w:rPr>
          <w:sz w:val="20"/>
          <w:szCs w:val="20"/>
          <w:color w:val="auto"/>
        </w:rPr>
      </w:pPr>
    </w:p>
    <w:p>
      <w:pPr>
        <w:ind w:right="20" w:firstLine="243"/>
        <w:spacing w:after="0" w:line="256" w:lineRule="auto"/>
        <w:rPr>
          <w:sz w:val="20"/>
          <w:szCs w:val="20"/>
          <w:color w:val="auto"/>
        </w:rPr>
      </w:pPr>
      <w:r>
        <w:rPr>
          <w:rFonts w:ascii="Times New Roman" w:cs="Times New Roman" w:eastAsia="Times New Roman" w:hAnsi="Times New Roman"/>
          <w:sz w:val="18"/>
          <w:szCs w:val="18"/>
          <w:color w:val="auto"/>
        </w:rPr>
        <w:t>Gross margin increased by 9.7 percentage points in Q2 FY22, from Q2 FY21, primarily as a result of the increase in revenue from the prior year quarter. Material costs increased 13.1% from the prior year quarter, but decreased 340 basis points, as a percentage of revenue. Labor costs increased 15.8% from the prior year quarter but decreased 110 basis points as a percent of revenue; the increase was primarily the result of increased labor costs in Asia. Equipment and other overhead costs rose 8.4%, but decreased 520 basis points, as a percentage of revenue. Increased outsourced manufacturing costs and importation costs into China, which were partially offset by decreased depreciation expense, were the most significant contributors to the net increase in equipment and other overhead costs.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Gross margin increased by 10.6 percentage points in YTD FY22, from YTD FY21, primarily as a result of the increase in revenue from the prior year. Material costs increased 11.8% from the prior year quarter, but decreased 350 basis points, as a percentage of revenue. Labor costs increased 12.5% from the prior year quarter but decreased 140 basis points as a percent of revenue; the increase was primarily the result of increased labor costs in Asia. Equipment and other overhead costs rose 5.7%, but decreased 570 basis points, as a percentage of revenue. Increased outsourced manufacturing costs and importation costs into China, which were partially offset by decreased depreciation expense, were the most significant contributors to the net increase in equipment and other overhead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$16.6 million in Q2 FY22, compared with $15.7 million in Q1 FY22. The increase of $0.9 million was primarily the result of increased compensation and related expenses of $1.2 million, which were partially offset by decreased professional fees of $0.3 million. Selling, general and administrative expenses increased $2.5 million in Q2 FY22, from $14.1 million in Q1 FY21, primarily as a result of increased compensation and related expenses of $2.4 million. The increases in compensation and related expenses from both prior periods included increased severance costs of $0.7 million, primarily related to the retirement of our former chief executive officer.</w:t>
      </w:r>
    </w:p>
    <w:p>
      <w:pPr>
        <w:spacing w:after="0" w:line="18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$32.3 million in YTD FY22, compared with $28.1 million in YTD FY21. The increase of $4.2 million was primarily the result of increased compensation and related expenses of $3.9 million, and increased export duties of $0.3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were $4.2 million in Q2 FY22, compared with $5.9 million in Q1 FY22; the decrease was primarily the result of decreased development activities in the U.S. Research and development expenses decreased by $0.2 million in Q2 FY22, from $4.4 million incurred in Q2 FY21, with decreased development activities in the U.S. and China exceeding increases at our Taiwan-based facilities.</w:t>
      </w:r>
    </w:p>
    <w:p>
      <w:pPr>
        <w:spacing w:after="0" w:line="180" w:lineRule="exact"/>
        <w:rPr>
          <w:sz w:val="20"/>
          <w:szCs w:val="20"/>
          <w:color w:val="auto"/>
        </w:rPr>
      </w:pPr>
    </w:p>
    <w:p>
      <w:pPr>
        <w:ind w:right="640" w:firstLine="324"/>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increased by $1.1 million in YTD FY22 to $10.1 million, compared with $9.1 million in YTD FY21. The increase was driven by more development activities in the U.S. and Taiwan, which were partially offset by a decrease in such activities in China.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Q2 FY22</w:t>
            </w:r>
          </w:p>
        </w:tc>
        <w:tc>
          <w:tcPr>
            <w:tcW w:w="16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Q1 FY22</w:t>
            </w:r>
          </w:p>
        </w:tc>
        <w:tc>
          <w:tcPr>
            <w:tcW w:w="14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Q2 FY21</w:t>
            </w: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YTD FY22</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FY21</w:t>
            </w:r>
          </w:p>
        </w:tc>
      </w:tr>
      <w:tr>
        <w:trPr>
          <w:trHeight w:val="223"/>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Non-operating income (expense) increased $3.3 million to $8.0 million in Q2 FY22, compared with $4.7 million in Q1 FY22, primarily due to favorable movements of the South Korean won and the New Taiwan dollar against the U.S. dollar offsetting unfavorable movements of the RMB against the U.S. dollar. In addition, our interest expense decreased by $0.9 million as a result of subsidies we received on our China-based debt.</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Non-operating income (expense) increased $8.8 million to $8.0 million in Q2 FY22, compared with $(0.8) million in Q2 FY21, and increased $12.8 million to $12.7 million in YTD FY22, compared with $(0.1) million in YTD FY21. These increases were primarily due to favorable movements of the South Korean won and the New Taiwan dollar against the U.S. dollar, which were partially offset by unfavorable movements of the RMB against the U.S. dollar. These net favorable foreign currency results were partially offset by increased interest expense in the current year periods, which resulted from our receiving lower subsidies on our China-based debt.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Q2 FY22</w:t>
            </w:r>
          </w:p>
        </w:tc>
        <w:tc>
          <w:tcPr>
            <w:tcW w:w="1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Q1 FY22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Q2 FY21</w:t>
            </w: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YTD FY22</w:t>
            </w:r>
          </w:p>
        </w:tc>
        <w:tc>
          <w:tcPr>
            <w:tcW w:w="10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YTD FY21</w:t>
            </w:r>
          </w:p>
        </w:tc>
      </w:tr>
      <w:tr>
        <w:trPr>
          <w:trHeight w:val="223"/>
        </w:trPr>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r>
    </w:tbl>
    <w:p>
      <w:pPr>
        <w:spacing w:after="0" w:line="17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 where the tax benefit of the losses is not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effective income tax rate decrease in Q2 FY22, compared with Q1 FY22, is primarily due to changes in the jurisdictional mix of earnings.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 in Q2 FY22, compared with Q2 FY21, is primarily due to a decrease in credits in a non-U.S. jurisdiction and the release of valuation allowance for a loss carryforward in a non-U.S. jurisdiction in Q2 FY21.</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 in YTD FY22, compared with YTD FY21, is primarily due to a decrease in credits in a non-U.S. jurisdiction and the release of valuation allowance for a loss carryforward in a non-U.S. jurisdiction in YTD FY21.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$15.6 million in Q2 FY22, compared with $8.7 million in Q1 FY22, and $5.8 million in Q2 FY21. On a year-to-date basis, net income attributable to noncontrolling interests increased to $24.3 million in YTD FY22 from $7.3 million in YTD FY21. The increases from all prior periods resulted from increased net income at our Taiwan-based and China-based IC joint ventures.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3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was $329.3 million and $276.7 million as of May 1, 2022, and October 31, 2021, respectively. As of the most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balance sheet date, total cash and cash equivalents included $266.1 million held by foreign subsidiaries. Net Cash, a non-GAAP financial measure as defined and discussed in the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section below, was $246.7 million and $165.0 million as of May 1, 2022, and October 31, 2021, respectively. Our primary sources of liquidity are our cash on hand, cash we generate from operations, and borrowing capacity we have available from financial institutions. Our corporate credit agreement has a $50 million borrowing limit, with an expansion capacity to $100 million. Although we have not accessed funds under our corporate credit facilities since 2011, it continues to afford us financial flexibility. In addition, in China, we currently have approximately $30.4 million of borrowing capacity to support local operations. See Note 5 to the condensed consolidated financial statements for additional information on our currently available financing.</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and (potentially) our borrowing capacity under our financing arrangements, we plan to continue to invest in our business, with our investments targeted to align with our customers’ technology road maps. In addition, we stand ready to invest in mergers, acquisitions, or strategic partnerships, should the right opportunity be available.</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estimate capital expenditures for the remainder of FY22 will be approximately $65 million; these investments will be targeted towards high-end and mainstream point tools that will increase our operating capacity and efficiency, and enable us to support our customers’ near-term demands. As of May 1, 2022, we had outstanding capital commitments of approximately $115 million and recognized liabilities related to capital equipment purchases of approximately $8 million. Although payment timing could vary, primarily as a result of the timing of tool installation and testing, we currently estimate that we will fund $96 million of our total $123 million committed and recognized obligations for capital expenditures over the next twelve months. Please refer to Notes 5 and 7, respectively, to the condensed consolidated financial statements for information on our outstanding debt and lease commitments.</w:t>
      </w:r>
    </w:p>
    <w:p>
      <w:pPr>
        <w:spacing w:after="0" w:line="187"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May 1, 2022, our current share repurchase program had approximately $31.7 million remaining under its authorization. Depending on market conditions, we may utilize some or the entire remaining approved amount to reacquire additional shares.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firstLine="359"/>
        <w:spacing w:after="0" w:line="258" w:lineRule="auto"/>
        <w:rPr>
          <w:sz w:val="20"/>
          <w:szCs w:val="20"/>
          <w:color w:val="auto"/>
        </w:rPr>
      </w:pPr>
      <w:r>
        <w:rPr>
          <w:rFonts w:ascii="Times New Roman" w:cs="Times New Roman" w:eastAsia="Times New Roman" w:hAnsi="Times New Roman"/>
          <w:sz w:val="18"/>
          <w:szCs w:val="18"/>
          <w:color w:val="auto"/>
        </w:rPr>
        <w:t>As discussed in Note 4 to the condensed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May 1, 2022, Photronics and DNP each had net investments in this joint venture of approximately $92.6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YTD FY22</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FY21</w:t>
            </w:r>
          </w:p>
        </w:tc>
      </w:tr>
      <w:tr>
        <w:trPr>
          <w:trHeight w:val="223"/>
        </w:trPr>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u w:val="single" w:color="auto"/>
          <w:color w:val="auto"/>
        </w:rPr>
        <w:t>Operating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reflects net income adjusted for certain non-cash items, including depreciation and amortization, share-based compensation, and the effects of changes in operating assets and liabilities. Net cash provided by operating activities increased by $45.1 million in YTD FY22, compared with YTD FY21, due to increased net income, which was partially offset by lower depreciation expense.</w:t>
      </w:r>
    </w:p>
    <w:p>
      <w:pPr>
        <w:spacing w:after="0" w:line="173"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color w:val="auto"/>
        </w:rPr>
        <w:t>Free Cash Flow and LTM (“Last Twelve Months”) Free Cash Flow, which are non-GAAP financial measures as discussed in the “</w:t>
      </w:r>
      <w:r>
        <w:rPr>
          <w:rFonts w:ascii="Times New Roman" w:cs="Times New Roman" w:eastAsia="Times New Roman" w:hAnsi="Times New Roman"/>
          <w:sz w:val="18"/>
          <w:szCs w:val="18"/>
          <w:i w:val="1"/>
          <w:iCs w:val="1"/>
          <w:color w:val="auto"/>
        </w:rPr>
        <w:t>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r>
        <w:rPr>
          <w:rFonts w:ascii="Times New Roman" w:cs="Times New Roman" w:eastAsia="Times New Roman" w:hAnsi="Times New Roman"/>
          <w:sz w:val="18"/>
          <w:szCs w:val="18"/>
          <w:color w:val="auto"/>
        </w:rPr>
        <w:t>” section below, increased by $79.4 and $95.3 million, respectively, compared with YTD FY21, primarily due to the increase in</w:t>
      </w:r>
      <w:r>
        <w:rPr>
          <w:rFonts w:ascii="Times New Roman" w:cs="Times New Roman" w:eastAsia="Times New Roman" w:hAnsi="Times New Roman"/>
          <w:sz w:val="18"/>
          <w:szCs w:val="18"/>
          <w:i w:val="1"/>
          <w:iCs w:val="1"/>
          <w:color w:val="auto"/>
        </w:rPr>
        <w:t xml:space="preserve"> Net cash provided by operating activities </w:t>
      </w:r>
      <w:r>
        <w:rPr>
          <w:rFonts w:ascii="Times New Roman" w:cs="Times New Roman" w:eastAsia="Times New Roman" w:hAnsi="Times New Roman"/>
          <w:sz w:val="18"/>
          <w:szCs w:val="18"/>
          <w:color w:val="auto"/>
        </w:rPr>
        <w:t>discussed above.</w:t>
      </w:r>
    </w:p>
    <w:p>
      <w:pPr>
        <w:spacing w:after="0" w:line="173"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u w:val="single" w:color="auto"/>
          <w:color w:val="auto"/>
        </w:rPr>
        <w:t>Investing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flows used in investing activities</w:t>
      </w:r>
      <w:r>
        <w:rPr>
          <w:rFonts w:ascii="Times New Roman" w:cs="Times New Roman" w:eastAsia="Times New Roman" w:hAnsi="Times New Roman"/>
          <w:sz w:val="18"/>
          <w:szCs w:val="18"/>
          <w:color w:val="auto"/>
        </w:rPr>
        <w:t xml:space="preserve"> primarily consisted of purchases of property, plant and equipment of $34.8 million, which decreased $38.7 million in YTD FY22, as compared with YTD FY21. The reduced spending on property, plant and equipment was partially offset by a $4.4 million decrease in investment related government incentives received in China.</w:t>
      </w:r>
    </w:p>
    <w:p>
      <w:pPr>
        <w:spacing w:after="0" w:line="17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flows used in financing activities</w:t>
      </w:r>
      <w:r>
        <w:rPr>
          <w:rFonts w:ascii="Times New Roman" w:cs="Times New Roman" w:eastAsia="Times New Roman" w:hAnsi="Times New Roman"/>
          <w:sz w:val="18"/>
          <w:szCs w:val="18"/>
          <w:color w:val="auto"/>
        </w:rPr>
        <w:t xml:space="preserve"> primarily consist of share repurchases, proceeds from and repayments of debt, and contributions from noncontrolling interests. Net cash used in financing activities decreased by $16.5 million in YTD FY22, compared with YTD FY21, primarily due to contributions from noncontrolling interests in our majority owned subsidiaries in Taiwan and China of $25.0 million, decreased share repurchases of $20.7 million, and increased debt repayments of $18.9 million. In addition, we received debt proceeds of $12.4 million in YTD FY21 and did not incur debt in YTD FY22.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consider Free Cash Flow, LTM Free Cash Flow, and Net Cash, which are “non-GAAP financial measures” (as such term is defined by the SEC), to be useful metrics in measuring our cash-generating performance. (Note that we may define these terms differently than other companies that use similarly-named non-GAAP financial measures.) These non-GAAP metrics are not intended to represent funds available for our discretionary use or to be used as a substitute for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as measured under GAAP. The following tables reconcile </w:t>
      </w:r>
      <w:r>
        <w:rPr>
          <w:rFonts w:ascii="Times New Roman" w:cs="Times New Roman" w:eastAsia="Times New Roman" w:hAnsi="Times New Roman"/>
          <w:sz w:val="18"/>
          <w:szCs w:val="18"/>
          <w:i w:val="1"/>
          <w:iCs w:val="1"/>
          <w:color w:val="auto"/>
        </w:rPr>
        <w:t>Net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by operating activities </w:t>
      </w:r>
      <w:r>
        <w:rPr>
          <w:rFonts w:ascii="Times New Roman" w:cs="Times New Roman" w:eastAsia="Times New Roman" w:hAnsi="Times New Roman"/>
          <w:sz w:val="18"/>
          <w:szCs w:val="18"/>
          <w:color w:val="auto"/>
        </w:rPr>
        <w:t>to Free Cash Flow and present the calculations of LTM Free Cash Flow for Q2 FY22 and Q2 FY21. The columns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 due to rounding.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YTD FY22</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FY21</w:t>
            </w:r>
          </w:p>
        </w:tc>
        <w:tc>
          <w:tcPr>
            <w:tcW w:w="0" w:type="dxa"/>
            <w:vAlign w:val="bottom"/>
          </w:tcPr>
          <w:p>
            <w:pPr>
              <w:spacing w:after="0"/>
              <w:rPr>
                <w:sz w:val="1"/>
                <w:szCs w:val="1"/>
                <w:color w:val="auto"/>
              </w:rPr>
            </w:pPr>
          </w:p>
        </w:tc>
      </w:tr>
      <w:tr>
        <w:trPr>
          <w:trHeight w:val="223"/>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Free Cash Flow</w:t>
            </w:r>
          </w:p>
        </w:tc>
        <w:tc>
          <w:tcPr>
            <w:tcW w:w="4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40" w:type="dxa"/>
            <w:vAlign w:val="bottom"/>
            <w:gridSpan w:val="2"/>
            <w:vMerge w:val="continue"/>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incentives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118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4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570"/>
        </w:trPr>
        <w:tc>
          <w:tcPr>
            <w:tcW w:w="1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340" w:type="dxa"/>
            <w:vAlign w:val="bottom"/>
          </w:tcPr>
          <w:p>
            <w:pPr>
              <w:jc w:val="right"/>
              <w:ind w:right="2896"/>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8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Q2 FY22</w:t>
            </w: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Q2 FY21</w:t>
            </w:r>
          </w:p>
        </w:tc>
        <w:tc>
          <w:tcPr>
            <w:tcW w:w="0" w:type="dxa"/>
            <w:vAlign w:val="bottom"/>
          </w:tcPr>
          <w:p>
            <w:pPr>
              <w:spacing w:after="0"/>
              <w:rPr>
                <w:sz w:val="1"/>
                <w:szCs w:val="1"/>
                <w:color w:val="auto"/>
              </w:rPr>
            </w:pPr>
          </w:p>
        </w:tc>
      </w:tr>
      <w:tr>
        <w:trPr>
          <w:trHeight w:val="223"/>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LTM Free Cash Flow</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six months of the respective fiscal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fiscal year end</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six months of the prior year</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LTM free cash flow</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to Net Cash at the balance sheet dates. The increase in Net Cash was primarily driven by an increase in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and decreased spending on property, plant and equipment, as discussed above. The columns may not foot due to rounding.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Cash</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current business outlook and guidance was provided in the Photronics Q2 FY22 earnings release, Earnings Presentation, and financial results conference call, but is not incorporated herein. These can be accessed in the investor section of our website - www.photronics.com.</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Q2 FY22 Earnings Presentation and the related financial results conference call and slide deck involve a number of risks and uncertainties, some of which are discussed in Part I, Item 1A of our 2021 Form 10-K. A number of other unforeseeable factors could cause actual results to differ materially from our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2021 Form 10-K for discussion of our critical accounting estimates. There have been no changes to our critical accounting estimates since the filing of our Form 10-K for the year ended October 31, 2021.</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ectPr>
          <w:pgSz w:w="11900" w:h="16838" w:orient="portrait"/>
          <w:cols w:equalWidth="0" w:num="1">
            <w:col w:w="11240"/>
          </w:cols>
          <w:pgMar w:left="320" w:top="114"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May 1, 2022, included the South Korean won, the Japanese yen, the New Taiwan dollar, the RMB, the Singapore dollar, the British pound sterling, and the euro. As of that date, a 10% adverse movement in the value of currencies different from the functional currencies of our subsidiaries would have resulted in a net unrealized pre-tax loss of $34.1 million, which represents an increase of $0.1 million from our exposure at January 30, 2022, and a decrease of $1.1 million from our exposure at October 31, 2021. Our most significant exposures at May 1, 2022, related to the South Korean won, the RMB, and the New Taiwan Dollar to the U.S. dollar, which were, respectively, $11.5 million, $9.1 million, and $8.3 million at that date. We do not believe that a 10% change in the exchange rates of non-US dollar currencies, other than the aforementioned currencies and the Japanese yen, would have had a material effect on our May 1, 2022,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 10% adverse movement in the interest rates on our variable rate borrowings would not have had a material effect on our May 1, 2022, condensed consolidated financial statements.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second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Note 11 within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light of external events that have taken place subsequent to the close of the first fiscal quarter, we have decided to modify two of the risk factors included in our 2021 Form 10-K, under the “General Risk Factors” heading,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adversely impacted by global or regional catastrophic events.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business could be materially, adversely affected by terrorist acts, widespread outbreaks of infectious diseases (such as COVID-19), government responses emplaced to limit the impact of infectious diseases (such as shelter-in-place directives), or the outbreak or escalation of wars including, but not limited to, the invasion of Ukraine by the Russian Federation. Such events in the geographic regions in which we do business, including escalations of political tensions and military conflicts in the U.S., Europe, the Republic of South Korea, the People’s Republic of China, or the Republic of China (Taiwan), and any governmental sanctions enacted in reaction thereto, could result in a global energy crisis, economic inflation, supply-chain disruptions, or the confiscation or destruction of our facilities; all and any of these outcomes could have material, adverse impacts on our results of operations, financial condition, and cash flows.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technology could be subject to and negatively impacted by the recent expansion of the foreign-produced direct product rule, as well as other contemplated regulatory actions.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May 2019, the U.S. Department of Commerce, Bureau of Industry and Security (“BIS”) amended export administration regulations by adding Huawei Technologies Co., Ltd. (“Huawei”) and certain affiliates to the “Entity List” for actions contrary to the national security and foreign policy interests of the United States, imposing significant new restrictions on export, re-export and transfer of U.S. regulated technologies and products to Huawei. On August 17, 2020, BIS issued a final rule adding additional Huawei non-U.S. affiliates to the Entity List, confirming the expiration of a temporary general license applicable to Huawei, and amended the foreign-produced direct product rule in a manner that represents a significant expansion of its application to Huawei.</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Expansion of the foreign-produced direct product rule and additional companies being added to the entity list may adversely affect our business in various ways, including by: increasing the cost of regulatory compliance for the export of our products, equipment, services, and technology from the United States and abroad; increasing the time necessary to obtain required authorizations; increasing the risk of monetary fines and other penalties for non-compliance, and negatively impacting our customers who may no longer be able to supply their customers and thereby reducing demand for their or our products. Any of these effects could result in lost revenue, additional product costs, increased lead times and deployment delays that could harm our business and customer relationships.</w:t>
      </w:r>
    </w:p>
    <w:p>
      <w:pPr>
        <w:spacing w:after="0" w:line="187"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it has been reported that BIS is considering a ban on American companies selling advanced chipmaking equipment to Chinese firms. Such a rule would expand on an existing ban on U.S. companies selling equipment to China's leading chipmaker, which remains a customer of PDMCX through an exception to the rule. There can be no assurance that an expanded ban would not make it difficult for us to continue supplying to this customer, or allow us to pursue new relationships with Chinese companies, which could result in diminished sales for us.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200" w:firstLine="342"/>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14, 2020, and all shares repurchased under this program prior to January 30, 2022, were retired prior to that date. The following table presents information on our common stock repurchase activity for the second fiscal quarter of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Yet Be Purchased</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 (in millions)</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8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2022 – February 27,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28, 2022 – March 27,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28, 2022 – May 1,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Certain of our debt agreements and lease arrangements include limitations on the amounts of dividends we may pay. Please refer to Notes 5 and 7 of the condensed consolidated financial statements for information on these limitations.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040" w:type="dxa"/>
            <w:vAlign w:val="bottom"/>
            <w:gridSpan w:val="3"/>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Incorporated by Reference</w:t>
            </w:r>
          </w:p>
        </w:tc>
        <w:tc>
          <w:tcPr>
            <w:tcW w:w="600" w:type="dxa"/>
            <w:vAlign w:val="bottom"/>
            <w:gridSpan w:val="2"/>
          </w:tcPr>
          <w:p>
            <w:pPr>
              <w:spacing w:after="0"/>
              <w:rPr>
                <w:sz w:val="24"/>
                <w:szCs w:val="24"/>
                <w:color w:val="auto"/>
              </w:rPr>
            </w:pPr>
          </w:p>
        </w:tc>
        <w:tc>
          <w:tcPr>
            <w:tcW w:w="8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File</w:t>
            </w:r>
          </w:p>
        </w:tc>
        <w:tc>
          <w:tcPr>
            <w:tcW w:w="8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880" w:type="dxa"/>
            <w:vAlign w:val="bottom"/>
            <w:gridSpan w:val="4"/>
            <w:vMerge w:val="continu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gridSpan w:val="3"/>
            <w:vMerge w:val="restart"/>
          </w:tcPr>
          <w:p>
            <w:pPr>
              <w:ind w:left="23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5"/>
            <w:vMerge w:val="continue"/>
          </w:tcPr>
          <w:p>
            <w:pPr>
              <w:spacing w:after="0"/>
              <w:rPr>
                <w:sz w:val="17"/>
                <w:szCs w:val="17"/>
                <w:color w:val="auto"/>
              </w:rPr>
            </w:pPr>
          </w:p>
        </w:tc>
        <w:tc>
          <w:tcPr>
            <w:tcW w:w="880" w:type="dxa"/>
            <w:vAlign w:val="bottom"/>
            <w:gridSpan w:val="4"/>
            <w:vMerge w:val="continue"/>
          </w:tcPr>
          <w:p>
            <w:pPr>
              <w:spacing w:after="0"/>
              <w:rPr>
                <w:sz w:val="17"/>
                <w:szCs w:val="17"/>
                <w:color w:val="auto"/>
              </w:rPr>
            </w:pPr>
          </w:p>
        </w:tc>
        <w:tc>
          <w:tcPr>
            <w:tcW w:w="84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88"/>
              </w:rPr>
              <w:t>Furnished</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4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6"/>
          </w:tcPr>
          <w:p>
            <w:pPr>
              <w:jc w:val="center"/>
              <w:ind w:left="31"/>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7"/>
                <w:szCs w:val="17"/>
                <w:color w:val="auto"/>
              </w:rPr>
            </w:pPr>
          </w:p>
        </w:tc>
        <w:tc>
          <w:tcPr>
            <w:tcW w:w="6040" w:type="dxa"/>
            <w:vAlign w:val="bottom"/>
            <w:gridSpan w:val="3"/>
            <w:vMerge w:val="continue"/>
          </w:tcPr>
          <w:p>
            <w:pPr>
              <w:spacing w:after="0"/>
              <w:rPr>
                <w:sz w:val="17"/>
                <w:szCs w:val="17"/>
                <w:color w:val="auto"/>
              </w:rPr>
            </w:pPr>
          </w:p>
        </w:tc>
        <w:tc>
          <w:tcPr>
            <w:tcW w:w="2460" w:type="dxa"/>
            <w:vAlign w:val="bottom"/>
            <w:gridSpan w:val="10"/>
          </w:tcPr>
          <w:p>
            <w:pPr>
              <w:ind w:left="420"/>
              <w:spacing w:after="0" w:line="196" w:lineRule="exact"/>
              <w:rPr>
                <w:sz w:val="20"/>
                <w:szCs w:val="20"/>
                <w:color w:val="auto"/>
              </w:rPr>
            </w:pPr>
            <w:r>
              <w:rPr>
                <w:rFonts w:ascii="Times New Roman" w:cs="Times New Roman" w:eastAsia="Times New Roman" w:hAnsi="Times New Roman"/>
                <w:sz w:val="18"/>
                <w:szCs w:val="18"/>
                <w:b w:val="1"/>
                <w:bCs w:val="1"/>
                <w:color w:val="auto"/>
              </w:rPr>
              <w:t>Form  Number  Exhibit</w:t>
            </w:r>
          </w:p>
        </w:tc>
        <w:tc>
          <w:tcPr>
            <w:tcW w:w="140" w:type="dxa"/>
            <w:vAlign w:val="bottom"/>
          </w:tcPr>
          <w:p>
            <w:pPr>
              <w:spacing w:after="0"/>
              <w:rPr>
                <w:sz w:val="17"/>
                <w:szCs w:val="17"/>
                <w:color w:val="auto"/>
              </w:rPr>
            </w:pPr>
          </w:p>
        </w:tc>
        <w:tc>
          <w:tcPr>
            <w:tcW w:w="740" w:type="dxa"/>
            <w:vAlign w:val="bottom"/>
            <w:gridSpan w:val="3"/>
          </w:tcPr>
          <w:p>
            <w:pPr>
              <w:jc w:val="center"/>
              <w:ind w:right="3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840" w:type="dxa"/>
            <w:vAlign w:val="bottom"/>
            <w:gridSpan w:val="3"/>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91"/>
              </w:rPr>
              <w:t>Herewith</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6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6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6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7"/>
        </w:trPr>
        <w:tc>
          <w:tcPr>
            <w:tcW w:w="1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60" w:type="dxa"/>
            <w:vAlign w:val="bottom"/>
            <w:tcBorders>
              <w:top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4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right w:val="single" w:sz="8" w:color="CCEEFF"/>
            </w:tcBorders>
            <w:shd w:val="clear" w:color="auto" w:fill="CCEEFF"/>
          </w:tcPr>
          <w:p>
            <w:pPr>
              <w:spacing w:after="0"/>
              <w:rPr>
                <w:sz w:val="20"/>
                <w:szCs w:val="20"/>
                <w:color w:val="auto"/>
              </w:rPr>
            </w:pPr>
          </w:p>
        </w:tc>
        <w:tc>
          <w:tcPr>
            <w:tcW w:w="32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6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7"/>
        </w:trPr>
        <w:tc>
          <w:tcPr>
            <w:tcW w:w="1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60" w:type="dxa"/>
            <w:vAlign w:val="bottom"/>
            <w:tcBorders>
              <w:top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4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right w:val="single" w:sz="8" w:color="CCEEFF"/>
            </w:tcBorders>
            <w:shd w:val="clear" w:color="auto" w:fill="CCEEFF"/>
          </w:tcPr>
          <w:p>
            <w:pPr>
              <w:spacing w:after="0"/>
              <w:rPr>
                <w:sz w:val="20"/>
                <w:szCs w:val="20"/>
                <w:color w:val="auto"/>
              </w:rPr>
            </w:pPr>
          </w:p>
        </w:tc>
        <w:tc>
          <w:tcPr>
            <w:tcW w:w="32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62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XBRL document)</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Exhibit 101)</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1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(Registrant)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JOHN P. JORDAN</w:t>
            </w:r>
          </w:p>
        </w:tc>
        <w:tc>
          <w:tcPr>
            <w:tcW w:w="7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By:  /s/ ERIC RIVERA</w:t>
            </w: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3300" w:type="dxa"/>
            <w:vAlign w:val="bottom"/>
            <w:vMerge w:val="restart"/>
          </w:tcPr>
          <w:p>
            <w:pPr>
              <w:spacing w:after="0"/>
              <w:rPr>
                <w:sz w:val="3"/>
                <w:szCs w:val="3"/>
                <w:color w:val="auto"/>
              </w:rPr>
            </w:pPr>
          </w:p>
        </w:tc>
        <w:tc>
          <w:tcPr>
            <w:tcW w:w="1520" w:type="dxa"/>
            <w:vAlign w:val="bottom"/>
            <w:tcBorders>
              <w:top w:val="single" w:sz="8" w:color="auto"/>
              <w:bottom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ERIC RIVERA</w:t>
            </w:r>
          </w:p>
        </w:tc>
        <w:tc>
          <w:tcPr>
            <w:tcW w:w="30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JOHN P. JORDAN</w:t>
            </w:r>
          </w:p>
        </w:tc>
        <w:tc>
          <w:tcPr>
            <w:tcW w:w="33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3300" w:type="dxa"/>
            <w:vAlign w:val="bottom"/>
          </w:tcPr>
          <w:p>
            <w:pPr>
              <w:spacing w:after="0"/>
              <w:rPr>
                <w:sz w:val="18"/>
                <w:szCs w:val="18"/>
                <w:color w:val="auto"/>
              </w:rPr>
            </w:pPr>
          </w:p>
        </w:tc>
        <w:tc>
          <w:tcPr>
            <w:tcW w:w="4560" w:type="dxa"/>
            <w:vAlign w:val="bottom"/>
            <w:gridSpan w:val="2"/>
          </w:tcPr>
          <w:p>
            <w:pPr>
              <w:jc w:val="center"/>
              <w:ind w:right="3300"/>
              <w:spacing w:after="0"/>
              <w:rPr>
                <w:sz w:val="20"/>
                <w:szCs w:val="20"/>
                <w:color w:val="auto"/>
              </w:rPr>
            </w:pPr>
            <w:r>
              <w:rPr>
                <w:rFonts w:ascii="Times New Roman" w:cs="Times New Roman" w:eastAsia="Times New Roman" w:hAnsi="Times New Roman"/>
                <w:sz w:val="18"/>
                <w:szCs w:val="18"/>
                <w:color w:val="auto"/>
                <w:w w:val="99"/>
              </w:rPr>
              <w:t>Vice President,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7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Corporate Controller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7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June 15, 2022</w:t>
            </w:r>
          </w:p>
        </w:tc>
        <w:tc>
          <w:tcPr>
            <w:tcW w:w="78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Date:  June 15, 2022</w:t>
            </w:r>
          </w:p>
        </w:tc>
        <w:tc>
          <w:tcPr>
            <w:tcW w:w="0" w:type="dxa"/>
            <w:vAlign w:val="bottom"/>
          </w:tcPr>
          <w:p>
            <w:pPr>
              <w:spacing w:after="0"/>
              <w:rPr>
                <w:sz w:val="1"/>
                <w:szCs w:val="1"/>
                <w:color w:val="auto"/>
              </w:rPr>
            </w:pPr>
          </w:p>
        </w:tc>
      </w:tr>
      <w:tr>
        <w:trPr>
          <w:trHeight w:val="598"/>
        </w:trPr>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00" w:type="dxa"/>
            <w:vAlign w:val="bottom"/>
          </w:tcPr>
          <w:p>
            <w:pPr>
              <w:jc w:val="right"/>
              <w:ind w:right="894"/>
              <w:spacing w:after="0"/>
              <w:rPr>
                <w:sz w:val="20"/>
                <w:szCs w:val="20"/>
                <w:color w:val="auto"/>
              </w:rPr>
            </w:pPr>
            <w:r>
              <w:rPr>
                <w:rFonts w:ascii="Times New Roman" w:cs="Times New Roman" w:eastAsia="Times New Roman" w:hAnsi="Times New Roman"/>
                <w:sz w:val="14"/>
                <w:szCs w:val="14"/>
                <w:color w:val="auto"/>
              </w:rPr>
              <w:t>37</w:t>
            </w:r>
          </w:p>
        </w:tc>
        <w:tc>
          <w:tcPr>
            <w:tcW w:w="1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58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Lee,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9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P. Jordan, certify that:</w:t>
      </w:r>
    </w:p>
    <w:p>
      <w:pPr>
        <w:spacing w:after="0" w:line="252"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9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Frank Lee, Chief Executive Officer of Photronics, Inc. (the “Company”), certify, to my knowledge, pursuant to Section 906 of the Sarbanes-Oxley Act of 2002, 18 U.S.C. Section 1350, that:</w:t>
      </w:r>
    </w:p>
    <w:p>
      <w:pPr>
        <w:spacing w:after="0" w:line="189" w:lineRule="exact"/>
        <w:rPr>
          <w:sz w:val="20"/>
          <w:szCs w:val="20"/>
          <w:color w:val="auto"/>
        </w:rPr>
      </w:pPr>
    </w:p>
    <w:p>
      <w:pPr>
        <w:ind w:left="500" w:right="42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May 1, 2022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John P. Jordan, Chief Financial Officer of Photronics, Inc. (the “Company”), certify, to my knowledge, pursuant to Section 906 of the Sarbanes-Oxley Act of 2002, 18 U.S.C. Section 1350, that:</w:t>
      </w:r>
    </w:p>
    <w:p>
      <w:pPr>
        <w:spacing w:after="0" w:line="189" w:lineRule="exact"/>
        <w:rPr>
          <w:sz w:val="20"/>
          <w:szCs w:val="20"/>
          <w:color w:val="auto"/>
        </w:rPr>
      </w:pPr>
    </w:p>
    <w:p>
      <w:pPr>
        <w:ind w:left="500" w:right="4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May 1, 2022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7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2022-06-15T14:35:07Z</dcterms:created>
  <dcterms:modified xsi:type="dcterms:W3CDTF">2022-06-15T14:35:07Z</dcterms:modified>
</cp:coreProperties>
</file>