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760" w:right="1560" w:hanging="3752"/>
        <w:spacing w:after="0" w:line="266" w:lineRule="auto"/>
        <w:tabs>
          <w:tab w:leader="none" w:pos="5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February 2, 2025</w:t>
      </w:r>
    </w:p>
    <w:p>
      <w:pPr>
        <w:spacing w:after="0" w:line="172" w:lineRule="exact"/>
        <w:rPr>
          <w:sz w:val="24"/>
          <w:szCs w:val="24"/>
          <w:color w:val="auto"/>
        </w:rPr>
      </w:pPr>
    </w:p>
    <w:p>
      <w:pPr>
        <w:ind w:left="4040" w:right="1540" w:hanging="4032"/>
        <w:spacing w:after="0" w:line="500" w:lineRule="auto"/>
        <w:tabs>
          <w:tab w:leader="none" w:pos="48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156845</wp:posOffset>
            </wp:positionV>
            <wp:extent cx="5314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1840" w:type="dxa"/>
            <w:vAlign w:val="bottom"/>
          </w:tcPr>
          <w:p>
            <w:pPr>
              <w:spacing w:after="0"/>
              <w:rPr>
                <w:sz w:val="19"/>
                <w:szCs w:val="19"/>
                <w:color w:val="auto"/>
              </w:rPr>
            </w:pPr>
          </w:p>
        </w:tc>
        <w:tc>
          <w:tcPr>
            <w:tcW w:w="44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4"/>
        </w:trPr>
        <w:tc>
          <w:tcPr>
            <w:tcW w:w="49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840" w:type="dxa"/>
            <w:vAlign w:val="bottom"/>
          </w:tcPr>
          <w:p>
            <w:pPr>
              <w:spacing w:after="0"/>
              <w:rPr>
                <w:sz w:val="20"/>
                <w:szCs w:val="20"/>
                <w:color w:val="auto"/>
              </w:rPr>
            </w:pPr>
          </w:p>
        </w:tc>
        <w:tc>
          <w:tcPr>
            <w:tcW w:w="44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1840" w:type="dxa"/>
            <w:vAlign w:val="bottom"/>
          </w:tcPr>
          <w:p>
            <w:pPr>
              <w:spacing w:after="0"/>
              <w:rPr>
                <w:sz w:val="24"/>
                <w:szCs w:val="24"/>
                <w:color w:val="auto"/>
              </w:rPr>
            </w:pPr>
          </w:p>
        </w:tc>
        <w:tc>
          <w:tcPr>
            <w:tcW w:w="44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4"/>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8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4"/>
                <w:szCs w:val="24"/>
                <w:color w:val="auto"/>
              </w:rPr>
            </w:pPr>
          </w:p>
        </w:tc>
        <w:tc>
          <w:tcPr>
            <w:tcW w:w="44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231F20"/>
                <w:w w:val="99"/>
              </w:rPr>
              <w:t>Securities registered pursuant to Section 12(b) of the Act:</w:t>
            </w:r>
          </w:p>
        </w:tc>
      </w:tr>
      <w:tr>
        <w:trPr>
          <w:trHeight w:val="223"/>
        </w:trPr>
        <w:tc>
          <w:tcPr>
            <w:tcW w:w="3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231F20"/>
                <w:w w:val="98"/>
              </w:rPr>
              <w:t>Trading Symbol(s)</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PLAB</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w:t>
            </w:r>
          </w:p>
        </w:tc>
        <w:tc>
          <w:tcPr>
            <w:tcW w:w="17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Emerging</w:t>
            </w:r>
          </w:p>
        </w:tc>
      </w:tr>
      <w:tr>
        <w:trPr>
          <w:trHeight w:val="180"/>
        </w:trPr>
        <w:tc>
          <w:tcPr>
            <w:tcW w:w="200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Accelerated Filer</w:t>
            </w:r>
          </w:p>
        </w:tc>
        <w:tc>
          <w:tcPr>
            <w:tcW w:w="244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Non-Accelerated Filer</w:t>
            </w:r>
          </w:p>
        </w:tc>
        <w:tc>
          <w:tcPr>
            <w:tcW w:w="2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Reporting Company</w:t>
            </w:r>
          </w:p>
        </w:tc>
        <w:tc>
          <w:tcPr>
            <w:tcW w:w="1720" w:type="dxa"/>
            <w:vAlign w:val="bottom"/>
          </w:tcPr>
          <w:p>
            <w:pPr>
              <w:jc w:val="center"/>
              <w:ind w:left="390"/>
              <w:spacing w:after="0" w:line="181" w:lineRule="exact"/>
              <w:rPr>
                <w:sz w:val="20"/>
                <w:szCs w:val="20"/>
                <w:color w:val="auto"/>
              </w:rPr>
            </w:pPr>
            <w:r>
              <w:rPr>
                <w:rFonts w:ascii="Times New Roman" w:cs="Times New Roman" w:eastAsia="Times New Roman" w:hAnsi="Times New Roman"/>
                <w:sz w:val="18"/>
                <w:szCs w:val="18"/>
                <w:color w:val="auto"/>
                <w:w w:val="98"/>
              </w:rPr>
              <w:t>Growth company</w:t>
            </w:r>
          </w:p>
        </w:tc>
      </w:tr>
      <w:tr>
        <w:trPr>
          <w:trHeight w:val="303"/>
        </w:trPr>
        <w:tc>
          <w:tcPr>
            <w:tcW w:w="2000" w:type="dxa"/>
            <w:vAlign w:val="bottom"/>
          </w:tcPr>
          <w:p>
            <w:pPr>
              <w:jc w:val="center"/>
              <w:ind w:right="190"/>
              <w:spacing w:after="0" w:line="181" w:lineRule="exact"/>
              <w:rPr>
                <w:sz w:val="20"/>
                <w:szCs w:val="20"/>
                <w:color w:val="auto"/>
              </w:rPr>
            </w:pPr>
            <w:r>
              <w:rPr>
                <w:rFonts w:ascii="MS PGothic" w:cs="MS PGothic" w:eastAsia="MS PGothic" w:hAnsi="MS PGothic"/>
                <w:sz w:val="18"/>
                <w:szCs w:val="18"/>
                <w:color w:val="auto"/>
                <w:w w:val="88"/>
              </w:rPr>
              <w:t>☒</w:t>
            </w:r>
          </w:p>
        </w:tc>
        <w:tc>
          <w:tcPr>
            <w:tcW w:w="186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244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720" w:type="dxa"/>
            <w:vAlign w:val="bottom"/>
          </w:tcPr>
          <w:p>
            <w:pPr>
              <w:jc w:val="center"/>
              <w:ind w:left="39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63,561,709 shares of common stock outstanding as of March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3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11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tcBorders>
              <w:top w:val="single" w:sz="8" w:color="CCEEFF"/>
            </w:tcBorders>
            <w:gridSpan w:val="17"/>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8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872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520" w:type="dxa"/>
            <w:vAlign w:val="bottom"/>
          </w:tcPr>
          <w:p>
            <w:pPr>
              <w:spacing w:after="0"/>
              <w:rPr>
                <w:sz w:val="18"/>
                <w:szCs w:val="18"/>
                <w:color w:val="auto"/>
              </w:rPr>
            </w:pPr>
          </w:p>
        </w:tc>
        <w:tc>
          <w:tcPr>
            <w:tcW w:w="872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ASC</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ASP</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CNY</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Chinese Yuan</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DNP</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FPD</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Flat Panel Display</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FY</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Fiscal Year</w:t>
            </w: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87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In reference to flat panel displays, refers to the size range of the underlying substrate to which a photomask is</w:t>
            </w:r>
          </w:p>
        </w:tc>
      </w:tr>
      <w:tr>
        <w:trPr>
          <w:trHeight w:val="234"/>
        </w:trPr>
        <w:tc>
          <w:tcPr>
            <w:tcW w:w="2520" w:type="dxa"/>
            <w:vAlign w:val="bottom"/>
          </w:tcPr>
          <w:p>
            <w:pPr>
              <w:spacing w:after="0"/>
              <w:rPr>
                <w:sz w:val="20"/>
                <w:szCs w:val="20"/>
                <w:color w:val="auto"/>
              </w:rPr>
            </w:pP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Higher generation (or “G”) numbers represent larger substrates</w:t>
            </w: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High-end (photomasks)</w:t>
            </w:r>
          </w:p>
        </w:tc>
        <w:tc>
          <w:tcPr>
            <w:tcW w:w="872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For IC, photomasks that service IC nodes at 28nm or smaller; for FPD, AMOLED, G10.5+, and LTPS</w:t>
            </w:r>
          </w:p>
        </w:tc>
      </w:tr>
      <w:tr>
        <w:trPr>
          <w:trHeight w:val="234"/>
        </w:trPr>
        <w:tc>
          <w:tcPr>
            <w:tcW w:w="2520" w:type="dxa"/>
            <w:vAlign w:val="bottom"/>
            <w:shd w:val="clear" w:color="auto" w:fill="CCEEFF"/>
          </w:tcPr>
          <w:p>
            <w:pPr>
              <w:spacing w:after="0"/>
              <w:rPr>
                <w:sz w:val="20"/>
                <w:szCs w:val="20"/>
                <w:color w:val="auto"/>
              </w:rPr>
            </w:pP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photomasks</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Integrated circuit</w:t>
            </w: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872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w:t>
            </w:r>
          </w:p>
        </w:tc>
      </w:tr>
      <w:tr>
        <w:trPr>
          <w:trHeight w:val="216"/>
        </w:trPr>
        <w:tc>
          <w:tcPr>
            <w:tcW w:w="2520" w:type="dxa"/>
            <w:vAlign w:val="bottom"/>
            <w:shd w:val="clear" w:color="auto" w:fill="CCEEFF"/>
          </w:tcPr>
          <w:p>
            <w:pPr>
              <w:spacing w:after="0"/>
              <w:rPr>
                <w:sz w:val="18"/>
                <w:szCs w:val="18"/>
                <w:color w:val="auto"/>
              </w:rPr>
            </w:pP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polycrystalline silicon in thin-film transistors (TFTs) are used in liquid-crystal display (LCD) flat panels and to</w:t>
            </w:r>
          </w:p>
        </w:tc>
      </w:tr>
      <w:tr>
        <w:trPr>
          <w:trHeight w:val="234"/>
        </w:trPr>
        <w:tc>
          <w:tcPr>
            <w:tcW w:w="2520" w:type="dxa"/>
            <w:vAlign w:val="bottom"/>
            <w:shd w:val="clear" w:color="auto" w:fill="CCEEFF"/>
          </w:tcPr>
          <w:p>
            <w:pPr>
              <w:spacing w:after="0"/>
              <w:rPr>
                <w:sz w:val="20"/>
                <w:szCs w:val="20"/>
                <w:color w:val="auto"/>
              </w:rPr>
            </w:pP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drive organic light-emitting diode (OLED) displays</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Mainstream (photomasks)</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IC, photomasks that service IC nodes greater than 28nm; for FPD, G8 and smaller photomasks</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PDMCX</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VIE</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872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w:t>
            </w:r>
          </w:p>
        </w:tc>
      </w:tr>
      <w:tr>
        <w:trPr>
          <w:trHeight w:val="234"/>
        </w:trPr>
        <w:tc>
          <w:tcPr>
            <w:tcW w:w="2520" w:type="dxa"/>
            <w:vAlign w:val="bottom"/>
            <w:shd w:val="clear" w:color="auto" w:fill="CCEEFF"/>
          </w:tcPr>
          <w:p>
            <w:pPr>
              <w:spacing w:after="0"/>
              <w:rPr>
                <w:sz w:val="20"/>
                <w:szCs w:val="20"/>
                <w:color w:val="auto"/>
              </w:rPr>
            </w:pP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serves as the substrate for microelectronic devices built in and upon the wafer</w:t>
            </w:r>
          </w:p>
        </w:tc>
      </w:tr>
      <w:tr>
        <w:trPr>
          <w:trHeight w:val="570"/>
        </w:trPr>
        <w:tc>
          <w:tcPr>
            <w:tcW w:w="2520" w:type="dxa"/>
            <w:vAlign w:val="bottom"/>
          </w:tcPr>
          <w:p>
            <w:pPr>
              <w:spacing w:after="0"/>
              <w:rPr>
                <w:sz w:val="24"/>
                <w:szCs w:val="24"/>
                <w:color w:val="auto"/>
              </w:rPr>
            </w:pPr>
          </w:p>
        </w:tc>
        <w:tc>
          <w:tcPr>
            <w:tcW w:w="872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52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firstLine="177"/>
        <w:spacing w:after="0" w:line="273" w:lineRule="auto"/>
        <w:rPr>
          <w:sz w:val="20"/>
          <w:szCs w:val="20"/>
          <w:color w:val="auto"/>
        </w:rPr>
      </w:pPr>
      <w:r>
        <w:rPr>
          <w:rFonts w:ascii="Times New Roman" w:cs="Times New Roman" w:eastAsia="Times New Roman" w:hAnsi="Times New Roman"/>
          <w:sz w:val="17"/>
          <w:szCs w:val="17"/>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71" w:lineRule="exact"/>
        <w:rPr>
          <w:sz w:val="20"/>
          <w:szCs w:val="20"/>
          <w:color w:val="auto"/>
        </w:rPr>
      </w:pPr>
    </w:p>
    <w:p>
      <w:pPr>
        <w:ind w:right="80" w:firstLine="180"/>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on Form 10-K for the year ended October 31, 2024, filed with the SEC on December 19, 2024, as well as any additional risk factors we may provide in Part II, Item 1A in this Quarterly Report on Form 10-Q.</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60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598,485</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42,184</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$1,104 in 2025 and $1,126 in 2024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200,830</w:t>
            </w:r>
          </w:p>
        </w:tc>
      </w:tr>
      <w:tr>
        <w:trPr>
          <w:trHeight w:val="216"/>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Inventories</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56,527</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32,613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33,036</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920,834</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931,062</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745,257</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23,059</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12,681</w:t>
            </w: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1,704,671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85,936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78,717</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87,122</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162,643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183,811</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47,798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47,464</w:t>
            </w: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231,300</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62,303 shares issued and outstanding as of February</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 2025, and 61,949 shares issued and outstanding as of October 31, 2024</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514,757</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691,807</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(120,325)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1,127,749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1,120,864</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366,460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1,480,759</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1,704,671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1,712,059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137,079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79,255</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18,321</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21,766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57,489</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5,251</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53,742</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39,082</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26,180</w:t>
            </w:r>
          </w:p>
        </w:tc>
      </w:tr>
      <w:tr>
        <w:trPr>
          <w:trHeight w:val="210"/>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Photronics, Inc. shareholders: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61,455</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39,082</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(42,917)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31,493</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(42,847)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31,466</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70,548</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23,497</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47,051</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gridSpan w:val="6"/>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February 2, 2025</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4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80" w:type="dxa"/>
            <w:vAlign w:val="bottom"/>
          </w:tcPr>
          <w:p>
            <w:pPr>
              <w:spacing w:after="0"/>
              <w:rPr>
                <w:sz w:val="13"/>
                <w:szCs w:val="13"/>
                <w:color w:val="auto"/>
              </w:rPr>
            </w:pPr>
          </w:p>
        </w:tc>
        <w:tc>
          <w:tcPr>
            <w:tcW w:w="10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40" w:type="dxa"/>
            <w:vAlign w:val="bottom"/>
          </w:tcPr>
          <w:p>
            <w:pPr>
              <w:spacing w:after="0"/>
              <w:rPr>
                <w:sz w:val="13"/>
                <w:szCs w:val="13"/>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45"/>
        </w:trPr>
        <w:tc>
          <w:tcPr>
            <w:tcW w:w="10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1"/>
                <w:szCs w:val="21"/>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80" w:type="dxa"/>
            <w:vAlign w:val="bottom"/>
          </w:tcPr>
          <w:p>
            <w:pPr>
              <w:spacing w:after="0"/>
              <w:rPr>
                <w:sz w:val="21"/>
                <w:szCs w:val="21"/>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5"/>
              </w:rPr>
              <w:t>Interests</w:t>
            </w:r>
          </w:p>
        </w:tc>
        <w:tc>
          <w:tcPr>
            <w:tcW w:w="24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31, 2024</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61,949</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514,757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691,807</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(86,319)</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359,895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42,851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15,406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58,257</w:t>
            </w:r>
          </w:p>
        </w:tc>
        <w:tc>
          <w:tcPr>
            <w:tcW w:w="0" w:type="dxa"/>
            <w:vAlign w:val="bottom"/>
          </w:tcPr>
          <w:p>
            <w:pPr>
              <w:spacing w:after="0"/>
              <w:rPr>
                <w:sz w:val="1"/>
                <w:szCs w:val="1"/>
                <w:color w:val="auto"/>
              </w:rPr>
            </w:pPr>
          </w:p>
        </w:tc>
      </w:tr>
      <w:tr>
        <w:trPr>
          <w:trHeight w:val="198"/>
        </w:trPr>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(34,006)</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(42,847)</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198"/>
        </w:trPr>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3,334</w:t>
            </w: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and retirement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through</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program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(1,622)</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(4,573)</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February 2, 2025</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515,742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731,709</w:t>
            </w: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(120,325)</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366,460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January 28, 2024</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gridSpan w:val="2"/>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3"/>
                <w:szCs w:val="13"/>
                <w:color w:val="auto"/>
              </w:rPr>
            </w:pPr>
          </w:p>
        </w:tc>
        <w:tc>
          <w:tcPr>
            <w:tcW w:w="10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40" w:type="dxa"/>
            <w:vAlign w:val="bottom"/>
          </w:tcPr>
          <w:p>
            <w:pPr>
              <w:spacing w:after="0"/>
              <w:rPr>
                <w:sz w:val="13"/>
                <w:szCs w:val="13"/>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45"/>
        </w:trPr>
        <w:tc>
          <w:tcPr>
            <w:tcW w:w="10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1"/>
                <w:szCs w:val="21"/>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80" w:type="dxa"/>
            <w:vAlign w:val="bottom"/>
          </w:tcPr>
          <w:p>
            <w:pPr>
              <w:spacing w:after="0"/>
              <w:rPr>
                <w:sz w:val="21"/>
                <w:szCs w:val="21"/>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4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31, 2023</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61,310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502,010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561,119</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(88,734)</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300,601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26,180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12,902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39,082</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20,871</w:t>
            </w:r>
          </w:p>
        </w:tc>
        <w:tc>
          <w:tcPr>
            <w:tcW w:w="1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10,595</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31,466</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198"/>
        </w:trPr>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2,573</w:t>
            </w: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2024</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61,746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502,903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587,299</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(67,863)</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324,098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39,082</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20,702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(2,906)</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(2,844)</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(15,508)</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41,508</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(43,314)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41,482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(42,215)</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(2,613)</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(20,478)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(2,871)</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(21,202)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13,026</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43,631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601,243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501,867</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644,874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511,315</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2,797</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37"/>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Accruals for property, plant and equipment purchased not yet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The Company operates eleven manufacturing facilities, which are located in Taiwan (3), South Korea (1), China (2), the United States (3), and Europe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80" w:firstLine="297"/>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amounts reported in them. The Company’s estimates are based on historical experience and on various assumptions that the Company believes to be reasonable under the facts and circumstances at the time they are made. Subsequent actual results may differ from such estimates. The Company reviews these estimates periodically and reflects any effects of revisions in the period in which they are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the Company’s Form 10-K for the fiscal year ended October 31, 2024, where the Company discusses and provides additional information about the Company’s accounting policies and the methods and assumptions used in the Company’s estimates.</w:t>
      </w:r>
    </w:p>
    <w:p>
      <w:pPr>
        <w:spacing w:after="0" w:line="192"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is typically impacted during the first quarter of the Company’s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Accounting Standards Update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as well as qualitatively describe remaining amounts included in those captions. The guidance in this Update will be effective for Photronics in its fiscal year 2028 Form 10-K, with early application of the amendments allowed. The Company is currently evaluating the effect the adoption of this ASU may have on the Company’s disclosures.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amendments in this Update relate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Update will be effective for Photronics in its fiscal year 2026 Form 10-K, with early application of the amendments allowed. The Company is currently evaluating the effect the adoption of this ASU may have on the Company’s disclosures.</w:t>
      </w:r>
    </w:p>
    <w:p>
      <w:pPr>
        <w:spacing w:after="0" w:line="18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Update is effective for Photronics in its fiscal year 2025 Form 10-K, with early adoption permitted. The Company is currently evaluating the effect the adoption of this ASU may have on the Company’s disclosures.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ACCOUNTS RECEIVABLE,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at the balance sheet dates are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39,831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7"/>
        </w:trPr>
        <w:tc>
          <w:tcPr>
            <w:tcW w:w="382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Pr>
          <w:p>
            <w:pPr>
              <w:spacing w:after="0"/>
              <w:rPr>
                <w:sz w:val="18"/>
                <w:szCs w:val="18"/>
                <w:color w:val="auto"/>
              </w:rPr>
            </w:pP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188,438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200,830</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4860" w:type="dxa"/>
            <w:vAlign w:val="bottom"/>
            <w:vMerge w:val="restart"/>
          </w:tcPr>
          <w:p>
            <w:pPr>
              <w:jc w:val="right"/>
              <w:ind w:right="289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8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2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invests excess cash primarily in bank time deposits and money market funds. The Company’s classification of investments is as follows:</w:t>
      </w:r>
    </w:p>
    <w:p>
      <w:pPr>
        <w:spacing w:after="0" w:line="237" w:lineRule="exact"/>
        <w:rPr>
          <w:sz w:val="20"/>
          <w:szCs w:val="20"/>
          <w:color w:val="auto"/>
        </w:rPr>
      </w:pPr>
    </w:p>
    <w:p>
      <w:pPr>
        <w:ind w:left="260"/>
        <w:spacing w:after="0"/>
        <w:tabs>
          <w:tab w:leader="none" w:pos="560" w:val="left"/>
          <w:tab w:leader="none" w:pos="9320" w:val="left"/>
        </w:tabs>
        <w:rPr>
          <w:sz w:val="20"/>
          <w:szCs w:val="20"/>
          <w:color w:val="auto"/>
        </w:rPr>
      </w:pPr>
      <w:r>
        <w:rPr>
          <w:rFonts w:ascii="Times New Roman" w:cs="Times New Roman" w:eastAsia="Times New Roman" w:hAnsi="Times New Roman"/>
          <w:sz w:val="18"/>
          <w:szCs w:val="18"/>
          <w:color w:val="auto"/>
        </w:rPr>
        <w:t>-</w:t>
        <w:tab/>
        <w:t>Maturing within three months or less from the date of purchase</w:t>
      </w:r>
      <w:r>
        <w:rPr>
          <w:sz w:val="20"/>
          <w:szCs w:val="20"/>
          <w:color w:val="auto"/>
        </w:rPr>
        <w:tab/>
      </w: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80" w:hanging="341"/>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Maturing, as of the date of purchase, more than three months, but with remaining maturities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less than one year, from the balance sheet date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Short-term investments</w:t>
            </w:r>
          </w:p>
        </w:tc>
      </w:tr>
      <w:tr>
        <w:trPr>
          <w:trHeight w:val="216"/>
        </w:trPr>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Maturing one year or more from the balance sheet date</w:t>
            </w:r>
          </w:p>
        </w:tc>
        <w:tc>
          <w:tcPr>
            <w:tcW w:w="4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Long-term marketable investments</w:t>
            </w: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w:t>
      </w:r>
    </w:p>
    <w:p>
      <w:pPr>
        <w:spacing w:after="0" w:line="14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1- These are investments where values are based on unadjusted quoted prices for identical assets in an active market the Company has the ability to access.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These are investments where values are based on quoted market prices that are not active or model derived valuations in which all significant inputs are observable in active markets.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These are investments where values are derived from techniques in which one or more significant inputs are unobservable.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cash, cash equivalents and investments measured at fair value: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2, 2025</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Cash and cash</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Short-term</w:t>
            </w:r>
          </w:p>
        </w:tc>
        <w:tc>
          <w:tcPr>
            <w:tcW w:w="180" w:type="dxa"/>
            <w:vAlign w:val="bottom"/>
          </w:tcPr>
          <w:p>
            <w:pPr>
              <w:spacing w:after="0"/>
              <w:rPr>
                <w:sz w:val="16"/>
                <w:szCs w:val="16"/>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Total Fair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Cash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Short-term</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cash</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80" w:type="dxa"/>
            <w:vAlign w:val="bottom"/>
          </w:tcPr>
          <w:p>
            <w:pPr>
              <w:spacing w:after="0"/>
              <w:rPr>
                <w:sz w:val="9"/>
                <w:szCs w:val="9"/>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30"/>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207,590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207,590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414,074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Money market funds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Time deposits</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342,870</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342,870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190,273</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642,200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598,485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42,184</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640,669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Restricted Cash </w:t>
            </w:r>
            <w:r>
              <w:rPr>
                <w:rFonts w:ascii="Times New Roman" w:cs="Times New Roman" w:eastAsia="Times New Roman" w:hAnsi="Times New Roman"/>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60" w:hanging="228"/>
        <w:spacing w:after="0"/>
        <w:tabs>
          <w:tab w:leader="none" w:pos="5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Matured during the first quarter of 2025.</w:t>
      </w:r>
    </w:p>
    <w:p>
      <w:pPr>
        <w:spacing w:after="0" w:line="42" w:lineRule="exact"/>
        <w:rPr>
          <w:rFonts w:ascii="Times New Roman" w:cs="Times New Roman" w:eastAsia="Times New Roman" w:hAnsi="Times New Roman"/>
          <w:sz w:val="29"/>
          <w:szCs w:val="29"/>
          <w:color w:val="auto"/>
          <w:vertAlign w:val="superscript"/>
        </w:rPr>
      </w:pPr>
    </w:p>
    <w:p>
      <w:pPr>
        <w:ind w:left="560" w:hanging="228"/>
        <w:spacing w:after="0" w:line="194" w:lineRule="auto"/>
        <w:tabs>
          <w:tab w:leader="none" w:pos="5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Restricted cash is included in other current assets and primarily relates to land lease agreements and customs requirements.</w:t>
      </w:r>
    </w:p>
    <w:p>
      <w:pPr>
        <w:spacing w:after="0" w:line="198"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Based upon the Company’s intent and ability to hold its time deposits to maturity (which maturities range up to twelve months at purchase), such securities have been classified as held-to-maturity and are carried at amortized cost, which approximates market value. In the event of a sale of these securities, the Company would determine the cost of the investment sold at the specific individual security level and would include any gain or loss in </w:t>
      </w:r>
      <w:r>
        <w:rPr>
          <w:rFonts w:ascii="Times New Roman" w:cs="Times New Roman" w:eastAsia="Times New Roman" w:hAnsi="Times New Roman"/>
          <w:sz w:val="18"/>
          <w:szCs w:val="18"/>
          <w:i w:val="1"/>
          <w:iCs w:val="1"/>
          <w:color w:val="auto"/>
        </w:rPr>
        <w:t>Interest income and other income, net</w:t>
      </w:r>
      <w:r>
        <w:rPr>
          <w:rFonts w:ascii="Times New Roman" w:cs="Times New Roman" w:eastAsia="Times New Roman" w:hAnsi="Times New Roman"/>
          <w:sz w:val="18"/>
          <w:szCs w:val="18"/>
          <w:color w:val="auto"/>
        </w:rPr>
        <w:t>, where the Company also reports periodic interest earned and the amortization (accretion) of discounts (premiums)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these investments. For the periods ended February 2, 2025 and October 31, 2024, the Company did not have any unrealized gains or losses related to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 are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56,527</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1,990,610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19,048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79,488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2,304,386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(1,554,577)</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(1,574,100)</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749,809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 During the first quarter of 2025, the Company exercised its early buy-out option of one of the leased assets. Please refer to Note 7 for further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7,253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2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8"/>
              </w:rPr>
              <w:t>(2,028)</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(10,522)</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5,225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35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6"/>
                <w:szCs w:val="16"/>
                <w:color w:val="auto"/>
              </w:rPr>
            </w:pPr>
          </w:p>
        </w:tc>
      </w:tr>
      <w:tr>
        <w:trPr>
          <w:trHeight w:val="245"/>
        </w:trPr>
        <w:tc>
          <w:tcPr>
            <w:tcW w:w="35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2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49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100" w:type="dxa"/>
            <w:vAlign w:val="bottom"/>
            <w:shd w:val="clear" w:color="auto" w:fill="CCEEFF"/>
          </w:tcPr>
          <w:p>
            <w:pPr>
              <w:spacing w:after="0"/>
              <w:rPr>
                <w:sz w:val="19"/>
                <w:szCs w:val="19"/>
                <w:color w:val="auto"/>
              </w:rPr>
            </w:pPr>
          </w:p>
        </w:tc>
      </w:tr>
      <w:tr>
        <w:trPr>
          <w:trHeight w:val="557"/>
        </w:trPr>
        <w:tc>
          <w:tcPr>
            <w:tcW w:w="3580" w:type="dxa"/>
            <w:vAlign w:val="bottom"/>
            <w:tcBorders>
              <w:top w:val="single" w:sz="8" w:color="CCEEFF"/>
            </w:tcBorders>
          </w:tcPr>
          <w:p>
            <w:pPr>
              <w:spacing w:after="0"/>
              <w:rPr>
                <w:sz w:val="24"/>
                <w:szCs w:val="24"/>
                <w:color w:val="auto"/>
              </w:rPr>
            </w:pPr>
          </w:p>
        </w:tc>
        <w:tc>
          <w:tcPr>
            <w:tcW w:w="4980" w:type="dxa"/>
            <w:vAlign w:val="bottom"/>
            <w:tcBorders>
              <w:top w:val="single" w:sz="8" w:color="CCEEFF"/>
            </w:tcBorders>
          </w:tcPr>
          <w:p>
            <w:pPr>
              <w:jc w:val="right"/>
              <w:ind w:right="278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358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PDMCX JOINT VENTURE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January 2018, Photronics, Inc., through its wholly owned Photronics Singapore PTE. LTD. subsidiary (hereinafter, within this Note “we”, “Photronics”, “us”, or “our”), and DNP, through its wholly owned subsidiary “DNP Asia Pacific PTE, Ltd.”, entered into a joint venture under which DNP obtained a 49.99% interest in the Company’s IC business in Xiamen, China. The joint venture, which the Company refers to as “PDMCX”, was established to develop and manufacture photomasks for semiconductors. The Company entered into this joint venture to enable the Company to compete more effectively for the merchant photomask business in China, and to benefit from the additional resources and investment that DNP provides to enable the Company to offer advanced-process technology to the Company’s customers.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Under the joint venture agreement, should either Photronics’ or DNP’s ownership interest fall below 20.0% for a period of more than six consecutive months, such party (an “exiting party”) has the option to sell to the other party, and the other party has the option to purchase from such exiting party, the exiting party’s remaining ownership interest. In either case, the sales of ownership interests would be at the exiting party’s ownership percentage of the joint venture’s net book value, with closing to take place within three business days of obtaining required approvals and clearance.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the Company recorded from the operations of PDMCX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7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60" w:type="dxa"/>
            <w:vAlign w:val="bottom"/>
          </w:tcPr>
          <w:p>
            <w:pPr>
              <w:spacing w:after="0"/>
              <w:rPr>
                <w:sz w:val="16"/>
                <w:szCs w:val="16"/>
                <w:color w:val="auto"/>
              </w:rPr>
            </w:pPr>
          </w:p>
        </w:tc>
      </w:tr>
      <w:tr>
        <w:trPr>
          <w:trHeight w:val="245"/>
        </w:trPr>
        <w:tc>
          <w:tcPr>
            <w:tcW w:w="78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57"/>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ASC Topic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evaluated the Company’s involvement in PDMCX for the purpose of determining whether the Company should consolidate its results in the Company’s financial statements. The initial step of the Company’s evaluation was to determine whether PDMCX was a VIE. Due to its lack of sufficient equity at risk to finance its activities without additional subordinated financial support, the Company determined that it is a VIE. Having made this determination, the Company then assessed whether the Company was the primary beneficiary of the VIE and concluded that the Company was the primary beneficiary during the current and prior years reporting periods; thus, as required, the PDMCX financial results have been consolidated with Photronics. The Company’s conclusion was based on the fact that the Company held a controlling financial interest in PDMCX (which resulted from the Company’s having the power to direct the activities that most significantly impacted its economic performance) and had both the obligation to absorb losses and the right to receive benefits that could potentially be significant to PDMCX. The Company’s conclusion that the Company had the power to direct the activities that most significantly affected the economic performance of PDMCX during the current and prior year periods were based on the Company’s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the Company held during the current and prior year periods, the Company had the obligation to absorb losses, and the right to receive benefits, which could potentially be significant to PDMCX.</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the Company’s consolidated balance sheets. General creditors of PDMCX do not have recourse to the assets of Photronics (other than the net assets of PDMCX); therefore, the Company’s maximum exposure to loss from PDMCX is the Company’s interest in the carrying amount of the net assets of the joint venture.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February 2,</w:t>
            </w:r>
          </w:p>
        </w:tc>
        <w:tc>
          <w:tcPr>
            <w:tcW w:w="120" w:type="dxa"/>
            <w:vAlign w:val="bottom"/>
          </w:tcPr>
          <w:p>
            <w:pPr>
              <w:spacing w:after="0"/>
              <w:rPr>
                <w:sz w:val="24"/>
                <w:szCs w:val="24"/>
                <w:color w:val="auto"/>
              </w:rPr>
            </w:pPr>
          </w:p>
        </w:tc>
        <w:tc>
          <w:tcPr>
            <w:tcW w:w="242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10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0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r>
      <w:tr>
        <w:trPr>
          <w:trHeight w:val="245"/>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16"/>
        </w:trPr>
        <w:tc>
          <w:tcPr>
            <w:tcW w:w="5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180,319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87,047</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75,535</w:t>
            </w:r>
          </w:p>
        </w:tc>
      </w:tr>
      <w:tr>
        <w:trPr>
          <w:trHeight w:val="223"/>
        </w:trPr>
        <w:tc>
          <w:tcPr>
            <w:tcW w:w="5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326,998</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325,098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40,215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20,350</w:t>
            </w: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r>
      <w:tr>
        <w:trPr>
          <w:trHeight w:val="223"/>
        </w:trPr>
        <w:tc>
          <w:tcPr>
            <w:tcW w:w="5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43,481</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283,517</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141,787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281,087</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140,572</w:t>
            </w:r>
          </w:p>
        </w:tc>
      </w:tr>
      <w:tr>
        <w:trPr>
          <w:trHeight w:val="425"/>
        </w:trPr>
        <w:tc>
          <w:tcPr>
            <w:tcW w:w="59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10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balance of the long-term debt and its current portion were comprised of the following finance leases as described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February 2,</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20" w:type="dxa"/>
            <w:vAlign w:val="bottom"/>
            <w:tcBorders>
              <w:bottom w:val="single" w:sz="8" w:color="auto"/>
            </w:tcBorders>
          </w:tcPr>
          <w:p>
            <w:pPr>
              <w:spacing w:after="0"/>
              <w:rPr>
                <w:sz w:val="21"/>
                <w:szCs w:val="21"/>
                <w:color w:val="auto"/>
              </w:rPr>
            </w:pPr>
          </w:p>
        </w:tc>
        <w:tc>
          <w:tcPr>
            <w:tcW w:w="4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1"/>
                <w:szCs w:val="2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310"/>
        </w:trPr>
        <w:tc>
          <w:tcPr>
            <w:tcW w:w="5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4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102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Varies as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6"/>
              </w:rPr>
              <w:t>Varies as</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Lease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34"/>
        </w:trPr>
        <w:tc>
          <w:tcPr>
            <w:tcW w:w="1020" w:type="dxa"/>
            <w:vAlign w:val="bottom"/>
            <w:shd w:val="clear" w:color="auto" w:fill="CCEEFF"/>
          </w:tcPr>
          <w:p>
            <w:pPr>
              <w:spacing w:after="0"/>
              <w:rPr>
                <w:sz w:val="20"/>
                <w:szCs w:val="20"/>
                <w:color w:val="auto"/>
              </w:rPr>
            </w:pPr>
          </w:p>
        </w:tc>
        <w:tc>
          <w:tcPr>
            <w:tcW w:w="4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matures</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matures</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Monthly</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r>
      <w:tr>
        <w:trPr>
          <w:trHeight w:val="263"/>
        </w:trPr>
        <w:tc>
          <w:tcPr>
            <w:tcW w:w="5980" w:type="dxa"/>
            <w:vAlign w:val="bottom"/>
            <w:tcBorders>
              <w:bottom w:val="single" w:sz="8" w:color="CCEEFF"/>
            </w:tcBorders>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Loan collateral (carrying amount) </w:t>
            </w:r>
            <w:r>
              <w:rPr>
                <w:rFonts w:ascii="Times New Roman" w:cs="Times New Roman" w:eastAsia="Times New Roman" w:hAnsi="Times New Roman"/>
                <w:sz w:val="29"/>
                <w:szCs w:val="29"/>
                <w:color w:val="auto"/>
                <w:vertAlign w:val="superscript"/>
              </w:rPr>
              <w:t>(1)</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8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carrying amount at the balance sheet date of the related ROU assets, in which the lessors have secured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February 2021, the Company entered into a five-year $7.2 million finance lease for a high-end inspection tool. Monthly payments on the lease, which commenced in February 2021, are $0.1 million per month. Upon the payment of the fiftieth monthly payment and prior to payment of the fifty-first monthly payment, the Company may exercise an early buyout option to purchase the tool for $2.4 million. After the original term or any renewal periods, the Company may return the tool, elect to extend the lease, or purchase the tool at its fair market value. Management has determined that the Company will exercise its early buyout option during the first half of 2025.</w:t>
      </w:r>
    </w:p>
    <w:p>
      <w:pPr>
        <w:spacing w:after="0" w:line="3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The lease agreement provides an early buyout option to purchase the tool for $14.1 million, which the Company exercised during the first quarter of fiscal year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CNY 200 million ($25 million), pursuant to which PDMCX may enter into separate loan agreements with varying terms to maturity. In December 2022, the Company repaid the Company’s entire outstanding balance of CNY 25.6 million ($3.6 million). The interest rates are variable, based on the CNY Loan Prime Rate of the National Interbank Funding Center. Interest incurred on the loans related to the amount borrowed was eligible for reimbursement through incentives provided by the Xiamen Torch Hi-Tech Industrial Development Zone, which provided for such reimbursements up to a prescribed limit and duration. This facility is subject to annual reviews and extensions. In August 2024, the Company was issued an extension to the revolving, unsecured credit agreement for CNY 200 million (approximately $27.7 million) with an expiration date of July 31, 2025. As of February 2, 2025, PDMCX had no outstanding borrowings against the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control of a good or service transfers to a customer, in an amount that reflects the consideration to which the Company expects to be entitled in exchange for transferring those goods or services. The Company accounts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the Company’s revenue comes from the sales of photomasks. The Company typically contracts with the Company’s customers to sell sets of photomasks, which are comprised of multiple layers, the predominance of which the Company invoices as they ship to customers. As the photomasks are manufactured to customer specifications, they have no alternative use to the Company and, as the Company’s contracts generally provide the Company with the right to payment for work completed to date, the Company recognizes revenue as the Company performs, or “over time,” on most of the Company’s contracts. The Company measures the Company’s performance to date using an input method, which is based on the Company’s estimated costs to complete the various manufacturing phases of a photomask. At the end of a reporting period, there are a number of uncompleted revenue contracts on which the Company has performed; for any such contracts under which the Company is entitled to be compensated for the Company’s costs incurred plus a reasonable profit, the Company recognizes revenue and a corresponding contract asset for such performance. The Company accounts for shipping and handling activities that the Company performs after a customer obtains control of a good as being activities to fulfill the Company’s promise to transfer the good to the customer, rather than as promised services, or performance obligations, under the contract. The Company reports the Company’s revenue net of any sales or similar taxes the Company collects on behalf of governmental entities.</w:t>
      </w:r>
    </w:p>
    <w:p>
      <w:pPr>
        <w:spacing w:after="0" w:line="19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the Company’s photomasks do not have standard or “list” prices. The transaction prices of the vast majority of the Company’s revenue contracts include only fixed amounts of consideration. In certain instances, such as when the Company offers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recognizes a contract asset when the Company’s performance under a contract precedes the Company’s receipt of consideration from a customer, or before payment is due, and the Company’s receipt of consideration is conditional upon factors other than the passage of time. Contract assets reflect the Company’s transfer of control to customers of photomasks that are in process or completed but not yet shipped to customers. A receivable is recognized when the Company has an unconditional right to payment for the Company’s performance, which generally occurs when the Company ships the photomasks. The Company’s contract assets primarily consist of a significant amount of the Company’s in-process production orders and fully manufactured photomasks which have not yet shipped, for which the Company has an enforceable right to collect consideration (including a reasonable profit) in the event the in-process orders are cancelled by customers. On an individual contract basis, the Company nets contract assets with contract liabilities (deferred revenue) for financial reporting purposes. The Company’s net credit losses on accounts receivable during the periods ended February 2, 2025 and January 28, 2024 were immaterial. The Company did not impair any contract assets or accounts receivable during the three-month periods ended February 2, 2025, or January 28,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contract balances at the balance sheet dates.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11,532</w:t>
            </w: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10,887</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12,375</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7,813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8,910</w:t>
            </w: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100" w:type="dxa"/>
            <w:vAlign w:val="bottom"/>
          </w:tcPr>
          <w:p>
            <w:pPr>
              <w:spacing w:after="0"/>
              <w:rPr>
                <w:sz w:val="18"/>
                <w:szCs w:val="18"/>
                <w:color w:val="auto"/>
              </w:rPr>
            </w:pPr>
          </w:p>
        </w:tc>
      </w:tr>
      <w:tr>
        <w:trPr>
          <w:trHeight w:val="21"/>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from performance obligations satisfied in the previous periods. The following table presents revenue recognized from contract liabilities that existed at the beginning of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generally records accounts receivable at their billed amounts. All outstanding past due customer invoices are reviewed for collectability during, and at the end of, every reporting period. To the extent the Company believes a loss on the collection of a customer invoice is probable, the Company would record the loss and credit an allowance for credit losses. In the event that an amount is determined to be uncollectible, the Company charges the allowance for credit losses and derecognizes the related receivable. The Company did not incur any credit losses on the Company’s accounts receivable during the three-month periods ended February 2, 2025, or January 28, 2024.</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Company’s invoice terms generally range from net thirty to ninety days, depending on both the geographic market in which the transaction occurs and the Company’s payment agreements with specific customers. In the event that the Company’s evaluation of a customer’s business prospects, and financial condition indicate that the customer presents a collectability risk, the Company will modify terms of sale, which may require payment in advance of performance. At the time of adoption, the Company elected the practical expedient allowed under ASC Topic 606 “Revenue from Contracts with Customers” (“Topic 606”) that permits the Company not to adjust a contract’s promised amount of consideration to reflect a financing component when the period between when the Company transfers control of goods or services to customers and when the Company is paid is one year or less.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the Company is paid in advance of the Company’s performance, the Company records a contract liability and, as allowed under the practical expedient in Topic 606, recognizes interest expense only if the period between when the Company receives payment from the customer and the date when the Company expects to be entitled to the payment is greater than one year. Historically, advance payments the Company has received from customers have generally not preceded the completion of the Company’s performance obligations by more than one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for the three-month periods ended February 2, 2025, and January 28, 2024,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100" w:type="dxa"/>
            <w:vAlign w:val="bottom"/>
          </w:tcPr>
          <w:p>
            <w:pPr>
              <w:spacing w:after="0"/>
              <w:rPr>
                <w:sz w:val="17"/>
                <w:szCs w:val="17"/>
                <w:color w:val="auto"/>
              </w:rPr>
            </w:pPr>
          </w:p>
        </w:tc>
        <w:tc>
          <w:tcPr>
            <w:tcW w:w="102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980" w:type="dxa"/>
            <w:vAlign w:val="bottom"/>
            <w:tcBorders>
              <w:top w:val="single" w:sz="8" w:color="auto"/>
              <w:bottom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IC</w:t>
            </w:r>
          </w:p>
        </w:tc>
        <w:tc>
          <w:tcPr>
            <w:tcW w:w="670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980" w:type="dxa"/>
            <w:vAlign w:val="bottom"/>
            <w:gridSpan w:val="3"/>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60,875</w:t>
            </w:r>
          </w:p>
        </w:tc>
        <w:tc>
          <w:tcPr>
            <w:tcW w:w="0" w:type="dxa"/>
            <w:vAlign w:val="bottom"/>
          </w:tcPr>
          <w:p>
            <w:pPr>
              <w:spacing w:after="0"/>
              <w:rPr>
                <w:sz w:val="1"/>
                <w:szCs w:val="1"/>
                <w:color w:val="auto"/>
              </w:rPr>
            </w:pPr>
          </w:p>
        </w:tc>
      </w:tr>
      <w:tr>
        <w:trPr>
          <w:trHeight w:val="223"/>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93,851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96,714</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FPD</w:t>
            </w:r>
          </w:p>
        </w:tc>
        <w:tc>
          <w:tcPr>
            <w:tcW w:w="83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49,679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50,616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58,745</w:t>
            </w: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25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6"/>
                <w:szCs w:val="16"/>
                <w:color w:val="auto"/>
              </w:rPr>
            </w:pPr>
          </w:p>
        </w:tc>
      </w:tr>
      <w:tr>
        <w:trPr>
          <w:trHeight w:val="245"/>
        </w:trPr>
        <w:tc>
          <w:tcPr>
            <w:tcW w:w="250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50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74,965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53,558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58,137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40,335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36,898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32,733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9,705</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r>
      <w:tr>
        <w:trPr>
          <w:trHeight w:val="256"/>
        </w:trPr>
        <w:tc>
          <w:tcPr>
            <w:tcW w:w="2500" w:type="dxa"/>
            <w:vAlign w:val="bottom"/>
            <w:tcBorders>
              <w:bottom w:val="single" w:sz="8" w:color="CCEEFF"/>
            </w:tcBorders>
            <w:shd w:val="clear" w:color="auto" w:fill="CCEEFF"/>
          </w:tcPr>
          <w:p>
            <w:pPr>
              <w:spacing w:after="0"/>
              <w:rPr>
                <w:sz w:val="22"/>
                <w:szCs w:val="22"/>
                <w:color w:val="auto"/>
              </w:rPr>
            </w:pPr>
          </w:p>
        </w:tc>
        <w:tc>
          <w:tcPr>
            <w:tcW w:w="6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5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25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6"/>
                <w:szCs w:val="16"/>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12,807</w:t>
            </w:r>
          </w:p>
        </w:tc>
      </w:tr>
      <w:tr>
        <w:trPr>
          <w:trHeight w:val="223"/>
        </w:trPr>
        <w:tc>
          <w:tcPr>
            <w:tcW w:w="2500" w:type="dxa"/>
            <w:vAlign w:val="bottom"/>
            <w:tcBorders>
              <w:bottom w:val="single" w:sz="8" w:color="CCEEFF"/>
            </w:tcBorders>
            <w:shd w:val="clear" w:color="auto" w:fill="CCEEFF"/>
          </w:tcPr>
          <w:p>
            <w:pPr>
              <w:spacing w:after="0"/>
              <w:rPr>
                <w:sz w:val="19"/>
                <w:szCs w:val="19"/>
                <w:color w:val="auto"/>
              </w:rPr>
            </w:pPr>
          </w:p>
        </w:tc>
        <w:tc>
          <w:tcPr>
            <w:tcW w:w="6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pays commissions to third-party sales agents for certain sales they procure on the Company’s behalf. However, the bases of the commissions are the transaction prices of the sales, which are completed in less than one year; thus, no relationship is established with a customer that will result in future business. Therefore, the Company does not recognize any portion of these sales commissions as costs of obtaining a contract, nor does the Company currently foresee other circumstances under which the Company would recognize contract obtainment costs as assets.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the Company is typically required to fulfill customer orders within a short time period, the Company’s backlog of orders is generally not in excess of one to two weeks for IC photomasks and two to three weeks for FPD photomasks. However, the demand for some IC photomasks can extend beyond the traditional time period; thus, the backlog, in some individual cases, can extend to as long as two to three months. More recently however, backlogs for most high demand products have returned to historical levels of less than a month. As allowed under ASC 606 – </w:t>
      </w:r>
      <w:r>
        <w:rPr>
          <w:rFonts w:ascii="Times New Roman" w:cs="Times New Roman" w:eastAsia="Times New Roman" w:hAnsi="Times New Roman"/>
          <w:sz w:val="18"/>
          <w:szCs w:val="18"/>
          <w:i w:val="1"/>
          <w:iCs w:val="1"/>
          <w:color w:val="auto"/>
        </w:rPr>
        <w:t>Revenue Contracts with Customers</w:t>
      </w:r>
      <w:r>
        <w:rPr>
          <w:rFonts w:ascii="Times New Roman" w:cs="Times New Roman" w:eastAsia="Times New Roman" w:hAnsi="Times New Roman"/>
          <w:sz w:val="18"/>
          <w:szCs w:val="18"/>
          <w:color w:val="auto"/>
        </w:rPr>
        <w:t>, the Company has elected not to disclose the Company’s remaining performance obligations, which represent the costs associated with the completion of the manufacturing process of in-process photomasks related to contracts that have an original duration of one year or 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Company’s photomasks are sold under warranties that generally range from one to twenty-four months. The Company warrants that the Company’s photomasks conform to customer specifications, and the Company will typically repair, replace, or issue a refund for any photomasks that fail to do so. The warranties do not represent separate performance obligations in the Company’s revenue contracts. Historically, customer claims under warranties have been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March 2016, shareholders approved the Company’s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the Company (in the open market or in private transactions), or a combination thereof. The original maximum number of shares of common stock approved that may be issued under the Plan was four million shares. On March 16, 2023, at its annual meeting of shareholders, the shareholders of Photronics, Inc., approved amendments to the Plan to increase the number of shares available for issuance by an additional one million shares, thereby increasing the shares available for issuance under the Plan from four million to five million. Awards may be granted to officers, employees, directors, consultants, advisors, and independent contractors of Photronics or its subsidiaries. In the event of a change in control (as defined in the Plan), the vesting of awards may be accelerated. The Plan prohibits further awards from being issued under prior plans. The table below presents information on the Company’s share-based compensation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4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6"/>
              </w:rPr>
              <w:t>January 28,</w:t>
            </w:r>
          </w:p>
        </w:tc>
        <w:tc>
          <w:tcPr>
            <w:tcW w:w="100" w:type="dxa"/>
            <w:vAlign w:val="bottom"/>
          </w:tcPr>
          <w:p>
            <w:pPr>
              <w:spacing w:after="0"/>
              <w:rPr>
                <w:sz w:val="16"/>
                <w:szCs w:val="16"/>
                <w:color w:val="auto"/>
              </w:rPr>
            </w:pPr>
          </w:p>
        </w:tc>
      </w:tr>
      <w:tr>
        <w:trPr>
          <w:trHeight w:val="245"/>
        </w:trPr>
        <w:tc>
          <w:tcPr>
            <w:tcW w:w="45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458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4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r>
      <w:tr>
        <w:trPr>
          <w:trHeight w:val="20"/>
        </w:trPr>
        <w:tc>
          <w:tcPr>
            <w:tcW w:w="4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r>
      <w:tr>
        <w:trPr>
          <w:trHeight w:val="22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4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580" w:type="dxa"/>
            <w:vAlign w:val="bottom"/>
          </w:tcPr>
          <w:p>
            <w:pPr>
              <w:spacing w:after="0"/>
              <w:rPr>
                <w:sz w:val="18"/>
                <w:szCs w:val="18"/>
                <w:color w:val="auto"/>
              </w:rPr>
            </w:pPr>
          </w:p>
        </w:tc>
        <w:tc>
          <w:tcPr>
            <w:tcW w:w="41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benefits on share-based compensation</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571"/>
        </w:trPr>
        <w:tc>
          <w:tcPr>
            <w:tcW w:w="4580" w:type="dxa"/>
            <w:vAlign w:val="bottom"/>
          </w:tcPr>
          <w:p>
            <w:pPr>
              <w:spacing w:after="0"/>
              <w:rPr>
                <w:sz w:val="24"/>
                <w:szCs w:val="24"/>
                <w:color w:val="auto"/>
              </w:rPr>
            </w:pPr>
          </w:p>
        </w:tc>
        <w:tc>
          <w:tcPr>
            <w:tcW w:w="4080" w:type="dxa"/>
            <w:vAlign w:val="bottom"/>
          </w:tcPr>
          <w:p>
            <w:pPr>
              <w:jc w:val="right"/>
              <w:ind w:right="2875"/>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8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periodically grants restricted stock awards, the restrictions on which typically lapse over a service period of one to four years. The fair value of the awards is determined on the date of grant, based on the closing price of the Company’s common stock. The table below presents information on the Company’s restricted stock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825,050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31,426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1,256,697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1,634,315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the Company’s common stock on the dates of grant and are calculated using the Black-Scholes option pricing model. Expected volatility is based on the historical volatility of the Company’s common stock. The Company uses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the Company’s stock options.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5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6"/>
                <w:szCs w:val="16"/>
                <w:color w:val="auto"/>
              </w:rPr>
            </w:pPr>
          </w:p>
        </w:tc>
      </w:tr>
      <w:tr>
        <w:trPr>
          <w:trHeight w:val="245"/>
        </w:trPr>
        <w:tc>
          <w:tcPr>
            <w:tcW w:w="55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options exercised</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Information regarding outstanding and exercisable option awards as of February 2, 2025, is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50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740" w:type="dxa"/>
            <w:vAlign w:val="bottom"/>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February 2, 2025</w:t>
            </w:r>
          </w:p>
        </w:tc>
        <w:tc>
          <w:tcPr>
            <w:tcW w:w="17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150,325</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shd w:val="clear" w:color="auto" w:fill="CCEEFF"/>
          </w:tcPr>
          <w:p>
            <w:pPr>
              <w:spacing w:after="0"/>
              <w:rPr>
                <w:sz w:val="18"/>
                <w:szCs w:val="18"/>
                <w:color w:val="auto"/>
              </w:rPr>
            </w:pPr>
          </w:p>
        </w:tc>
      </w:tr>
      <w:tr>
        <w:trPr>
          <w:trHeight w:val="570"/>
        </w:trPr>
        <w:tc>
          <w:tcPr>
            <w:tcW w:w="5500" w:type="dxa"/>
            <w:vAlign w:val="bottom"/>
          </w:tcPr>
          <w:p>
            <w:pPr>
              <w:spacing w:after="0"/>
              <w:rPr>
                <w:sz w:val="24"/>
                <w:szCs w:val="24"/>
                <w:color w:val="auto"/>
              </w:rPr>
            </w:pPr>
          </w:p>
        </w:tc>
        <w:tc>
          <w:tcPr>
            <w:tcW w:w="1740" w:type="dxa"/>
            <w:vAlign w:val="bottom"/>
          </w:tcPr>
          <w:p>
            <w:pPr>
              <w:jc w:val="right"/>
              <w:ind w:right="1456"/>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5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calculates its provision for income taxes at the end of each interim reporting period on the basis of an estimated annual effective tax rate adjusted for tax items that are discrete to each period. The table below sets forth the primary reasons that the Company’s effective income tax rates differed from the U.S. statutory tax rates in effect during the three-month periods ended February 2, 2025, and January 28,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Photronics</w:t>
            </w: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Effective Tax</w:t>
            </w: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Tax Rates</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00" w:type="dxa"/>
            <w:vAlign w:val="bottom"/>
          </w:tcPr>
          <w:p>
            <w:pPr>
              <w:spacing w:after="0"/>
              <w:rPr>
                <w:sz w:val="21"/>
                <w:szCs w:val="21"/>
                <w:color w:val="auto"/>
              </w:rPr>
            </w:pPr>
          </w:p>
        </w:tc>
        <w:tc>
          <w:tcPr>
            <w:tcW w:w="42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tc>
      </w:tr>
      <w:tr>
        <w:trPr>
          <w:trHeight w:val="216"/>
        </w:trPr>
        <w:tc>
          <w:tcPr>
            <w:tcW w:w="4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February 2, 2025</w:t>
            </w:r>
          </w:p>
        </w:tc>
        <w:tc>
          <w:tcPr>
            <w:tcW w:w="1380" w:type="dxa"/>
            <w:vAlign w:val="bottom"/>
            <w:gridSpan w:val="2"/>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24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 in the non-U.S. jurisdictions, and the establishment</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uncertain tax positions in non-U.S. jurisdictions.</w:t>
            </w:r>
          </w:p>
        </w:tc>
      </w:tr>
      <w:tr>
        <w:trPr>
          <w:trHeight w:val="216"/>
        </w:trPr>
        <w:tc>
          <w:tcPr>
            <w:tcW w:w="4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January 28, 2024</w:t>
            </w:r>
          </w:p>
        </w:tc>
        <w:tc>
          <w:tcPr>
            <w:tcW w:w="1380" w:type="dxa"/>
            <w:vAlign w:val="bottom"/>
            <w:gridSpan w:val="2"/>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24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rates in the non-U.S. jurisdictions and the establishment of</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Although the timing of reversal of uncertain tax positions may be uncertain, as they can be dependent upon the settlement of tax audits, we believe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We are no longer subject to tax authority examinations in the U.S., major foreign, or state tax jurisdictions for years prior to fiscal year 2019. The table below presents information on our unrecognized tax benefits as of the balance sheet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w:t>
            </w:r>
          </w:p>
        </w:tc>
      </w:tr>
      <w:tr>
        <w:trPr>
          <w:trHeight w:val="571"/>
        </w:trPr>
        <w:tc>
          <w:tcPr>
            <w:tcW w:w="8680" w:type="dxa"/>
            <w:vAlign w:val="bottom"/>
          </w:tcPr>
          <w:p>
            <w:pPr>
              <w:jc w:val="right"/>
              <w:ind w:right="2895"/>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8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(in thousands):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61,455</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Share-based awards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common shares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 Diluted</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Photronics, Inc. shareholders: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illustrates the outstanding weighted-average share-based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1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awards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February 2, 2025, the Company’s unrecognized unconditional purchase obligations, which are mainly payments for the acquisition of property, plant and equipment, with a remaining term in excess of one year was approximately $82.8 million, primarily for purchases of high-end equipment. This amount does not include the Company’s commitments under the Company’s debt and lease arrangements.</w:t>
      </w:r>
    </w:p>
    <w:p>
      <w:pPr>
        <w:spacing w:after="0" w:line="176" w:lineRule="exact"/>
        <w:rPr>
          <w:sz w:val="20"/>
          <w:szCs w:val="20"/>
          <w:color w:val="auto"/>
        </w:rPr>
      </w:pPr>
    </w:p>
    <w:p>
      <w:pPr>
        <w:ind w:right="440" w:firstLine="324"/>
        <w:spacing w:after="0" w:line="312" w:lineRule="auto"/>
        <w:rPr>
          <w:sz w:val="20"/>
          <w:szCs w:val="20"/>
          <w:color w:val="auto"/>
        </w:rPr>
      </w:pPr>
      <w:r>
        <w:rPr>
          <w:rFonts w:ascii="Times New Roman" w:cs="Times New Roman" w:eastAsia="Times New Roman" w:hAnsi="Times New Roman"/>
          <w:sz w:val="17"/>
          <w:szCs w:val="17"/>
          <w:color w:val="auto"/>
        </w:rPr>
        <w:t>The Company is subject to various other claims that arise in the ordinary course of business. The Company believes that the Company’s potential liability under such claims, individually or in the aggregate, will not have a material effect on the Company’s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CHANGES IN ACCUMULATED OTHER COMPREHENSIVE (LOSS) INCOME BY COMPONENT</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(loss) income by component (net of tax) for the three-month periods ended February 2, 2025, and January 28,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February 2, 2025</w:t>
            </w:r>
          </w:p>
        </w:tc>
      </w:tr>
      <w:tr>
        <w:trPr>
          <w:trHeight w:val="194"/>
        </w:trPr>
        <w:tc>
          <w:tcPr>
            <w:tcW w:w="7100" w:type="dxa"/>
            <w:vAlign w:val="bottom"/>
          </w:tcPr>
          <w:p>
            <w:pPr>
              <w:spacing w:after="0"/>
              <w:rPr>
                <w:sz w:val="16"/>
                <w:szCs w:val="16"/>
                <w:color w:val="auto"/>
              </w:rPr>
            </w:pPr>
          </w:p>
        </w:tc>
        <w:tc>
          <w:tcPr>
            <w:tcW w:w="16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(42,917)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(42,847)</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 interests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8,841</w:t>
            </w:r>
          </w:p>
        </w:tc>
      </w:tr>
      <w:tr>
        <w:trPr>
          <w:trHeight w:val="216"/>
        </w:trPr>
        <w:tc>
          <w:tcPr>
            <w:tcW w:w="7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2025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(119,629)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(120,325)</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January 28, 2024</w:t>
            </w:r>
          </w:p>
        </w:tc>
      </w:tr>
      <w:tr>
        <w:trPr>
          <w:trHeight w:val="194"/>
        </w:trPr>
        <w:tc>
          <w:tcPr>
            <w:tcW w:w="7100" w:type="dxa"/>
            <w:vAlign w:val="bottom"/>
          </w:tcPr>
          <w:p>
            <w:pPr>
              <w:spacing w:after="0"/>
              <w:rPr>
                <w:sz w:val="16"/>
                <w:szCs w:val="16"/>
                <w:color w:val="auto"/>
              </w:rPr>
            </w:pPr>
          </w:p>
        </w:tc>
        <w:tc>
          <w:tcPr>
            <w:tcW w:w="16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31,493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31,466</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(10,595)</w:t>
            </w:r>
          </w:p>
        </w:tc>
      </w:tr>
      <w:tr>
        <w:trPr>
          <w:trHeight w:val="216"/>
        </w:trPr>
        <w:tc>
          <w:tcPr>
            <w:tcW w:w="7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28, 2024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(67,160)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(67,863)</w:t>
            </w:r>
          </w:p>
        </w:tc>
      </w:tr>
      <w:tr>
        <w:trPr>
          <w:trHeight w:val="426"/>
        </w:trPr>
        <w:tc>
          <w:tcPr>
            <w:tcW w:w="7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14 - SHARE REPURCHASE PROGRAMS</w:t>
            </w: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During the three-month period ended February 2, 2025, the Company repurchased 195,079 shares at a cost of $4.6 million pursuant to Rule 10b-18 of the Exchange Act. All shares repurchased under the program have been retired. As of February 2, 2025, $95.4 million remained available under this authorization for the repurchase of additional shares.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2024), that may cause actual results to materially differ from these expectations. See “Forward-Looking Statements”.</w:t>
      </w:r>
    </w:p>
    <w:p>
      <w:pPr>
        <w:spacing w:after="0" w:line="164"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results in a minimal level of backlog, typically two to three weeks of backlog for FPD photomasks and one to two weeks for IC photomasks. However, the demand for some IC photomasks has in the past expanded beyond the industry’s capacity to supply them within the traditional time period; thus, for some products, the backlog can expand to as long as two to three months.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present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80" w:type="dxa"/>
            <w:vAlign w:val="bottom"/>
            <w:gridSpan w:val="2"/>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60" w:type="dxa"/>
            <w:vAlign w:val="bottom"/>
          </w:tcPr>
          <w:p>
            <w:pPr>
              <w:spacing w:after="0"/>
              <w:rPr>
                <w:sz w:val="16"/>
                <w:szCs w:val="16"/>
                <w:color w:val="auto"/>
              </w:rPr>
            </w:pPr>
          </w:p>
        </w:tc>
      </w:t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7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left w:val="single" w:sz="8" w:color="CCEEFF"/>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7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Note: All the following tabular comparisons, unless otherwise indicated, are for the three months ended February 2, 2025 (Q1 FY25), October 31, 2024 (Q4 FY24) and January 28, 2024 (Q1 FY24). The tables in this item may not foot due to rounding.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revenue disaggregated by product type and geographic origin, in Q1 FY25 from revenue in prior reporting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Changes in Revenue by Product Type ($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Q1 FY25 compared with Q4 FY24</w:t>
            </w:r>
          </w:p>
        </w:tc>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Q1 FY25 compared with Q1 FY24</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Revenue in</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Borders>
              <w:top w:val="single" w:sz="8" w:color="auto"/>
            </w:tcBorders>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80" w:type="dxa"/>
            <w:vAlign w:val="bottom"/>
            <w:tcBorders>
              <w:top w:val="single" w:sz="8" w:color="auto"/>
            </w:tcBorders>
          </w:tcPr>
          <w:p>
            <w:pPr>
              <w:ind w:left="3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Q1 FY25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75"/>
        </w:trPr>
        <w:tc>
          <w:tcPr>
            <w:tcW w:w="4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r>
      <w:tr>
        <w:trPr>
          <w:trHeight w:val="175"/>
        </w:trPr>
        <w:tc>
          <w:tcPr>
            <w:tcW w:w="4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FPD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Changes in Revenue by Geographic Origin ($ in millions)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Q1 FY25 compared with Q4 FY24</w:t>
            </w:r>
          </w:p>
        </w:tc>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Q1 FY25 compared with Q1 FY24</w:t>
            </w:r>
          </w:p>
        </w:tc>
      </w:tr>
      <w:tr>
        <w:trPr>
          <w:trHeight w:val="194"/>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Revenue in</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Borders>
              <w:top w:val="single" w:sz="8" w:color="auto"/>
            </w:tcBorders>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80" w:type="dxa"/>
            <w:vAlign w:val="bottom"/>
            <w:tcBorders>
              <w:top w:val="single" w:sz="8" w:color="auto"/>
            </w:tcBorders>
          </w:tcPr>
          <w:p>
            <w:pPr>
              <w:ind w:left="3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44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Q1 FY25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1"/>
                <w:szCs w:val="21"/>
                <w:color w:val="auto"/>
              </w:rPr>
            </w:pPr>
          </w:p>
        </w:tc>
        <w:tc>
          <w:tcPr>
            <w:tcW w:w="1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Revenue in Q1 FY25 of $212.1 million represented a decrease of 4.7 % compared with Q4 FY24 primarily due to seasonal softness, and a decrease of 1.9% from Q1 FY24, due to mainstream weakness in Asia and Europe.</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IC revenue decreased $9.8 million or 6.0% in Q1 FY25 from Q4 FY24 primarily due to a decrease in mainstream of $9.9 million or 9.5% as a result of the overall softness of semiconductor industry. Comparing Q1 FY25 to Q1 FY24, IC revenue decreased $3.7 million or 2.3% mainly due to reduced demand in Asia and Europe.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FPD revenue decreased $0.7 million or 1.2% in Q1 FY25 from Q4 FY24 and $0.5 million or 1.0% from Q1 FY24 as a result of industry softness.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385"/>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 in millions)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10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FY25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260" w:type="dxa"/>
            <w:vAlign w:val="bottom"/>
          </w:tcPr>
          <w:p>
            <w:pPr>
              <w:spacing w:after="0"/>
              <w:rPr>
                <w:sz w:val="21"/>
                <w:szCs w:val="21"/>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280" w:type="dxa"/>
            <w:vAlign w:val="bottom"/>
          </w:tcPr>
          <w:p>
            <w:pPr>
              <w:spacing w:after="0"/>
              <w:rPr>
                <w:sz w:val="21"/>
                <w:szCs w:val="21"/>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75.5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5"/>
              </w:rPr>
              <w:t>82.3</w:t>
            </w:r>
          </w:p>
        </w:tc>
        <w:tc>
          <w:tcPr>
            <w:tcW w:w="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 $</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5"/>
              </w:rPr>
              <w:t>79.3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20"/>
                <w:szCs w:val="20"/>
                <w:color w:val="auto"/>
              </w:rPr>
            </w:pP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37.0%</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36.6%</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by 140 basis points in Q1 FY25 as compared to Q4 FY24, primarily as a result of the decrease in revenue of 4.7%, partially offset by a decrease in material costs of 2.5%, or 55 basis points as a percentage of revenue and a decrease in equipment and other costs of goods sold of 5.0%, or 9 basis points as a percentage of revenue.</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by 100 basis points in Q1 FY25, from Q1 FY24, primarily as a result of the decrease in revenue of 1.9%, partially offset by a decrease in material costs of 2.7%, or 16 basis points as a percentage of revenue and a decrease in Labor and Benefits of 2.8%, or 10 basis points as a percentage of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$19.1 million in Q1 FY25, compared with $21.0 million in Q4 FY24, and $18.3 million in Q1 FY24. The $1.9 million decrease from Q4 FY24 was primarily the result of compensation and related expenses of $0.9 million and professional fees of $0.7 million. The $0.8 million increase from Q1 FY24 was primarily the result of increased professional fees of $0.5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decreased $1.0 million to $4.3 million in Q1 FY25 from Q4 FY24; the decrease was primarily caused by reduced qualification activities in Asia. Research and development expenses in Q1 FY25 increased by $0.8 million from Q1 FY24 as a result of increased development activities in the 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 in millions)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Q1 FY25</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increased in Q1 FY25 from Q4 FY24 by $26.0 million and from Q1 FY24 by $28.7 million, primarily due to foreign currency impacts. The foreign currency impacts were primarily driven by favorable movements of the New Taiwan dollar and the South Korean won, against the U.S. dollar.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 in millions)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Q1 FY25</w:t>
            </w:r>
          </w:p>
        </w:tc>
        <w:tc>
          <w:tcPr>
            <w:tcW w:w="14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Q1 FY24</w:t>
            </w:r>
          </w:p>
        </w:tc>
      </w:tr>
      <w:tr>
        <w:trPr>
          <w:trHeight w:val="223"/>
        </w:trPr>
        <w:tc>
          <w:tcPr>
            <w:tcW w:w="7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18.9</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14.6</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14.7</w:t>
            </w:r>
          </w:p>
        </w:tc>
        <w:tc>
          <w:tcPr>
            <w:tcW w:w="160" w:type="dxa"/>
            <w:vAlign w:val="bottom"/>
            <w:shd w:val="clear" w:color="auto" w:fill="CCEEFF"/>
          </w:tcPr>
          <w:p>
            <w:pPr>
              <w:spacing w:after="0"/>
              <w:rPr>
                <w:sz w:val="18"/>
                <w:szCs w:val="18"/>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20"/>
                <w:szCs w:val="20"/>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8"/>
              </w:rPr>
              <w:t>27.3%</w:t>
            </w:r>
          </w:p>
        </w:tc>
      </w:tr>
    </w:tbl>
    <w:p>
      <w:pPr>
        <w:spacing w:after="0" w:line="1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also implement similar legislation with varying effective dates. The Company is currently subject to Pillar Two, but we estimate that the financial impact is immaterial. We will continuously evaluate the potential impact of the Pillar Two Framework to ensure we are compliant in the future.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 due in part to the non-recognition of tax benefits on losses in jurisdictions with valuation allowances.</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decrease in Q1 FY25, compared with Q4 FY24, is primarily due to changes in the jurisdictional mix of earnings and a decrease in foreign taxes in Q1 FY25.</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decrease in Q1 FY25, compared with Q1 FY24, is primarily due to changes in the jurisdictional mix of earnings and a decrease in foreign taxes in Q1 FY25.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$15.4 million in Q1 FY25, compared with $6.4 million in Q4 FY24; the increase was the result of a net increase in the net income of the Company’s joint venture operations. Net income attributable to noncontrolling interests increased by $2.5 million in Q1 FY25 from Q1 FY24, as a result of increased net income at the Company’s Taiwan-based IC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Cash and cash equivalents were $642.2 million and $598.5 million as of February 2, 2025, and October 31, 2024, respectively. During Q1 2025 all our short-term investments matured. As of February 2, 2025, total cash and cash equivalents included $550.2 million held by foreign subsidiaries, including an aggregate of $366.8 million held by our joint ventures in Taiwan and China. In addition, we currently have CNY 200 million (approximately $27.7 million) of borrowing capacity in China to support local operations. See Note 7 </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8"/>
          <w:szCs w:val="18"/>
          <w:color w:val="auto"/>
        </w:rPr>
        <w:t xml:space="preserve"> to the consolidated financial statements for additional information on the Company’s outstanding debt and currently available financing. The Company’s primary sources of liquidity are the Company’s cash on hand and cash we generate from operations.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the Company’s capital expenditures and ongoing operations. These reviews may result in the Company’s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the Company’s liquidity, including available financing, is sufficient to meet the Company’s requirements through the next twelve months and thereafter for the foreseeable future. Through the utilization of the Company’s existing liquidity, cash we generate from operations and short-term investments, we plan to continue to invest in the Company’s business, with the Company’s investments targeted to align with the Company’s customers’ technology road maps. In addition, we stand ready to invest in mergers, acquisitions, or strategic partnerships, should a suitable opportunity arise.</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estimate capital expenditures for the Company’s fiscal year 2025 will be approximately $200 million mainly in Asia and the U.S.; these investments will be targeted towards high-end and mainstream capacity that will increase the Company’s operating capability and efficiency and enable us to support the Company’s customers’ near-term demands. As of February 2, 2025, we had outstanding capital commitments of approximately $170.3 million and accrued liabilities related to capital equipment purchases of approximately $13.9 million. Although payment timing could vary, primarily as a result of the timing of tool delivery, installation and testing, we currently estimate that we will fund $175.4 million of the Company’s total $184.2 million committed and recognized obligations for capital expenditures over the next twelve months.</w:t>
      </w:r>
    </w:p>
    <w:p>
      <w:pPr>
        <w:spacing w:after="0" w:line="187"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On August 28, 2024, the Board of Directors authorized an increase to the Company’s existing share repurchase program from the remaining $31.7 million to $100 million. During Q1 FY25, the Company repurchased 195,079 shares for $4.6 million. As of February 2, 2025, there was $95.4 million remaining under the August 28, 2024 authorization. Depending on market conditions, we may utilize some or the entire remaining approved amount to reacquire additional shares.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6 </w:t>
      </w:r>
      <w:r>
        <w:rPr>
          <w:rFonts w:ascii="Times New Roman" w:cs="Times New Roman" w:eastAsia="Times New Roman" w:hAnsi="Times New Roman"/>
          <w:sz w:val="18"/>
          <w:szCs w:val="18"/>
          <w:i w:val="1"/>
          <w:iCs w:val="1"/>
          <w:color w:val="auto"/>
        </w:rPr>
        <w:t>– PDMCX Joint Venture</w:t>
      </w:r>
      <w:r>
        <w:rPr>
          <w:rFonts w:ascii="Times New Roman" w:cs="Times New Roman" w:eastAsia="Times New Roman" w:hAnsi="Times New Roman"/>
          <w:sz w:val="18"/>
          <w:szCs w:val="18"/>
          <w:color w:val="auto"/>
        </w:rPr>
        <w:t xml:space="preserve"> of the Company’s consolidated financial statements, DNP, the noncontrolling interest in the Company’s China-based joint venture has, under certain circumstances, the right to put its interest in the joint venture to Photronics, or to purchase the Company’s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February 2, 2025, Photronics and DNP each had net investments in this joint venture of approximately $141.8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Q1 FY25</w:t>
            </w: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Q1 FY24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color w:val="auto"/>
        </w:rPr>
        <w:t>: Net cash provided by operating activities reflects net income adjusted for certain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and the effects of changes in operating assets and liabilities. Net cash provided by operating activities increased by $37.0 million in the first quarter of FY25, compared with the same period of FY24, primarily due to increased net cash-favorable changes in working capital, predominantly in Asia.</w:t>
      </w:r>
    </w:p>
    <w:p>
      <w:pPr>
        <w:spacing w:after="0" w:line="180"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color w:val="auto"/>
        </w:rPr>
        <w:t>: Net cash flows provided by investing activities increased by $49.0 million in the first quarter of FY25, compared to the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investing activities in the same period of FY24, primarily driven by an additional maturity of short-term investments of $39.0 million, partially offset by a decrease of purchases of property, plant and equipment of $8.1 million.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color w:val="auto"/>
        </w:rPr>
        <w:t>: Net cash used in financing activities increased by $17.6 million in the first quarter FY25, compared to the same period of FY24.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primarily driven by an increase in debt repayment of $14.1 million and share repurchase of $4.6 million.</w:t>
      </w:r>
    </w:p>
    <w:p>
      <w:pPr>
        <w:spacing w:after="0" w:line="20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Company’s cash, cash equivalents, and restricted cash balances were negatively impacted by changes in foreign currency exchange rates during the first quarter of FY25 by $34.2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Non-GAAP Net Income attributable to Photronics, Inc. shareholders and non-GAAP diluted earnings per share are “non-GAAP financial measures” as such term is defined by Regulation G of the Securities and Exchange Commission and may differ from similarly named non-GAAP financial measures used by other companies. The financial tables below reconcile Photronics, Inc. financial results under U.S. GAAP to our non-GAAP financial information. We believe these non-GAAP financial measures that exclude certain items are useful for analysts and investors to evaluate the Company’s on-going performance because they enable a more meaningful comparison of historical results of the Company’s core business.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U.S. GAAP equivalent, are significant components of the condensed consolidated statement of income and must be considered in performing a comprehensive assessment of overall financial performance.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right"/>
        <w:ind w:left="340" w:right="1220"/>
        <w:spacing w:after="0" w:line="273" w:lineRule="auto"/>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U.S. GAAP to Non-GAAP Income</w:t>
      </w:r>
      <w:r>
        <w:rPr>
          <w:rFonts w:ascii="Times New Roman" w:cs="Times New Roman" w:eastAsia="Times New Roman" w:hAnsi="Times New Roman"/>
          <w:sz w:val="18"/>
          <w:szCs w:val="18"/>
          <w:color w:val="auto"/>
        </w:rPr>
        <w:t xml:space="preserve"> for the indicated periods. The columns may not foot due to rounding. </w:t>
      </w:r>
      <w:r>
        <w:rPr>
          <w:rFonts w:ascii="Times New Roman" w:cs="Times New Roman" w:eastAsia="Times New Roman" w:hAnsi="Times New Roman"/>
          <w:sz w:val="18"/>
          <w:szCs w:val="18"/>
          <w:b w:val="1"/>
          <w:bCs w:val="1"/>
          <w:color w:val="auto"/>
        </w:rPr>
        <w:t>Three Months ended</w:t>
      </w: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right"/>
              <w:ind w:right="580"/>
              <w:spacing w:after="0" w:line="182" w:lineRule="exact"/>
              <w:rPr>
                <w:sz w:val="20"/>
                <w:szCs w:val="20"/>
                <w:color w:val="auto"/>
              </w:rPr>
            </w:pPr>
            <w:r>
              <w:rPr>
                <w:rFonts w:ascii="Times New Roman" w:cs="Times New Roman" w:eastAsia="Times New Roman" w:hAnsi="Times New Roman"/>
                <w:sz w:val="18"/>
                <w:szCs w:val="18"/>
                <w:b w:val="1"/>
                <w:bCs w:val="1"/>
                <w:color w:val="auto"/>
              </w:rPr>
              <w:t>Feb 2,</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480"/>
              <w:spacing w:after="0" w:line="182" w:lineRule="exact"/>
              <w:rPr>
                <w:sz w:val="20"/>
                <w:szCs w:val="20"/>
                <w:color w:val="auto"/>
              </w:rPr>
            </w:pPr>
            <w:r>
              <w:rPr>
                <w:rFonts w:ascii="Times New Roman" w:cs="Times New Roman" w:eastAsia="Times New Roman" w:hAnsi="Times New Roman"/>
                <w:sz w:val="18"/>
                <w:szCs w:val="18"/>
                <w:b w:val="1"/>
                <w:bCs w:val="1"/>
                <w:color w:val="auto"/>
              </w:rPr>
              <w:t>Oct 31,</w:t>
            </w: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Jan 28,</w:t>
            </w:r>
          </w:p>
        </w:tc>
        <w:tc>
          <w:tcPr>
            <w:tcW w:w="100" w:type="dxa"/>
            <w:vAlign w:val="bottom"/>
          </w:tcPr>
          <w:p>
            <w:pPr>
              <w:spacing w:after="0"/>
              <w:rPr>
                <w:sz w:val="15"/>
                <w:szCs w:val="15"/>
                <w:color w:val="auto"/>
              </w:rPr>
            </w:pPr>
          </w:p>
        </w:tc>
      </w:t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to Non-GAAP Net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Net Income attributable to Photronics, Inc. shareholders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26,180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FX loss (gain)</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(18,443)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tax effects of above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(2,244)</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(2,637)</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(2,939)</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Photronics, Inc. shareholders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32,383</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to Non-GAAP EPS: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diluted earnings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Effects of the above non-GAAP adjustments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current business outlook and guidance was provided in the Photronics Q1 FY25 earnings release, earnings presentation, and financial results conference call, but is not incorporated herein. These can be accessed in the investor section of our website - www.photronics.com. Information included on our website is not incorporated in this Form 10-Q.</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Q1 FY25 earnings release, and the related financial results conference call and earnings presentation involve a number of risks and uncertainties, some of which were discussed in Part I, Item 1A of our 2024 Form 10-K. These factors and a number of other unforeseeable factors could cause actual results to differ materially from our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2024 Form 10-K for discussion of our critical accounting estimates. There have been no changes to our critical accounting estimates since the filing of our Form 10-K for the year ended October 31, 2024.</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yuan, and the Singapore dollar. The functional currencies of our European subsidiaries are the British pound and the euro. In addition, we engage in transactions and have exposures to the Japanese yen.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entity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primary net foreign currency exposures as of February 2, 2025, included the South Korean won, the Japanese yen, the New Taiwan dollar, the Chinese yuan, the Singapore dollar, the British pound sterling, and the euro. As of that date, a 10% adverse movement in the value of currencies different from the functional currencies of our subsidiaries would have resulted in a net unrealized pre-tax loss of $62.7 million, which represents an increase of $1.4 million from our exposure at October 31, 2024. Our most significant exposures at February 2, 2025, were exposures of the South Korean won, the Chinese yuan, and the New Taiwan dollar to the U.S. dollar, which were, respectively, $19.6 million, $7.3 million, and $33.0 million at that date. We do not believe that a 10% change in the exchange rates of non-US dollar currencies, other than the aforementioned currencies and the Japanese yen, would have had a material effect on our February 2, 2025,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A 10% adverse or favorable movement in the interest rates on our variable rate borrowings would not have had a material effect on the Company’s February 2, 2025, condensed consolidated financial statements, as there were no variable rate borrowings outstanding as of the balance sheet date.</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first fiscal quarter ended February 2, 2025, that have materially affected, or are reasonably likely to materially affect, the Company’s internal control over financial reporting.</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Note 12 within Part I,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to our risk factors as set forth in “Item 1A. Risk Factors” in our 2024 Form 10-K.</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Rule 10b-18 of the Exchange Act. The repurchase authorization by the Board of Directors has no expiration date, does not obligate us to acquire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and is subject to market conditions. From September 2020 through October 2022, the Company repurchased 5.8 million shares at a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$68.3 million. In August 2024, the Board of Directors authorized an increase to the Company’s existing share repurchase program from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 million up to $100 million. During the three-month period ended February 2, 2025, the Company repurchased 195,079 shares at a cost $4.6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10b-18 of the Exchange Act. All shares repurchased under the program have been retired. As of February 2, 2025, $95.4 million remained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under this authorization for the repurchase of additional shares.</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Company’s repurchase of common stock during the first quarter of fiscal year 2025. This table excludes shares repurchased to settle employee tax withholding related to the vesting of stock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36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57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60" w:type="dxa"/>
            <w:vAlign w:val="bottom"/>
          </w:tcPr>
          <w:p>
            <w:pPr>
              <w:spacing w:after="0"/>
              <w:rPr>
                <w:sz w:val="18"/>
                <w:szCs w:val="18"/>
                <w:color w:val="auto"/>
              </w:rPr>
            </w:pPr>
          </w:p>
        </w:tc>
        <w:tc>
          <w:tcPr>
            <w:tcW w:w="1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57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6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216"/>
        </w:trPr>
        <w:tc>
          <w:tcPr>
            <w:tcW w:w="57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6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45"/>
        </w:trPr>
        <w:tc>
          <w:tcPr>
            <w:tcW w:w="57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2024 – December 1, 2024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2024 – December 29,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2024 – February 2, 2025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195,079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23.42</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195,079</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r>
      <w:tr>
        <w:trPr>
          <w:trHeight w:val="27"/>
        </w:trPr>
        <w:tc>
          <w:tcPr>
            <w:tcW w:w="57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195,079</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195,079</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57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Certain lease arrangements include limitations on the amounts of dividends we may pay. Please refer to Note 7 of the condensed consolidated financial statements for information on these limitations.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February 2, 2025, the following directors and officers as defined in Rule 16a-1(f) of the Exchange Act, adopted a “Rule 10b5-1 trading arrangement” as defined in Item 408 of Regulation S-K:</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December 19, 2024, Mitchell G. Tyson, a member of our Board of Directors, adopted a Rule 10b5-1 trading arrangement (the “Tyson Plan”) providing for the sale of an aggregate of up to 30,000 shares of our common stock granted to Mr. Tyson under our compensation program. The first date any shares are permitted to be sold under the Tyson Plan is April 1, 2025 and the last day shares are permitted to be sold under the Tyson Plan is November 28, 2025.</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December 23, 2024, Christopher J. Progler, Ph.D., our Executive Vice President and Chief Technology Officer, adopted a Rule 10b5-1 trading arrangement (the “Progler Plan”) providing for the sale of an aggregate of up to 40,000 shares of our common stock granted to Dr. Progler under our compensation program. The first date any shares are permitted to be sold under the Progler Plan is March 24, 2025 and the last day shares are permitted to be sold under the Progler Plan is December 31, 2025.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Tyson Plan and the Progler Plan are intended to satisfy the affirmative defense in Rule 10b5-1(c).</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No other such plans or arrangements were adopted or terminated, including by modification, by any director or officer (as defined in Rule 16a-1 under the Exchange Act) during the quarter ended February 2, 2025.</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20" w:type="dxa"/>
            <w:vAlign w:val="bottom"/>
          </w:tcPr>
          <w:p>
            <w:pPr>
              <w:spacing w:after="0"/>
              <w:rPr>
                <w:sz w:val="24"/>
                <w:szCs w:val="24"/>
                <w:color w:val="auto"/>
              </w:rPr>
            </w:pPr>
          </w:p>
        </w:tc>
        <w:tc>
          <w:tcPr>
            <w:tcW w:w="8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Exhibit</w:t>
            </w:r>
          </w:p>
        </w:tc>
        <w:tc>
          <w:tcPr>
            <w:tcW w:w="160" w:type="dxa"/>
            <w:vAlign w:val="bottom"/>
            <w:gridSpan w:val="2"/>
            <w:vMerge w:val="restart"/>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2560" w:type="dxa"/>
            <w:vAlign w:val="bottom"/>
          </w:tcPr>
          <w:p>
            <w:pPr>
              <w:spacing w:after="0"/>
              <w:rPr>
                <w:sz w:val="17"/>
                <w:szCs w:val="17"/>
                <w:color w:val="auto"/>
              </w:rPr>
            </w:pPr>
          </w:p>
        </w:tc>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Filing Date</w:t>
            </w:r>
          </w:p>
        </w:tc>
        <w:tc>
          <w:tcPr>
            <w:tcW w:w="220" w:type="dxa"/>
            <w:vAlign w:val="bottom"/>
          </w:tcPr>
          <w:p>
            <w:pPr>
              <w:spacing w:after="0"/>
              <w:rPr>
                <w:sz w:val="17"/>
                <w:szCs w:val="17"/>
                <w:color w:val="auto"/>
              </w:rPr>
            </w:pPr>
          </w:p>
        </w:tc>
        <w:tc>
          <w:tcPr>
            <w:tcW w:w="840" w:type="dxa"/>
            <w:vAlign w:val="bottom"/>
            <w:gridSpan w:val="3"/>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3"/>
              </w:rPr>
              <w:t>Furnished</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820" w:type="dxa"/>
            <w:vAlign w:val="bottom"/>
            <w:gridSpan w:val="4"/>
            <w:vMerge w:val="continue"/>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5"/>
          </w:tcPr>
          <w:p>
            <w:pPr>
              <w:jc w:val="center"/>
              <w:ind w:left="51"/>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560" w:type="dxa"/>
            <w:vAlign w:val="bottom"/>
          </w:tcPr>
          <w:p>
            <w:pPr>
              <w:spacing w:after="0"/>
              <w:rPr>
                <w:sz w:val="17"/>
                <w:szCs w:val="17"/>
                <w:color w:val="auto"/>
              </w:rPr>
            </w:pPr>
          </w:p>
        </w:tc>
        <w:tc>
          <w:tcPr>
            <w:tcW w:w="3600" w:type="dxa"/>
            <w:vAlign w:val="bottom"/>
            <w:gridSpan w:val="2"/>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82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453"/>
        </w:trPr>
        <w:tc>
          <w:tcPr>
            <w:tcW w:w="2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16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righ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16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righ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16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righ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16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righ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61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document)</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1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3"/>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Exhibit 101)</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60" w:type="dxa"/>
            <w:vAlign w:val="bottom"/>
            <w:gridSpan w:val="3"/>
          </w:tcPr>
          <w:p>
            <w:pPr>
              <w:ind w:left="4540"/>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1602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13, 2025</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15" w:right="6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Lee, certify that:</w:t>
      </w:r>
    </w:p>
    <w:p>
      <w:pPr>
        <w:spacing w:after="0" w:line="225"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486"/>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5031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certify that:</w:t>
      </w:r>
    </w:p>
    <w:p>
      <w:pPr>
        <w:spacing w:after="0" w:line="225"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486"/>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5031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Frank Lee, Chief Executive Officer of Photronics, Inc. (the “Company”), certify, to my knowledge, pursuant to Section 906 of the Sarbanes-Oxley Act of 2002, 18 U.S.C. Section 1350, that:</w:t>
      </w:r>
    </w:p>
    <w:p>
      <w:pPr>
        <w:spacing w:after="0" w:line="162" w:lineRule="exact"/>
        <w:rPr>
          <w:sz w:val="20"/>
          <w:szCs w:val="20"/>
          <w:color w:val="auto"/>
        </w:rPr>
      </w:pPr>
    </w:p>
    <w:p>
      <w:pPr>
        <w:ind w:left="500" w:right="8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February 2,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Eric Rivera, Chief Financial Officer of Photronics, Inc. (the “Company”), certify, to my knowledge, pursuant to Section 906 of the Sarbanes-Oxley Act of 2002, 18 U.S.C. Section 1350, that:</w:t>
      </w:r>
    </w:p>
    <w:p>
      <w:pPr>
        <w:spacing w:after="0" w:line="162" w:lineRule="exact"/>
        <w:rPr>
          <w:sz w:val="20"/>
          <w:szCs w:val="20"/>
          <w:color w:val="auto"/>
        </w:rPr>
      </w:pPr>
    </w:p>
    <w:p>
      <w:pPr>
        <w:ind w:left="500" w:right="8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February 2,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2025-03-13T14:00:11Z</dcterms:created>
  <dcterms:modified xsi:type="dcterms:W3CDTF">2025-03-13T14:00:11Z</dcterms:modified>
</cp:coreProperties>
</file>