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00" w:right="1880" w:hanging="3718"/>
        <w:spacing w:after="0" w:line="258" w:lineRule="auto"/>
        <w:tabs>
          <w:tab w:leader="none" w:pos="662" w:val="left"/>
        </w:tabs>
        <w:numPr>
          <w:ilvl w:val="0"/>
          <w:numId w:val="1"/>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August 3, 2014</w:t>
      </w:r>
    </w:p>
    <w:p>
      <w:pPr>
        <w:spacing w:after="0" w:line="1" w:lineRule="exact"/>
        <w:rPr>
          <w:rFonts w:ascii="Arial" w:cs="Arial" w:eastAsia="Arial" w:hAnsi="Arial"/>
          <w:sz w:val="18"/>
          <w:szCs w:val="18"/>
          <w:i w:val="1"/>
          <w:iCs w:val="1"/>
          <w:color w:val="auto"/>
        </w:rPr>
      </w:pPr>
    </w:p>
    <w:p>
      <w:pPr>
        <w:ind w:left="558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OR</w:t>
      </w:r>
    </w:p>
    <w:p>
      <w:pPr>
        <w:spacing w:after="0" w:line="238" w:lineRule="exact"/>
        <w:rPr>
          <w:sz w:val="24"/>
          <w:szCs w:val="24"/>
          <w:color w:val="auto"/>
        </w:rPr>
      </w:pPr>
    </w:p>
    <w:p>
      <w:pPr>
        <w:ind w:left="4180" w:right="1860" w:hanging="3893"/>
        <w:spacing w:after="0" w:line="532" w:lineRule="auto"/>
        <w:tabs>
          <w:tab w:leader="none" w:pos="650" w:val="left"/>
        </w:tabs>
        <w:numPr>
          <w:ilvl w:val="0"/>
          <w:numId w:val="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169545</wp:posOffset>
            </wp:positionV>
            <wp:extent cx="79756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9756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552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Connecticut</w:t>
            </w:r>
          </w:p>
        </w:tc>
        <w:tc>
          <w:tcPr>
            <w:tcW w:w="360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06-0854886</w:t>
            </w:r>
          </w:p>
        </w:tc>
      </w:tr>
      <w:tr>
        <w:trPr>
          <w:trHeight w:val="230"/>
        </w:trPr>
        <w:tc>
          <w:tcPr>
            <w:tcW w:w="5520" w:type="dxa"/>
            <w:vAlign w:val="bottom"/>
          </w:tcPr>
          <w:p>
            <w:pPr>
              <w:jc w:val="center"/>
              <w:ind w:right="105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00" w:type="dxa"/>
            <w:vAlign w:val="bottom"/>
          </w:tcPr>
          <w:p>
            <w:pPr>
              <w:jc w:val="center"/>
              <w:ind w:left="107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20" w:type="dxa"/>
            <w:vAlign w:val="bottom"/>
          </w:tcPr>
          <w:p>
            <w:pPr>
              <w:jc w:val="center"/>
              <w:ind w:right="107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0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06804</w:t>
            </w:r>
          </w:p>
        </w:tc>
      </w:tr>
      <w:tr>
        <w:trPr>
          <w:trHeight w:val="230"/>
        </w:trPr>
        <w:tc>
          <w:tcPr>
            <w:tcW w:w="5520" w:type="dxa"/>
            <w:vAlign w:val="bottom"/>
          </w:tcPr>
          <w:p>
            <w:pPr>
              <w:jc w:val="center"/>
              <w:ind w:right="10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00" w:type="dxa"/>
            <w:vAlign w:val="bottom"/>
          </w:tcPr>
          <w:p>
            <w:pPr>
              <w:jc w:val="center"/>
              <w:ind w:left="105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520" w:type="dxa"/>
            <w:vAlign w:val="bottom"/>
          </w:tcPr>
          <w:p>
            <w:pPr>
              <w:jc w:val="center"/>
              <w:ind w:right="107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(203) 775-9000</w:t>
            </w:r>
          </w:p>
        </w:tc>
      </w:tr>
    </w:tbl>
    <w:p>
      <w:pPr>
        <w:spacing w:after="0" w:line="229"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T No o</w:t>
      </w:r>
    </w:p>
    <w:p>
      <w:pPr>
        <w:spacing w:after="0" w:line="23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T No o</w:t>
      </w:r>
    </w:p>
    <w:p>
      <w:pPr>
        <w:spacing w:after="0" w:line="238"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1"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740" w:type="dxa"/>
            <w:vAlign w:val="bottom"/>
          </w:tcPr>
          <w:p>
            <w:pPr>
              <w:jc w:val="center"/>
              <w:ind w:right="1850"/>
              <w:spacing w:after="0"/>
              <w:rPr>
                <w:sz w:val="20"/>
                <w:szCs w:val="20"/>
                <w:color w:val="auto"/>
              </w:rPr>
            </w:pPr>
            <w:r>
              <w:rPr>
                <w:rFonts w:ascii="Arial" w:cs="Arial" w:eastAsia="Arial" w:hAnsi="Arial"/>
                <w:sz w:val="18"/>
                <w:szCs w:val="18"/>
                <w:color w:val="auto"/>
                <w:w w:val="88"/>
              </w:rPr>
              <w:t>Class</w:t>
            </w:r>
          </w:p>
        </w:tc>
        <w:tc>
          <w:tcPr>
            <w:tcW w:w="5680" w:type="dxa"/>
            <w:vAlign w:val="bottom"/>
          </w:tcPr>
          <w:p>
            <w:pPr>
              <w:jc w:val="center"/>
              <w:ind w:left="1790"/>
              <w:spacing w:after="0"/>
              <w:rPr>
                <w:sz w:val="20"/>
                <w:szCs w:val="20"/>
                <w:color w:val="auto"/>
              </w:rPr>
            </w:pPr>
            <w:r>
              <w:rPr>
                <w:rFonts w:ascii="Arial" w:cs="Arial" w:eastAsia="Arial" w:hAnsi="Arial"/>
                <w:sz w:val="18"/>
                <w:szCs w:val="18"/>
                <w:color w:val="auto"/>
                <w:w w:val="90"/>
              </w:rPr>
              <w:t>Outstanding at August 28, 2014</w:t>
            </w:r>
          </w:p>
        </w:tc>
      </w:tr>
      <w:tr>
        <w:trPr>
          <w:trHeight w:val="234"/>
        </w:trPr>
        <w:tc>
          <w:tcPr>
            <w:tcW w:w="574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Common Stock, $0.01 par value</w:t>
            </w:r>
          </w:p>
        </w:tc>
        <w:tc>
          <w:tcPr>
            <w:tcW w:w="5680" w:type="dxa"/>
            <w:vAlign w:val="bottom"/>
          </w:tcPr>
          <w:p>
            <w:pPr>
              <w:jc w:val="center"/>
              <w:ind w:left="1790"/>
              <w:spacing w:after="0"/>
              <w:rPr>
                <w:sz w:val="20"/>
                <w:szCs w:val="20"/>
                <w:color w:val="auto"/>
              </w:rPr>
            </w:pPr>
            <w:r>
              <w:rPr>
                <w:rFonts w:ascii="Arial" w:cs="Arial" w:eastAsia="Arial" w:hAnsi="Arial"/>
                <w:sz w:val="18"/>
                <w:szCs w:val="18"/>
                <w:b w:val="1"/>
                <w:bCs w:val="1"/>
                <w:color w:val="auto"/>
                <w:w w:val="87"/>
              </w:rPr>
              <w:t>61,768,425 Shares</w:t>
            </w:r>
          </w:p>
        </w:tc>
      </w:tr>
      <w:tr>
        <w:trPr>
          <w:trHeight w:val="311"/>
        </w:trPr>
        <w:tc>
          <w:tcPr>
            <w:tcW w:w="574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03"/>
        </w:trPr>
        <w:tc>
          <w:tcPr>
            <w:tcW w:w="5740" w:type="dxa"/>
            <w:vAlign w:val="bottom"/>
            <w:tcBorders>
              <w:left w:val="single" w:sz="8" w:color="9A9A9A"/>
            </w:tcBorders>
          </w:tcPr>
          <w:p>
            <w:pPr>
              <w:spacing w:after="0"/>
              <w:rPr>
                <w:sz w:val="17"/>
                <w:szCs w:val="17"/>
                <w:color w:val="auto"/>
              </w:rPr>
            </w:pPr>
          </w:p>
        </w:tc>
        <w:tc>
          <w:tcPr>
            <w:tcW w:w="5680" w:type="dxa"/>
            <w:vAlign w:val="bottom"/>
            <w:tcBorders>
              <w:right w:val="single" w:sz="8" w:color="EEEEEE"/>
            </w:tcBorders>
          </w:tcPr>
          <w:p>
            <w:pPr>
              <w:spacing w:after="0"/>
              <w:rPr>
                <w:sz w:val="17"/>
                <w:szCs w:val="17"/>
                <w:color w:val="auto"/>
              </w:rPr>
            </w:pPr>
          </w:p>
        </w:tc>
      </w:tr>
      <w:tr>
        <w:trPr>
          <w:trHeight w:val="183"/>
        </w:trPr>
        <w:tc>
          <w:tcPr>
            <w:tcW w:w="574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42"/>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"could," "estimate, " "intend, " "may, "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4"/>
          </w:tcPr>
          <w:p>
            <w:pPr>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4"/>
          </w:tcPr>
          <w:p>
            <w:pPr>
              <w:spacing w:after="0"/>
              <w:rPr>
                <w:sz w:val="20"/>
                <w:szCs w:val="20"/>
                <w:color w:val="auto"/>
              </w:rPr>
            </w:pPr>
            <w:r>
              <w:rPr>
                <w:rFonts w:ascii="Arial" w:cs="Arial" w:eastAsia="Arial" w:hAnsi="Arial"/>
                <w:sz w:val="18"/>
                <w:szCs w:val="18"/>
                <w:color w:val="auto"/>
              </w:rPr>
              <w:t>Condensed Consolidated Financial Statements</w:t>
            </w: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August 3, 2014 and November 3, 2013</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and Nine Months Ended August 3, 2014 and July 28, 2013</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700" w:type="dxa"/>
            <w:vAlign w:val="bottom"/>
            <w:gridSpan w:val="14"/>
            <w:shd w:val="clear" w:color="auto" w:fill="CCEEFF"/>
          </w:tcPr>
          <w:p>
            <w:pPr>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 for the Three and Nine Months Ended August 3, 2014 and July 28,</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3"/>
            <w:shd w:val="clear" w:color="auto" w:fill="CCEEFF"/>
          </w:tcPr>
          <w:p>
            <w:pPr>
              <w:ind w:left="1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2013</w:t>
              </w:r>
            </w:hyperlink>
          </w:p>
        </w:tc>
        <w:tc>
          <w:tcPr>
            <w:tcW w:w="30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24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164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176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7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August 3, 2014 and July 28, 2013</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910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40" w:type="dxa"/>
            <w:vAlign w:val="bottom"/>
            <w:gridSpan w:val="9"/>
          </w:tcPr>
          <w:p>
            <w:pPr>
              <w:ind w:left="4520"/>
              <w:spacing w:after="0"/>
              <w:rPr>
                <w:sz w:val="20"/>
                <w:szCs w:val="20"/>
                <w:color w:val="auto"/>
              </w:rPr>
            </w:pPr>
            <w:r>
              <w:rPr>
                <w:rFonts w:ascii="Arial" w:cs="Arial" w:eastAsia="Arial" w:hAnsi="Arial"/>
                <w:sz w:val="14"/>
                <w:szCs w:val="14"/>
                <w:color w:val="auto"/>
              </w:rPr>
              <w:t>3</w:t>
            </w: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PHOTRONICS,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jc w:val="center"/>
              <w:ind w:left="2330"/>
              <w:spacing w:after="0"/>
              <w:rPr>
                <w:sz w:val="20"/>
                <w:szCs w:val="20"/>
                <w:color w:val="auto"/>
              </w:rPr>
            </w:pPr>
            <w:r>
              <w:rPr>
                <w:rFonts w:ascii="Arial" w:cs="Arial" w:eastAsia="Arial" w:hAnsi="Arial"/>
                <w:sz w:val="18"/>
                <w:szCs w:val="18"/>
                <w:color w:val="auto"/>
                <w:w w:val="88"/>
              </w:rPr>
              <w:t>Condensed 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jc w:val="center"/>
              <w:ind w:left="235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jc w:val="center"/>
              <w:ind w:left="2350"/>
              <w:spacing w:after="0"/>
              <w:rPr>
                <w:sz w:val="20"/>
                <w:szCs w:val="20"/>
                <w:color w:val="auto"/>
              </w:rPr>
            </w:pPr>
            <w:r>
              <w:rPr>
                <w:rFonts w:ascii="Arial" w:cs="Arial" w:eastAsia="Arial" w:hAnsi="Arial"/>
                <w:sz w:val="18"/>
                <w:szCs w:val="18"/>
                <w:i w:val="1"/>
                <w:iCs w:val="1"/>
                <w:color w:val="auto"/>
                <w:w w:val="92"/>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August 3,</w:t>
            </w: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$2,719 in 2014 and $3,541 in 2013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1,045,426</w:t>
            </w:r>
          </w:p>
        </w:tc>
        <w:tc>
          <w:tcPr>
            <w:tcW w:w="100" w:type="dxa"/>
            <w:vAlign w:val="bottom"/>
          </w:tcPr>
          <w:p>
            <w:pPr>
              <w:spacing w:after="0"/>
              <w:rPr>
                <w:sz w:val="18"/>
                <w:szCs w:val="18"/>
                <w:color w:val="auto"/>
              </w:rPr>
            </w:pP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885,929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10,306</w:t>
            </w: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149,001</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Long-term borrowings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325,165</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61,452 shares issued and outstanding at August 3, 2014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gridSpan w:val="2"/>
          </w:tcPr>
          <w:p>
            <w:pPr>
              <w:ind w:left="280"/>
              <w:spacing w:after="0"/>
              <w:rPr>
                <w:sz w:val="20"/>
                <w:szCs w:val="20"/>
                <w:color w:val="auto"/>
              </w:rPr>
            </w:pPr>
            <w:r>
              <w:rPr>
                <w:rFonts w:ascii="Arial" w:cs="Arial" w:eastAsia="Arial" w:hAnsi="Arial"/>
                <w:sz w:val="18"/>
                <w:szCs w:val="18"/>
                <w:color w:val="auto"/>
              </w:rPr>
              <w:t>and 61,083 shares issued and outstanding at November 3, 2013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81,158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609,938</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585,314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720,261</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587,831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60" w:type="dxa"/>
            <w:vAlign w:val="bottom"/>
            <w:gridSpan w:val="5"/>
          </w:tcPr>
          <w:p>
            <w:pPr>
              <w:jc w:val="center"/>
              <w:ind w:left="3530"/>
              <w:spacing w:after="0"/>
              <w:rPr>
                <w:sz w:val="20"/>
                <w:szCs w:val="20"/>
                <w:color w:val="auto"/>
              </w:rPr>
            </w:pPr>
            <w:r>
              <w:rPr>
                <w:rFonts w:ascii="Arial" w:cs="Arial" w:eastAsia="Arial" w:hAnsi="Arial"/>
                <w:sz w:val="18"/>
                <w:szCs w:val="18"/>
                <w:b w:val="1"/>
                <w:bCs w:val="1"/>
                <w:color w:val="auto"/>
                <w:w w:val="99"/>
              </w:rPr>
              <w:t>PHOTRONICS, INC. AND SUBSIDIARIES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40" w:type="dxa"/>
            <w:vAlign w:val="bottom"/>
            <w:gridSpan w:val="6"/>
          </w:tcPr>
          <w:p>
            <w:pPr>
              <w:jc w:val="center"/>
              <w:ind w:left="335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380" w:type="dxa"/>
            <w:vAlign w:val="bottom"/>
            <w:gridSpan w:val="4"/>
          </w:tcPr>
          <w:p>
            <w:pPr>
              <w:jc w:val="center"/>
              <w:ind w:right="16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20" w:type="dxa"/>
            <w:vAlign w:val="bottom"/>
            <w:gridSpan w:val="2"/>
          </w:tcPr>
          <w:p>
            <w:pPr>
              <w:jc w:val="center"/>
              <w:ind w:left="1010"/>
              <w:spacing w:after="0"/>
              <w:rPr>
                <w:sz w:val="20"/>
                <w:szCs w:val="20"/>
                <w:color w:val="auto"/>
              </w:rPr>
            </w:pPr>
            <w:r>
              <w:rPr>
                <w:rFonts w:ascii="Arial" w:cs="Arial" w:eastAsia="Arial" w:hAnsi="Arial"/>
                <w:sz w:val="18"/>
                <w:szCs w:val="18"/>
                <w:b w:val="1"/>
                <w:bCs w:val="1"/>
                <w:i w:val="1"/>
                <w:iCs w:val="1"/>
                <w:color w:val="auto"/>
                <w:w w:val="87"/>
              </w:rPr>
              <w:t>(unaudited)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5"/>
              </w:rPr>
              <w:t>August 3,</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2"/>
              </w:rPr>
              <w:t>August 3,</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124,852</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331,276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(82,574)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(257,554)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(14,380)</w:t>
            </w: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19"/>
                <w:szCs w:val="19"/>
                <w:color w:val="auto"/>
              </w:rPr>
            </w:pPr>
          </w:p>
        </w:tc>
        <w:tc>
          <w:tcPr>
            <w:tcW w:w="37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Gain on acquisition</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16,372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and other income (expense), net</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9,053</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(3,158)</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(3,617)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91"/>
              </w:rPr>
              <w:t>Net income attributable to Photronics, Inc. shareholders</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4,186</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21,719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Weighted-average number of common shares outstanding: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61,436</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60,746</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61,336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60,505</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160" w:type="dxa"/>
            <w:vAlign w:val="bottom"/>
          </w:tcPr>
          <w:p>
            <w:pPr>
              <w:jc w:val="right"/>
              <w:spacing w:after="0"/>
              <w:rPr>
                <w:sz w:val="20"/>
                <w:szCs w:val="20"/>
                <w:color w:val="auto"/>
              </w:rPr>
            </w:pPr>
            <w:r>
              <w:rPr>
                <w:rFonts w:ascii="Arial" w:cs="Arial" w:eastAsia="Arial" w:hAnsi="Arial"/>
                <w:sz w:val="18"/>
                <w:szCs w:val="18"/>
                <w:color w:val="auto"/>
              </w:rPr>
              <w:t>62,432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66,177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77,706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61,478</w:t>
            </w:r>
          </w:p>
        </w:tc>
      </w:tr>
      <w:tr>
        <w:trPr>
          <w:trHeight w:val="21"/>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5"/>
              </w:rPr>
              <w:t>August 3,</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August 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5,761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26,510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1"/>
              </w:rPr>
              <w:t>(in thousands)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5"/>
              </w:rPr>
              <w:t>August 3,</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Gain on acquisition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(16,372)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61,838</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67,554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(58,278)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from acquisition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Payments of deferred financing fees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Repurchase of common stock of subsidiary</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(27,322)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(35,942)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(19,277)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196,338</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197,271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Capital lease obligation for purchase of equipment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net assets from acquisition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and Nine Months Ended August 3, 2014 and July 28,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85"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w:t>
      </w:r>
    </w:p>
    <w:p>
      <w:pPr>
        <w:spacing w:after="0" w:line="214"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November 2, 2014. For further information, refer to the consolidated financial statements and footnotes thereto included in the Company's Annual Report on Form 10-K for the year ended November 3,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 OF DNP PHOTOMASK TECHNOLOGY TAIWAN CO., LTD.</w:t>
      </w:r>
    </w:p>
    <w:p>
      <w:pPr>
        <w:spacing w:after="0" w:line="256"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$41.0 million. The Company owns 50.01 percent of PDMC and includes its financial results in its consolidated financial statements, while DNP owns the remaining 49.99 percent of PDMC. The DPTT Acquisition was the result of the Company’s desire to combine the strengths in logic and memory photomask technologies of PSMC and DPTT in order to enhance its capability with customers in the region.</w:t>
      </w:r>
    </w:p>
    <w:p>
      <w:pPr>
        <w:spacing w:after="0" w:line="200"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DPTT Acquisition met the conditions of a business combination as defined by Accounting Standards Codification (“ASC”) 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acquisition.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following table summarizes the provisional fair values of assets acquired and liabilities assumed of DPTT, the fair value of the noncontrolling interests and consideration for DPTT at the acquisition date. These provisional amounts could change as a result of the ultimate realization of the acquired net working capital.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receivable (gross amount of $28,560, of which $500 is expected to be uncollectable)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(32,410)</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(3,042)</w:t>
            </w:r>
          </w:p>
        </w:tc>
      </w:tr>
      <w:tr>
        <w:trPr>
          <w:trHeight w:val="223"/>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r>
      <w:tr>
        <w:trPr>
          <w:trHeight w:val="216"/>
        </w:trPr>
        <w:tc>
          <w:tcPr>
            <w:tcW w:w="20" w:type="dxa"/>
            <w:vAlign w:val="bottom"/>
          </w:tcPr>
          <w:p>
            <w:pPr>
              <w:spacing w:after="0"/>
              <w:rPr>
                <w:sz w:val="18"/>
                <w:szCs w:val="18"/>
                <w:color w:val="auto"/>
              </w:rPr>
            </w:pPr>
          </w:p>
        </w:tc>
        <w:tc>
          <w:tcPr>
            <w:tcW w:w="9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net assets acquired</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114,719</w:t>
            </w:r>
          </w:p>
        </w:tc>
        <w:tc>
          <w:tcPr>
            <w:tcW w:w="12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 retained by DNP</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 49.99% of fair value of PSMC</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Gain on acquisition</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In addition to recording the fair values of the net assets acquired, the Company also recorded a gain on acquisition of $16.4 million in the condensed consolidated statement of income within other income (expense)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216"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The fair value of the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w:t>
      </w:r>
    </w:p>
    <w:p>
      <w:pPr>
        <w:spacing w:after="0" w:line="214"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The acquisition date fair value of the property, plant and equipment of DPTT was $95.4 million, which was determined by utilizing the cost and, to a lesser extent, the market approach, based on an in-use premise of value.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200"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Identifiable intangible assets acquired were primarily customer relationships, which represent the fair value of relationships and agreements DPTT had in place at the date of the merger. The customer relationships had a fair value of $1.5 million at the acquisition date, determined by using the multi-period excess earnings method and an estimated useful life of twelve years. The acquisition date fair value of the remainder of the identifiable assets acquired and liabilities assumed were equivalent to, or did not materially differ from, their carrying values.</w:t>
      </w:r>
    </w:p>
    <w:p>
      <w:pPr>
        <w:spacing w:after="0" w:line="214"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Acquisition costs related to the merger were $2.5 million for the nine month period ended August 3, 2014, and are included in selling, general and administrative expense in the condensed consolidated statements of income. No acquisition costs were incurred during the three month period ended August 3, 2014.</w:t>
      </w:r>
    </w:p>
    <w:p>
      <w:pPr>
        <w:spacing w:after="0" w:line="208"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Revenues and net income attributable to Photronics, Inc. shareholders of PDMC included in the Company’s financial results for the three month period ended August 3, 2014 are $45.8 million and $3.2 million, respectively, and from the April 4, 2014, acquisition date through August 3, 2014, are $58.9 million and $3.6 million respectively.</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259"/>
        <w:spacing w:after="0" w:line="290" w:lineRule="auto"/>
        <w:rPr>
          <w:sz w:val="20"/>
          <w:szCs w:val="20"/>
          <w:color w:val="auto"/>
        </w:rPr>
      </w:pPr>
      <w:r>
        <w:rPr>
          <w:rFonts w:ascii="Arial" w:cs="Arial" w:eastAsia="Arial" w:hAnsi="Arial"/>
          <w:sz w:val="16"/>
          <w:szCs w:val="16"/>
          <w:color w:val="auto"/>
        </w:rPr>
        <w:t>On a pro forma basis, revenues, earnings and earnings per share of Photronics, Inc. and subsidiaries, calculated as though the merger had occurred as of the beginning of the earliest period presented, for the three month period ended July 28, 2013, and the nine month periods ended August 3, 2014 and July 28, 2013, are presented below. The pro forma earnings for the nine month period ended August 3, 2014, were adjusted to exclude $2.5 million of the above mentioned nonrecurring acquisition related costs and the gain on acquisition of $16.4 million. Other material nonrecurring pro forma adjustments made to arrive at the below earnings amounts included the add back of additional depreciation recorded against DPTT long-lived assets of $3.2 million for the three month period ended July 28, 2013, and $6.6 million and $9.7 million for the nine month periods ended August 3, 2014 and July 28, 2013, respectively. The pro forma information presented does not purport to represent results that would have been achieved had the merger occurred as of the beginning of the earliest period presented, or to be indicative of the Company’s future financial performance.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Nine Months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Ended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Ended</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90"/>
              </w:rPr>
              <w:t>July 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5"/>
              </w:rPr>
              <w:t>August 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July 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131,872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375,717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9,770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459"/>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NOTE 3 - CHANGES IN EQUITY</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The following tables set forth the Company's consolidated changes in equity for the three and nine month periods ended August 3, 2014 and July 28, 2013:</w:t>
      </w:r>
    </w:p>
    <w:p>
      <w:pPr>
        <w:spacing w:after="0" w:line="19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Three Months Ended August 3,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9"/>
          </w:tcPr>
          <w:p>
            <w:pPr>
              <w:jc w:val="center"/>
              <w:ind w:right="280"/>
              <w:spacing w:after="0"/>
              <w:rPr>
                <w:sz w:val="20"/>
                <w:szCs w:val="20"/>
                <w:color w:val="auto"/>
              </w:rPr>
            </w:pPr>
            <w:r>
              <w:rPr>
                <w:rFonts w:ascii="Arial" w:cs="Arial" w:eastAsia="Arial" w:hAnsi="Arial"/>
                <w:sz w:val="18"/>
                <w:szCs w:val="18"/>
                <w:b w:val="1"/>
                <w:bCs w:val="1"/>
                <w:color w:val="auto"/>
                <w:w w:val="88"/>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controlling</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at May 5, 2014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106,620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income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1,575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compensation expense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 August 3,</w:t>
            </w: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61,452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496,571</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81,158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31,594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110,323</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720,261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Three Months Ended July 28,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9"/>
          </w:tcPr>
          <w:p>
            <w:pPr>
              <w:jc w:val="center"/>
              <w:ind w:right="280"/>
              <w:spacing w:after="0"/>
              <w:rPr>
                <w:sz w:val="20"/>
                <w:szCs w:val="20"/>
                <w:color w:val="auto"/>
              </w:rPr>
            </w:pPr>
            <w:r>
              <w:rPr>
                <w:rFonts w:ascii="Arial" w:cs="Arial" w:eastAsia="Arial" w:hAnsi="Arial"/>
                <w:sz w:val="18"/>
                <w:szCs w:val="18"/>
                <w:b w:val="1"/>
                <w:bCs w:val="1"/>
                <w:color w:val="auto"/>
                <w:w w:val="88"/>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April 29,</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496,204</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48,659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30,562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compensation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Purchase of common</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stock of subsidiary</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(27,596)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warrant</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 July 28,</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2013</w:t>
            </w:r>
          </w:p>
        </w:tc>
        <w:tc>
          <w:tcPr>
            <w:tcW w:w="1160" w:type="dxa"/>
            <w:vAlign w:val="bottom"/>
          </w:tcPr>
          <w:p>
            <w:pPr>
              <w:jc w:val="right"/>
              <w:spacing w:after="0"/>
              <w:rPr>
                <w:sz w:val="20"/>
                <w:szCs w:val="20"/>
                <w:color w:val="auto"/>
              </w:rPr>
            </w:pPr>
            <w:r>
              <w:rPr>
                <w:rFonts w:ascii="Arial" w:cs="Arial" w:eastAsia="Arial" w:hAnsi="Arial"/>
                <w:sz w:val="18"/>
                <w:szCs w:val="18"/>
                <w:color w:val="auto"/>
              </w:rPr>
              <w:t>60,971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497,605</w:t>
            </w:r>
          </w:p>
        </w:tc>
        <w:tc>
          <w:tcPr>
            <w:tcW w:w="1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54,599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2,992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565,815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8"/>
                <w:szCs w:val="18"/>
                <w:b w:val="1"/>
                <w:bCs w:val="1"/>
                <w:color w:val="auto"/>
                <w:w w:val="90"/>
              </w:rPr>
              <w:t>Nine Months Ended August 3, 2014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8"/>
                <w:szCs w:val="18"/>
                <w:b w:val="1"/>
                <w:bCs w:val="1"/>
                <w:color w:val="auto"/>
                <w:w w:val="88"/>
              </w:rPr>
              <w:t>Photronics, Inc. Shareholders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Comprehensive</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Balance at November 4,</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498,861</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59,439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4,792</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compensation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Acquisition of DPTT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105,404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Redemption of common</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by subsidiary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 August 3,</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2014</w:t>
            </w:r>
          </w:p>
        </w:tc>
        <w:tc>
          <w:tcPr>
            <w:tcW w:w="1160" w:type="dxa"/>
            <w:vAlign w:val="bottom"/>
          </w:tcPr>
          <w:p>
            <w:pPr>
              <w:jc w:val="right"/>
              <w:spacing w:after="0"/>
              <w:rPr>
                <w:sz w:val="20"/>
                <w:szCs w:val="20"/>
                <w:color w:val="auto"/>
              </w:rPr>
            </w:pPr>
            <w:r>
              <w:rPr>
                <w:rFonts w:ascii="Arial" w:cs="Arial" w:eastAsia="Arial" w:hAnsi="Arial"/>
                <w:sz w:val="18"/>
                <w:szCs w:val="18"/>
                <w:color w:val="auto"/>
              </w:rPr>
              <w:t>61,452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496,571</w:t>
            </w:r>
          </w:p>
        </w:tc>
        <w:tc>
          <w:tcPr>
            <w:tcW w:w="1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81,158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31,594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110,323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720,261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ectPr>
          <w:pgSz w:w="11900" w:h="16838" w:orient="portrait"/>
          <w:cols w:equalWidth="0" w:num="1">
            <w:col w:w="11420"/>
          </w:cols>
          <w:pgMar w:left="240" w:top="122" w:right="239" w:bottom="1440" w:gutter="0" w:footer="0" w:header="0"/>
        </w:sect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Nine Months Ended July 28,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760" w:type="dxa"/>
            <w:vAlign w:val="bottom"/>
            <w:tcBorders>
              <w:top w:val="single" w:sz="8" w:color="auto"/>
              <w:bottom w:val="single" w:sz="8" w:color="auto"/>
            </w:tcBorders>
            <w:gridSpan w:val="9"/>
          </w:tcPr>
          <w:p>
            <w:pPr>
              <w:jc w:val="center"/>
              <w:ind w:right="300"/>
              <w:spacing w:after="0"/>
              <w:rPr>
                <w:sz w:val="20"/>
                <w:szCs w:val="20"/>
                <w:color w:val="auto"/>
              </w:rPr>
            </w:pPr>
            <w:r>
              <w:rPr>
                <w:rFonts w:ascii="Arial" w:cs="Arial" w:eastAsia="Arial" w:hAnsi="Arial"/>
                <w:sz w:val="18"/>
                <w:szCs w:val="18"/>
                <w:b w:val="1"/>
                <w:bCs w:val="1"/>
                <w:color w:val="auto"/>
                <w:w w:val="88"/>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20"/>
                <w:szCs w:val="20"/>
                <w:color w:val="auto"/>
              </w:rPr>
            </w:pPr>
          </w:p>
        </w:tc>
        <w:tc>
          <w:tcPr>
            <w:tcW w:w="12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29,</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2012</w:t>
            </w: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60,213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493,411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41,473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15,900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loss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(5,662)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compensation expense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tcPr>
          <w:p>
            <w:pPr>
              <w:spacing w:after="0" w:line="201" w:lineRule="exact"/>
              <w:rPr>
                <w:sz w:val="20"/>
                <w:szCs w:val="20"/>
                <w:color w:val="auto"/>
              </w:rPr>
            </w:pPr>
            <w:r>
              <w:rPr>
                <w:rFonts w:ascii="Arial" w:cs="Arial" w:eastAsia="Arial" w:hAnsi="Arial"/>
                <w:sz w:val="18"/>
                <w:szCs w:val="18"/>
                <w:color w:val="auto"/>
              </w:rPr>
              <w:t>Common stock warrants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Purchase of common</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of subsidiary</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(32,333)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at July 28,</w:t>
            </w: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60,971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497,605</w:t>
            </w:r>
          </w:p>
        </w:tc>
        <w:tc>
          <w:tcPr>
            <w:tcW w:w="14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54,599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10,009</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2,992</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565,815</w:t>
            </w:r>
          </w:p>
        </w:tc>
        <w:tc>
          <w:tcPr>
            <w:tcW w:w="0" w:type="dxa"/>
            <w:vAlign w:val="bottom"/>
          </w:tcPr>
          <w:p>
            <w:pPr>
              <w:spacing w:after="0"/>
              <w:rPr>
                <w:sz w:val="1"/>
                <w:szCs w:val="1"/>
                <w:color w:val="auto"/>
              </w:rPr>
            </w:pPr>
          </w:p>
        </w:tc>
      </w:tr>
      <w:tr>
        <w:trPr>
          <w:trHeight w:val="21"/>
        </w:trPr>
        <w:tc>
          <w:tcPr>
            <w:tcW w:w="19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20" w:type="dxa"/>
            <w:vAlign w:val="bottom"/>
            <w:gridSpan w:val="9"/>
          </w:tcPr>
          <w:p>
            <w:pPr>
              <w:spacing w:after="0"/>
              <w:rPr>
                <w:sz w:val="20"/>
                <w:szCs w:val="20"/>
                <w:color w:val="auto"/>
              </w:rPr>
            </w:pPr>
            <w:r>
              <w:rPr>
                <w:rFonts w:ascii="Arial" w:cs="Arial" w:eastAsia="Arial" w:hAnsi="Arial"/>
                <w:sz w:val="18"/>
                <w:szCs w:val="18"/>
                <w:b w:val="1"/>
                <w:bCs w:val="1"/>
                <w:color w:val="auto"/>
              </w:rPr>
              <w:t>NOTE 4 - PROPERTY, PLANT AND EQUIPMENT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00" w:type="dxa"/>
            <w:vAlign w:val="bottom"/>
            <w:gridSpan w:val="8"/>
          </w:tcPr>
          <w:p>
            <w:pPr>
              <w:ind w:left="240"/>
              <w:spacing w:after="0"/>
              <w:rPr>
                <w:sz w:val="20"/>
                <w:szCs w:val="20"/>
                <w:color w:val="auto"/>
              </w:rPr>
            </w:pPr>
            <w:r>
              <w:rPr>
                <w:rFonts w:ascii="Arial" w:cs="Arial" w:eastAsia="Arial" w:hAnsi="Arial"/>
                <w:sz w:val="18"/>
                <w:szCs w:val="18"/>
                <w:color w:val="auto"/>
              </w:rPr>
              <w:t>Property, plant and equipment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August 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98"/>
              </w:rPr>
              <w:t>Buildings and improvements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125,948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103,676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1,387,714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1,225,091</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20,406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Furniture, fixtures and office equipment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11,546</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72,039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97,319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1,627,274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1,450,503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6"/>
          </w:tcPr>
          <w:p>
            <w:pPr>
              <w:spacing w:after="0"/>
              <w:rPr>
                <w:sz w:val="20"/>
                <w:szCs w:val="20"/>
                <w:color w:val="auto"/>
              </w:rPr>
            </w:pPr>
            <w:r>
              <w:rPr>
                <w:rFonts w:ascii="Arial" w:cs="Arial" w:eastAsia="Arial" w:hAnsi="Arial"/>
                <w:sz w:val="18"/>
                <w:szCs w:val="18"/>
                <w:color w:val="auto"/>
                <w:w w:val="91"/>
              </w:rPr>
              <w:t>Less accumulated depreciation and amortization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1,079,897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1,027,763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547,377</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422,740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300" w:type="dxa"/>
            <w:vAlign w:val="bottom"/>
            <w:gridSpan w:val="15"/>
          </w:tcPr>
          <w:p>
            <w:pPr>
              <w:ind w:left="240"/>
              <w:spacing w:after="0"/>
              <w:rPr>
                <w:sz w:val="20"/>
                <w:szCs w:val="20"/>
                <w:color w:val="auto"/>
              </w:rPr>
            </w:pPr>
            <w:r>
              <w:rPr>
                <w:rFonts w:ascii="Arial" w:cs="Arial" w:eastAsia="Arial" w:hAnsi="Arial"/>
                <w:sz w:val="18"/>
                <w:szCs w:val="18"/>
                <w:color w:val="auto"/>
                <w:w w:val="92"/>
              </w:rPr>
              <w:t>Equipment under capital leases are included in above property, plant and equipment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August 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56,245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21,327</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34,918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w w:val="89"/>
              </w:rPr>
              <w:t>Less accumulated amortization</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47,221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Depreciation expense for property, plant and equipment (excluding equipment under capital leases) was $18.4 million and $48.7 million for the three and nine month periods ended August 3, 2014, respectively, and $15.3 million and $48.4 million for the three and nine month periods ended July 28, 2013, respectively. Amortization expense for equipment under capital leases was $1.4 million and $4.2 million for the three and nine month periods ended August 3, 2014, respectively, and $0.5 million and $1.6 million for the three and nine month periods ended July 28, 2013,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This joint venture is a variable interest entity ("VIE") (as that term is defined in the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19"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$1.1 million and $3.0 million and research and development expenses of $0.2 million and $0.7 million during the three and nine month periods ended August 3, 2014. Cost of sales of $2.2 million and $7.6 million and research and development expenses of $0.2 million and $0.7 million were recorded during the three and nine month periods ended July 28, 2013. As of August 3, 2014 and November 3, 2013, the Company owed MP Mask $6.7 million and $4.5 million, respectively, and had a receivable from Micron of $9.4 million and $4.9 million, respectively, both primarily related to the aforementioned supply agreements.</w:t>
      </w:r>
    </w:p>
    <w:p>
      <w:pPr>
        <w:spacing w:after="0" w:line="205" w:lineRule="exact"/>
        <w:rPr>
          <w:sz w:val="20"/>
          <w:szCs w:val="20"/>
          <w:color w:val="auto"/>
        </w:rPr>
      </w:pPr>
    </w:p>
    <w:p>
      <w:pPr>
        <w:ind w:right="80" w:firstLine="259"/>
        <w:spacing w:after="0" w:line="293"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2"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The Company's investment in the VIE, which represents its maximum exposure to loss, was $93.1 million at August 3, 2014 and November 3, 2013. These amounts are reported in the Company's condensed consolidated balance sheets as "Investment in joint venture". The Company recorded a gain from its investment in the VIE of $0.1 million in the three and nine month periods ending August 3, 2014, a loss in the VIE of $0.2 million in the nine month period ended July 28, 2013, and recorded no income from its investment in the three month period ended July 28, 2013. Income from the VIE is included in "Interest and other income (expense), net" in the condensed consolidated statements of income.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6 - LONG-TERM BORROWINGS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rPr>
              <w:t>Long-term borrowings consist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August 3,</w:t>
            </w:r>
          </w:p>
        </w:tc>
        <w:tc>
          <w:tcPr>
            <w:tcW w:w="1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 convertible senior notes due in October 2014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which bore interest at a variable rate, as defined, repaid in December 2013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182,203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259"/>
        <w:spacing w:after="0" w:line="254" w:lineRule="auto"/>
        <w:rPr>
          <w:sz w:val="20"/>
          <w:szCs w:val="20"/>
          <w:color w:val="auto"/>
        </w:rPr>
      </w:pPr>
      <w:r>
        <w:rPr>
          <w:rFonts w:ascii="Arial" w:cs="Arial" w:eastAsia="Arial" w:hAnsi="Arial"/>
          <w:sz w:val="18"/>
          <w:szCs w:val="18"/>
          <w:color w:val="auto"/>
        </w:rPr>
        <w:t>In December 2013 the Company amended its credit facility, increasing its limit to $50 million with an expansion capacity to $75 million, and extending its term to December 2018. Simultaneously, the Company repaid its $21.3 million term loan. The interest rate spread on borrowings has been reduced and the minimum fixed charge ratio has been replaced with a minimum interest coverage ratio under the terms of the amended credit facility which, in addition, increased the investment baskets (as defined in the credit facility) and continues to include total leverage ratio and minimum unrestricted cash balance covenants. The credit facility bears interest (1.92 percent at August 3, 2014) based on the Company’s total leverage ratio, at LIBOR plus a spread, as defined in the credit facility. As of August 3, 2014, the Company had no outstanding borrowings under the credit facility and $50 million was available for borrowing. The credit facility is secured by substantially all of the Company’s assets located in the United States, as well as common stock the Company owns in certain of its foreign subsidiaries.</w:t>
      </w:r>
    </w:p>
    <w:p>
      <w:pPr>
        <w:spacing w:after="0" w:line="219"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percent,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August 3, 2014, the total amount payable through the end of the lease term was $23.0 million, of which $21.7 million represented principal and $1.3 million represented interest.</w:t>
      </w:r>
    </w:p>
    <w:p>
      <w:pPr>
        <w:spacing w:after="0" w:line="215"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In March 2012 the Company, in connection with its purchase of the U.S. nanoFab facility, amended its credit facility (“the credit facility”) to include the addition of a $25 million term loan that was to mature in March 2017. In December 2013, simultaneous with the amendment of its credit facility discussed above, the Company repaid the $21.3 million balance of this term loan that was outstanding at November 3, 2013.</w:t>
      </w:r>
    </w:p>
    <w:p>
      <w:pPr>
        <w:spacing w:after="0" w:line="208"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approximately 96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approximately 197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As discussed above, $35.4 million aggregate principal amount of these notes were acquired by the Company during fiscal 2011. The Company intends to repay the remaining outstanding 5.5% convertible senior notes due in October 2014 with borrowings against its credit facility and, therefore, has classified as long-term the entire $22.1 million of those notes that were outstanding as of August 3, 2014.</w:t>
      </w:r>
    </w:p>
    <w:p>
      <w:pPr>
        <w:spacing w:after="0" w:line="193" w:lineRule="exact"/>
        <w:rPr>
          <w:sz w:val="20"/>
          <w:szCs w:val="20"/>
          <w:color w:val="auto"/>
        </w:rPr>
      </w:pPr>
    </w:p>
    <w:p>
      <w:pPr>
        <w:ind w:right="220" w:firstLine="259"/>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percent,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August 3, 2014, the total amount payable through the end of the lease term was $8.0 million, of which $7.8 million represented principal and $0.2 million represented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WARRANTS</w:t>
      </w:r>
    </w:p>
    <w:p>
      <w:pPr>
        <w:spacing w:after="0" w:line="256" w:lineRule="exact"/>
        <w:rPr>
          <w:sz w:val="20"/>
          <w:szCs w:val="20"/>
          <w:color w:val="auto"/>
        </w:rPr>
      </w:pPr>
    </w:p>
    <w:p>
      <w:pPr>
        <w:ind w:right="20" w:firstLine="259"/>
        <w:spacing w:after="0" w:line="253" w:lineRule="auto"/>
        <w:rPr>
          <w:sz w:val="20"/>
          <w:szCs w:val="20"/>
          <w:color w:val="auto"/>
        </w:rPr>
      </w:pPr>
      <w:r>
        <w:rPr>
          <w:rFonts w:ascii="Arial" w:cs="Arial" w:eastAsia="Arial" w:hAnsi="Arial"/>
          <w:sz w:val="18"/>
          <w:szCs w:val="18"/>
          <w:color w:val="auto"/>
        </w:rPr>
        <w:t>In September 2009 the Company entered into two warrant agreements with Intel Capital Corporation to purchase a total of 750,000 shares of the Company's common stock. Under one warrant agreement 500,000 shares of the Company's common stock could be purchased at an exercise price of $4.15 per share and under the second warrant agreement 250,000 shares of the Company's common stock could be purchased at an exercise price of $5.08 per share. The warrant agreements were to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In June 2013 Intel Capital Corporation exercised all of the warrants under both warrant agreements on a net share basis and received 0.3 million shares of the Company’s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56" w:lineRule="exact"/>
        <w:rPr>
          <w:sz w:val="20"/>
          <w:szCs w:val="20"/>
          <w:color w:val="auto"/>
        </w:rPr>
      </w:pPr>
    </w:p>
    <w:p>
      <w:pPr>
        <w:ind w:right="40" w:firstLine="259"/>
        <w:spacing w:after="0" w:line="287" w:lineRule="auto"/>
        <w:rPr>
          <w:sz w:val="20"/>
          <w:szCs w:val="20"/>
          <w:color w:val="auto"/>
        </w:rPr>
      </w:pPr>
      <w:r>
        <w:rPr>
          <w:rFonts w:ascii="Arial" w:cs="Arial" w:eastAsia="Arial" w:hAnsi="Arial"/>
          <w:sz w:val="16"/>
          <w:szCs w:val="16"/>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shares to nine million shares during the three month period ended May 4,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nine month periods ended August 3, 2014, were $1.0 million and $3.1 million, respectively, and $1.0 million and $2.8 million for the three and nine month periods ended July 28, 2013, respectively. The Company received cash from option exercises of $0.1 million and $0.8 million for the three and nine month periods ended August 3, 2014, respectively, and $0.1 million and $0.4 million for the three and nine month periods ended July 28, 2013, respectively. No share-based compensation cost was capitalized as part of an asset and no related income tax benefits were recorded during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and nine month periods ended August 3, 2014 and July 28, 2013,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8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7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August 3,</w:t>
            </w: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28,</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August 3,</w:t>
            </w:r>
          </w:p>
        </w:tc>
        <w:tc>
          <w:tcPr>
            <w:tcW w:w="11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 - 0.8%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 years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 years</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 years</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on outstanding and exercisable option awards as of August 3, 2014,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16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3"/>
                <w:szCs w:val="23"/>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 2014</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4,499,469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5.5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 2014</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3,035,253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4.1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There were 20,000 share options granted during the three month period ended August 3, 2014, with a grant date fair value $4.24 per share, and there were 17,500 share options granted during the three month period ended July 28, 2013, with a grant date fair value of $4.35 per share. There were 632,500 share options granted during the nine month period ended August 3, 2014, with a weighted-average grant date fair value of $4.44 per share and 601,500 share options granted during the nine month period ended July 28, 2013, with a weighted-average grant date fair value of $4.00 per share. As of August 3, 2014, the total unrecognized compensation cost related to unvested option awards was approximately $4.5 million. That cost is expected to be recognized over a weighted-average amortization period of 2.5 years.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100" w:firstLine="259"/>
        <w:spacing w:after="0" w:line="272" w:lineRule="auto"/>
        <w:rPr>
          <w:sz w:val="20"/>
          <w:szCs w:val="20"/>
          <w:color w:val="auto"/>
        </w:rPr>
      </w:pPr>
      <w:r>
        <w:rPr>
          <w:rFonts w:ascii="Arial" w:cs="Arial" w:eastAsia="Arial" w:hAnsi="Arial"/>
          <w:sz w:val="17"/>
          <w:szCs w:val="17"/>
          <w:color w:val="auto"/>
        </w:rPr>
        <w:t>The Company periodically grants restricted stock awards. The restrictions on these awards typically lapse over service periods of less-than-one to four years. No restricted stock awards were granted during the three month period ended August 3, 2014, and 111,667 restricted stock awards were issued during the nine month period ended August 3, 2014, with a weighted-average grant date fair value of $8.86 per share. There were no restricted stock awards granted during the three month period ended July 28, 2013, and 209,500 restricted stock awards granted during the nine month period ended July 28, 2013, with a weighted-average grant date fair value of $5.48 per share. As of August 3, 2014, the total compensation cost not yet recognized related to unvested restricted stock awards was approximately $1.2 million. That cost is expected to be recognized over a weighted-average amortization period of 2.0 years. As of August 3, 2014, there were 250,606 shares of restricted stock outstanding.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The effective income tax rates for the three month periods ended August 3, 2014 and July 28, 2013, differ from the rates computed by applying the U.S. statutory rate of 35% to income before income taxes for the periods primarily due to foreign tax rate differences, as well as the existence of valuation allowances in jurisdictions with historical and continuing tax losses.</w:t>
      </w:r>
    </w:p>
    <w:p>
      <w:pPr>
        <w:spacing w:after="0" w:line="208" w:lineRule="exact"/>
        <w:rPr>
          <w:sz w:val="20"/>
          <w:szCs w:val="20"/>
          <w:color w:val="auto"/>
        </w:rPr>
      </w:pPr>
    </w:p>
    <w:p>
      <w:pPr>
        <w:ind w:right="140" w:firstLine="259"/>
        <w:spacing w:after="0" w:line="271" w:lineRule="auto"/>
        <w:rPr>
          <w:sz w:val="20"/>
          <w:szCs w:val="20"/>
          <w:color w:val="auto"/>
        </w:rPr>
      </w:pPr>
      <w:r>
        <w:rPr>
          <w:rFonts w:ascii="Arial" w:cs="Arial" w:eastAsia="Arial" w:hAnsi="Arial"/>
          <w:sz w:val="17"/>
          <w:szCs w:val="17"/>
          <w:color w:val="auto"/>
        </w:rPr>
        <w:t>Unrecognized tax benefits related to uncertain tax positions were $4.8 million at August 3, 2014, and $4.9 million at November 3, 2013, of which $4.8 million and $1.7 million, respectively, would favorably impact the Company’s effective tax rate if recognized. The year to date change is primarily due to uncertain tax positions related to the DPTT Acquisition (as discussed in Note 2), net of the settlement of an Internal Revenue Service “IRS” income tax examination of the Company’s 2011 and 2012 federal income tax returns, combined with the recognition of a previously unrecognized benefit that resulted from a lapse of an assessment period. The IRS income tax settlement had limited impact on the income tax expense for the three and nine month periods ended August 3, 2014, as the changes were offset by fully valued loss carryforwards. Accrued interest and penalties related to unrecognized tax benefits was $0.1 million at both August 3, 2014 and November 3, 2013. As of August 3, 2014, the total amount of unrecognized tax benefits is not expected to significantly increase or decrease in the next twelve months.</w:t>
      </w:r>
    </w:p>
    <w:p>
      <w:pPr>
        <w:spacing w:after="0" w:line="206"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During the three month period ended May 4, 2014, PDMC (formerly PSMC), in accordance with ownership provisions in the DPTT acquisition agreements, made a one-time remittance of $35.1 million in earnings that were previously considered to be reinvested. The balance of PDMC’s undistributed earnings remains indefinitely invested.</w:t>
      </w:r>
    </w:p>
    <w:p>
      <w:pPr>
        <w:spacing w:after="0" w:line="208"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As a result of the DPTT Acquisition, the Company had an increase in available foreign tax operating loss carryforwards of approximately $57.6 million that expire from 2015 through 2018, the benefits of which are anticipated to be fully realized.</w:t>
      </w:r>
    </w:p>
    <w:p>
      <w:pPr>
        <w:spacing w:after="0" w:line="19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PKLT, the Company's FPD manufacturing facility in Taiwan, is accorded a tax holiday which commenced in 2012 and expires in 2017. The tax holiday had no dollar or per share effect in the three and nine months ended August 3, 2014 and July 28, 2013. PDMC, the Company’s IC manufacturing unit in Taiwan, is accorded a tax holiday, as a result of the DPTT Acquisition, which commences in 2015 and expires in 2020. The tax holiday did not impact the 2014 effective tax rate based on its future commencement date, and had no dollar or per share effect in the three or nine month periods ended August 3, 2014 and July 28,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EARNINGS PER SHARE</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5"/>
              </w:rPr>
              <w:t>August 3,</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August 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related tax effects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4,186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26,345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w w:val="93"/>
              </w:rPr>
              <w:t>Weighted-average common shares used for basic earnings per share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60,746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Effect of dilutive securities: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640"/>
              <w:spacing w:after="0"/>
              <w:rPr>
                <w:sz w:val="20"/>
                <w:szCs w:val="20"/>
                <w:color w:val="auto"/>
              </w:rPr>
            </w:pPr>
            <w:r>
              <w:rPr>
                <w:rFonts w:ascii="Arial" w:cs="Arial" w:eastAsia="Arial" w:hAnsi="Arial"/>
                <w:sz w:val="18"/>
                <w:szCs w:val="18"/>
                <w:color w:val="auto"/>
              </w:rPr>
              <w:t>Share-based payment awards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Convertible notes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640"/>
              <w:spacing w:after="0"/>
              <w:rPr>
                <w:sz w:val="20"/>
                <w:szCs w:val="20"/>
                <w:color w:val="auto"/>
              </w:rPr>
            </w:pPr>
            <w:r>
              <w:rPr>
                <w:rFonts w:ascii="Arial" w:cs="Arial" w:eastAsia="Arial" w:hAnsi="Arial"/>
                <w:sz w:val="18"/>
                <w:szCs w:val="18"/>
                <w:color w:val="auto"/>
              </w:rPr>
              <w:t>Common stock warrants</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Potentially dilutive common shares</w:t>
            </w:r>
          </w:p>
        </w:tc>
        <w:tc>
          <w:tcPr>
            <w:tcW w:w="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4"/>
              </w:rPr>
              <w:t>Weighted-average common shares used for diluted earnings per share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77,706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61,478</w:t>
            </w:r>
          </w:p>
        </w:tc>
        <w:tc>
          <w:tcPr>
            <w:tcW w:w="0" w:type="dxa"/>
            <w:vAlign w:val="bottom"/>
          </w:tcPr>
          <w:p>
            <w:pPr>
              <w:spacing w:after="0"/>
              <w:rPr>
                <w:sz w:val="1"/>
                <w:szCs w:val="1"/>
                <w:color w:val="auto"/>
              </w:rPr>
            </w:pPr>
          </w:p>
        </w:tc>
      </w:tr>
      <w:tr>
        <w:trPr>
          <w:trHeight w:val="21"/>
        </w:trPr>
        <w:tc>
          <w:tcPr>
            <w:tcW w:w="5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20" w:firstLine="259"/>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0" w:type="dxa"/>
            <w:vAlign w:val="bottom"/>
            <w:tcBorders>
              <w:top w:val="single" w:sz="8" w:color="auto"/>
            </w:tcBorders>
            <w:gridSpan w:val="2"/>
          </w:tcPr>
          <w:p>
            <w:pPr>
              <w:ind w:left="200"/>
              <w:spacing w:after="0" w:line="198" w:lineRule="exact"/>
              <w:rPr>
                <w:sz w:val="20"/>
                <w:szCs w:val="20"/>
                <w:color w:val="auto"/>
              </w:rPr>
            </w:pPr>
            <w:r>
              <w:rPr>
                <w:rFonts w:ascii="Arial" w:cs="Arial" w:eastAsia="Arial" w:hAnsi="Arial"/>
                <w:sz w:val="18"/>
                <w:szCs w:val="18"/>
                <w:b w:val="1"/>
                <w:bCs w:val="1"/>
                <w:color w:val="auto"/>
              </w:rPr>
              <w:t>August 3,</w:t>
            </w:r>
          </w:p>
        </w:tc>
        <w:tc>
          <w:tcPr>
            <w:tcW w:w="11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28,</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August 3,</w:t>
            </w:r>
          </w:p>
        </w:tc>
        <w:tc>
          <w:tcPr>
            <w:tcW w:w="11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15,423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1160" w:type="dxa"/>
            <w:vAlign w:val="bottom"/>
          </w:tcPr>
          <w:p>
            <w:pPr>
              <w:jc w:val="right"/>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CHANGES IN ACCUMULATED OTHER COMPREHENSIVE INCOME BY COMPONENT</w:t>
      </w:r>
    </w:p>
    <w:p>
      <w:pPr>
        <w:spacing w:after="0" w:line="256"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three and nine month periods ended August 3, 2014 and July 28,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8"/>
                <w:szCs w:val="18"/>
                <w:b w:val="1"/>
                <w:bCs w:val="1"/>
                <w:color w:val="auto"/>
              </w:rPr>
              <w:t>Three Months Ended August 3, 2014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5, 2014</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other comprehensive income attributable to noncontrolling interests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Balance at August 3, 2014</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32,475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8"/>
                <w:szCs w:val="18"/>
                <w:b w:val="1"/>
                <w:bCs w:val="1"/>
                <w:color w:val="auto"/>
              </w:rPr>
              <w:t>Three Months Ended July 28, 2013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29, 2013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other comprehensive loss attributable to noncontrolling interests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Purchase of common stock of subsidiary</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28, 2013</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8"/>
                <w:szCs w:val="18"/>
                <w:b w:val="1"/>
                <w:bCs w:val="1"/>
                <w:color w:val="auto"/>
              </w:rPr>
              <w:t>Nine Months Ended August 3, 2014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4, 2013</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27,797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other comprehensive income attributable to noncontrolling interests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allocated to noncontrolling interests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 by subsidiary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Balance at August 3, 2014</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32,475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w w:val="91"/>
              </w:rPr>
              <w:t>Nine Months Ended July 28, 2013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29, 2012</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17,241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 of common stock of subsidiary</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28, 2013</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The amortization of the cash flow hedge is included in cost of sales in the condensed consolidated statements of income for all periods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GEOGRAPHIC INFORMATION</w:t>
      </w:r>
    </w:p>
    <w:p>
      <w:pPr>
        <w:spacing w:after="0" w:line="256" w:lineRule="exact"/>
        <w:rPr>
          <w:sz w:val="20"/>
          <w:szCs w:val="20"/>
          <w:color w:val="auto"/>
        </w:rPr>
      </w:pPr>
    </w:p>
    <w:p>
      <w:pPr>
        <w:jc w:val="both"/>
        <w:ind w:right="340" w:firstLine="259"/>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The Company's net sales by geographic area and for ICs and FPDs for the three and nine month periods ended August 3, 2014 and July 28, 2013, and its long-lived assets by geographic area as of August 3, 2014 and November 3, 2013, are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August 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August 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Korea</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33,834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102,855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10,982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30,098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124,852</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109,652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331,276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316,171</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100,573</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84,144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253,334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FPD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124,852</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109,652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331,276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5"/>
              </w:rPr>
              <w:t>August 3,</w:t>
            </w:r>
          </w:p>
        </w:tc>
        <w:tc>
          <w:tcPr>
            <w:tcW w:w="200" w:type="dxa"/>
            <w:vAlign w:val="bottom"/>
          </w:tcPr>
          <w:p>
            <w:pPr>
              <w:spacing w:after="0"/>
              <w:rPr>
                <w:sz w:val="17"/>
                <w:szCs w:val="17"/>
                <w:color w:val="auto"/>
              </w:rPr>
            </w:pPr>
          </w:p>
        </w:tc>
        <w:tc>
          <w:tcPr>
            <w:tcW w:w="11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November 3,</w:t>
            </w:r>
          </w:p>
        </w:tc>
        <w:tc>
          <w:tcPr>
            <w:tcW w:w="120" w:type="dxa"/>
            <w:vAlign w:val="bottom"/>
          </w:tcPr>
          <w:p>
            <w:pPr>
              <w:spacing w:after="0"/>
              <w:rPr>
                <w:sz w:val="17"/>
                <w:szCs w:val="17"/>
                <w:color w:val="auto"/>
              </w:rPr>
            </w:pPr>
          </w:p>
        </w:tc>
      </w:tr>
      <w:tr>
        <w:trPr>
          <w:trHeight w:val="241"/>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182,129</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66,836</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181,814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191,518</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Korea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153,878</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10,471</w:t>
            </w:r>
          </w:p>
        </w:tc>
      </w:tr>
      <w:tr>
        <w:trPr>
          <w:trHeight w:val="223"/>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547,377</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422,740</w:t>
            </w:r>
          </w:p>
        </w:tc>
      </w:tr>
      <w:tr>
        <w:trPr>
          <w:trHeight w:val="21"/>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256"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The Company did not have any assets or liabilities measured at fair value on a recurring basis at August 3, 2014 or November 3, 2013. During the three month period ended May 4, 2014, the Company measured and recorded the net assets it acquired in its subsidiary’s acquisition of DPTT at fair value. See Note 2 for further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140" w:firstLine="259"/>
        <w:spacing w:after="0" w:line="255" w:lineRule="auto"/>
        <w:rPr>
          <w:sz w:val="20"/>
          <w:szCs w:val="20"/>
          <w:color w:val="auto"/>
        </w:rPr>
      </w:pPr>
      <w:r>
        <w:rPr>
          <w:rFonts w:ascii="Arial" w:cs="Arial" w:eastAsia="Arial" w:hAnsi="Arial"/>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variable rate term loan that was repaid in December 2013 was a Level 2 measurement and approximated its carrying value due to the variable nature of the underlying interest rates. The fair values of the Company’s convertible senior notes are Level 2 measurements that are generally determined using recent bid prices, however, due to their short remaining term to maturity, the August 3, 2014, fair value of the 5.5% convertible senior notes is primarily based on the market price of the Company’s common stock at that date.</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fair and carrying values of the Company's convertible senior notes at August 3, 2014 and November 3,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August 3, 2014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November 3, 2013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9"/>
                <w:szCs w:val="19"/>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5"/>
              </w:rPr>
              <w:t>Carrying Value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115,000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130,330</w:t>
            </w:r>
          </w:p>
        </w:tc>
        <w:tc>
          <w:tcPr>
            <w:tcW w:w="700" w:type="dxa"/>
            <w:vAlign w:val="bottom"/>
            <w:shd w:val="clear" w:color="auto" w:fill="CCEEFF"/>
          </w:tcPr>
          <w:p>
            <w:pPr>
              <w:jc w:val="right"/>
              <w:ind w:right="54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35,326</w:t>
            </w:r>
          </w:p>
        </w:tc>
        <w:tc>
          <w:tcPr>
            <w:tcW w:w="7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37,567</w:t>
            </w:r>
          </w:p>
        </w:tc>
        <w:tc>
          <w:tcPr>
            <w:tcW w:w="700" w:type="dxa"/>
            <w:vAlign w:val="bottom"/>
          </w:tcPr>
          <w:p>
            <w:pPr>
              <w:jc w:val="right"/>
              <w:ind w:right="54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SUBSIDIARY SHARE REPURCHASE AND TENDER OFFER</w:t>
      </w:r>
    </w:p>
    <w:p>
      <w:pPr>
        <w:spacing w:after="0" w:line="256"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Since the second quarter of fiscal 2011, the board of directors of PSMC (in 2014 PSMC’s name was changed to PDMC, see note 2), a subsidiary of the Company based in Taiwan, authorized several share repurchase programs for PSMC to purchase for retirement shares of its outstanding common stock. The last of these repurchase programs concluded in the first fiscal quarter of 2013 in which PSMC purchased 9.2 million shares at a cost of $4.2 million. These repurchase programs increased the Company's ownership in PSMC from 72.09% at October 28, 2012, to 75.11% at January 27, 2013. During fiscal 2013 the Company increased its ownership interest in PSMC, primarily through a tender offer, to 98.63% by purchasing 51.4 million shares at a cost of $28.1 million. In January 2014 the Company increased its ownership percentage in PSMC to 100% at a cost of $1.7 million for the then remaining 3.0 million shares that were not owned by the Company.</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April 2014 DPTT merged into PSMC. See Note 2 for further discussion related to the DPTT Acquisition.</w:t>
      </w:r>
    </w:p>
    <w:p>
      <w:pPr>
        <w:spacing w:after="0" w:line="252"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table below presents the effect of the change in the Company’s ownership interest in PDMC on the Company's equity for the nine month period ended August 3, 2014, (3.0 million shares of common stock acquired and 112.9 million shares of common stock issued) and for the three and nine month periods ended July 28, 2013 (50.3 million and 59.4 million shares of common stock of PSMC purchased, respectively). The Company’s ownership interest in PDMC did not change during the three month period ended August 3, 2014.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4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8"/>
                <w:szCs w:val="18"/>
                <w:b w:val="1"/>
                <w:bCs w:val="1"/>
                <w:color w:val="auto"/>
              </w:rPr>
              <w:t>August 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August 3,</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additional paid-in capital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accumulated other comprehensive income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7"/>
              </w:rPr>
              <w:t>Change from net income attributable to Photronics, Inc. shareholders due to</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jc w:val="right"/>
              <w:ind w:right="110"/>
              <w:spacing w:after="0"/>
              <w:rPr>
                <w:sz w:val="20"/>
                <w:szCs w:val="20"/>
                <w:color w:val="auto"/>
              </w:rPr>
            </w:pPr>
            <w:r>
              <w:rPr>
                <w:rFonts w:ascii="Arial" w:cs="Arial" w:eastAsia="Arial" w:hAnsi="Arial"/>
                <w:sz w:val="18"/>
                <w:szCs w:val="18"/>
                <w:color w:val="auto"/>
                <w:w w:val="92"/>
              </w:rPr>
              <w:t>issuance of shares of PDMC and transfers to and from noncontrolling interest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15,936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13,836</w:t>
            </w:r>
          </w:p>
        </w:tc>
        <w:tc>
          <w:tcPr>
            <w:tcW w:w="0" w:type="dxa"/>
            <w:vAlign w:val="bottom"/>
          </w:tcPr>
          <w:p>
            <w:pPr>
              <w:spacing w:after="0"/>
              <w:rPr>
                <w:sz w:val="1"/>
                <w:szCs w:val="1"/>
                <w:color w:val="auto"/>
              </w:rPr>
            </w:pPr>
          </w:p>
        </w:tc>
      </w:tr>
      <w:tr>
        <w:trPr>
          <w:trHeight w:val="21"/>
        </w:trPr>
        <w:tc>
          <w:tcPr>
            <w:tcW w:w="5920" w:type="dxa"/>
            <w:vAlign w:val="bottom"/>
            <w:gridSpan w:val="2"/>
            <w:vMerge w:val="restart"/>
          </w:tcPr>
          <w:p>
            <w:pPr>
              <w:jc w:val="right"/>
              <w:ind w:right="50"/>
              <w:spacing w:after="0"/>
              <w:rPr>
                <w:sz w:val="20"/>
                <w:szCs w:val="20"/>
                <w:color w:val="auto"/>
              </w:rPr>
            </w:pPr>
            <w:r>
              <w:rPr>
                <w:rFonts w:ascii="Arial" w:cs="Arial" w:eastAsia="Arial" w:hAnsi="Arial"/>
                <w:sz w:val="14"/>
                <w:szCs w:val="14"/>
                <w:color w:val="auto"/>
              </w:rPr>
              <w:t>21</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5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August 3, 2014, the Company had commitments outstanding for capital expenditures of approximately $65 million.</w:t>
      </w:r>
    </w:p>
    <w:p>
      <w:pPr>
        <w:spacing w:after="0" w:line="252" w:lineRule="exact"/>
        <w:rPr>
          <w:sz w:val="20"/>
          <w:szCs w:val="20"/>
          <w:color w:val="auto"/>
        </w:rPr>
      </w:pPr>
    </w:p>
    <w:p>
      <w:pPr>
        <w:ind w:right="680" w:firstLine="259"/>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RECENT ACCOUNTING PRONOUNCEMENTS</w:t>
      </w:r>
    </w:p>
    <w:p>
      <w:pPr>
        <w:spacing w:after="0" w:line="256" w:lineRule="exact"/>
        <w:rPr>
          <w:sz w:val="20"/>
          <w:szCs w:val="20"/>
          <w:color w:val="auto"/>
        </w:rPr>
      </w:pPr>
    </w:p>
    <w:p>
      <w:pPr>
        <w:ind w:firstLine="297"/>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 Update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This ASU will be effective for the Company in its first quarter of fiscal 2018. Early adoption is not permitted. The ASU allows for either full retrospective or modified retrospective adoption. The Company is evaluating the transition method that will be elected and the potential effects of the adoption of this ASU on its financial statements.</w:t>
      </w: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2013 year), that may cause actual results to materially differ from these expectations. 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 and the results of DPTT are included in the condensed consolidated financial statements since the date of the acquisition. Throughout this report the merger of DPTT into PSMC is referred to as the “DPTT Acquisition.”</w:t>
      </w:r>
    </w:p>
    <w:p>
      <w:pPr>
        <w:spacing w:after="0" w:line="194"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20" w:firstLine="259"/>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August 3, 2014 and July 28, 2013</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7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7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August 3,</w:t>
            </w: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28,</w:t>
            </w: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August 3,</w:t>
            </w:r>
          </w:p>
        </w:tc>
        <w:tc>
          <w:tcPr>
            <w:tcW w:w="11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July 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left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August 3, 2014 (Q3-14) and July 28, 2013 (Q3-13) and for the nine months ended August 3, 2014 (YTD-14) and July 28, 2013 (YTD-13),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880"/>
              <w:spacing w:after="0"/>
              <w:rPr>
                <w:sz w:val="20"/>
                <w:szCs w:val="20"/>
                <w:color w:val="auto"/>
              </w:rPr>
            </w:pPr>
            <w:r>
              <w:rPr>
                <w:rFonts w:ascii="Arial" w:cs="Arial" w:eastAsia="Arial" w:hAnsi="Arial"/>
                <w:sz w:val="18"/>
                <w:szCs w:val="18"/>
                <w:b w:val="1"/>
                <w:bCs w:val="1"/>
                <w:color w:val="auto"/>
                <w:w w:val="97"/>
              </w:rPr>
              <w:t>Three Months Ended</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120"/>
              <w:spacing w:after="0" w:line="198" w:lineRule="exact"/>
              <w:rPr>
                <w:sz w:val="20"/>
                <w:szCs w:val="20"/>
                <w:color w:val="auto"/>
              </w:rPr>
            </w:pPr>
            <w:r>
              <w:rPr>
                <w:rFonts w:ascii="Arial" w:cs="Arial" w:eastAsia="Arial" w:hAnsi="Arial"/>
                <w:sz w:val="18"/>
                <w:szCs w:val="18"/>
                <w:b w:val="1"/>
                <w:bCs w:val="1"/>
                <w:color w:val="auto"/>
              </w:rPr>
              <w:t>Percent</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Q3-14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Q3-13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YTD-13</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1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FPD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net sales</w:t>
            </w: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13.9%</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316.2</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Net sales for Q3-14 increased 13.9% to $124.9 million as compared to $109.7 million for Q3-13. The increase was a result of increased sales in Taiwan, due in part to the acquisition of DPTT, as discussed in Note 2 to the condensed consolidated financial statements. Total mainstream sales increased slightly in Q3-14 as compared to Q3-13. Revenues attributable to high-end products increased by $12.0 million to $51.6 million in Q3-14 as compared to $39.6 million in Q3-13. High-end photomask applications include mask sets for 45 nanometer and below for IC products, and G8 and above and active matrix organic light-emitting diode (AMOLED) display screen technologies for FPD products. By geographic area, net sales in Q3-14 as compared to Q3-13 increased (decreased) by $21.8 million or 71.4% in Taiwan, $(0.6) million or (1.7)% in Korea, $(5.4) million or (16.0)% in the United States, and $(1.0) million or (9.1)% in Europe.</w:t>
      </w:r>
    </w:p>
    <w:p>
      <w:pPr>
        <w:spacing w:after="0" w:line="216"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Net sales for YTD-14 increased to $331.3 million as compared to $316.2 million for YTD-13 primarily as a result of increased sales in Taiwan as discussed above. Revenues attributable to high-end products increased by $6.8 million to $121.6 million in YTD-14 as compared to $114.8 million in YTD-13, and mainstream sales increased by $8.3 million to $209.7 million in YTD-14 as compared to $201.4 million in YTD-13.</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79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87"/>
              </w:rPr>
              <w:t>Percent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Q3-14</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5"/>
              </w:rPr>
              <w:t>Q3-13</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YTD-13</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28.7</w:t>
            </w:r>
          </w:p>
        </w:tc>
        <w:tc>
          <w:tcPr>
            <w:tcW w:w="10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27.1</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5.8%  $</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73.7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73.0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22.9%</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24.7%</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23.1%</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firstLine="259"/>
        <w:spacing w:after="0" w:line="312" w:lineRule="auto"/>
        <w:rPr>
          <w:sz w:val="20"/>
          <w:szCs w:val="20"/>
          <w:color w:val="auto"/>
        </w:rPr>
      </w:pPr>
      <w:r>
        <w:rPr>
          <w:rFonts w:ascii="Arial" w:cs="Arial" w:eastAsia="Arial" w:hAnsi="Arial"/>
          <w:sz w:val="16"/>
          <w:szCs w:val="16"/>
          <w:color w:val="auto"/>
        </w:rPr>
        <w:t>Gross margin percentage decreased to 22.9% in Q3-14 from 24.7% in Q3-13, and to 22.3% in YTD-14 from 23.1% in YTD-13 primarily due to increased equipment costs, including depreciation expense associated with additional high-end equipment. The Company operates in a high fixed cost environment and, to the extent that the Company's revenues and utilization increase or decrease, gross margin will generally be positively or negatively impacted.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right="79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87"/>
              </w:rPr>
              <w:t>Percent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Q3-14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Q3-13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YTD-14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YTD-13</w:t>
            </w: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12.4</w:t>
            </w:r>
          </w:p>
        </w:tc>
        <w:tc>
          <w:tcPr>
            <w:tcW w:w="10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w:t>
            </w:r>
          </w:p>
        </w:tc>
        <w:tc>
          <w:tcPr>
            <w:tcW w:w="8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2.7%  $</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38.1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00" w:type="dxa"/>
            <w:vAlign w:val="bottom"/>
          </w:tcPr>
          <w:p>
            <w:pPr>
              <w:spacing w:after="0"/>
              <w:rPr>
                <w:sz w:val="20"/>
                <w:szCs w:val="20"/>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9.9%</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11.0%</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11.2%</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ind w:right="100" w:firstLine="259"/>
        <w:spacing w:after="0" w:line="312" w:lineRule="auto"/>
        <w:rPr>
          <w:sz w:val="20"/>
          <w:szCs w:val="20"/>
          <w:color w:val="auto"/>
        </w:rPr>
      </w:pPr>
      <w:r>
        <w:rPr>
          <w:rFonts w:ascii="Arial" w:cs="Arial" w:eastAsia="Arial" w:hAnsi="Arial"/>
          <w:sz w:val="16"/>
          <w:szCs w:val="16"/>
          <w:color w:val="auto"/>
        </w:rPr>
        <w:t>Selling, general and administrative expenses were essentially unchanged at $12.4 million in Q3-14 as compared to $12.1 million in Q3-13. Selling, general and administrative expenses were $38.1 million in YTD-14 and $35.3 million in YTD-13, primarily the result of $2.5 million in expenses incurred in the first six months of fiscal 2014 in connection with the acquisition of DPTT as discussed in Note 2 to the condensed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79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ind w:left="280"/>
              <w:spacing w:after="0" w:line="198" w:lineRule="exact"/>
              <w:rPr>
                <w:sz w:val="20"/>
                <w:szCs w:val="20"/>
                <w:color w:val="auto"/>
              </w:rPr>
            </w:pPr>
            <w:r>
              <w:rPr>
                <w:rFonts w:ascii="Arial" w:cs="Arial" w:eastAsia="Arial" w:hAnsi="Arial"/>
                <w:sz w:val="18"/>
                <w:szCs w:val="18"/>
                <w:b w:val="1"/>
                <w:bCs w:val="1"/>
                <w:color w:val="auto"/>
                <w:w w:val="87"/>
              </w:rPr>
              <w:t>Percent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ind w:left="2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Q3-14</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5"/>
              </w:rPr>
              <w:t>Q3-13</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YTD-13</w:t>
            </w:r>
          </w:p>
        </w:tc>
        <w:tc>
          <w:tcPr>
            <w:tcW w:w="28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5.2</w:t>
            </w:r>
          </w:p>
        </w:tc>
        <w:tc>
          <w:tcPr>
            <w:tcW w:w="110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4.3%  $</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4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$0.2 million to $5.2 million in Q3-14, as compared to $5.0 million in Q3-13, and by $1.7 million to $16.1 million in YTD-14, as compared to $14.4 million in YTD-13. The increase in research and development expenses in Q3-14 and YTD-14 as compared to the same periods in the prior year was primarily due to increased activities at advanced nanometer technology nodes for IC photomasks.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1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Q3-14</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Q3-13</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w:t>
            </w:r>
          </w:p>
        </w:tc>
        <w:tc>
          <w:tcPr>
            <w:tcW w:w="8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jc w:val="right"/>
              <w:ind w:right="65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April 2014 DNP Photomask Technology Taiwan Co., Ltd., a wholly owned subsidiary of Dai Nippon Printing Co., Ltd. (DNP), merged into PSMC and operates under the name of Photronics DNP Mask Corporation (PDMC). The acquisition resulted in the Company recording a gain of $16.4 million in the second quarter of fiscal 2014. See Note 2 of the condensed consolidated financial statements for more information.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decreased slightly in Q3-14 as compared to Q3-13 primarily as a result of reduced outstanding borrowing balances.</w:t>
      </w:r>
    </w:p>
    <w:p>
      <w:pPr>
        <w:spacing w:after="0" w:line="252"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Interest and other income (expense), net decreased in Q3-14 as compared to Q3-13 by $0.3 million, and in YTD-14 as compared to YTD-13 by $0.9 million primarily as a result of reduced interest income on lower cash balances.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Q3-14</w:t>
            </w: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Q3-13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YTD-14</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YTD-13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259"/>
        <w:spacing w:after="0" w:line="279" w:lineRule="auto"/>
        <w:rPr>
          <w:sz w:val="20"/>
          <w:szCs w:val="20"/>
          <w:color w:val="auto"/>
        </w:rPr>
      </w:pPr>
      <w:r>
        <w:rPr>
          <w:rFonts w:ascii="Arial" w:cs="Arial" w:eastAsia="Arial" w:hAnsi="Arial"/>
          <w:sz w:val="17"/>
          <w:szCs w:val="17"/>
          <w:color w:val="auto"/>
        </w:rPr>
        <w:t>The effective income tax rate decreased in Q3-14 as compared to Q3-13, and in YTD-14 as compared to YTD-13, due to lower income tax provisions recorded in jurisdictions in which the Company generated income before income taxes which, due to valuation allowances, were not significantly offset by income tax benefits recorded in jurisdictions in which the Company incurred losses before income taxes. In addition the YTD -14 compared to YTD-13 was further decreased due to the application of a zero tax rate on the gain recognized on the DPTT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Net income attributable to noncontrolling interests increased $2.8 million to $3.2 million in Q3-14, as compared to $0.4 million in Q3-13, and increased $2.1 million to $3.6 million in YTD-14, as compared to $1.5 million in YTD-13, primarily as a result of changes in the ownership structure of the Company’s IC manufacturing facility located in Taiwan. During YTD-13, the Company reacquired shares held by noncontrolling interests of this subsidiary, while during Q2-14, the Company exchanged a 49.99% noncontrolling interest in this subsidiary in return for the net assets of an acquiree. See Notes 2 and 14 of the condensed consolidated financial statements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The Company's working capital was $204.8 million at August 3, 2014, and $213.9 million at November 3, 2013. The decrease in working capital was primarily related to the repayment of a long-term loan discussed in Note 6 to the condensed consolidated financial statements. Cash and cash equivalents were $196.3 million at August 3, 2014, and $215.6 million at November 3, 2013. Net cash provided by operating activities was $61.8 million for the nine month period ended August 3, 2014, as compared to $67.6 million for the nine month period ended July 28, 2013, the decrease primarily due to decreased accounts receivable, net of a non-cash increase in accounts receivable in connection with the acquisition of DPTT, as compared to the prior year. Net cash used in investing activities for the nine month period ended August 3, 2014, was $54.5 million, which was comprised primarily of capital expenditure payments, offset in part by $4.5 million of cash received in the acquisition of DPTT. Net cash used in financing activities of $27.3 million for the nine month period ended August 3, 2014, was primarily comprised of repayments of long-term borrowings. The Company may use its cash available on hand for operations, capital expenditures, debt repayments, strategic opportunities, stock repurchases or other corporate uses, any of which may be material.</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As of August 3, 2014 and November 3, 2013, the Company’s total cash and cash equivalents include $122.8 million and $165.7 million, respectively, held by its foreign subsidiaries. The majority of earnings of the Company’s foreign subsidiaries are considered to be indefinitely reinvested. In a one-time distribution made during the three month period ended May 4, 2014, $35.1 million in earnings of PSMC were remitted to the U.S. that were previously considered to be permanently reinvested (see Note 9 to the condensed consolidated financial statements for further discussion). This distribution was in connection with the Company’s acquisition of DPTT. The Company’s foreign subsidiaries continue to grow through the reinvestment of earnings in additional manufacturing capacity and capability, particularly in the high-end IC and FPD areas. A repatriation of these funds to the U.S. may be subject to U.S. federal income taxes and local country withholding tax in certain jurisdictions.</w:t>
      </w:r>
    </w:p>
    <w:p>
      <w:pPr>
        <w:spacing w:after="0" w:line="216" w:lineRule="exact"/>
        <w:rPr>
          <w:sz w:val="20"/>
          <w:szCs w:val="20"/>
          <w:color w:val="auto"/>
        </w:rPr>
      </w:pPr>
    </w:p>
    <w:p>
      <w:pPr>
        <w:ind w:right="80" w:firstLine="259"/>
        <w:spacing w:after="0" w:line="312" w:lineRule="auto"/>
        <w:rPr>
          <w:sz w:val="20"/>
          <w:szCs w:val="20"/>
          <w:color w:val="auto"/>
        </w:rPr>
      </w:pPr>
      <w:r>
        <w:rPr>
          <w:rFonts w:ascii="Arial" w:cs="Arial" w:eastAsia="Arial" w:hAnsi="Arial"/>
          <w:sz w:val="16"/>
          <w:szCs w:val="16"/>
          <w:color w:val="auto"/>
        </w:rPr>
        <w:t>In April 2014 the Company closed the DPTT Acquisition, which was a noncash transaction that resulted in the Company owning 50.01% and DNP owning 49.99% of PDMC, whose financial results are included in the Company’s consolidated financial statements. PDMC is expected to generate sufficient cash flows to fund its operating and capital requirements. See Note 2 of the condensed consolidated financial statements for more information.</w:t>
      </w:r>
    </w:p>
    <w:p>
      <w:pPr>
        <w:spacing w:after="0" w:line="174"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In December 2013 the Company amended its credit facility, increasing its limit to $50 million with an expansion capacity to $75 million and extending its term to December 2018. Simultaneously, the Company repaid its $21.3 million term loan. The credit facility is secured by substantially all of the Company's assets located in the United States, as well as common stock the Company owns in certain of its foreign subsidiaries, and is subject to the following financial covenants: minimum interest coverage, total leverage ratio and minimum unrestricted cash balance. As of August 3, 2014, the Company was in compliance with the covenants of the credit facility, had no outstanding borrowings under the credit facility and $50 million was available for borrowing. The credit facility bears interest (1.92 percent at August 3, 2014) based on the Company’s total leverage ratio, at LIBOR plus a spread, as defined in the credit facility.</w:t>
      </w:r>
    </w:p>
    <w:p>
      <w:pPr>
        <w:spacing w:after="0" w:line="192" w:lineRule="exact"/>
        <w:rPr>
          <w:sz w:val="20"/>
          <w:szCs w:val="20"/>
          <w:color w:val="auto"/>
        </w:rPr>
      </w:pPr>
    </w:p>
    <w:p>
      <w:pPr>
        <w:jc w:val="both"/>
        <w:ind w:right="80" w:firstLine="259"/>
        <w:spacing w:after="0" w:line="286" w:lineRule="auto"/>
        <w:rPr>
          <w:sz w:val="20"/>
          <w:szCs w:val="20"/>
          <w:color w:val="auto"/>
        </w:rPr>
      </w:pPr>
      <w:r>
        <w:rPr>
          <w:rFonts w:ascii="Arial" w:cs="Arial" w:eastAsia="Arial" w:hAnsi="Arial"/>
          <w:sz w:val="17"/>
          <w:szCs w:val="17"/>
          <w:color w:val="auto"/>
        </w:rPr>
        <w:t>In June 2013 the Company completed a tender offer for shares of PSMC. A total of 50.3 million shares were tendered at the offering price of 16.30 NTD, equivalent to a total of $27.4 million. In September 2013 the Company purchased an additional 1.1 million shares of PSMC for $0.7 million, and in January 2014 the Company acquired all of the 3.0 million shares that were then held by noncontrolling interests at a cost of $1.7 million.</w:t>
      </w:r>
    </w:p>
    <w:p>
      <w:pPr>
        <w:spacing w:after="0" w:line="193"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w:t>
      </w:r>
    </w:p>
    <w:p>
      <w:pPr>
        <w:spacing w:after="0" w:line="208"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In August 2013 a $26.4 million principal amount, five year capital lease to fund the purchase of a high-end lithography tool commenced. Payments under the lease, which bears interest at 2.77 percent, are $0.5 million per month through July 2018. Under the terms of the lease agreement, the Company must maintain the equipment in good working order, and the lease is subject to a cross default with a cross acceleration provision related to certain nonfinancial covenants incorporated in its credit facility. As of August 3, 2014, the total amount payable through the end of the lease term was $23.0 million, of which $21.7 million represented principal and $1.3 million represented interest.</w:t>
      </w:r>
    </w:p>
    <w:p>
      <w:pPr>
        <w:spacing w:after="0" w:line="200"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In February 2012, the Company amended its credit facility to include the addition of a $25 million term loan that was to mature in March 2017, with minimum quarterly principal payments of $0.6 million. In the first quarter of fiscal 2014 the Company repaid the $21.3 million balance of this term loan that was outstanding at November 3, 2013.</w:t>
      </w:r>
    </w:p>
    <w:p>
      <w:pPr>
        <w:spacing w:after="0" w:line="208" w:lineRule="exact"/>
        <w:rPr>
          <w:sz w:val="20"/>
          <w:szCs w:val="20"/>
          <w:color w:val="auto"/>
        </w:rPr>
      </w:pPr>
    </w:p>
    <w:p>
      <w:pPr>
        <w:ind w:right="180" w:firstLine="259"/>
        <w:spacing w:after="0" w:line="276" w:lineRule="auto"/>
        <w:rPr>
          <w:sz w:val="20"/>
          <w:szCs w:val="20"/>
          <w:color w:val="auto"/>
        </w:rPr>
      </w:pPr>
      <w:r>
        <w:rPr>
          <w:rFonts w:ascii="Arial" w:cs="Arial" w:eastAsia="Arial" w:hAnsi="Arial"/>
          <w:sz w:val="17"/>
          <w:szCs w:val="17"/>
          <w:color w:val="auto"/>
        </w:rPr>
        <w:t>As of August 3, 2014, the Company had capital equipment commitments outstanding of approximately $65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00" w:lineRule="exact"/>
        <w:rPr>
          <w:sz w:val="20"/>
          <w:szCs w:val="20"/>
          <w:color w:val="auto"/>
        </w:rPr>
      </w:pPr>
    </w:p>
    <w:p>
      <w:pPr>
        <w:ind w:right="220" w:firstLine="259"/>
        <w:spacing w:after="0" w:line="291"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60" w:firstLine="259"/>
        <w:spacing w:after="0" w:line="259" w:lineRule="auto"/>
        <w:rPr>
          <w:sz w:val="20"/>
          <w:szCs w:val="20"/>
          <w:color w:val="auto"/>
        </w:rPr>
      </w:pPr>
      <w:r>
        <w:rPr>
          <w:rFonts w:ascii="Arial" w:cs="Arial" w:eastAsia="Arial" w:hAnsi="Arial"/>
          <w:sz w:val="18"/>
          <w:szCs w:val="18"/>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August 3, 2014, the Company has made additional contributions of $32.5 million to the joint venture, and has received distributions from the joint venture totaling $10.0 million.</w:t>
      </w:r>
    </w:p>
    <w:p>
      <w:pPr>
        <w:spacing w:after="0" w:line="214"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Under the PDMC operating agreement the shareholders of PDMC may be requested to make additional contributions to PDMC. In the event that PDMC requests additional capital from its shareholders, the Company may be required to make additional capital contributions to PDMC in order to maintain its 50.01% ownership. The PDMC operating agreement limits the amount of contributions that may be requested during both the first four years of PDMC and during any individual year within those first four years.</w:t>
      </w:r>
    </w:p>
    <w:p>
      <w:pPr>
        <w:spacing w:after="0" w:line="214"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firstLine="35"/>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40" w:firstLine="42"/>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See Note 16 to the condensed consolidated financial statements for a summary of recent accounting pronouncements that may impact the Company’s financial reporting.</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its financial position, financial performance and cash flows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81"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products in a currency other than the functional currency of the country where it was produced or purchase products in a currency that differs from the functional currency of the purchasing manufacturing facility. There can be no assurance that this approach will continue to be successful, especially in the event of a significant adverse movement in the value of any foreign currencies against the U.S. dollar.</w:t>
      </w:r>
    </w:p>
    <w:p>
      <w:pPr>
        <w:spacing w:after="0" w:line="200"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Company's primary net foreign currency exposures as of August 3, 2014, included the Korean won, the Japanese yen, the New Taiwan dollar, the Singapore dollar, the British pound, and the euro. As of August 3, 2014, a 10% adverse movement in the value of these currencies against the U.S. dollar would have resulted in a net unrealized pre-tax loss of $4.2 million. The Company does not believe that a 10% change in the exchange rates of other non-U.S. dollar currencies would have a material effect on its consolidated financial position,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At August 3, 2014, the Company did not have any variable rate borrowings. A 10% change in interest rates would not have had a material effect on the Company's consolidated financial position, results of operations, or cash flows in the three and nine month periods ended August 3, 2014.</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60" w:firstLine="259"/>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third quarter of fiscal 2014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140" w:firstLine="297"/>
        <w:spacing w:after="0" w:line="276" w:lineRule="auto"/>
        <w:rPr>
          <w:sz w:val="20"/>
          <w:szCs w:val="20"/>
          <w:color w:val="auto"/>
        </w:rPr>
      </w:pPr>
      <w:r>
        <w:rPr>
          <w:rFonts w:ascii="Arial" w:cs="Arial" w:eastAsia="Arial" w:hAnsi="Arial"/>
          <w:sz w:val="17"/>
          <w:szCs w:val="17"/>
          <w:color w:val="auto"/>
        </w:rPr>
        <w:t>The Company is involved from time to time in legal proceedings relating to claims that arise in the ordinary course of business and are regarded as common in our business, including administrative or judicial proceedings seeking remediation under environmental laws, such as Superfund, products liability, breach of contract liability and premises liability litigation. The Company does not believe that such claims, individually or in the aggregate, will have a material effect on the business of the Company. Where appropriate, the Company may establish financial reserves as estimated by its general counsel for such proceedings. The Company also maintains insurance to mitigate certain of such risks.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DPTT Acquisition</w:t>
      </w:r>
    </w:p>
    <w:p>
      <w:pPr>
        <w:spacing w:after="0" w:line="256"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In accounting for the DPTT Acquisition, the Company was required to estimate the fair values of assets acquired and liabilities assumed and such estimates are inherently subject to uncertainty. In addition, the DPTT Acquisition may subject the Company to various risks which could adversely affect its future earnings and cash flows. These include the risks that: the cost of combining operations may exceed the Company’s estimates; the unanticipated loss of sales due to an overlap of customers served by both PSMC and DPTT prior to the DPTT Acquisition; and that greater than anticipated charges to maintain or eliminate duplicate preacquisition activities are experienced. These and other unforeseen factors may adversely affect the Company’s financial performance and could also result in the Company needing to utilize its cash reserves or incur additional debt.</w:t>
      </w:r>
    </w:p>
    <w:p>
      <w:pPr>
        <w:spacing w:after="0" w:line="20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There have been no other material changes to risks relating to the Company's business as disclosed in Part 1, Item 1A of the Company's Form 10-K for the year ended November 3, 2013</w:t>
      </w:r>
      <w:r>
        <w:rPr>
          <w:rFonts w:ascii="Arial" w:cs="Arial" w:eastAsia="Arial" w:hAnsi="Arial"/>
          <w:sz w:val="18"/>
          <w:szCs w:val="18"/>
          <w:b w:val="1"/>
          <w:bCs w:val="1"/>
          <w:color w:val="auto"/>
        </w:rPr>
        <w: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56" w:lineRule="exact"/>
        <w:rPr>
          <w:sz w:val="20"/>
          <w:szCs w:val="20"/>
          <w:color w:val="auto"/>
        </w:rPr>
      </w:pPr>
    </w:p>
    <w:p>
      <w:pPr>
        <w:ind w:left="1460" w:hanging="642"/>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Number</w:t>
      </w:r>
      <w:r>
        <w:rPr>
          <w:rFonts w:ascii="Arial" w:cs="Arial" w:eastAsia="Arial" w:hAnsi="Arial"/>
          <w:sz w:val="16"/>
          <w:szCs w:val="16"/>
          <w:b w:val="1"/>
          <w:bCs w:val="1"/>
          <w:u w:val="single" w:color="auto"/>
          <w:color w:val="auto"/>
        </w:rPr>
        <w:t>Description</w:t>
      </w:r>
    </w:p>
    <w:p>
      <w:pPr>
        <w:spacing w:after="0" w:line="221"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920" w:type="dxa"/>
            <w:vAlign w:val="bottom"/>
            <w:gridSpan w:val="2"/>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8940" w:type="dxa"/>
            <w:vAlign w:val="bottom"/>
          </w:tcPr>
          <w:p>
            <w:pPr>
              <w:ind w:left="22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w:t>
            </w:r>
          </w:p>
        </w:tc>
      </w:tr>
      <w:tr>
        <w:trPr>
          <w:trHeight w:val="237"/>
        </w:trPr>
        <w:tc>
          <w:tcPr>
            <w:tcW w:w="3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2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9"/>
        </w:trPr>
        <w:tc>
          <w:tcPr>
            <w:tcW w:w="920" w:type="dxa"/>
            <w:vAlign w:val="bottom"/>
            <w:gridSpan w:val="2"/>
          </w:tcPr>
          <w:p>
            <w:pPr>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8940" w:type="dxa"/>
            <w:vAlign w:val="bottom"/>
          </w:tcPr>
          <w:p>
            <w:pPr>
              <w:ind w:left="220"/>
              <w:spacing w:after="0"/>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w:t>
            </w:r>
          </w:p>
        </w:tc>
      </w:tr>
      <w:tr>
        <w:trPr>
          <w:trHeight w:val="237"/>
        </w:trPr>
        <w:tc>
          <w:tcPr>
            <w:tcW w:w="3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22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419"/>
        </w:trPr>
        <w:tc>
          <w:tcPr>
            <w:tcW w:w="920" w:type="dxa"/>
            <w:vAlign w:val="bottom"/>
            <w:gridSpan w:val="2"/>
          </w:tcPr>
          <w:p>
            <w:pPr>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8940" w:type="dxa"/>
            <w:vAlign w:val="bottom"/>
          </w:tcPr>
          <w:p>
            <w:pPr>
              <w:ind w:left="22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w:t>
            </w:r>
          </w:p>
        </w:tc>
      </w:tr>
      <w:tr>
        <w:trPr>
          <w:trHeight w:val="237"/>
        </w:trPr>
        <w:tc>
          <w:tcPr>
            <w:tcW w:w="3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220"/>
              <w:spacing w:after="0"/>
              <w:rPr>
                <w:sz w:val="20"/>
                <w:szCs w:val="20"/>
                <w:color w:val="auto"/>
              </w:rPr>
            </w:pPr>
            <w:r>
              <w:rPr>
                <w:rFonts w:ascii="Arial" w:cs="Arial" w:eastAsia="Arial" w:hAnsi="Arial"/>
                <w:sz w:val="18"/>
                <w:szCs w:val="18"/>
                <w:color w:val="auto"/>
              </w:rPr>
              <w:t>Sarbanes-Oxley Act of 2002.</w:t>
            </w:r>
          </w:p>
        </w:tc>
      </w:tr>
      <w:tr>
        <w:trPr>
          <w:trHeight w:val="419"/>
        </w:trPr>
        <w:tc>
          <w:tcPr>
            <w:tcW w:w="920" w:type="dxa"/>
            <w:vAlign w:val="bottom"/>
            <w:gridSpan w:val="2"/>
          </w:tcPr>
          <w:p>
            <w:pPr>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8940" w:type="dxa"/>
            <w:vAlign w:val="bottom"/>
          </w:tcPr>
          <w:p>
            <w:pPr>
              <w:ind w:left="220"/>
              <w:spacing w:after="0"/>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w:t>
            </w:r>
          </w:p>
        </w:tc>
      </w:tr>
      <w:tr>
        <w:trPr>
          <w:trHeight w:val="237"/>
        </w:trPr>
        <w:tc>
          <w:tcPr>
            <w:tcW w:w="32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220"/>
              <w:spacing w:after="0"/>
              <w:rPr>
                <w:sz w:val="20"/>
                <w:szCs w:val="20"/>
                <w:color w:val="auto"/>
              </w:rPr>
            </w:pPr>
            <w:r>
              <w:rPr>
                <w:rFonts w:ascii="Arial" w:cs="Arial" w:eastAsia="Arial" w:hAnsi="Arial"/>
                <w:sz w:val="18"/>
                <w:szCs w:val="18"/>
                <w:color w:val="auto"/>
              </w:rPr>
              <w:t>Sarbanes-Oxley Act of 2002.</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9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94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9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9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9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9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59"/>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940" w:type="dxa"/>
            <w:vAlign w:val="bottom"/>
          </w:tcPr>
          <w:p>
            <w:pPr>
              <w:ind w:left="2760"/>
              <w:spacing w:after="0"/>
              <w:rPr>
                <w:sz w:val="20"/>
                <w:szCs w:val="20"/>
                <w:color w:val="auto"/>
              </w:rPr>
            </w:pPr>
            <w:r>
              <w:rPr>
                <w:rFonts w:ascii="Arial" w:cs="Arial" w:eastAsia="Arial" w:hAnsi="Arial"/>
                <w:sz w:val="18"/>
                <w:szCs w:val="18"/>
                <w:b w:val="1"/>
                <w:bCs w:val="1"/>
                <w:color w:val="auto"/>
              </w:rPr>
              <w:t>SIGNATURES</w:t>
            </w:r>
          </w:p>
        </w:tc>
      </w:tr>
    </w:tbl>
    <w:p>
      <w:pPr>
        <w:spacing w:after="0" w:line="229" w:lineRule="exact"/>
        <w:rPr>
          <w:sz w:val="20"/>
          <w:szCs w:val="20"/>
          <w:color w:val="auto"/>
        </w:rPr>
      </w:pPr>
    </w:p>
    <w:p>
      <w:pPr>
        <w:ind w:right="7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30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2014</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Constantine S. Macricostas, Chief Executive Officer of Photronics, Inc. (the "Company"), certify, to my knowledge,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w:t>
      </w:r>
    </w:p>
    <w:p>
      <w:pPr>
        <w:spacing w:after="0" w:line="238" w:lineRule="exact"/>
        <w:rPr>
          <w:sz w:val="20"/>
          <w:szCs w:val="20"/>
          <w:color w:val="auto"/>
        </w:rPr>
      </w:pPr>
    </w:p>
    <w:p>
      <w:pPr>
        <w:ind w:left="1300" w:right="720" w:hanging="129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August 3,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400" w:hanging="129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1300" w:right="720" w:hanging="129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August 3,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400" w:hanging="129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T"/>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2019-12-06T00:13:01Z</dcterms:created>
  <dcterms:modified xsi:type="dcterms:W3CDTF">2019-12-06T00:13:01Z</dcterms:modified>
</cp:coreProperties>
</file>