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left="3600" w:hanging="3524"/>
        <w:spacing w:after="0" w:line="256" w:lineRule="auto"/>
        <w:tabs>
          <w:tab w:leader="none" w:pos="30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 (d) OF THE SECURITIES EXCHANGE ACT OF 1934 For the quarterly period ended April 27, 2008</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jc w:val="center"/>
        <w:ind w:left="3940" w:hanging="3864"/>
        <w:spacing w:after="0" w:line="256" w:lineRule="auto"/>
        <w:tabs>
          <w:tab w:leader="none" w:pos="29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TRANSITION REPORT PURSUANT TO SECTION 13 OR 15 (d) OF THE SECURITIES EXCHANGE ACT OF 1934 </w:t>
      </w:r>
      <w:r>
        <w:rPr>
          <w:rFonts w:ascii="Arial" w:cs="Arial" w:eastAsia="Arial" w:hAnsi="Arial"/>
          <w:sz w:val="22"/>
          <w:szCs w:val="22"/>
          <w:color w:val="auto"/>
        </w:rPr>
        <w:t>For the transition period from ___ to ___</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 xml:space="preserve">Commission file number </w:t>
      </w:r>
      <w:r>
        <w:rPr>
          <w:rFonts w:ascii="Arial" w:cs="Arial" w:eastAsia="Arial" w:hAnsi="Arial"/>
          <w:sz w:val="22"/>
          <w:szCs w:val="22"/>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148590</wp:posOffset>
            </wp:positionV>
            <wp:extent cx="685800" cy="746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PHOTRONICS, INC.</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205" w:lineRule="exact"/>
        <w:rPr>
          <w:sz w:val="24"/>
          <w:szCs w:val="24"/>
          <w:color w:val="auto"/>
        </w:rPr>
      </w:pPr>
    </w:p>
    <w:tbl>
      <w:tblPr>
        <w:tblLayout w:type="fixed"/>
        <w:tblInd w:w="1520" w:type="dxa"/>
        <w:tblCellMar>
          <w:top w:w="0" w:type="dxa"/>
          <w:left w:w="0" w:type="dxa"/>
          <w:bottom w:w="0" w:type="dxa"/>
          <w:right w:w="0" w:type="dxa"/>
        </w:tblCellMar>
      </w:tblPr>
      <w:tr>
        <w:trPr>
          <w:trHeight w:val="253"/>
        </w:trPr>
        <w:tc>
          <w:tcPr>
            <w:tcW w:w="4640" w:type="dxa"/>
            <w:vAlign w:val="bottom"/>
          </w:tcPr>
          <w:p>
            <w:pPr>
              <w:jc w:val="center"/>
              <w:ind w:right="1652"/>
              <w:spacing w:after="0"/>
              <w:rPr>
                <w:sz w:val="20"/>
                <w:szCs w:val="20"/>
                <w:color w:val="auto"/>
              </w:rPr>
            </w:pPr>
            <w:r>
              <w:rPr>
                <w:rFonts w:ascii="Arial" w:cs="Arial" w:eastAsia="Arial" w:hAnsi="Arial"/>
                <w:sz w:val="22"/>
                <w:szCs w:val="22"/>
                <w:b w:val="1"/>
                <w:bCs w:val="1"/>
                <w:color w:val="auto"/>
                <w:w w:val="88"/>
              </w:rPr>
              <w:t>Connecticut</w:t>
            </w:r>
          </w:p>
        </w:tc>
        <w:tc>
          <w:tcPr>
            <w:tcW w:w="3760" w:type="dxa"/>
            <w:vAlign w:val="bottom"/>
          </w:tcPr>
          <w:p>
            <w:pPr>
              <w:jc w:val="center"/>
              <w:ind w:left="1652"/>
              <w:spacing w:after="0"/>
              <w:rPr>
                <w:sz w:val="20"/>
                <w:szCs w:val="20"/>
                <w:color w:val="auto"/>
              </w:rPr>
            </w:pPr>
            <w:r>
              <w:rPr>
                <w:rFonts w:ascii="Arial" w:cs="Arial" w:eastAsia="Arial" w:hAnsi="Arial"/>
                <w:sz w:val="22"/>
                <w:szCs w:val="22"/>
                <w:b w:val="1"/>
                <w:bCs w:val="1"/>
                <w:color w:val="auto"/>
                <w:w w:val="88"/>
              </w:rPr>
              <w:t>06-0854886</w:t>
            </w:r>
          </w:p>
        </w:tc>
      </w:tr>
      <w:tr>
        <w:trPr>
          <w:trHeight w:val="243"/>
        </w:trPr>
        <w:tc>
          <w:tcPr>
            <w:tcW w:w="4640" w:type="dxa"/>
            <w:vAlign w:val="bottom"/>
          </w:tcPr>
          <w:p>
            <w:pPr>
              <w:jc w:val="center"/>
              <w:ind w:right="1652"/>
              <w:spacing w:after="0" w:line="243" w:lineRule="exact"/>
              <w:rPr>
                <w:sz w:val="20"/>
                <w:szCs w:val="20"/>
                <w:color w:val="auto"/>
              </w:rPr>
            </w:pPr>
            <w:r>
              <w:rPr>
                <w:rFonts w:ascii="Arial" w:cs="Arial" w:eastAsia="Arial" w:hAnsi="Arial"/>
                <w:sz w:val="22"/>
                <w:szCs w:val="22"/>
                <w:i w:val="1"/>
                <w:iCs w:val="1"/>
                <w:color w:val="auto"/>
                <w:w w:val="92"/>
              </w:rPr>
              <w:t>(State or other jurisdiction</w:t>
            </w:r>
          </w:p>
        </w:tc>
        <w:tc>
          <w:tcPr>
            <w:tcW w:w="3760" w:type="dxa"/>
            <w:vAlign w:val="bottom"/>
          </w:tcPr>
          <w:p>
            <w:pPr>
              <w:jc w:val="center"/>
              <w:ind w:left="1652"/>
              <w:spacing w:after="0" w:line="243" w:lineRule="exact"/>
              <w:rPr>
                <w:sz w:val="20"/>
                <w:szCs w:val="20"/>
                <w:color w:val="auto"/>
              </w:rPr>
            </w:pPr>
            <w:r>
              <w:rPr>
                <w:rFonts w:ascii="Arial" w:cs="Arial" w:eastAsia="Arial" w:hAnsi="Arial"/>
                <w:sz w:val="22"/>
                <w:szCs w:val="22"/>
                <w:i w:val="1"/>
                <w:iCs w:val="1"/>
                <w:color w:val="auto"/>
                <w:w w:val="89"/>
              </w:rPr>
              <w:t>(IRS Employer</w:t>
            </w:r>
          </w:p>
        </w:tc>
      </w:tr>
      <w:tr>
        <w:trPr>
          <w:trHeight w:val="275"/>
        </w:trPr>
        <w:tc>
          <w:tcPr>
            <w:tcW w:w="4640" w:type="dxa"/>
            <w:vAlign w:val="bottom"/>
          </w:tcPr>
          <w:p>
            <w:pPr>
              <w:jc w:val="center"/>
              <w:ind w:right="1652"/>
              <w:spacing w:after="0"/>
              <w:rPr>
                <w:sz w:val="20"/>
                <w:szCs w:val="20"/>
                <w:color w:val="auto"/>
              </w:rPr>
            </w:pPr>
            <w:r>
              <w:rPr>
                <w:rFonts w:ascii="Arial" w:cs="Arial" w:eastAsia="Arial" w:hAnsi="Arial"/>
                <w:sz w:val="22"/>
                <w:szCs w:val="22"/>
                <w:i w:val="1"/>
                <w:iCs w:val="1"/>
                <w:color w:val="auto"/>
                <w:w w:val="92"/>
              </w:rPr>
              <w:t>of incorporation or organization)</w:t>
            </w:r>
          </w:p>
        </w:tc>
        <w:tc>
          <w:tcPr>
            <w:tcW w:w="3760" w:type="dxa"/>
            <w:vAlign w:val="bottom"/>
          </w:tcPr>
          <w:p>
            <w:pPr>
              <w:jc w:val="center"/>
              <w:ind w:left="1652"/>
              <w:spacing w:after="0"/>
              <w:rPr>
                <w:sz w:val="20"/>
                <w:szCs w:val="20"/>
                <w:color w:val="auto"/>
              </w:rPr>
            </w:pPr>
            <w:r>
              <w:rPr>
                <w:rFonts w:ascii="Arial" w:cs="Arial" w:eastAsia="Arial" w:hAnsi="Arial"/>
                <w:sz w:val="22"/>
                <w:szCs w:val="22"/>
                <w:i w:val="1"/>
                <w:iCs w:val="1"/>
                <w:color w:val="auto"/>
                <w:w w:val="92"/>
              </w:rPr>
              <w:t>Identification Number)</w:t>
            </w:r>
          </w:p>
        </w:tc>
      </w:tr>
    </w:tbl>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15 Secor Road, Brookfield, Connecticut 06804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(Address of principal executive offices and zip code)</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(203) 775-9000</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(Registrant's telephone number, including area code)</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 xml:space="preserve">Securities registered pursuant to Section 12(b) of the Act: </w:t>
      </w:r>
      <w:r>
        <w:rPr>
          <w:rFonts w:ascii="Arial" w:cs="Arial" w:eastAsia="Arial" w:hAnsi="Arial"/>
          <w:sz w:val="22"/>
          <w:szCs w:val="22"/>
          <w:b w:val="1"/>
          <w:bCs w:val="1"/>
          <w:color w:val="auto"/>
        </w:rPr>
        <w:t>Common Stock, $0.01 par value per share - NASDAQ</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i w:val="1"/>
          <w:iCs w:val="1"/>
          <w:color w:val="auto"/>
        </w:rPr>
        <w:t xml:space="preserve">Securities registered pursuant to Section 12(g) of the Act: </w:t>
      </w:r>
      <w:r>
        <w:rPr>
          <w:rFonts w:ascii="Arial" w:cs="Arial" w:eastAsia="Arial" w:hAnsi="Arial"/>
          <w:sz w:val="22"/>
          <w:szCs w:val="22"/>
          <w:b w:val="1"/>
          <w:bCs w:val="1"/>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right="180"/>
        <w:spacing w:after="0" w:line="238" w:lineRule="auto"/>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 x No o</w:t>
      </w:r>
    </w:p>
    <w:p>
      <w:pPr>
        <w:spacing w:after="0" w:line="185" w:lineRule="exact"/>
        <w:rPr>
          <w:sz w:val="24"/>
          <w:szCs w:val="24"/>
          <w:color w:val="auto"/>
        </w:rPr>
      </w:pPr>
    </w:p>
    <w:p>
      <w:pPr>
        <w:ind w:right="740"/>
        <w:spacing w:after="0" w:line="250" w:lineRule="auto"/>
        <w:rPr>
          <w:sz w:val="20"/>
          <w:szCs w:val="20"/>
          <w:color w:val="auto"/>
        </w:rPr>
      </w:pPr>
      <w:r>
        <w:rPr>
          <w:rFonts w:ascii="Arial" w:cs="Arial" w:eastAsia="Arial" w:hAnsi="Arial"/>
          <w:sz w:val="21"/>
          <w:szCs w:val="2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Large Accelerated Filer o Accelerated Filer x Non-Accelerated Filer o Smaller Reporting Company o</w:t>
      </w:r>
    </w:p>
    <w:p>
      <w:pPr>
        <w:spacing w:after="0" w:line="188" w:lineRule="exact"/>
        <w:rPr>
          <w:sz w:val="24"/>
          <w:szCs w:val="24"/>
          <w:color w:val="auto"/>
        </w:rPr>
      </w:pPr>
    </w:p>
    <w:p>
      <w:pPr>
        <w:ind w:right="1520"/>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173"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ectPr>
          <w:pgSz w:w="11900" w:h="16838" w:orient="portrait"/>
          <w:cols w:equalWidth="0" w:num="1">
            <w:col w:w="11340"/>
          </w:cols>
          <w:pgMar w:left="240" w:top="1409" w:right="319" w:bottom="0" w:gutter="0" w:footer="0" w:header="0"/>
        </w:sectPr>
      </w:pPr>
    </w:p>
    <w:p>
      <w:pPr>
        <w:spacing w:after="0" w:line="241" w:lineRule="exact"/>
        <w:rPr>
          <w:sz w:val="24"/>
          <w:szCs w:val="24"/>
          <w:color w:val="auto"/>
        </w:rPr>
      </w:pPr>
    </w:p>
    <w:p>
      <w:pPr>
        <w:jc w:val="center"/>
        <w:ind w:right="2300"/>
        <w:spacing w:after="0"/>
        <w:rPr>
          <w:sz w:val="20"/>
          <w:szCs w:val="20"/>
          <w:color w:val="auto"/>
        </w:rPr>
      </w:pPr>
      <w:r>
        <w:rPr>
          <w:rFonts w:ascii="Arial" w:cs="Arial" w:eastAsia="Arial" w:hAnsi="Arial"/>
          <w:sz w:val="22"/>
          <w:szCs w:val="22"/>
          <w:color w:val="auto"/>
        </w:rPr>
        <w:t>Class</w:t>
      </w:r>
    </w:p>
    <w:p>
      <w:pPr>
        <w:spacing w:after="0" w:line="8" w:lineRule="exact"/>
        <w:rPr>
          <w:sz w:val="24"/>
          <w:szCs w:val="24"/>
          <w:color w:val="auto"/>
        </w:rPr>
      </w:pPr>
    </w:p>
    <w:p>
      <w:pPr>
        <w:jc w:val="center"/>
        <w:ind w:right="2300"/>
        <w:spacing w:after="0"/>
        <w:rPr>
          <w:sz w:val="20"/>
          <w:szCs w:val="20"/>
          <w:color w:val="auto"/>
        </w:rPr>
      </w:pPr>
      <w:r>
        <w:rPr>
          <w:rFonts w:ascii="Arial" w:cs="Arial" w:eastAsia="Arial" w:hAnsi="Arial"/>
          <w:sz w:val="19"/>
          <w:szCs w:val="19"/>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jc w:val="center"/>
        <w:ind w:right="900"/>
        <w:spacing w:after="0"/>
        <w:rPr>
          <w:sz w:val="20"/>
          <w:szCs w:val="20"/>
          <w:color w:val="auto"/>
        </w:rPr>
      </w:pPr>
      <w:r>
        <w:rPr>
          <w:rFonts w:ascii="Arial" w:cs="Arial" w:eastAsia="Arial" w:hAnsi="Arial"/>
          <w:sz w:val="19"/>
          <w:szCs w:val="19"/>
          <w:color w:val="auto"/>
        </w:rPr>
        <w:t>Outstanding at May 30, 2008</w:t>
      </w:r>
    </w:p>
    <w:p>
      <w:pPr>
        <w:spacing w:after="0" w:line="43" w:lineRule="exact"/>
        <w:rPr>
          <w:sz w:val="24"/>
          <w:szCs w:val="24"/>
          <w:color w:val="auto"/>
        </w:rPr>
      </w:pPr>
    </w:p>
    <w:p>
      <w:pPr>
        <w:jc w:val="center"/>
        <w:ind w:right="900"/>
        <w:spacing w:after="0"/>
        <w:rPr>
          <w:sz w:val="20"/>
          <w:szCs w:val="20"/>
          <w:color w:val="auto"/>
        </w:rPr>
      </w:pPr>
      <w:r>
        <w:rPr>
          <w:rFonts w:ascii="Arial" w:cs="Arial" w:eastAsia="Arial" w:hAnsi="Arial"/>
          <w:sz w:val="22"/>
          <w:szCs w:val="22"/>
          <w:b w:val="1"/>
          <w:bCs w:val="1"/>
          <w:color w:val="auto"/>
        </w:rPr>
        <w:t>41,987,962Shares</w:t>
      </w:r>
    </w:p>
    <w:p>
      <w:pPr>
        <w:sectPr>
          <w:pgSz w:w="11900" w:h="16838" w:orient="portrait"/>
          <w:cols w:equalWidth="0" w:num="2">
            <w:col w:w="7200" w:space="720"/>
            <w:col w:w="3420"/>
          </w:cols>
          <w:pgMar w:left="240" w:top="1409" w:right="31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Information</w:t>
      </w:r>
    </w:p>
    <w:p>
      <w:pPr>
        <w:spacing w:after="0" w:line="212" w:lineRule="exact"/>
        <w:rPr>
          <w:sz w:val="20"/>
          <w:szCs w:val="20"/>
          <w:color w:val="auto"/>
        </w:rPr>
      </w:pPr>
    </w:p>
    <w:p>
      <w:pPr>
        <w:ind w:firstLine="266"/>
        <w:spacing w:after="0" w:line="269" w:lineRule="auto"/>
        <w:rPr>
          <w:sz w:val="20"/>
          <w:szCs w:val="20"/>
          <w:color w:val="auto"/>
        </w:rPr>
      </w:pPr>
      <w:r>
        <w:rPr>
          <w:rFonts w:ascii="Arial" w:cs="Arial" w:eastAsia="Arial" w:hAnsi="Arial"/>
          <w:sz w:val="19"/>
          <w:szCs w:val="19"/>
          <w:color w:val="auto"/>
        </w:rPr>
        <w:t>The Private Securities Litigation Reform Act of 1995 provides a "safe harbor" for forward-looking statements made by or on behalf of Photronics, Inc. (the "Company").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and conference calls, regarding the consummation and benefits of future acquisitions, expectations with respect to future sales, financial performance, operating efficiencies and product expansion, are subject to known and unknown risks, uncertainties and contingencies, many of which are beyond the control of the Company. These factors may cause actual results, performance or achievements to differ materially from anticipated results, performances or achievements. Factors that might affect such forward-looking statements include, but are not limited to, overall economic and business conditions; the demand and receipt of orders for the Company's products; competitive factors in the industries and geographic markets in which the Company competes; changes in federal, state and international tax requirements (including tax rate changes, new tax laws and revised tax law interpretations); the Company's ability to place new equipment in service on a timely basis; interest rate fluctuations and other capital market conditions, including foreign currency rate fluctuations; economic and political conditions in international markets; the ability to obtain additional financings; the ability to achieve anticipated synergies and other cost savings in connection with acquisitions and productivity programs; delays in the ramp up of production of the state-of-the-art nanofab facility ("U.S. Nanofab"); the timing, impact and other uncertainties of future acquisitions; the seasonal and cyclical nature of the semiconductor and flat panel display industries; the availability of capital; management changes; damage or destruction to the Company's facilities by natural disasters, labor strikes, political unrest or terrorist activity; the ability to fully utilize its tools; the ability of the Company to receive desired yields, pricing, product mix, and market acceptance of its products; changes in technology; and the ability of the Company to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PHOTRONICS, INC.</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AND SUBSIDIARIES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49" w:lineRule="exact"/>
        <w:rPr>
          <w:sz w:val="20"/>
          <w:szCs w:val="20"/>
          <w:color w:val="auto"/>
        </w:rPr>
      </w:pPr>
    </w:p>
    <w:tbl>
      <w:tblPr>
        <w:tblLayout w:type="fixed"/>
        <w:tblInd w:w="1880" w:type="dxa"/>
        <w:tblCellMar>
          <w:top w:w="0" w:type="dxa"/>
          <w:left w:w="0" w:type="dxa"/>
          <w:bottom w:w="0" w:type="dxa"/>
          <w:right w:w="0" w:type="dxa"/>
        </w:tblCellMar>
      </w:tblPr>
      <w:tr>
        <w:trPr>
          <w:trHeight w:val="281"/>
        </w:trPr>
        <w:tc>
          <w:tcPr>
            <w:tcW w:w="1400" w:type="dxa"/>
            <w:vAlign w:val="bottom"/>
          </w:tcPr>
          <w:p>
            <w:pPr>
              <w:spacing w:after="0"/>
              <w:rPr>
                <w:sz w:val="20"/>
                <w:szCs w:val="20"/>
                <w:color w:val="auto"/>
              </w:rPr>
            </w:pPr>
            <w:r>
              <w:rPr>
                <w:rFonts w:ascii="Arial" w:cs="Arial" w:eastAsia="Arial" w:hAnsi="Arial"/>
                <w:sz w:val="22"/>
                <w:szCs w:val="22"/>
                <w:b w:val="1"/>
                <w:bCs w:val="1"/>
                <w:color w:val="auto"/>
              </w:rPr>
              <w:t>PART I.</w:t>
            </w:r>
          </w:p>
        </w:tc>
        <w:tc>
          <w:tcPr>
            <w:tcW w:w="5840" w:type="dxa"/>
            <w:vAlign w:val="bottom"/>
            <w:gridSpan w:val="12"/>
          </w:tcPr>
          <w:p>
            <w:pPr>
              <w:spacing w:after="0"/>
              <w:rPr>
                <w:sz w:val="20"/>
                <w:szCs w:val="20"/>
                <w:color w:val="auto"/>
              </w:rPr>
            </w:pPr>
            <w:r>
              <w:rPr>
                <w:rFonts w:ascii="Arial" w:cs="Arial" w:eastAsia="Arial" w:hAnsi="Arial"/>
                <w:sz w:val="22"/>
                <w:szCs w:val="22"/>
                <w:b w:val="1"/>
                <w:bCs w:val="1"/>
                <w:color w:val="auto"/>
              </w:rPr>
              <w:t>FINANCIAL INFORMATION</w:t>
            </w:r>
          </w:p>
        </w:tc>
        <w:tc>
          <w:tcPr>
            <w:tcW w:w="440" w:type="dxa"/>
            <w:vAlign w:val="bottom"/>
          </w:tcPr>
          <w:p>
            <w:pPr>
              <w:jc w:val="right"/>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98"/>
        </w:trPr>
        <w:tc>
          <w:tcPr>
            <w:tcW w:w="1400" w:type="dxa"/>
            <w:vAlign w:val="bottom"/>
            <w:vMerge w:val="restart"/>
          </w:tcPr>
          <w:p>
            <w:pPr>
              <w:spacing w:after="0"/>
              <w:rPr>
                <w:sz w:val="20"/>
                <w:szCs w:val="20"/>
                <w:color w:val="auto"/>
              </w:rPr>
            </w:pPr>
            <w:r>
              <w:rPr>
                <w:rFonts w:ascii="Arial" w:cs="Arial" w:eastAsia="Arial" w:hAnsi="Arial"/>
                <w:sz w:val="22"/>
                <w:szCs w:val="22"/>
                <w:color w:val="auto"/>
              </w:rPr>
              <w:t>Item 1.</w:t>
            </w:r>
          </w:p>
        </w:tc>
        <w:tc>
          <w:tcPr>
            <w:tcW w:w="5840" w:type="dxa"/>
            <w:vAlign w:val="bottom"/>
            <w:gridSpan w:val="12"/>
            <w:vMerge w:val="restart"/>
          </w:tcPr>
          <w:p>
            <w:pPr>
              <w:spacing w:after="0"/>
              <w:rPr>
                <w:sz w:val="20"/>
                <w:szCs w:val="20"/>
                <w:color w:val="auto"/>
              </w:rPr>
            </w:pPr>
            <w:r>
              <w:rPr>
                <w:rFonts w:ascii="Arial" w:cs="Arial" w:eastAsia="Arial" w:hAnsi="Arial"/>
                <w:sz w:val="22"/>
                <w:szCs w:val="22"/>
                <w:color w:val="auto"/>
              </w:rPr>
              <w:t>Condensed Consolidated Financial Statements</w:t>
            </w: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1400" w:type="dxa"/>
            <w:vAlign w:val="bottom"/>
            <w:vMerge w:val="continue"/>
          </w:tcPr>
          <w:p>
            <w:pPr>
              <w:spacing w:after="0"/>
              <w:rPr>
                <w:sz w:val="24"/>
                <w:szCs w:val="24"/>
                <w:color w:val="auto"/>
              </w:rPr>
            </w:pPr>
          </w:p>
        </w:tc>
        <w:tc>
          <w:tcPr>
            <w:tcW w:w="5840" w:type="dxa"/>
            <w:vAlign w:val="bottom"/>
            <w:gridSpan w:val="12"/>
            <w:vMerge w:val="continue"/>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40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Condensed Consolidated Balance Sheets at</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720" w:type="dxa"/>
            <w:vAlign w:val="bottom"/>
            <w:tcBorders>
              <w:top w:val="single" w:sz="8" w:color="0000EE"/>
            </w:tcBorders>
            <w:gridSpan w:val="6"/>
          </w:tcPr>
          <w:p>
            <w:pPr>
              <w:spacing w:after="0" w:line="223" w:lineRule="exact"/>
              <w:rPr>
                <w:rFonts w:ascii="Arial" w:cs="Arial" w:eastAsia="Arial" w:hAnsi="Arial"/>
                <w:sz w:val="22"/>
                <w:szCs w:val="22"/>
                <w:color w:val="0000EE"/>
              </w:rPr>
            </w:pPr>
            <w:hyperlink w:anchor="page3">
              <w:r>
                <w:rPr>
                  <w:rFonts w:ascii="Arial" w:cs="Arial" w:eastAsia="Arial" w:hAnsi="Arial"/>
                  <w:sz w:val="22"/>
                  <w:szCs w:val="22"/>
                  <w:color w:val="0000EE"/>
                </w:rPr>
                <w:t>April 27, 2008 and October 28, 2007</w:t>
              </w:r>
            </w:hyperlink>
          </w:p>
        </w:tc>
        <w:tc>
          <w:tcPr>
            <w:tcW w:w="2120" w:type="dxa"/>
            <w:vAlign w:val="bottom"/>
            <w:gridSpan w:val="6"/>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Condensed Consolidated Statements of Operations</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18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color w:val="0000EE"/>
                <w:w w:val="88"/>
              </w:rPr>
            </w:pPr>
            <w:hyperlink w:anchor="page4">
              <w:r>
                <w:rPr>
                  <w:rFonts w:ascii="Arial" w:cs="Arial" w:eastAsia="Arial" w:hAnsi="Arial"/>
                  <w:sz w:val="22"/>
                  <w:szCs w:val="22"/>
                  <w:color w:val="0000EE"/>
                  <w:w w:val="88"/>
                </w:rPr>
                <w:t>for the Three and Six Months Ended</w:t>
              </w:r>
            </w:hyperlink>
          </w:p>
        </w:tc>
        <w:tc>
          <w:tcPr>
            <w:tcW w:w="1200" w:type="dxa"/>
            <w:vAlign w:val="bottom"/>
            <w:tcBorders>
              <w:top w:val="single" w:sz="8" w:color="0000EE"/>
            </w:tcBorders>
            <w:gridSpan w:val="4"/>
          </w:tcPr>
          <w:p>
            <w:pPr>
              <w:spacing w:after="0"/>
              <w:rPr>
                <w:sz w:val="19"/>
                <w:szCs w:val="19"/>
                <w:color w:val="auto"/>
              </w:rPr>
            </w:pPr>
          </w:p>
        </w:tc>
        <w:tc>
          <w:tcPr>
            <w:tcW w:w="1460" w:type="dxa"/>
            <w:vAlign w:val="bottom"/>
            <w:gridSpan w:val="4"/>
          </w:tcPr>
          <w:p>
            <w:pPr>
              <w:spacing w:after="0"/>
              <w:rPr>
                <w:sz w:val="19"/>
                <w:szCs w:val="19"/>
                <w:color w:val="auto"/>
              </w:rPr>
            </w:pPr>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2960" w:type="dxa"/>
            <w:vAlign w:val="bottom"/>
            <w:tcBorders>
              <w:bottom w:val="single" w:sz="8" w:color="0000EE"/>
            </w:tcBorders>
            <w:gridSpan w:val="3"/>
          </w:tcPr>
          <w:p>
            <w:pPr>
              <w:spacing w:after="0" w:line="223" w:lineRule="exact"/>
              <w:rPr>
                <w:rFonts w:ascii="Arial" w:cs="Arial" w:eastAsia="Arial" w:hAnsi="Arial"/>
                <w:sz w:val="22"/>
                <w:szCs w:val="22"/>
                <w:color w:val="0000EE"/>
                <w:w w:val="91"/>
              </w:rPr>
            </w:pPr>
            <w:hyperlink w:anchor="page4">
              <w:r>
                <w:rPr>
                  <w:rFonts w:ascii="Arial" w:cs="Arial" w:eastAsia="Arial" w:hAnsi="Arial"/>
                  <w:sz w:val="22"/>
                  <w:szCs w:val="22"/>
                  <w:color w:val="0000EE"/>
                  <w:w w:val="91"/>
                </w:rPr>
                <w:t>April 27, 2008 and April 29, 2007</w:t>
              </w:r>
            </w:hyperlink>
          </w:p>
        </w:tc>
        <w:tc>
          <w:tcPr>
            <w:tcW w:w="2880" w:type="dxa"/>
            <w:vAlign w:val="bottom"/>
            <w:gridSpan w:val="9"/>
          </w:tcPr>
          <w:p>
            <w:pPr>
              <w:spacing w:after="0"/>
              <w:rPr>
                <w:sz w:val="19"/>
                <w:szCs w:val="19"/>
                <w:color w:val="auto"/>
              </w:rPr>
            </w:pP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4"/>
                <w:szCs w:val="24"/>
                <w:color w:val="auto"/>
              </w:rPr>
            </w:pPr>
          </w:p>
        </w:tc>
        <w:tc>
          <w:tcPr>
            <w:tcW w:w="4460" w:type="dxa"/>
            <w:vAlign w:val="bottom"/>
            <w:tcBorders>
              <w:bottom w:val="single" w:sz="8" w:color="0000EE"/>
            </w:tcBorders>
            <w:gridSpan w:val="9"/>
          </w:tcPr>
          <w:p>
            <w:pPr>
              <w:spacing w:after="0"/>
              <w:rPr>
                <w:rFonts w:ascii="Arial" w:cs="Arial" w:eastAsia="Arial" w:hAnsi="Arial"/>
                <w:sz w:val="22"/>
                <w:szCs w:val="22"/>
                <w:color w:val="0000EE"/>
                <w:w w:val="87"/>
              </w:rPr>
            </w:pPr>
            <w:hyperlink w:anchor="page5">
              <w:r>
                <w:rPr>
                  <w:rFonts w:ascii="Arial" w:cs="Arial" w:eastAsia="Arial" w:hAnsi="Arial"/>
                  <w:sz w:val="22"/>
                  <w:szCs w:val="22"/>
                  <w:color w:val="0000EE"/>
                  <w:w w:val="87"/>
                </w:rPr>
                <w:t>Condensed Consolidated Statements of Cash Flows</w:t>
              </w:r>
            </w:hyperlink>
          </w:p>
        </w:tc>
        <w:tc>
          <w:tcPr>
            <w:tcW w:w="138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2"/>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for the Six Months Ended</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2"/>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April 27, 2008 and April 29, 2007</w:t>
              </w:r>
            </w:hyperlink>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4"/>
                <w:szCs w:val="24"/>
                <w:color w:val="auto"/>
              </w:rPr>
            </w:pPr>
          </w:p>
        </w:tc>
        <w:tc>
          <w:tcPr>
            <w:tcW w:w="4800" w:type="dxa"/>
            <w:vAlign w:val="bottom"/>
            <w:tcBorders>
              <w:bottom w:val="single" w:sz="8" w:color="0000EE"/>
            </w:tcBorders>
            <w:gridSpan w:val="10"/>
          </w:tcPr>
          <w:p>
            <w:pPr>
              <w:spacing w:after="0"/>
              <w:rPr>
                <w:rFonts w:ascii="Arial" w:cs="Arial" w:eastAsia="Arial" w:hAnsi="Arial"/>
                <w:sz w:val="22"/>
                <w:szCs w:val="22"/>
                <w:color w:val="0000EE"/>
                <w:w w:val="87"/>
              </w:rPr>
            </w:pPr>
            <w:hyperlink w:anchor="page6">
              <w:r>
                <w:rPr>
                  <w:rFonts w:ascii="Arial" w:cs="Arial" w:eastAsia="Arial" w:hAnsi="Arial"/>
                  <w:sz w:val="22"/>
                  <w:szCs w:val="22"/>
                  <w:color w:val="0000EE"/>
                  <w:w w:val="87"/>
                </w:rPr>
                <w:t>Notes to Condensed Consolidated Financial Statements</w:t>
              </w:r>
            </w:hyperlink>
          </w:p>
        </w:tc>
        <w:tc>
          <w:tcPr>
            <w:tcW w:w="104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2.</w:t>
            </w:r>
          </w:p>
        </w:tc>
        <w:tc>
          <w:tcPr>
            <w:tcW w:w="5840" w:type="dxa"/>
            <w:vAlign w:val="bottom"/>
            <w:gridSpan w:val="12"/>
          </w:tcPr>
          <w:p>
            <w:pPr>
              <w:spacing w:after="0"/>
              <w:rPr>
                <w:rFonts w:ascii="Arial" w:cs="Arial" w:eastAsia="Arial" w:hAnsi="Arial"/>
                <w:sz w:val="22"/>
                <w:szCs w:val="22"/>
                <w:color w:val="0000EE"/>
              </w:rPr>
            </w:pPr>
            <w:hyperlink w:anchor="page14">
              <w:r>
                <w:rPr>
                  <w:rFonts w:ascii="Arial" w:cs="Arial" w:eastAsia="Arial" w:hAnsi="Arial"/>
                  <w:sz w:val="22"/>
                  <w:szCs w:val="22"/>
                  <w:color w:val="0000EE"/>
                </w:rPr>
                <w:t>Management's Discussion and Analysis</w:t>
              </w:r>
            </w:hyperlink>
          </w:p>
        </w:tc>
        <w:tc>
          <w:tcPr>
            <w:tcW w:w="440" w:type="dxa"/>
            <w:vAlign w:val="bottom"/>
            <w:vMerge w:val="restart"/>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420" w:type="dxa"/>
            <w:vAlign w:val="bottom"/>
            <w:gridSpan w:val="5"/>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spacing w:after="0"/>
              <w:rPr>
                <w:sz w:val="19"/>
                <w:szCs w:val="19"/>
                <w:color w:val="auto"/>
              </w:rPr>
            </w:pPr>
          </w:p>
        </w:tc>
        <w:tc>
          <w:tcPr>
            <w:tcW w:w="5840" w:type="dxa"/>
            <w:vAlign w:val="bottom"/>
            <w:gridSpan w:val="12"/>
          </w:tcPr>
          <w:p>
            <w:pPr>
              <w:spacing w:after="0" w:line="223" w:lineRule="exact"/>
              <w:rPr>
                <w:rFonts w:ascii="Arial" w:cs="Arial" w:eastAsia="Arial" w:hAnsi="Arial"/>
                <w:sz w:val="22"/>
                <w:szCs w:val="22"/>
                <w:color w:val="0000EE"/>
              </w:rPr>
            </w:pPr>
            <w:hyperlink w:anchor="page14">
              <w:r>
                <w:rPr>
                  <w:rFonts w:ascii="Arial" w:cs="Arial" w:eastAsia="Arial" w:hAnsi="Arial"/>
                  <w:sz w:val="22"/>
                  <w:szCs w:val="22"/>
                  <w:color w:val="0000EE"/>
                </w:rPr>
                <w:t>of Results of Operations and Financial Condition</w:t>
              </w:r>
            </w:hyperlink>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240" w:type="dxa"/>
            <w:vAlign w:val="bottom"/>
            <w:gridSpan w:val="7"/>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Pr>
          <w:p>
            <w:pPr>
              <w:spacing w:after="0"/>
              <w:rPr>
                <w:sz w:val="20"/>
                <w:szCs w:val="20"/>
                <w:color w:val="auto"/>
              </w:rPr>
            </w:pPr>
            <w:r>
              <w:rPr>
                <w:rFonts w:ascii="Arial" w:cs="Arial" w:eastAsia="Arial" w:hAnsi="Arial"/>
                <w:sz w:val="22"/>
                <w:szCs w:val="22"/>
                <w:color w:val="auto"/>
              </w:rPr>
              <w:t>Item 3.</w:t>
            </w:r>
          </w:p>
        </w:tc>
        <w:tc>
          <w:tcPr>
            <w:tcW w:w="5840" w:type="dxa"/>
            <w:vAlign w:val="bottom"/>
            <w:gridSpan w:val="12"/>
          </w:tcPr>
          <w:p>
            <w:pPr>
              <w:spacing w:after="0"/>
              <w:rPr>
                <w:rFonts w:ascii="Arial" w:cs="Arial" w:eastAsia="Arial" w:hAnsi="Arial"/>
                <w:sz w:val="22"/>
                <w:szCs w:val="22"/>
                <w:color w:val="0000EE"/>
              </w:rPr>
            </w:pPr>
            <w:hyperlink w:anchor="page21">
              <w:r>
                <w:rPr>
                  <w:rFonts w:ascii="Arial" w:cs="Arial" w:eastAsia="Arial" w:hAnsi="Arial"/>
                  <w:sz w:val="22"/>
                  <w:szCs w:val="22"/>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77"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tcPr>
          <w:p>
            <w:pPr>
              <w:ind w:left="1880"/>
              <w:spacing w:after="0"/>
              <w:rPr>
                <w:sz w:val="20"/>
                <w:szCs w:val="20"/>
                <w:color w:val="auto"/>
              </w:rPr>
            </w:pPr>
            <w:r>
              <w:rPr>
                <w:rFonts w:ascii="Arial" w:cs="Arial" w:eastAsia="Arial" w:hAnsi="Arial"/>
                <w:sz w:val="22"/>
                <w:szCs w:val="22"/>
                <w:color w:val="auto"/>
              </w:rPr>
              <w:t>Item 4.</w:t>
            </w:r>
          </w:p>
        </w:tc>
        <w:tc>
          <w:tcPr>
            <w:tcW w:w="5280" w:type="dxa"/>
            <w:vAlign w:val="bottom"/>
            <w:gridSpan w:val="5"/>
          </w:tcPr>
          <w:p>
            <w:pPr>
              <w:spacing w:after="0"/>
              <w:rPr>
                <w:rFonts w:ascii="Arial" w:cs="Arial" w:eastAsia="Arial" w:hAnsi="Arial"/>
                <w:sz w:val="22"/>
                <w:szCs w:val="22"/>
                <w:color w:val="0000EE"/>
              </w:rPr>
            </w:pPr>
            <w:hyperlink w:anchor="page22">
              <w:r>
                <w:rPr>
                  <w:rFonts w:ascii="Arial" w:cs="Arial" w:eastAsia="Arial" w:hAnsi="Arial"/>
                  <w:sz w:val="22"/>
                  <w:szCs w:val="22"/>
                  <w:color w:val="0000EE"/>
                </w:rPr>
                <w:t>Controls and Procedures</w:t>
              </w:r>
            </w:hyperlink>
          </w:p>
        </w:tc>
        <w:tc>
          <w:tcPr>
            <w:tcW w:w="2880" w:type="dxa"/>
            <w:vAlign w:val="bottom"/>
          </w:tcPr>
          <w:p>
            <w:pPr>
              <w:jc w:val="right"/>
              <w:ind w:right="1792"/>
              <w:spacing w:after="0"/>
              <w:rPr>
                <w:sz w:val="20"/>
                <w:szCs w:val="20"/>
                <w:color w:val="auto"/>
              </w:rPr>
            </w:pPr>
            <w:r>
              <w:rPr>
                <w:rFonts w:ascii="Arial" w:cs="Arial" w:eastAsia="Arial" w:hAnsi="Arial"/>
                <w:sz w:val="22"/>
                <w:szCs w:val="22"/>
                <w:color w:val="auto"/>
              </w:rPr>
              <w:t>25</w:t>
            </w:r>
          </w:p>
        </w:tc>
      </w:tr>
      <w:tr>
        <w:trPr>
          <w:trHeight w:val="20"/>
        </w:trPr>
        <w:tc>
          <w:tcPr>
            <w:tcW w:w="3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760"/>
        </w:trPr>
        <w:tc>
          <w:tcPr>
            <w:tcW w:w="3280" w:type="dxa"/>
            <w:vAlign w:val="bottom"/>
          </w:tcPr>
          <w:p>
            <w:pPr>
              <w:ind w:left="1880"/>
              <w:spacing w:after="0"/>
              <w:rPr>
                <w:sz w:val="20"/>
                <w:szCs w:val="20"/>
                <w:color w:val="auto"/>
              </w:rPr>
            </w:pPr>
            <w:r>
              <w:rPr>
                <w:rFonts w:ascii="Arial" w:cs="Arial" w:eastAsia="Arial" w:hAnsi="Arial"/>
                <w:sz w:val="22"/>
                <w:szCs w:val="22"/>
                <w:b w:val="1"/>
                <w:bCs w:val="1"/>
                <w:color w:val="auto"/>
              </w:rPr>
              <w:t>PART II.</w:t>
            </w:r>
          </w:p>
        </w:tc>
        <w:tc>
          <w:tcPr>
            <w:tcW w:w="5280" w:type="dxa"/>
            <w:vAlign w:val="bottom"/>
            <w:gridSpan w:val="5"/>
          </w:tcPr>
          <w:p>
            <w:pPr>
              <w:spacing w:after="0"/>
              <w:rPr>
                <w:sz w:val="20"/>
                <w:szCs w:val="20"/>
                <w:color w:val="auto"/>
              </w:rPr>
            </w:pPr>
            <w:r>
              <w:rPr>
                <w:rFonts w:ascii="Arial" w:cs="Arial" w:eastAsia="Arial" w:hAnsi="Arial"/>
                <w:sz w:val="22"/>
                <w:szCs w:val="22"/>
                <w:b w:val="1"/>
                <w:bCs w:val="1"/>
                <w:color w:val="auto"/>
              </w:rPr>
              <w:t>OTHER INFORMATION</w:t>
            </w:r>
          </w:p>
        </w:tc>
        <w:tc>
          <w:tcPr>
            <w:tcW w:w="2880" w:type="dxa"/>
            <w:vAlign w:val="bottom"/>
          </w:tcPr>
          <w:p>
            <w:pPr>
              <w:spacing w:after="0"/>
              <w:rPr>
                <w:sz w:val="24"/>
                <w:szCs w:val="24"/>
                <w:color w:val="auto"/>
              </w:rPr>
            </w:pPr>
          </w:p>
        </w:tc>
      </w:tr>
      <w:tr>
        <w:trPr>
          <w:trHeight w:val="436"/>
        </w:trPr>
        <w:tc>
          <w:tcPr>
            <w:tcW w:w="3280" w:type="dxa"/>
            <w:vAlign w:val="bottom"/>
          </w:tcPr>
          <w:p>
            <w:pPr>
              <w:ind w:left="1880"/>
              <w:spacing w:after="0"/>
              <w:rPr>
                <w:sz w:val="20"/>
                <w:szCs w:val="20"/>
                <w:color w:val="auto"/>
              </w:rPr>
            </w:pPr>
            <w:r>
              <w:rPr>
                <w:rFonts w:ascii="Arial" w:cs="Arial" w:eastAsia="Arial" w:hAnsi="Arial"/>
                <w:sz w:val="22"/>
                <w:szCs w:val="22"/>
                <w:color w:val="auto"/>
              </w:rPr>
              <w:t>Item 1A.</w:t>
            </w:r>
          </w:p>
        </w:tc>
        <w:tc>
          <w:tcPr>
            <w:tcW w:w="5280" w:type="dxa"/>
            <w:vAlign w:val="bottom"/>
            <w:gridSpan w:val="5"/>
          </w:tcPr>
          <w:p>
            <w:pPr>
              <w:spacing w:after="0"/>
              <w:rPr>
                <w:rFonts w:ascii="Arial" w:cs="Arial" w:eastAsia="Arial" w:hAnsi="Arial"/>
                <w:sz w:val="22"/>
                <w:szCs w:val="22"/>
                <w:color w:val="0000EE"/>
              </w:rPr>
            </w:pPr>
            <w:hyperlink w:anchor="page22">
              <w:r>
                <w:rPr>
                  <w:rFonts w:ascii="Arial" w:cs="Arial" w:eastAsia="Arial" w:hAnsi="Arial"/>
                  <w:sz w:val="22"/>
                  <w:szCs w:val="22"/>
                  <w:color w:val="0000EE"/>
                </w:rPr>
                <w:t>Risks Relating to the Company's Business</w:t>
              </w:r>
            </w:hyperlink>
          </w:p>
        </w:tc>
        <w:tc>
          <w:tcPr>
            <w:tcW w:w="2880" w:type="dxa"/>
            <w:vAlign w:val="bottom"/>
          </w:tcPr>
          <w:p>
            <w:pPr>
              <w:jc w:val="right"/>
              <w:ind w:right="1792"/>
              <w:spacing w:after="0"/>
              <w:rPr>
                <w:sz w:val="20"/>
                <w:szCs w:val="20"/>
                <w:color w:val="auto"/>
              </w:rPr>
            </w:pPr>
            <w:r>
              <w:rPr>
                <w:rFonts w:ascii="Arial" w:cs="Arial" w:eastAsia="Arial" w:hAnsi="Arial"/>
                <w:sz w:val="22"/>
                <w:szCs w:val="22"/>
                <w:color w:val="auto"/>
              </w:rPr>
              <w:t>26</w:t>
            </w:r>
          </w:p>
        </w:tc>
      </w:tr>
      <w:tr>
        <w:trPr>
          <w:trHeight w:val="20"/>
        </w:trPr>
        <w:tc>
          <w:tcPr>
            <w:tcW w:w="32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466"/>
        </w:trPr>
        <w:tc>
          <w:tcPr>
            <w:tcW w:w="3280" w:type="dxa"/>
            <w:vAlign w:val="bottom"/>
          </w:tcPr>
          <w:p>
            <w:pPr>
              <w:ind w:left="1880"/>
              <w:spacing w:after="0"/>
              <w:rPr>
                <w:sz w:val="20"/>
                <w:szCs w:val="20"/>
                <w:color w:val="auto"/>
              </w:rPr>
            </w:pPr>
            <w:r>
              <w:rPr>
                <w:rFonts w:ascii="Arial" w:cs="Arial" w:eastAsia="Arial" w:hAnsi="Arial"/>
                <w:sz w:val="22"/>
                <w:szCs w:val="22"/>
                <w:color w:val="auto"/>
              </w:rPr>
              <w:t>Item 4.</w:t>
            </w:r>
          </w:p>
        </w:tc>
        <w:tc>
          <w:tcPr>
            <w:tcW w:w="4520" w:type="dxa"/>
            <w:vAlign w:val="bottom"/>
            <w:tcBorders>
              <w:bottom w:val="single" w:sz="8" w:color="0000EE"/>
            </w:tcBorders>
            <w:gridSpan w:val="4"/>
          </w:tcPr>
          <w:p>
            <w:pPr>
              <w:spacing w:after="0"/>
              <w:rPr>
                <w:rFonts w:ascii="Arial" w:cs="Arial" w:eastAsia="Arial" w:hAnsi="Arial"/>
                <w:sz w:val="22"/>
                <w:szCs w:val="22"/>
                <w:color w:val="0000EE"/>
                <w:w w:val="89"/>
              </w:rPr>
            </w:pPr>
            <w:hyperlink w:anchor="page22">
              <w:r>
                <w:rPr>
                  <w:rFonts w:ascii="Arial" w:cs="Arial" w:eastAsia="Arial" w:hAnsi="Arial"/>
                  <w:sz w:val="22"/>
                  <w:szCs w:val="22"/>
                  <w:color w:val="0000EE"/>
                  <w:w w:val="89"/>
                </w:rPr>
                <w:t>Submission of Matters to a Vote of Security Holders</w:t>
              </w:r>
            </w:hyperlink>
          </w:p>
        </w:tc>
        <w:tc>
          <w:tcPr>
            <w:tcW w:w="760" w:type="dxa"/>
            <w:vAlign w:val="bottom"/>
          </w:tcPr>
          <w:p>
            <w:pPr>
              <w:spacing w:after="0"/>
              <w:rPr>
                <w:sz w:val="24"/>
                <w:szCs w:val="24"/>
                <w:color w:val="auto"/>
              </w:rPr>
            </w:pPr>
          </w:p>
        </w:tc>
        <w:tc>
          <w:tcPr>
            <w:tcW w:w="2880" w:type="dxa"/>
            <w:vAlign w:val="bottom"/>
          </w:tcPr>
          <w:p>
            <w:pPr>
              <w:jc w:val="right"/>
              <w:ind w:right="1792"/>
              <w:spacing w:after="0"/>
              <w:rPr>
                <w:sz w:val="20"/>
                <w:szCs w:val="20"/>
                <w:color w:val="auto"/>
              </w:rPr>
            </w:pPr>
            <w:r>
              <w:rPr>
                <w:rFonts w:ascii="Arial" w:cs="Arial" w:eastAsia="Arial" w:hAnsi="Arial"/>
                <w:sz w:val="22"/>
                <w:szCs w:val="22"/>
                <w:color w:val="auto"/>
              </w:rPr>
              <w:t>26</w:t>
            </w:r>
          </w:p>
        </w:tc>
      </w:tr>
      <w:tr>
        <w:trPr>
          <w:trHeight w:val="466"/>
        </w:trPr>
        <w:tc>
          <w:tcPr>
            <w:tcW w:w="3280" w:type="dxa"/>
            <w:vAlign w:val="bottom"/>
          </w:tcPr>
          <w:p>
            <w:pPr>
              <w:ind w:left="1880"/>
              <w:spacing w:after="0"/>
              <w:rPr>
                <w:sz w:val="20"/>
                <w:szCs w:val="20"/>
                <w:color w:val="auto"/>
              </w:rPr>
            </w:pPr>
            <w:r>
              <w:rPr>
                <w:rFonts w:ascii="Arial" w:cs="Arial" w:eastAsia="Arial" w:hAnsi="Arial"/>
                <w:sz w:val="22"/>
                <w:szCs w:val="22"/>
                <w:color w:val="auto"/>
              </w:rPr>
              <w:t>Item 6.</w:t>
            </w:r>
          </w:p>
        </w:tc>
        <w:tc>
          <w:tcPr>
            <w:tcW w:w="720" w:type="dxa"/>
            <w:vAlign w:val="bottom"/>
            <w:tcBorders>
              <w:bottom w:val="single" w:sz="8" w:color="0000EE"/>
            </w:tcBorders>
          </w:tcPr>
          <w:p>
            <w:pPr>
              <w:spacing w:after="0"/>
              <w:rPr>
                <w:rFonts w:ascii="Arial" w:cs="Arial" w:eastAsia="Arial" w:hAnsi="Arial"/>
                <w:sz w:val="22"/>
                <w:szCs w:val="22"/>
                <w:color w:val="0000EE"/>
                <w:w w:val="90"/>
              </w:rPr>
            </w:pPr>
            <w:hyperlink w:anchor="page23">
              <w:r>
                <w:rPr>
                  <w:rFonts w:ascii="Arial" w:cs="Arial" w:eastAsia="Arial" w:hAnsi="Arial"/>
                  <w:sz w:val="22"/>
                  <w:szCs w:val="22"/>
                  <w:color w:val="0000EE"/>
                  <w:w w:val="90"/>
                </w:rPr>
                <w:t>Exhibits</w:t>
              </w:r>
            </w:hyperlink>
          </w:p>
        </w:tc>
        <w:tc>
          <w:tcPr>
            <w:tcW w:w="4560" w:type="dxa"/>
            <w:vAlign w:val="bottom"/>
            <w:gridSpan w:val="4"/>
          </w:tcPr>
          <w:p>
            <w:pPr>
              <w:spacing w:after="0"/>
              <w:rPr>
                <w:sz w:val="24"/>
                <w:szCs w:val="24"/>
                <w:color w:val="auto"/>
              </w:rPr>
            </w:pPr>
          </w:p>
        </w:tc>
        <w:tc>
          <w:tcPr>
            <w:tcW w:w="2880" w:type="dxa"/>
            <w:vAlign w:val="bottom"/>
          </w:tcPr>
          <w:p>
            <w:pPr>
              <w:jc w:val="right"/>
              <w:ind w:right="1792"/>
              <w:spacing w:after="0"/>
              <w:rPr>
                <w:sz w:val="20"/>
                <w:szCs w:val="20"/>
                <w:color w:val="auto"/>
              </w:rPr>
            </w:pPr>
            <w:r>
              <w:rPr>
                <w:rFonts w:ascii="Arial" w:cs="Arial" w:eastAsia="Arial" w:hAnsi="Arial"/>
                <w:sz w:val="22"/>
                <w:szCs w:val="22"/>
                <w:color w:val="auto"/>
              </w:rPr>
              <w:t>27</w:t>
            </w:r>
          </w:p>
        </w:tc>
      </w:tr>
      <w:tr>
        <w:trPr>
          <w:trHeight w:val="949"/>
        </w:trPr>
        <w:tc>
          <w:tcPr>
            <w:tcW w:w="3280" w:type="dxa"/>
            <w:vAlign w:val="bottom"/>
          </w:tcPr>
          <w:p>
            <w:pPr>
              <w:spacing w:after="0"/>
              <w:rPr>
                <w:sz w:val="24"/>
                <w:szCs w:val="24"/>
                <w:color w:val="auto"/>
              </w:rPr>
            </w:pPr>
          </w:p>
        </w:tc>
        <w:tc>
          <w:tcPr>
            <w:tcW w:w="3640" w:type="dxa"/>
            <w:vAlign w:val="bottom"/>
            <w:gridSpan w:val="3"/>
          </w:tcPr>
          <w:p>
            <w:pPr>
              <w:ind w:left="2300"/>
              <w:spacing w:after="0"/>
              <w:rPr>
                <w:sz w:val="20"/>
                <w:szCs w:val="20"/>
                <w:color w:val="auto"/>
              </w:rPr>
            </w:pPr>
            <w:r>
              <w:rPr>
                <w:rFonts w:ascii="Arial" w:cs="Arial" w:eastAsia="Arial" w:hAnsi="Arial"/>
                <w:sz w:val="22"/>
                <w:szCs w:val="22"/>
                <w:color w:val="auto"/>
              </w:rPr>
              <w:t>-3-</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3"/>
        </w:trPr>
        <w:tc>
          <w:tcPr>
            <w:tcW w:w="32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8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PART I.</w:t>
        <w:tab/>
        <w:t>FINANCIAL INFORMATION</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CONDENSED CONSOLIDATED FINANCIAL STATEMENTS</w:t>
      </w:r>
    </w:p>
    <w:p>
      <w:pPr>
        <w:spacing w:after="0" w:line="206"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Condensed Consolidated Balance Sheets</w:t>
      </w:r>
    </w:p>
    <w:p>
      <w:pPr>
        <w:ind w:left="3940"/>
        <w:spacing w:after="0" w:line="230" w:lineRule="auto"/>
        <w:rPr>
          <w:sz w:val="20"/>
          <w:szCs w:val="20"/>
          <w:color w:val="auto"/>
        </w:rPr>
      </w:pPr>
      <w:r>
        <w:rPr>
          <w:rFonts w:ascii="Arial" w:cs="Arial" w:eastAsia="Arial" w:hAnsi="Arial"/>
          <w:sz w:val="22"/>
          <w:szCs w:val="22"/>
          <w:i w:val="1"/>
          <w:iCs w:val="1"/>
          <w:color w:val="auto"/>
        </w:rPr>
        <w:t>(in thousands, except per share amounts)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400" w:type="dxa"/>
        <w:tblCellMar>
          <w:top w:w="0" w:type="dxa"/>
          <w:left w:w="0" w:type="dxa"/>
          <w:bottom w:w="0" w:type="dxa"/>
          <w:right w:w="0" w:type="dxa"/>
        </w:tblCellMar>
      </w:tblPr>
      <w:tr>
        <w:trPr>
          <w:trHeight w:val="253"/>
        </w:trPr>
        <w:tc>
          <w:tcPr>
            <w:tcW w:w="5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22"/>
                <w:szCs w:val="22"/>
                <w:b w:val="1"/>
                <w:bCs w:val="1"/>
                <w:color w:val="auto"/>
              </w:rPr>
              <w:t>April 27,</w:t>
            </w:r>
          </w:p>
        </w:tc>
        <w:tc>
          <w:tcPr>
            <w:tcW w:w="1520" w:type="dxa"/>
            <w:vAlign w:val="bottom"/>
            <w:gridSpan w:val="3"/>
          </w:tcPr>
          <w:p>
            <w:pPr>
              <w:jc w:val="right"/>
              <w:spacing w:after="0"/>
              <w:rPr>
                <w:sz w:val="20"/>
                <w:szCs w:val="20"/>
                <w:color w:val="auto"/>
              </w:rPr>
            </w:pPr>
            <w:r>
              <w:rPr>
                <w:rFonts w:ascii="Arial" w:cs="Arial" w:eastAsia="Arial" w:hAnsi="Arial"/>
                <w:sz w:val="22"/>
                <w:szCs w:val="22"/>
                <w:b w:val="1"/>
                <w:bCs w:val="1"/>
                <w:color w:val="auto"/>
              </w:rPr>
              <w:t>October 28,</w:t>
            </w:r>
          </w:p>
        </w:tc>
        <w:tc>
          <w:tcPr>
            <w:tcW w:w="0" w:type="dxa"/>
            <w:vAlign w:val="bottom"/>
          </w:tcPr>
          <w:p>
            <w:pPr>
              <w:spacing w:after="0"/>
              <w:rPr>
                <w:sz w:val="1"/>
                <w:szCs w:val="1"/>
                <w:color w:val="auto"/>
              </w:rPr>
            </w:pPr>
          </w:p>
        </w:tc>
      </w:tr>
      <w:tr>
        <w:trPr>
          <w:trHeight w:val="281"/>
        </w:trPr>
        <w:tc>
          <w:tcPr>
            <w:tcW w:w="5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12"/>
              <w:spacing w:after="0"/>
              <w:rPr>
                <w:sz w:val="20"/>
                <w:szCs w:val="20"/>
                <w:color w:val="auto"/>
              </w:rPr>
            </w:pPr>
            <w:r>
              <w:rPr>
                <w:rFonts w:ascii="Arial" w:cs="Arial" w:eastAsia="Arial" w:hAnsi="Arial"/>
                <w:sz w:val="22"/>
                <w:szCs w:val="22"/>
                <w:b w:val="1"/>
                <w:bCs w:val="1"/>
                <w:color w:val="auto"/>
                <w:w w:val="98"/>
              </w:rPr>
              <w:t>2008</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52"/>
              <w:spacing w:after="0"/>
              <w:rPr>
                <w:sz w:val="20"/>
                <w:szCs w:val="20"/>
                <w:color w:val="auto"/>
              </w:rPr>
            </w:pPr>
            <w:r>
              <w:rPr>
                <w:rFonts w:ascii="Arial" w:cs="Arial" w:eastAsia="Arial" w:hAnsi="Arial"/>
                <w:sz w:val="22"/>
                <w:szCs w:val="22"/>
                <w:b w:val="1"/>
                <w:bCs w:val="1"/>
                <w:color w:val="auto"/>
                <w:w w:val="93"/>
              </w:rPr>
              <w:t>2007</w:t>
            </w:r>
          </w:p>
        </w:tc>
        <w:tc>
          <w:tcPr>
            <w:tcW w:w="0" w:type="dxa"/>
            <w:vAlign w:val="bottom"/>
          </w:tcPr>
          <w:p>
            <w:pPr>
              <w:spacing w:after="0"/>
              <w:rPr>
                <w:sz w:val="1"/>
                <w:szCs w:val="1"/>
                <w:color w:val="auto"/>
              </w:rPr>
            </w:pPr>
          </w:p>
        </w:tc>
      </w:tr>
      <w:tr>
        <w:trPr>
          <w:trHeight w:val="98"/>
        </w:trPr>
        <w:tc>
          <w:tcPr>
            <w:tcW w:w="554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5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5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540" w:type="dxa"/>
            <w:vAlign w:val="bottom"/>
          </w:tcPr>
          <w:p>
            <w:pPr>
              <w:spacing w:after="0"/>
              <w:rPr>
                <w:sz w:val="20"/>
                <w:szCs w:val="20"/>
                <w:color w:val="auto"/>
              </w:rPr>
            </w:pPr>
            <w:r>
              <w:rPr>
                <w:rFonts w:ascii="Arial" w:cs="Arial" w:eastAsia="Arial" w:hAnsi="Arial"/>
                <w:sz w:val="22"/>
                <w:szCs w:val="22"/>
                <w:color w:val="auto"/>
              </w:rPr>
              <w:t>Current assets: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line="243" w:lineRule="exact"/>
              <w:rPr>
                <w:sz w:val="20"/>
                <w:szCs w:val="20"/>
                <w:color w:val="auto"/>
              </w:rPr>
            </w:pPr>
            <w:r>
              <w:rPr>
                <w:rFonts w:ascii="Arial" w:cs="Arial" w:eastAsia="Arial" w:hAnsi="Arial"/>
                <w:sz w:val="22"/>
                <w:szCs w:val="22"/>
                <w:color w:val="auto"/>
              </w:rPr>
              <w:t>Cash and cash equivalents</w:t>
            </w:r>
          </w:p>
        </w:tc>
        <w:tc>
          <w:tcPr>
            <w:tcW w:w="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67,103</w:t>
            </w:r>
          </w:p>
        </w:tc>
        <w:tc>
          <w:tcPr>
            <w:tcW w:w="6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w w:val="90"/>
              </w:rPr>
              <w:t>146,049</w:t>
            </w: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line="243" w:lineRule="exact"/>
              <w:rPr>
                <w:sz w:val="20"/>
                <w:szCs w:val="20"/>
                <w:color w:val="auto"/>
              </w:rPr>
            </w:pPr>
            <w:r>
              <w:rPr>
                <w:rFonts w:ascii="Arial" w:cs="Arial" w:eastAsia="Arial" w:hAnsi="Arial"/>
                <w:sz w:val="22"/>
                <w:szCs w:val="22"/>
                <w:color w:val="auto"/>
              </w:rPr>
              <w:t>Short-term investments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2,494</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5,657</w:t>
            </w:r>
          </w:p>
        </w:tc>
        <w:tc>
          <w:tcPr>
            <w:tcW w:w="0" w:type="dxa"/>
            <w:vAlign w:val="bottom"/>
          </w:tcPr>
          <w:p>
            <w:pPr>
              <w:spacing w:after="0"/>
              <w:rPr>
                <w:sz w:val="1"/>
                <w:szCs w:val="1"/>
                <w:color w:val="auto"/>
              </w:rPr>
            </w:pPr>
          </w:p>
        </w:tc>
      </w:tr>
      <w:tr>
        <w:trPr>
          <w:trHeight w:val="243"/>
        </w:trPr>
        <w:tc>
          <w:tcPr>
            <w:tcW w:w="5540" w:type="dxa"/>
            <w:vAlign w:val="bottom"/>
          </w:tcPr>
          <w:p>
            <w:pPr>
              <w:ind w:left="100"/>
              <w:spacing w:after="0" w:line="243" w:lineRule="exact"/>
              <w:rPr>
                <w:sz w:val="20"/>
                <w:szCs w:val="20"/>
                <w:color w:val="auto"/>
              </w:rPr>
            </w:pPr>
            <w:r>
              <w:rPr>
                <w:rFonts w:ascii="Arial" w:cs="Arial" w:eastAsia="Arial" w:hAnsi="Arial"/>
                <w:sz w:val="22"/>
                <w:szCs w:val="22"/>
                <w:color w:val="auto"/>
                <w:w w:val="99"/>
              </w:rPr>
              <w:t>Accounts receivable, net of allowance of $2,933 in 2008</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220"/>
              <w:spacing w:after="0" w:line="243" w:lineRule="exact"/>
              <w:rPr>
                <w:sz w:val="20"/>
                <w:szCs w:val="20"/>
                <w:color w:val="auto"/>
              </w:rPr>
            </w:pPr>
            <w:r>
              <w:rPr>
                <w:rFonts w:ascii="Arial" w:cs="Arial" w:eastAsia="Arial" w:hAnsi="Arial"/>
                <w:sz w:val="22"/>
                <w:szCs w:val="22"/>
                <w:color w:val="auto"/>
              </w:rPr>
              <w:t>and $3,721 in 2007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79,034</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68,248</w:t>
            </w: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line="243" w:lineRule="exact"/>
              <w:rPr>
                <w:sz w:val="20"/>
                <w:szCs w:val="20"/>
                <w:color w:val="auto"/>
              </w:rPr>
            </w:pPr>
            <w:r>
              <w:rPr>
                <w:rFonts w:ascii="Arial" w:cs="Arial" w:eastAsia="Arial" w:hAnsi="Arial"/>
                <w:sz w:val="22"/>
                <w:szCs w:val="22"/>
                <w:color w:val="auto"/>
              </w:rPr>
              <w:t>Inventories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19,655</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17,716</w:t>
            </w: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line="243" w:lineRule="exact"/>
              <w:rPr>
                <w:sz w:val="20"/>
                <w:szCs w:val="20"/>
                <w:color w:val="auto"/>
              </w:rPr>
            </w:pPr>
            <w:r>
              <w:rPr>
                <w:rFonts w:ascii="Arial" w:cs="Arial" w:eastAsia="Arial" w:hAnsi="Arial"/>
                <w:sz w:val="22"/>
                <w:szCs w:val="22"/>
                <w:color w:val="auto"/>
              </w:rPr>
              <w:t>Deferred income taxes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2,634</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3,071</w:t>
            </w:r>
          </w:p>
        </w:tc>
        <w:tc>
          <w:tcPr>
            <w:tcW w:w="0" w:type="dxa"/>
            <w:vAlign w:val="bottom"/>
          </w:tcPr>
          <w:p>
            <w:pPr>
              <w:spacing w:after="0"/>
              <w:rPr>
                <w:sz w:val="1"/>
                <w:szCs w:val="1"/>
                <w:color w:val="auto"/>
              </w:rPr>
            </w:pPr>
          </w:p>
        </w:tc>
      </w:tr>
      <w:tr>
        <w:trPr>
          <w:trHeight w:val="275"/>
        </w:trPr>
        <w:tc>
          <w:tcPr>
            <w:tcW w:w="5540" w:type="dxa"/>
            <w:vAlign w:val="bottom"/>
          </w:tcPr>
          <w:p>
            <w:pPr>
              <w:ind w:left="120"/>
              <w:spacing w:after="0"/>
              <w:rPr>
                <w:sz w:val="20"/>
                <w:szCs w:val="20"/>
                <w:color w:val="auto"/>
              </w:rPr>
            </w:pPr>
            <w:r>
              <w:rPr>
                <w:rFonts w:ascii="Arial" w:cs="Arial" w:eastAsia="Arial" w:hAnsi="Arial"/>
                <w:sz w:val="22"/>
                <w:szCs w:val="22"/>
                <w:color w:val="auto"/>
              </w:rPr>
              <w:t>Other current assets</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6,282</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6,244</w:t>
            </w:r>
          </w:p>
        </w:tc>
        <w:tc>
          <w:tcPr>
            <w:tcW w:w="0" w:type="dxa"/>
            <w:vAlign w:val="bottom"/>
          </w:tcPr>
          <w:p>
            <w:pPr>
              <w:spacing w:after="0"/>
              <w:rPr>
                <w:sz w:val="1"/>
                <w:szCs w:val="1"/>
                <w:color w:val="auto"/>
              </w:rPr>
            </w:pPr>
          </w:p>
        </w:tc>
      </w:tr>
      <w:tr>
        <w:trPr>
          <w:trHeight w:val="98"/>
        </w:trPr>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Borders>
              <w:bottom w:val="single" w:sz="8" w:color="336699"/>
            </w:tcBorders>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336699"/>
            </w:tcBorders>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540" w:type="dxa"/>
            <w:vAlign w:val="bottom"/>
          </w:tcPr>
          <w:p>
            <w:pPr>
              <w:ind w:left="120"/>
              <w:spacing w:after="0"/>
              <w:rPr>
                <w:sz w:val="20"/>
                <w:szCs w:val="20"/>
                <w:color w:val="auto"/>
              </w:rPr>
            </w:pPr>
            <w:r>
              <w:rPr>
                <w:rFonts w:ascii="Arial" w:cs="Arial" w:eastAsia="Arial" w:hAnsi="Arial"/>
                <w:sz w:val="22"/>
                <w:szCs w:val="22"/>
                <w:color w:val="auto"/>
              </w:rPr>
              <w:t>Total current assets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w w:val="90"/>
              </w:rPr>
              <w:t>177,202</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0"/>
              </w:rPr>
              <w:t>246,985</w:t>
            </w:r>
          </w:p>
        </w:tc>
        <w:tc>
          <w:tcPr>
            <w:tcW w:w="0" w:type="dxa"/>
            <w:vAlign w:val="bottom"/>
          </w:tcPr>
          <w:p>
            <w:pPr>
              <w:spacing w:after="0"/>
              <w:rPr>
                <w:sz w:val="1"/>
                <w:szCs w:val="1"/>
                <w:color w:val="auto"/>
              </w:rPr>
            </w:pPr>
          </w:p>
        </w:tc>
      </w:tr>
      <w:tr>
        <w:trPr>
          <w:trHeight w:val="455"/>
        </w:trPr>
        <w:tc>
          <w:tcPr>
            <w:tcW w:w="554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w w:val="90"/>
              </w:rPr>
              <w:t>590,953</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0"/>
              </w:rPr>
              <w:t>531,578</w:t>
            </w:r>
          </w:p>
        </w:tc>
        <w:tc>
          <w:tcPr>
            <w:tcW w:w="0" w:type="dxa"/>
            <w:vAlign w:val="bottom"/>
          </w:tcPr>
          <w:p>
            <w:pPr>
              <w:spacing w:after="0"/>
              <w:rPr>
                <w:sz w:val="1"/>
                <w:szCs w:val="1"/>
                <w:color w:val="auto"/>
              </w:rPr>
            </w:pPr>
          </w:p>
        </w:tc>
      </w:tr>
      <w:tr>
        <w:trPr>
          <w:trHeight w:val="243"/>
        </w:trPr>
        <w:tc>
          <w:tcPr>
            <w:tcW w:w="5540" w:type="dxa"/>
            <w:vAlign w:val="bottom"/>
          </w:tcPr>
          <w:p>
            <w:pPr>
              <w:spacing w:after="0" w:line="243" w:lineRule="exact"/>
              <w:rPr>
                <w:sz w:val="20"/>
                <w:szCs w:val="20"/>
                <w:color w:val="auto"/>
              </w:rPr>
            </w:pPr>
            <w:r>
              <w:rPr>
                <w:rFonts w:ascii="Arial" w:cs="Arial" w:eastAsia="Arial" w:hAnsi="Arial"/>
                <w:sz w:val="22"/>
                <w:szCs w:val="22"/>
                <w:color w:val="auto"/>
              </w:rPr>
              <w:t>Goodwill</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w w:val="90"/>
              </w:rPr>
              <w:t>138,534</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w w:val="90"/>
              </w:rPr>
              <w:t>138,534</w:t>
            </w:r>
          </w:p>
        </w:tc>
        <w:tc>
          <w:tcPr>
            <w:tcW w:w="0" w:type="dxa"/>
            <w:vAlign w:val="bottom"/>
          </w:tcPr>
          <w:p>
            <w:pPr>
              <w:spacing w:after="0"/>
              <w:rPr>
                <w:sz w:val="1"/>
                <w:szCs w:val="1"/>
                <w:color w:val="auto"/>
              </w:rPr>
            </w:pPr>
          </w:p>
        </w:tc>
      </w:tr>
      <w:tr>
        <w:trPr>
          <w:trHeight w:val="243"/>
        </w:trPr>
        <w:tc>
          <w:tcPr>
            <w:tcW w:w="5540" w:type="dxa"/>
            <w:vAlign w:val="bottom"/>
          </w:tcPr>
          <w:p>
            <w:pPr>
              <w:spacing w:after="0" w:line="243" w:lineRule="exact"/>
              <w:rPr>
                <w:sz w:val="20"/>
                <w:szCs w:val="20"/>
                <w:color w:val="auto"/>
              </w:rPr>
            </w:pPr>
            <w:r>
              <w:rPr>
                <w:rFonts w:ascii="Arial" w:cs="Arial" w:eastAsia="Arial" w:hAnsi="Arial"/>
                <w:sz w:val="22"/>
                <w:szCs w:val="22"/>
                <w:color w:val="auto"/>
              </w:rPr>
              <w:t>Investment in joint venture</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70,506</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67,900</w:t>
            </w:r>
          </w:p>
        </w:tc>
        <w:tc>
          <w:tcPr>
            <w:tcW w:w="0" w:type="dxa"/>
            <w:vAlign w:val="bottom"/>
          </w:tcPr>
          <w:p>
            <w:pPr>
              <w:spacing w:after="0"/>
              <w:rPr>
                <w:sz w:val="1"/>
                <w:szCs w:val="1"/>
                <w:color w:val="auto"/>
              </w:rPr>
            </w:pPr>
          </w:p>
        </w:tc>
      </w:tr>
      <w:tr>
        <w:trPr>
          <w:trHeight w:val="243"/>
        </w:trPr>
        <w:tc>
          <w:tcPr>
            <w:tcW w:w="5540" w:type="dxa"/>
            <w:vAlign w:val="bottom"/>
          </w:tcPr>
          <w:p>
            <w:pPr>
              <w:spacing w:after="0" w:line="243" w:lineRule="exact"/>
              <w:rPr>
                <w:sz w:val="20"/>
                <w:szCs w:val="20"/>
                <w:color w:val="auto"/>
              </w:rPr>
            </w:pPr>
            <w:r>
              <w:rPr>
                <w:rFonts w:ascii="Arial" w:cs="Arial" w:eastAsia="Arial" w:hAnsi="Arial"/>
                <w:sz w:val="22"/>
                <w:szCs w:val="22"/>
                <w:color w:val="auto"/>
              </w:rPr>
              <w:t>Other intangibles, net</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65,763</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68,835</w:t>
            </w:r>
          </w:p>
        </w:tc>
        <w:tc>
          <w:tcPr>
            <w:tcW w:w="0" w:type="dxa"/>
            <w:vAlign w:val="bottom"/>
          </w:tcPr>
          <w:p>
            <w:pPr>
              <w:spacing w:after="0"/>
              <w:rPr>
                <w:sz w:val="1"/>
                <w:szCs w:val="1"/>
                <w:color w:val="auto"/>
              </w:rPr>
            </w:pPr>
          </w:p>
        </w:tc>
      </w:tr>
      <w:tr>
        <w:trPr>
          <w:trHeight w:val="275"/>
        </w:trPr>
        <w:tc>
          <w:tcPr>
            <w:tcW w:w="5540" w:type="dxa"/>
            <w:vAlign w:val="bottom"/>
          </w:tcPr>
          <w:p>
            <w:pPr>
              <w:spacing w:after="0"/>
              <w:rPr>
                <w:sz w:val="20"/>
                <w:szCs w:val="20"/>
                <w:color w:val="auto"/>
              </w:rPr>
            </w:pPr>
            <w:r>
              <w:rPr>
                <w:rFonts w:ascii="Arial" w:cs="Arial" w:eastAsia="Arial" w:hAnsi="Arial"/>
                <w:sz w:val="22"/>
                <w:szCs w:val="22"/>
                <w:color w:val="auto"/>
              </w:rPr>
              <w:t>Other assets</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5,848</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5,948</w:t>
            </w:r>
          </w:p>
        </w:tc>
        <w:tc>
          <w:tcPr>
            <w:tcW w:w="0" w:type="dxa"/>
            <w:vAlign w:val="bottom"/>
          </w:tcPr>
          <w:p>
            <w:pPr>
              <w:spacing w:after="0"/>
              <w:rPr>
                <w:sz w:val="1"/>
                <w:szCs w:val="1"/>
                <w:color w:val="auto"/>
              </w:rPr>
            </w:pPr>
          </w:p>
        </w:tc>
      </w:tr>
      <w:tr>
        <w:trPr>
          <w:trHeight w:val="98"/>
        </w:trPr>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60" w:type="dxa"/>
            <w:vAlign w:val="bottom"/>
            <w:tcBorders>
              <w:bottom w:val="single" w:sz="8" w:color="336699"/>
            </w:tcBorders>
            <w:gridSpan w:val="2"/>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336699"/>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5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22"/>
                <w:szCs w:val="22"/>
                <w:color w:val="auto"/>
              </w:rPr>
              <w:t>$1,048,806</w:t>
            </w:r>
          </w:p>
        </w:tc>
        <w:tc>
          <w:tcPr>
            <w:tcW w:w="1520" w:type="dxa"/>
            <w:vAlign w:val="bottom"/>
            <w:gridSpan w:val="3"/>
          </w:tcPr>
          <w:p>
            <w:pPr>
              <w:jc w:val="right"/>
              <w:spacing w:after="0"/>
              <w:rPr>
                <w:sz w:val="20"/>
                <w:szCs w:val="20"/>
                <w:color w:val="auto"/>
              </w:rPr>
            </w:pPr>
            <w:r>
              <w:rPr>
                <w:rFonts w:ascii="Arial" w:cs="Arial" w:eastAsia="Arial" w:hAnsi="Arial"/>
                <w:sz w:val="22"/>
                <w:szCs w:val="22"/>
                <w:color w:val="auto"/>
              </w:rPr>
              <w:t>$1,059,780</w:t>
            </w:r>
          </w:p>
        </w:tc>
        <w:tc>
          <w:tcPr>
            <w:tcW w:w="0" w:type="dxa"/>
            <w:vAlign w:val="bottom"/>
          </w:tcPr>
          <w:p>
            <w:pPr>
              <w:spacing w:after="0"/>
              <w:rPr>
                <w:sz w:val="1"/>
                <w:szCs w:val="1"/>
                <w:color w:val="auto"/>
              </w:rPr>
            </w:pPr>
          </w:p>
        </w:tc>
      </w:tr>
      <w:tr>
        <w:trPr>
          <w:trHeight w:val="122"/>
        </w:trPr>
        <w:tc>
          <w:tcPr>
            <w:tcW w:w="554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SHAREHOLDERS' EQUITY</w:t>
            </w:r>
          </w:p>
        </w:tc>
        <w:tc>
          <w:tcPr>
            <w:tcW w:w="540" w:type="dxa"/>
            <w:vAlign w:val="bottom"/>
          </w:tcPr>
          <w:p>
            <w:pPr>
              <w:spacing w:after="0"/>
              <w:rPr>
                <w:sz w:val="10"/>
                <w:szCs w:val="10"/>
                <w:color w:val="auto"/>
              </w:rPr>
            </w:pPr>
          </w:p>
        </w:tc>
        <w:tc>
          <w:tcPr>
            <w:tcW w:w="240" w:type="dxa"/>
            <w:vAlign w:val="bottom"/>
            <w:tcBorders>
              <w:bottom w:val="single" w:sz="8" w:color="336699"/>
            </w:tcBorders>
          </w:tcPr>
          <w:p>
            <w:pPr>
              <w:spacing w:after="0"/>
              <w:rPr>
                <w:sz w:val="10"/>
                <w:szCs w:val="10"/>
                <w:color w:val="auto"/>
              </w:rPr>
            </w:pPr>
          </w:p>
        </w:tc>
        <w:tc>
          <w:tcPr>
            <w:tcW w:w="820" w:type="dxa"/>
            <w:vAlign w:val="bottom"/>
            <w:tcBorders>
              <w:bottom w:val="single" w:sz="8" w:color="336699"/>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Borders>
              <w:bottom w:val="single" w:sz="8" w:color="336699"/>
            </w:tcBorders>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55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540" w:type="dxa"/>
            <w:vAlign w:val="bottom"/>
          </w:tcPr>
          <w:p>
            <w:pPr>
              <w:spacing w:after="0"/>
              <w:rPr>
                <w:sz w:val="20"/>
                <w:szCs w:val="20"/>
                <w:color w:val="auto"/>
              </w:rPr>
            </w:pPr>
            <w:r>
              <w:rPr>
                <w:rFonts w:ascii="Arial" w:cs="Arial" w:eastAsia="Arial" w:hAnsi="Arial"/>
                <w:sz w:val="22"/>
                <w:szCs w:val="22"/>
                <w:color w:val="auto"/>
              </w:rPr>
              <w:t>Current liabilities: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line="243" w:lineRule="exact"/>
              <w:rPr>
                <w:sz w:val="20"/>
                <w:szCs w:val="20"/>
                <w:color w:val="auto"/>
              </w:rPr>
            </w:pPr>
            <w:r>
              <w:rPr>
                <w:rFonts w:ascii="Arial" w:cs="Arial" w:eastAsia="Arial" w:hAnsi="Arial"/>
                <w:sz w:val="22"/>
                <w:szCs w:val="22"/>
                <w:color w:val="auto"/>
              </w:rPr>
              <w:t>Current portion of long-term borrowings</w:t>
            </w:r>
          </w:p>
        </w:tc>
        <w:tc>
          <w:tcPr>
            <w:tcW w:w="78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1"/>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17,523</w:t>
            </w:r>
          </w:p>
        </w:tc>
        <w:tc>
          <w:tcPr>
            <w:tcW w:w="6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4,482</w:t>
            </w:r>
          </w:p>
        </w:tc>
        <w:tc>
          <w:tcPr>
            <w:tcW w:w="0" w:type="dxa"/>
            <w:vAlign w:val="bottom"/>
          </w:tcPr>
          <w:p>
            <w:pPr>
              <w:spacing w:after="0"/>
              <w:rPr>
                <w:sz w:val="1"/>
                <w:szCs w:val="1"/>
                <w:color w:val="auto"/>
              </w:rPr>
            </w:pPr>
          </w:p>
        </w:tc>
      </w:tr>
      <w:tr>
        <w:trPr>
          <w:trHeight w:val="243"/>
        </w:trPr>
        <w:tc>
          <w:tcPr>
            <w:tcW w:w="5540" w:type="dxa"/>
            <w:vAlign w:val="bottom"/>
          </w:tcPr>
          <w:p>
            <w:pPr>
              <w:ind w:left="100"/>
              <w:spacing w:after="0" w:line="243" w:lineRule="exact"/>
              <w:rPr>
                <w:sz w:val="20"/>
                <w:szCs w:val="20"/>
                <w:color w:val="auto"/>
              </w:rPr>
            </w:pPr>
            <w:r>
              <w:rPr>
                <w:rFonts w:ascii="Arial" w:cs="Arial" w:eastAsia="Arial" w:hAnsi="Arial"/>
                <w:sz w:val="22"/>
                <w:szCs w:val="22"/>
                <w:color w:val="auto"/>
              </w:rPr>
              <w:t>Accounts payable</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87,402</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w w:val="90"/>
              </w:rPr>
              <w:t>114,221</w:t>
            </w:r>
          </w:p>
        </w:tc>
        <w:tc>
          <w:tcPr>
            <w:tcW w:w="0" w:type="dxa"/>
            <w:vAlign w:val="bottom"/>
          </w:tcPr>
          <w:p>
            <w:pPr>
              <w:spacing w:after="0"/>
              <w:rPr>
                <w:sz w:val="1"/>
                <w:szCs w:val="1"/>
                <w:color w:val="auto"/>
              </w:rPr>
            </w:pPr>
          </w:p>
        </w:tc>
      </w:tr>
      <w:tr>
        <w:trPr>
          <w:trHeight w:val="275"/>
        </w:trPr>
        <w:tc>
          <w:tcPr>
            <w:tcW w:w="5540" w:type="dxa"/>
            <w:vAlign w:val="bottom"/>
          </w:tcPr>
          <w:p>
            <w:pPr>
              <w:ind w:left="100"/>
              <w:spacing w:after="0"/>
              <w:rPr>
                <w:sz w:val="20"/>
                <w:szCs w:val="20"/>
                <w:color w:val="auto"/>
              </w:rPr>
            </w:pPr>
            <w:r>
              <w:rPr>
                <w:rFonts w:ascii="Arial" w:cs="Arial" w:eastAsia="Arial" w:hAnsi="Arial"/>
                <w:sz w:val="22"/>
                <w:szCs w:val="22"/>
                <w:color w:val="auto"/>
              </w:rPr>
              <w:t>Accrued liabilities</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30,016</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31,676</w:t>
            </w:r>
          </w:p>
        </w:tc>
        <w:tc>
          <w:tcPr>
            <w:tcW w:w="0" w:type="dxa"/>
            <w:vAlign w:val="bottom"/>
          </w:tcPr>
          <w:p>
            <w:pPr>
              <w:spacing w:after="0"/>
              <w:rPr>
                <w:sz w:val="1"/>
                <w:szCs w:val="1"/>
                <w:color w:val="auto"/>
              </w:rPr>
            </w:pPr>
          </w:p>
        </w:tc>
      </w:tr>
      <w:tr>
        <w:trPr>
          <w:trHeight w:val="98"/>
        </w:trPr>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Borders>
              <w:bottom w:val="single" w:sz="8" w:color="336699"/>
            </w:tcBorders>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336699"/>
            </w:tcBorders>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540" w:type="dxa"/>
            <w:vAlign w:val="bottom"/>
          </w:tcPr>
          <w:p>
            <w:pPr>
              <w:ind w:left="120"/>
              <w:spacing w:after="0"/>
              <w:rPr>
                <w:sz w:val="20"/>
                <w:szCs w:val="20"/>
                <w:color w:val="auto"/>
              </w:rPr>
            </w:pPr>
            <w:r>
              <w:rPr>
                <w:rFonts w:ascii="Arial" w:cs="Arial" w:eastAsia="Arial" w:hAnsi="Arial"/>
                <w:sz w:val="22"/>
                <w:szCs w:val="22"/>
                <w:color w:val="auto"/>
              </w:rPr>
              <w:t>Total current liabilities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w w:val="90"/>
              </w:rPr>
              <w:t>134,941</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0"/>
              </w:rPr>
              <w:t>150,379</w:t>
            </w:r>
          </w:p>
        </w:tc>
        <w:tc>
          <w:tcPr>
            <w:tcW w:w="0" w:type="dxa"/>
            <w:vAlign w:val="bottom"/>
          </w:tcPr>
          <w:p>
            <w:pPr>
              <w:spacing w:after="0"/>
              <w:rPr>
                <w:sz w:val="1"/>
                <w:szCs w:val="1"/>
                <w:color w:val="auto"/>
              </w:rPr>
            </w:pPr>
          </w:p>
        </w:tc>
      </w:tr>
      <w:tr>
        <w:trPr>
          <w:trHeight w:val="455"/>
        </w:trPr>
        <w:tc>
          <w:tcPr>
            <w:tcW w:w="5540" w:type="dxa"/>
            <w:vAlign w:val="bottom"/>
          </w:tcPr>
          <w:p>
            <w:pPr>
              <w:spacing w:after="0"/>
              <w:rPr>
                <w:sz w:val="20"/>
                <w:szCs w:val="20"/>
                <w:color w:val="auto"/>
              </w:rPr>
            </w:pPr>
            <w:r>
              <w:rPr>
                <w:rFonts w:ascii="Arial" w:cs="Arial" w:eastAsia="Arial" w:hAnsi="Arial"/>
                <w:sz w:val="22"/>
                <w:szCs w:val="22"/>
                <w:color w:val="auto"/>
              </w:rPr>
              <w:t>Long-term borrowings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w w:val="90"/>
              </w:rPr>
              <w:t>204,938</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0"/>
              </w:rPr>
              <w:t>191,253</w:t>
            </w:r>
          </w:p>
        </w:tc>
        <w:tc>
          <w:tcPr>
            <w:tcW w:w="0" w:type="dxa"/>
            <w:vAlign w:val="bottom"/>
          </w:tcPr>
          <w:p>
            <w:pPr>
              <w:spacing w:after="0"/>
              <w:rPr>
                <w:sz w:val="1"/>
                <w:szCs w:val="1"/>
                <w:color w:val="auto"/>
              </w:rPr>
            </w:pPr>
          </w:p>
        </w:tc>
      </w:tr>
      <w:tr>
        <w:trPr>
          <w:trHeight w:val="243"/>
        </w:trPr>
        <w:tc>
          <w:tcPr>
            <w:tcW w:w="5540" w:type="dxa"/>
            <w:vAlign w:val="bottom"/>
          </w:tcPr>
          <w:p>
            <w:pPr>
              <w:spacing w:after="0" w:line="243" w:lineRule="exact"/>
              <w:rPr>
                <w:sz w:val="20"/>
                <w:szCs w:val="20"/>
                <w:color w:val="auto"/>
              </w:rPr>
            </w:pPr>
            <w:r>
              <w:rPr>
                <w:rFonts w:ascii="Arial" w:cs="Arial" w:eastAsia="Arial" w:hAnsi="Arial"/>
                <w:sz w:val="22"/>
                <w:szCs w:val="22"/>
                <w:color w:val="auto"/>
              </w:rPr>
              <w:t>Deferred income taxes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8,085</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8,143</w:t>
            </w:r>
          </w:p>
        </w:tc>
        <w:tc>
          <w:tcPr>
            <w:tcW w:w="0" w:type="dxa"/>
            <w:vAlign w:val="bottom"/>
          </w:tcPr>
          <w:p>
            <w:pPr>
              <w:spacing w:after="0"/>
              <w:rPr>
                <w:sz w:val="1"/>
                <w:szCs w:val="1"/>
                <w:color w:val="auto"/>
              </w:rPr>
            </w:pPr>
          </w:p>
        </w:tc>
      </w:tr>
      <w:tr>
        <w:trPr>
          <w:trHeight w:val="275"/>
        </w:trPr>
        <w:tc>
          <w:tcPr>
            <w:tcW w:w="5540" w:type="dxa"/>
            <w:vAlign w:val="bottom"/>
          </w:tcPr>
          <w:p>
            <w:pPr>
              <w:spacing w:after="0"/>
              <w:rPr>
                <w:sz w:val="20"/>
                <w:szCs w:val="20"/>
                <w:color w:val="auto"/>
              </w:rPr>
            </w:pPr>
            <w:r>
              <w:rPr>
                <w:rFonts w:ascii="Arial" w:cs="Arial" w:eastAsia="Arial" w:hAnsi="Arial"/>
                <w:sz w:val="22"/>
                <w:szCs w:val="22"/>
                <w:color w:val="auto"/>
              </w:rPr>
              <w:t>Other liabilities</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5,949</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6,256</w:t>
            </w:r>
          </w:p>
        </w:tc>
        <w:tc>
          <w:tcPr>
            <w:tcW w:w="0" w:type="dxa"/>
            <w:vAlign w:val="bottom"/>
          </w:tcPr>
          <w:p>
            <w:pPr>
              <w:spacing w:after="0"/>
              <w:rPr>
                <w:sz w:val="1"/>
                <w:szCs w:val="1"/>
                <w:color w:val="auto"/>
              </w:rPr>
            </w:pPr>
          </w:p>
        </w:tc>
      </w:tr>
      <w:tr>
        <w:trPr>
          <w:trHeight w:val="98"/>
        </w:trPr>
        <w:tc>
          <w:tcPr>
            <w:tcW w:w="5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Borders>
              <w:bottom w:val="single" w:sz="8" w:color="336699"/>
            </w:tcBorders>
          </w:tcPr>
          <w:p>
            <w:pPr>
              <w:spacing w:after="0"/>
              <w:rPr>
                <w:sz w:val="8"/>
                <w:szCs w:val="8"/>
                <w:color w:val="auto"/>
              </w:rPr>
            </w:pPr>
          </w:p>
        </w:tc>
        <w:tc>
          <w:tcPr>
            <w:tcW w:w="82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336699"/>
            </w:tcBorders>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540" w:type="dxa"/>
            <w:vAlign w:val="bottom"/>
          </w:tcPr>
          <w:p>
            <w:pPr>
              <w:ind w:left="120"/>
              <w:spacing w:after="0"/>
              <w:rPr>
                <w:sz w:val="20"/>
                <w:szCs w:val="20"/>
                <w:color w:val="auto"/>
              </w:rPr>
            </w:pPr>
            <w:r>
              <w:rPr>
                <w:rFonts w:ascii="Arial" w:cs="Arial" w:eastAsia="Arial" w:hAnsi="Arial"/>
                <w:sz w:val="22"/>
                <w:szCs w:val="22"/>
                <w:color w:val="auto"/>
              </w:rPr>
              <w:t>Total liabilities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w w:val="90"/>
              </w:rPr>
              <w:t>353,913</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w w:val="90"/>
              </w:rPr>
              <w:t>356,031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-2417445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-2417445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-2417445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-2417445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40"/>
          </w:cols>
          <w:pgMar w:left="240" w:top="89" w:right="219" w:bottom="0" w:gutter="0" w:footer="0" w:header="0"/>
        </w:sectPr>
      </w:pPr>
    </w:p>
    <w:bookmarkStart w:id="3" w:name="page4"/>
    <w:bookmarkEnd w:id="3"/>
    <w:tbl>
      <w:tblPr>
        <w:tblLayout w:type="fixed"/>
        <w:tblInd w:w="200" w:type="dxa"/>
        <w:tblCellMar>
          <w:top w:w="0" w:type="dxa"/>
          <w:left w:w="0" w:type="dxa"/>
          <w:bottom w:w="0" w:type="dxa"/>
          <w:right w:w="0" w:type="dxa"/>
        </w:tblCellMar>
      </w:tblPr>
      <w:tr>
        <w:trPr>
          <w:trHeight w:val="275"/>
        </w:trPr>
        <w:tc>
          <w:tcPr>
            <w:tcW w:w="6080" w:type="dxa"/>
            <w:vAlign w:val="bottom"/>
          </w:tcPr>
          <w:p>
            <w:pPr>
              <w:spacing w:after="0"/>
              <w:rPr>
                <w:sz w:val="20"/>
                <w:szCs w:val="20"/>
                <w:color w:val="auto"/>
              </w:rPr>
            </w:pPr>
            <w:r>
              <w:rPr>
                <w:rFonts w:ascii="Arial" w:cs="Arial" w:eastAsia="Arial" w:hAnsi="Arial"/>
                <w:sz w:val="22"/>
                <w:szCs w:val="22"/>
                <w:color w:val="auto"/>
              </w:rPr>
              <w:t>Minority interest</w:t>
            </w:r>
          </w:p>
        </w:tc>
        <w:tc>
          <w:tcPr>
            <w:tcW w:w="1060" w:type="dxa"/>
            <w:vAlign w:val="bottom"/>
          </w:tcPr>
          <w:p>
            <w:pPr>
              <w:jc w:val="right"/>
              <w:spacing w:after="0"/>
              <w:rPr>
                <w:sz w:val="20"/>
                <w:szCs w:val="20"/>
                <w:color w:val="auto"/>
              </w:rPr>
            </w:pPr>
            <w:r>
              <w:rPr>
                <w:rFonts w:ascii="Arial" w:cs="Arial" w:eastAsia="Arial" w:hAnsi="Arial"/>
                <w:sz w:val="22"/>
                <w:szCs w:val="22"/>
                <w:color w:val="auto"/>
              </w:rPr>
              <w:t>53,362</w:t>
            </w:r>
          </w:p>
        </w:tc>
        <w:tc>
          <w:tcPr>
            <w:tcW w:w="1520" w:type="dxa"/>
            <w:vAlign w:val="bottom"/>
            <w:gridSpan w:val="2"/>
          </w:tcPr>
          <w:p>
            <w:pPr>
              <w:jc w:val="right"/>
              <w:ind w:right="100"/>
              <w:spacing w:after="0"/>
              <w:rPr>
                <w:sz w:val="20"/>
                <w:szCs w:val="20"/>
                <w:color w:val="auto"/>
              </w:rPr>
            </w:pPr>
            <w:r>
              <w:rPr>
                <w:rFonts w:ascii="Arial" w:cs="Arial" w:eastAsia="Arial" w:hAnsi="Arial"/>
                <w:sz w:val="22"/>
                <w:szCs w:val="22"/>
                <w:color w:val="auto"/>
              </w:rPr>
              <w:t>49,465</w:t>
            </w:r>
          </w:p>
        </w:tc>
      </w:tr>
      <w:tr>
        <w:trPr>
          <w:trHeight w:val="455"/>
        </w:trPr>
        <w:tc>
          <w:tcPr>
            <w:tcW w:w="6080" w:type="dxa"/>
            <w:vAlign w:val="bottom"/>
          </w:tcPr>
          <w:p>
            <w:pPr>
              <w:spacing w:after="0"/>
              <w:rPr>
                <w:sz w:val="20"/>
                <w:szCs w:val="20"/>
                <w:color w:val="auto"/>
              </w:rPr>
            </w:pPr>
            <w:r>
              <w:rPr>
                <w:rFonts w:ascii="Arial" w:cs="Arial" w:eastAsia="Arial" w:hAnsi="Arial"/>
                <w:sz w:val="22"/>
                <w:szCs w:val="22"/>
                <w:color w:val="auto"/>
              </w:rPr>
              <w:t>Shareholders' equity:</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6080" w:type="dxa"/>
            <w:vAlign w:val="bottom"/>
          </w:tcPr>
          <w:p>
            <w:pPr>
              <w:ind w:left="120"/>
              <w:spacing w:after="0" w:line="243" w:lineRule="exact"/>
              <w:rPr>
                <w:sz w:val="20"/>
                <w:szCs w:val="20"/>
                <w:color w:val="auto"/>
              </w:rPr>
            </w:pPr>
            <w:r>
              <w:rPr>
                <w:rFonts w:ascii="Arial" w:cs="Arial" w:eastAsia="Arial" w:hAnsi="Arial"/>
                <w:sz w:val="22"/>
                <w:szCs w:val="22"/>
                <w:color w:val="auto"/>
              </w:rPr>
              <w:t>Preferred stock, $0.01 par value,</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6080" w:type="dxa"/>
            <w:vAlign w:val="bottom"/>
          </w:tcPr>
          <w:p>
            <w:pPr>
              <w:ind w:left="160"/>
              <w:spacing w:after="0" w:line="243" w:lineRule="exact"/>
              <w:rPr>
                <w:sz w:val="20"/>
                <w:szCs w:val="20"/>
                <w:color w:val="auto"/>
              </w:rPr>
            </w:pPr>
            <w:r>
              <w:rPr>
                <w:rFonts w:ascii="Arial" w:cs="Arial" w:eastAsia="Arial" w:hAnsi="Arial"/>
                <w:sz w:val="22"/>
                <w:szCs w:val="22"/>
                <w:color w:val="auto"/>
              </w:rPr>
              <w:t>2,000 shares authorized, none issued and outstanding</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5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6080" w:type="dxa"/>
            <w:vAlign w:val="bottom"/>
          </w:tcPr>
          <w:p>
            <w:pPr>
              <w:ind w:left="120"/>
              <w:spacing w:after="0" w:line="243" w:lineRule="exact"/>
              <w:rPr>
                <w:sz w:val="20"/>
                <w:szCs w:val="20"/>
                <w:color w:val="auto"/>
              </w:rPr>
            </w:pPr>
            <w:r>
              <w:rPr>
                <w:rFonts w:ascii="Arial" w:cs="Arial" w:eastAsia="Arial" w:hAnsi="Arial"/>
                <w:sz w:val="22"/>
                <w:szCs w:val="22"/>
                <w:color w:val="auto"/>
              </w:rPr>
              <w:t>Common stock, $0.01 par value,</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6080" w:type="dxa"/>
            <w:vAlign w:val="bottom"/>
          </w:tcPr>
          <w:p>
            <w:pPr>
              <w:ind w:left="160"/>
              <w:spacing w:after="0" w:line="243" w:lineRule="exact"/>
              <w:rPr>
                <w:sz w:val="20"/>
                <w:szCs w:val="20"/>
                <w:color w:val="auto"/>
              </w:rPr>
            </w:pPr>
            <w:r>
              <w:rPr>
                <w:rFonts w:ascii="Arial" w:cs="Arial" w:eastAsia="Arial" w:hAnsi="Arial"/>
                <w:sz w:val="22"/>
                <w:szCs w:val="22"/>
                <w:color w:val="auto"/>
                <w:w w:val="91"/>
              </w:rPr>
              <w:t>150,000 shares authorized, 41,643 shares issued and outstanding</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6080" w:type="dxa"/>
            <w:vAlign w:val="bottom"/>
          </w:tcPr>
          <w:p>
            <w:pPr>
              <w:ind w:left="220"/>
              <w:spacing w:after="0" w:line="243" w:lineRule="exact"/>
              <w:rPr>
                <w:sz w:val="20"/>
                <w:szCs w:val="20"/>
                <w:color w:val="auto"/>
              </w:rPr>
            </w:pPr>
            <w:r>
              <w:rPr>
                <w:rFonts w:ascii="Arial" w:cs="Arial" w:eastAsia="Arial" w:hAnsi="Arial"/>
                <w:sz w:val="22"/>
                <w:szCs w:val="22"/>
                <w:color w:val="auto"/>
              </w:rPr>
              <w:t>at April 27, 2008 and 41,635 issued and outstanding at</w:t>
            </w: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6080" w:type="dxa"/>
            <w:vAlign w:val="bottom"/>
          </w:tcPr>
          <w:p>
            <w:pPr>
              <w:ind w:left="220"/>
              <w:spacing w:after="0" w:line="243" w:lineRule="exact"/>
              <w:rPr>
                <w:sz w:val="20"/>
                <w:szCs w:val="20"/>
                <w:color w:val="auto"/>
              </w:rPr>
            </w:pPr>
            <w:r>
              <w:rPr>
                <w:rFonts w:ascii="Arial" w:cs="Arial" w:eastAsia="Arial" w:hAnsi="Arial"/>
                <w:sz w:val="22"/>
                <w:szCs w:val="22"/>
                <w:color w:val="auto"/>
              </w:rPr>
              <w:t>October 28, 2007</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416</w:t>
            </w:r>
          </w:p>
        </w:tc>
        <w:tc>
          <w:tcPr>
            <w:tcW w:w="15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416</w:t>
            </w:r>
          </w:p>
        </w:tc>
      </w:tr>
      <w:tr>
        <w:trPr>
          <w:trHeight w:val="243"/>
        </w:trPr>
        <w:tc>
          <w:tcPr>
            <w:tcW w:w="6080" w:type="dxa"/>
            <w:vAlign w:val="bottom"/>
          </w:tcPr>
          <w:p>
            <w:pPr>
              <w:ind w:left="100"/>
              <w:spacing w:after="0" w:line="243" w:lineRule="exact"/>
              <w:rPr>
                <w:sz w:val="20"/>
                <w:szCs w:val="20"/>
                <w:color w:val="auto"/>
              </w:rPr>
            </w:pPr>
            <w:r>
              <w:rPr>
                <w:rFonts w:ascii="Arial" w:cs="Arial" w:eastAsia="Arial" w:hAnsi="Arial"/>
                <w:sz w:val="22"/>
                <w:szCs w:val="22"/>
                <w:color w:val="auto"/>
              </w:rPr>
              <w:t>Additional paid-in capital</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383,036</w:t>
            </w:r>
          </w:p>
        </w:tc>
        <w:tc>
          <w:tcPr>
            <w:tcW w:w="15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381,876</w:t>
            </w:r>
          </w:p>
        </w:tc>
      </w:tr>
      <w:tr>
        <w:trPr>
          <w:trHeight w:val="243"/>
        </w:trPr>
        <w:tc>
          <w:tcPr>
            <w:tcW w:w="6080" w:type="dxa"/>
            <w:vAlign w:val="bottom"/>
          </w:tcPr>
          <w:p>
            <w:pPr>
              <w:ind w:left="120"/>
              <w:spacing w:after="0" w:line="243" w:lineRule="exact"/>
              <w:rPr>
                <w:sz w:val="20"/>
                <w:szCs w:val="20"/>
                <w:color w:val="auto"/>
              </w:rPr>
            </w:pPr>
            <w:r>
              <w:rPr>
                <w:rFonts w:ascii="Arial" w:cs="Arial" w:eastAsia="Arial" w:hAnsi="Arial"/>
                <w:sz w:val="22"/>
                <w:szCs w:val="22"/>
                <w:color w:val="auto"/>
              </w:rPr>
              <w:t>Retained earnings</w:t>
            </w: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220,722</w:t>
            </w:r>
          </w:p>
        </w:tc>
        <w:tc>
          <w:tcPr>
            <w:tcW w:w="15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227,175</w:t>
            </w:r>
          </w:p>
        </w:tc>
      </w:tr>
      <w:tr>
        <w:trPr>
          <w:trHeight w:val="275"/>
        </w:trPr>
        <w:tc>
          <w:tcPr>
            <w:tcW w:w="6080" w:type="dxa"/>
            <w:vAlign w:val="bottom"/>
          </w:tcPr>
          <w:p>
            <w:pPr>
              <w:ind w:left="100"/>
              <w:spacing w:after="0"/>
              <w:rPr>
                <w:sz w:val="20"/>
                <w:szCs w:val="20"/>
                <w:color w:val="auto"/>
              </w:rPr>
            </w:pPr>
            <w:r>
              <w:rPr>
                <w:rFonts w:ascii="Arial" w:cs="Arial" w:eastAsia="Arial" w:hAnsi="Arial"/>
                <w:sz w:val="22"/>
                <w:szCs w:val="22"/>
                <w:color w:val="auto"/>
              </w:rPr>
              <w:t>Accumulated other comprehensive income</w:t>
            </w:r>
          </w:p>
        </w:tc>
        <w:tc>
          <w:tcPr>
            <w:tcW w:w="1060" w:type="dxa"/>
            <w:vAlign w:val="bottom"/>
          </w:tcPr>
          <w:p>
            <w:pPr>
              <w:jc w:val="right"/>
              <w:spacing w:after="0"/>
              <w:rPr>
                <w:sz w:val="20"/>
                <w:szCs w:val="20"/>
                <w:color w:val="auto"/>
              </w:rPr>
            </w:pPr>
            <w:r>
              <w:rPr>
                <w:rFonts w:ascii="Arial" w:cs="Arial" w:eastAsia="Arial" w:hAnsi="Arial"/>
                <w:sz w:val="22"/>
                <w:szCs w:val="22"/>
                <w:color w:val="auto"/>
              </w:rPr>
              <w:t>37,357</w:t>
            </w:r>
          </w:p>
        </w:tc>
        <w:tc>
          <w:tcPr>
            <w:tcW w:w="1520" w:type="dxa"/>
            <w:vAlign w:val="bottom"/>
            <w:gridSpan w:val="2"/>
          </w:tcPr>
          <w:p>
            <w:pPr>
              <w:jc w:val="right"/>
              <w:ind w:right="100"/>
              <w:spacing w:after="0"/>
              <w:rPr>
                <w:sz w:val="20"/>
                <w:szCs w:val="20"/>
                <w:color w:val="auto"/>
              </w:rPr>
            </w:pPr>
            <w:r>
              <w:rPr>
                <w:rFonts w:ascii="Arial" w:cs="Arial" w:eastAsia="Arial" w:hAnsi="Arial"/>
                <w:sz w:val="22"/>
                <w:szCs w:val="22"/>
                <w:color w:val="auto"/>
              </w:rPr>
              <w:t>44,817</w:t>
            </w:r>
          </w:p>
        </w:tc>
      </w:tr>
      <w:tr>
        <w:trPr>
          <w:trHeight w:val="98"/>
        </w:trPr>
        <w:tc>
          <w:tcPr>
            <w:tcW w:w="6080" w:type="dxa"/>
            <w:vAlign w:val="bottom"/>
          </w:tcPr>
          <w:p>
            <w:pPr>
              <w:spacing w:after="0"/>
              <w:rPr>
                <w:sz w:val="8"/>
                <w:szCs w:val="8"/>
                <w:color w:val="auto"/>
              </w:rPr>
            </w:pPr>
          </w:p>
        </w:tc>
        <w:tc>
          <w:tcPr>
            <w:tcW w:w="106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r>
      <w:tr>
        <w:trPr>
          <w:trHeight w:val="368"/>
        </w:trPr>
        <w:tc>
          <w:tcPr>
            <w:tcW w:w="6080" w:type="dxa"/>
            <w:vAlign w:val="bottom"/>
          </w:tcPr>
          <w:p>
            <w:pPr>
              <w:ind w:left="220"/>
              <w:spacing w:after="0"/>
              <w:rPr>
                <w:sz w:val="20"/>
                <w:szCs w:val="20"/>
                <w:color w:val="auto"/>
              </w:rPr>
            </w:pPr>
            <w:r>
              <w:rPr>
                <w:rFonts w:ascii="Arial" w:cs="Arial" w:eastAsia="Arial" w:hAnsi="Arial"/>
                <w:sz w:val="22"/>
                <w:szCs w:val="22"/>
                <w:color w:val="auto"/>
              </w:rPr>
              <w:t>Total shareholders' equity</w:t>
            </w:r>
          </w:p>
        </w:tc>
        <w:tc>
          <w:tcPr>
            <w:tcW w:w="1060" w:type="dxa"/>
            <w:vAlign w:val="bottom"/>
          </w:tcPr>
          <w:p>
            <w:pPr>
              <w:jc w:val="right"/>
              <w:spacing w:after="0"/>
              <w:rPr>
                <w:sz w:val="20"/>
                <w:szCs w:val="20"/>
                <w:color w:val="auto"/>
              </w:rPr>
            </w:pPr>
            <w:r>
              <w:rPr>
                <w:rFonts w:ascii="Arial" w:cs="Arial" w:eastAsia="Arial" w:hAnsi="Arial"/>
                <w:sz w:val="22"/>
                <w:szCs w:val="22"/>
                <w:color w:val="auto"/>
              </w:rPr>
              <w:t>641,531</w:t>
            </w:r>
          </w:p>
        </w:tc>
        <w:tc>
          <w:tcPr>
            <w:tcW w:w="1520" w:type="dxa"/>
            <w:vAlign w:val="bottom"/>
            <w:gridSpan w:val="2"/>
          </w:tcPr>
          <w:p>
            <w:pPr>
              <w:jc w:val="right"/>
              <w:ind w:right="100"/>
              <w:spacing w:after="0"/>
              <w:rPr>
                <w:sz w:val="20"/>
                <w:szCs w:val="20"/>
                <w:color w:val="auto"/>
              </w:rPr>
            </w:pPr>
            <w:r>
              <w:rPr>
                <w:rFonts w:ascii="Arial" w:cs="Arial" w:eastAsia="Arial" w:hAnsi="Arial"/>
                <w:sz w:val="22"/>
                <w:szCs w:val="22"/>
                <w:color w:val="auto"/>
              </w:rPr>
              <w:t>654,284</w:t>
            </w:r>
          </w:p>
        </w:tc>
      </w:tr>
      <w:tr>
        <w:trPr>
          <w:trHeight w:val="98"/>
        </w:trPr>
        <w:tc>
          <w:tcPr>
            <w:tcW w:w="6080" w:type="dxa"/>
            <w:vAlign w:val="bottom"/>
          </w:tcPr>
          <w:p>
            <w:pPr>
              <w:spacing w:after="0"/>
              <w:rPr>
                <w:sz w:val="8"/>
                <w:szCs w:val="8"/>
                <w:color w:val="auto"/>
              </w:rPr>
            </w:pPr>
          </w:p>
        </w:tc>
        <w:tc>
          <w:tcPr>
            <w:tcW w:w="1060" w:type="dxa"/>
            <w:vAlign w:val="bottom"/>
            <w:tcBorders>
              <w:bottom w:val="single" w:sz="8" w:color="336699"/>
            </w:tcBorders>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r>
      <w:tr>
        <w:trPr>
          <w:trHeight w:val="368"/>
        </w:trPr>
        <w:tc>
          <w:tcPr>
            <w:tcW w:w="60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87"/>
              </w:rPr>
              <w:t>$1,048,806</w:t>
            </w:r>
          </w:p>
        </w:tc>
        <w:tc>
          <w:tcPr>
            <w:tcW w:w="1520" w:type="dxa"/>
            <w:vAlign w:val="bottom"/>
            <w:gridSpan w:val="2"/>
          </w:tcPr>
          <w:p>
            <w:pPr>
              <w:jc w:val="right"/>
              <w:ind w:right="100"/>
              <w:spacing w:after="0"/>
              <w:rPr>
                <w:sz w:val="20"/>
                <w:szCs w:val="20"/>
                <w:color w:val="auto"/>
              </w:rPr>
            </w:pPr>
            <w:r>
              <w:rPr>
                <w:rFonts w:ascii="Arial" w:cs="Arial" w:eastAsia="Arial" w:hAnsi="Arial"/>
                <w:sz w:val="22"/>
                <w:szCs w:val="22"/>
                <w:color w:val="auto"/>
              </w:rPr>
              <w:t>$1,059,780</w:t>
            </w:r>
          </w:p>
        </w:tc>
      </w:tr>
      <w:tr>
        <w:trPr>
          <w:trHeight w:val="122"/>
        </w:trPr>
        <w:tc>
          <w:tcPr>
            <w:tcW w:w="6080" w:type="dxa"/>
            <w:vAlign w:val="bottom"/>
          </w:tcPr>
          <w:p>
            <w:pPr>
              <w:spacing w:after="0"/>
              <w:rPr>
                <w:sz w:val="10"/>
                <w:szCs w:val="10"/>
                <w:color w:val="auto"/>
              </w:rPr>
            </w:pPr>
          </w:p>
        </w:tc>
        <w:tc>
          <w:tcPr>
            <w:tcW w:w="1060" w:type="dxa"/>
            <w:vAlign w:val="bottom"/>
            <w:tcBorders>
              <w:bottom w:val="single" w:sz="8" w:color="336699"/>
            </w:tcBorders>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4652645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5612765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Condensed Consolidated Statements of Operations</w:t>
      </w:r>
    </w:p>
    <w:p>
      <w:pPr>
        <w:jc w:val="center"/>
        <w:spacing w:after="0" w:line="230" w:lineRule="auto"/>
        <w:rPr>
          <w:sz w:val="20"/>
          <w:szCs w:val="20"/>
          <w:color w:val="auto"/>
        </w:rPr>
      </w:pPr>
      <w:r>
        <w:rPr>
          <w:rFonts w:ascii="Arial" w:cs="Arial" w:eastAsia="Arial" w:hAnsi="Arial"/>
          <w:sz w:val="22"/>
          <w:szCs w:val="22"/>
          <w:i w:val="1"/>
          <w:i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81"/>
        </w:trPr>
        <w:tc>
          <w:tcPr>
            <w:tcW w:w="4100" w:type="dxa"/>
            <w:vAlign w:val="bottom"/>
          </w:tcPr>
          <w:p>
            <w:pPr>
              <w:spacing w:after="0"/>
              <w:rPr>
                <w:sz w:val="24"/>
                <w:szCs w:val="24"/>
                <w:color w:val="auto"/>
              </w:rPr>
            </w:pPr>
          </w:p>
        </w:tc>
        <w:tc>
          <w:tcPr>
            <w:tcW w:w="2060" w:type="dxa"/>
            <w:vAlign w:val="bottom"/>
            <w:gridSpan w:val="4"/>
          </w:tcPr>
          <w:p>
            <w:pPr>
              <w:jc w:val="right"/>
              <w:spacing w:after="0"/>
              <w:rPr>
                <w:sz w:val="20"/>
                <w:szCs w:val="20"/>
                <w:color w:val="auto"/>
              </w:rPr>
            </w:pPr>
            <w:r>
              <w:rPr>
                <w:rFonts w:ascii="Arial" w:cs="Arial" w:eastAsia="Arial" w:hAnsi="Arial"/>
                <w:sz w:val="22"/>
                <w:szCs w:val="22"/>
                <w:b w:val="1"/>
                <w:bCs w:val="1"/>
                <w:color w:val="auto"/>
                <w:w w:val="92"/>
              </w:rPr>
              <w:t>Three Months Ended</w:t>
            </w:r>
          </w:p>
        </w:tc>
        <w:tc>
          <w:tcPr>
            <w:tcW w:w="80" w:type="dxa"/>
            <w:vAlign w:val="bottom"/>
          </w:tcPr>
          <w:p>
            <w:pPr>
              <w:spacing w:after="0"/>
              <w:rPr>
                <w:sz w:val="24"/>
                <w:szCs w:val="24"/>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22"/>
                <w:szCs w:val="22"/>
                <w:b w:val="1"/>
                <w:bCs w:val="1"/>
                <w:color w:val="auto"/>
                <w:w w:val="90"/>
              </w:rPr>
              <w:t>Six Months Ended</w:t>
            </w:r>
          </w:p>
        </w:tc>
        <w:tc>
          <w:tcPr>
            <w:tcW w:w="0" w:type="dxa"/>
            <w:vAlign w:val="bottom"/>
          </w:tcPr>
          <w:p>
            <w:pPr>
              <w:spacing w:after="0"/>
              <w:rPr>
                <w:sz w:val="1"/>
                <w:szCs w:val="1"/>
                <w:color w:val="auto"/>
              </w:rPr>
            </w:pPr>
          </w:p>
        </w:tc>
      </w:tr>
      <w:tr>
        <w:trPr>
          <w:trHeight w:val="98"/>
        </w:trPr>
        <w:tc>
          <w:tcPr>
            <w:tcW w:w="4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w w:val="99"/>
              </w:rPr>
              <w:t>April 27,</w:t>
            </w:r>
          </w:p>
        </w:tc>
        <w:tc>
          <w:tcPr>
            <w:tcW w:w="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2"/>
                <w:szCs w:val="22"/>
                <w:b w:val="1"/>
                <w:bCs w:val="1"/>
                <w:color w:val="auto"/>
              </w:rPr>
              <w:t>April 29,</w:t>
            </w:r>
          </w:p>
        </w:tc>
        <w:tc>
          <w:tcPr>
            <w:tcW w:w="80" w:type="dxa"/>
            <w:vAlign w:val="bottom"/>
          </w:tcPr>
          <w:p>
            <w:pPr>
              <w:spacing w:after="0"/>
              <w:rPr>
                <w:sz w:val="24"/>
                <w:szCs w:val="24"/>
                <w:color w:val="auto"/>
              </w:rPr>
            </w:pPr>
          </w:p>
        </w:tc>
        <w:tc>
          <w:tcPr>
            <w:tcW w:w="1820" w:type="dxa"/>
            <w:vAlign w:val="bottom"/>
            <w:gridSpan w:val="3"/>
          </w:tcPr>
          <w:p>
            <w:pPr>
              <w:jc w:val="right"/>
              <w:ind w:right="60"/>
              <w:spacing w:after="0"/>
              <w:rPr>
                <w:sz w:val="20"/>
                <w:szCs w:val="20"/>
                <w:color w:val="auto"/>
              </w:rPr>
            </w:pPr>
            <w:r>
              <w:rPr>
                <w:rFonts w:ascii="Arial" w:cs="Arial" w:eastAsia="Arial" w:hAnsi="Arial"/>
                <w:sz w:val="22"/>
                <w:szCs w:val="22"/>
                <w:b w:val="1"/>
                <w:bCs w:val="1"/>
                <w:color w:val="auto"/>
                <w:w w:val="96"/>
              </w:rPr>
              <w:t>April 27, April 29,</w:t>
            </w:r>
          </w:p>
        </w:tc>
        <w:tc>
          <w:tcPr>
            <w:tcW w:w="0" w:type="dxa"/>
            <w:vAlign w:val="bottom"/>
          </w:tcPr>
          <w:p>
            <w:pPr>
              <w:spacing w:after="0"/>
              <w:rPr>
                <w:sz w:val="1"/>
                <w:szCs w:val="1"/>
                <w:color w:val="auto"/>
              </w:rPr>
            </w:pPr>
          </w:p>
        </w:tc>
      </w:tr>
      <w:tr>
        <w:trPr>
          <w:trHeight w:val="281"/>
        </w:trPr>
        <w:tc>
          <w:tcPr>
            <w:tcW w:w="4100" w:type="dxa"/>
            <w:vAlign w:val="bottom"/>
          </w:tcPr>
          <w:p>
            <w:pPr>
              <w:spacing w:after="0"/>
              <w:rPr>
                <w:sz w:val="24"/>
                <w:szCs w:val="24"/>
                <w:color w:val="auto"/>
              </w:rPr>
            </w:pPr>
          </w:p>
        </w:tc>
        <w:tc>
          <w:tcPr>
            <w:tcW w:w="1040" w:type="dxa"/>
            <w:vAlign w:val="bottom"/>
            <w:gridSpan w:val="2"/>
          </w:tcPr>
          <w:p>
            <w:pPr>
              <w:jc w:val="right"/>
              <w:ind w:right="172"/>
              <w:spacing w:after="0"/>
              <w:rPr>
                <w:sz w:val="20"/>
                <w:szCs w:val="20"/>
                <w:color w:val="auto"/>
              </w:rPr>
            </w:pPr>
            <w:r>
              <w:rPr>
                <w:rFonts w:ascii="Arial" w:cs="Arial" w:eastAsia="Arial" w:hAnsi="Arial"/>
                <w:sz w:val="22"/>
                <w:szCs w:val="22"/>
                <w:b w:val="1"/>
                <w:bCs w:val="1"/>
                <w:color w:val="auto"/>
              </w:rPr>
              <w:t>2008</w:t>
            </w:r>
          </w:p>
        </w:tc>
        <w:tc>
          <w:tcPr>
            <w:tcW w:w="102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rPr>
              <w:t>2007</w:t>
            </w:r>
          </w:p>
        </w:tc>
        <w:tc>
          <w:tcPr>
            <w:tcW w:w="980" w:type="dxa"/>
            <w:vAlign w:val="bottom"/>
            <w:gridSpan w:val="2"/>
          </w:tcPr>
          <w:p>
            <w:pPr>
              <w:jc w:val="right"/>
              <w:ind w:right="132"/>
              <w:spacing w:after="0"/>
              <w:rPr>
                <w:sz w:val="20"/>
                <w:szCs w:val="20"/>
                <w:color w:val="auto"/>
              </w:rPr>
            </w:pPr>
            <w:r>
              <w:rPr>
                <w:rFonts w:ascii="Arial" w:cs="Arial" w:eastAsia="Arial" w:hAnsi="Arial"/>
                <w:sz w:val="22"/>
                <w:szCs w:val="22"/>
                <w:b w:val="1"/>
                <w:bCs w:val="1"/>
                <w:color w:val="auto"/>
              </w:rPr>
              <w:t>2008</w:t>
            </w:r>
          </w:p>
        </w:tc>
        <w:tc>
          <w:tcPr>
            <w:tcW w:w="920" w:type="dxa"/>
            <w:vAlign w:val="bottom"/>
            <w:gridSpan w:val="2"/>
          </w:tcPr>
          <w:p>
            <w:pPr>
              <w:jc w:val="right"/>
              <w:ind w:right="260"/>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4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4100" w:type="dxa"/>
            <w:vAlign w:val="bottom"/>
          </w:tcPr>
          <w:p>
            <w:pPr>
              <w:spacing w:after="0"/>
              <w:rPr>
                <w:sz w:val="20"/>
                <w:szCs w:val="20"/>
                <w:color w:val="auto"/>
              </w:rPr>
            </w:pPr>
            <w:r>
              <w:rPr>
                <w:rFonts w:ascii="Arial" w:cs="Arial" w:eastAsia="Arial" w:hAnsi="Arial"/>
                <w:sz w:val="22"/>
                <w:szCs w:val="22"/>
                <w:color w:val="auto"/>
              </w:rPr>
              <w:t>Net sales</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$110,330</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$109,626</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w w:val="95"/>
              </w:rPr>
              <w:t>$213,545</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w w:val="89"/>
              </w:rPr>
              <w:t>$215,607</w:t>
            </w:r>
          </w:p>
        </w:tc>
        <w:tc>
          <w:tcPr>
            <w:tcW w:w="0" w:type="dxa"/>
            <w:vAlign w:val="bottom"/>
          </w:tcPr>
          <w:p>
            <w:pPr>
              <w:spacing w:after="0"/>
              <w:rPr>
                <w:sz w:val="1"/>
                <w:szCs w:val="1"/>
                <w:color w:val="auto"/>
              </w:rPr>
            </w:pPr>
          </w:p>
        </w:tc>
      </w:tr>
      <w:tr>
        <w:trPr>
          <w:trHeight w:val="486"/>
        </w:trPr>
        <w:tc>
          <w:tcPr>
            <w:tcW w:w="4100" w:type="dxa"/>
            <w:vAlign w:val="bottom"/>
          </w:tcPr>
          <w:p>
            <w:pPr>
              <w:spacing w:after="0"/>
              <w:rPr>
                <w:sz w:val="20"/>
                <w:szCs w:val="20"/>
                <w:color w:val="auto"/>
              </w:rPr>
            </w:pPr>
            <w:r>
              <w:rPr>
                <w:rFonts w:ascii="Arial" w:cs="Arial" w:eastAsia="Arial" w:hAnsi="Arial"/>
                <w:sz w:val="22"/>
                <w:szCs w:val="22"/>
                <w:color w:val="auto"/>
              </w:rPr>
              <w:t>Costs and expenses:</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00" w:type="dxa"/>
            <w:vAlign w:val="bottom"/>
          </w:tcPr>
          <w:p>
            <w:pPr>
              <w:ind w:left="120"/>
              <w:spacing w:after="0"/>
              <w:rPr>
                <w:sz w:val="20"/>
                <w:szCs w:val="20"/>
                <w:color w:val="auto"/>
              </w:rPr>
            </w:pPr>
            <w:r>
              <w:rPr>
                <w:rFonts w:ascii="Arial" w:cs="Arial" w:eastAsia="Arial" w:hAnsi="Arial"/>
                <w:sz w:val="22"/>
                <w:szCs w:val="22"/>
                <w:color w:val="auto"/>
              </w:rPr>
              <w:t>Cost of sales</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(90,056)</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(83,433)</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w w:val="97"/>
              </w:rPr>
              <w:t>(172,675)</w:t>
            </w:r>
          </w:p>
        </w:tc>
        <w:tc>
          <w:tcPr>
            <w:tcW w:w="920" w:type="dxa"/>
            <w:vAlign w:val="bottom"/>
            <w:gridSpan w:val="2"/>
          </w:tcPr>
          <w:p>
            <w:pPr>
              <w:jc w:val="right"/>
              <w:ind w:right="40"/>
              <w:spacing w:after="0"/>
              <w:rPr>
                <w:sz w:val="20"/>
                <w:szCs w:val="20"/>
                <w:color w:val="auto"/>
              </w:rPr>
            </w:pPr>
            <w:r>
              <w:rPr>
                <w:rFonts w:ascii="Arial" w:cs="Arial" w:eastAsia="Arial" w:hAnsi="Arial"/>
                <w:sz w:val="22"/>
                <w:szCs w:val="22"/>
                <w:color w:val="auto"/>
                <w:w w:val="91"/>
              </w:rPr>
              <w:t>(159,749)</w:t>
            </w:r>
          </w:p>
        </w:tc>
        <w:tc>
          <w:tcPr>
            <w:tcW w:w="0" w:type="dxa"/>
            <w:vAlign w:val="bottom"/>
          </w:tcPr>
          <w:p>
            <w:pPr>
              <w:spacing w:after="0"/>
              <w:rPr>
                <w:sz w:val="1"/>
                <w:szCs w:val="1"/>
                <w:color w:val="auto"/>
              </w:rPr>
            </w:pPr>
          </w:p>
        </w:tc>
      </w:tr>
      <w:tr>
        <w:trPr>
          <w:trHeight w:val="486"/>
        </w:trPr>
        <w:tc>
          <w:tcPr>
            <w:tcW w:w="410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(13,575)</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(14,442)</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(29,878)</w:t>
            </w:r>
          </w:p>
        </w:tc>
        <w:tc>
          <w:tcPr>
            <w:tcW w:w="920" w:type="dxa"/>
            <w:vAlign w:val="bottom"/>
            <w:gridSpan w:val="2"/>
          </w:tcPr>
          <w:p>
            <w:pPr>
              <w:jc w:val="right"/>
              <w:ind w:right="40"/>
              <w:spacing w:after="0"/>
              <w:rPr>
                <w:sz w:val="20"/>
                <w:szCs w:val="20"/>
                <w:color w:val="auto"/>
              </w:rPr>
            </w:pPr>
            <w:r>
              <w:rPr>
                <w:rFonts w:ascii="Arial" w:cs="Arial" w:eastAsia="Arial" w:hAnsi="Arial"/>
                <w:sz w:val="22"/>
                <w:szCs w:val="22"/>
                <w:color w:val="auto"/>
              </w:rPr>
              <w:t>(30,883)</w:t>
            </w:r>
          </w:p>
        </w:tc>
        <w:tc>
          <w:tcPr>
            <w:tcW w:w="0" w:type="dxa"/>
            <w:vAlign w:val="bottom"/>
          </w:tcPr>
          <w:p>
            <w:pPr>
              <w:spacing w:after="0"/>
              <w:rPr>
                <w:sz w:val="1"/>
                <w:szCs w:val="1"/>
                <w:color w:val="auto"/>
              </w:rPr>
            </w:pPr>
          </w:p>
        </w:tc>
      </w:tr>
      <w:tr>
        <w:trPr>
          <w:trHeight w:val="486"/>
        </w:trPr>
        <w:tc>
          <w:tcPr>
            <w:tcW w:w="410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(4,613)</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(4,324)</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(8,851)</w:t>
            </w:r>
          </w:p>
        </w:tc>
        <w:tc>
          <w:tcPr>
            <w:tcW w:w="920" w:type="dxa"/>
            <w:vAlign w:val="bottom"/>
            <w:gridSpan w:val="2"/>
          </w:tcPr>
          <w:p>
            <w:pPr>
              <w:jc w:val="right"/>
              <w:ind w:right="40"/>
              <w:spacing w:after="0"/>
              <w:rPr>
                <w:sz w:val="20"/>
                <w:szCs w:val="20"/>
                <w:color w:val="auto"/>
              </w:rPr>
            </w:pPr>
            <w:r>
              <w:rPr>
                <w:rFonts w:ascii="Arial" w:cs="Arial" w:eastAsia="Arial" w:hAnsi="Arial"/>
                <w:sz w:val="22"/>
                <w:szCs w:val="22"/>
                <w:color w:val="auto"/>
              </w:rPr>
              <w:t>(9,044)</w:t>
            </w:r>
          </w:p>
        </w:tc>
        <w:tc>
          <w:tcPr>
            <w:tcW w:w="0" w:type="dxa"/>
            <w:vAlign w:val="bottom"/>
          </w:tcPr>
          <w:p>
            <w:pPr>
              <w:spacing w:after="0"/>
              <w:rPr>
                <w:sz w:val="1"/>
                <w:szCs w:val="1"/>
                <w:color w:val="auto"/>
              </w:rPr>
            </w:pPr>
          </w:p>
        </w:tc>
      </w:tr>
      <w:tr>
        <w:trPr>
          <w:trHeight w:val="486"/>
        </w:trPr>
        <w:tc>
          <w:tcPr>
            <w:tcW w:w="4100" w:type="dxa"/>
            <w:vAlign w:val="bottom"/>
          </w:tcPr>
          <w:p>
            <w:pPr>
              <w:spacing w:after="0"/>
              <w:rPr>
                <w:sz w:val="20"/>
                <w:szCs w:val="20"/>
                <w:color w:val="auto"/>
              </w:rPr>
            </w:pPr>
            <w:r>
              <w:rPr>
                <w:rFonts w:ascii="Arial" w:cs="Arial" w:eastAsia="Arial" w:hAnsi="Arial"/>
                <w:sz w:val="22"/>
                <w:szCs w:val="22"/>
                <w:color w:val="auto"/>
              </w:rPr>
              <w:t>Gain on sale of facility</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rPr>
              <w:t>2,254</w:t>
            </w:r>
          </w:p>
        </w:tc>
        <w:tc>
          <w:tcPr>
            <w:tcW w:w="0" w:type="dxa"/>
            <w:vAlign w:val="bottom"/>
          </w:tcPr>
          <w:p>
            <w:pPr>
              <w:spacing w:after="0"/>
              <w:rPr>
                <w:sz w:val="1"/>
                <w:szCs w:val="1"/>
                <w:color w:val="auto"/>
              </w:rPr>
            </w:pPr>
          </w:p>
        </w:tc>
      </w:tr>
      <w:tr>
        <w:trPr>
          <w:trHeight w:val="98"/>
        </w:trPr>
        <w:tc>
          <w:tcPr>
            <w:tcW w:w="4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100" w:type="dxa"/>
            <w:vAlign w:val="bottom"/>
          </w:tcPr>
          <w:p>
            <w:pPr>
              <w:spacing w:after="0"/>
              <w:rPr>
                <w:sz w:val="20"/>
                <w:szCs w:val="20"/>
                <w:color w:val="auto"/>
              </w:rPr>
            </w:pPr>
            <w:r>
              <w:rPr>
                <w:rFonts w:ascii="Arial" w:cs="Arial" w:eastAsia="Arial" w:hAnsi="Arial"/>
                <w:sz w:val="22"/>
                <w:szCs w:val="22"/>
                <w:color w:val="auto"/>
              </w:rPr>
              <w:t>Operating income</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2,086</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7,427</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2,141</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rPr>
              <w:t>18,185</w:t>
            </w:r>
          </w:p>
        </w:tc>
        <w:tc>
          <w:tcPr>
            <w:tcW w:w="0" w:type="dxa"/>
            <w:vAlign w:val="bottom"/>
          </w:tcPr>
          <w:p>
            <w:pPr>
              <w:spacing w:after="0"/>
              <w:rPr>
                <w:sz w:val="1"/>
                <w:szCs w:val="1"/>
                <w:color w:val="auto"/>
              </w:rPr>
            </w:pPr>
          </w:p>
        </w:tc>
      </w:tr>
      <w:tr>
        <w:trPr>
          <w:trHeight w:val="455"/>
        </w:trPr>
        <w:tc>
          <w:tcPr>
            <w:tcW w:w="4100" w:type="dxa"/>
            <w:vAlign w:val="bottom"/>
          </w:tcPr>
          <w:p>
            <w:pPr>
              <w:spacing w:after="0"/>
              <w:rPr>
                <w:sz w:val="20"/>
                <w:szCs w:val="20"/>
                <w:color w:val="auto"/>
              </w:rPr>
            </w:pPr>
            <w:r>
              <w:rPr>
                <w:rFonts w:ascii="Arial" w:cs="Arial" w:eastAsia="Arial" w:hAnsi="Arial"/>
                <w:sz w:val="22"/>
                <w:szCs w:val="22"/>
                <w:color w:val="auto"/>
              </w:rPr>
              <w:t>Other income (expense), net</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line="243" w:lineRule="exact"/>
              <w:rPr>
                <w:sz w:val="20"/>
                <w:szCs w:val="20"/>
                <w:color w:val="auto"/>
              </w:rPr>
            </w:pPr>
            <w:r>
              <w:rPr>
                <w:rFonts w:ascii="Arial" w:cs="Arial" w:eastAsia="Arial" w:hAnsi="Arial"/>
                <w:sz w:val="22"/>
                <w:szCs w:val="22"/>
                <w:color w:val="auto"/>
              </w:rPr>
              <w:t>Interest expense</w:t>
            </w:r>
          </w:p>
        </w:tc>
        <w:tc>
          <w:tcPr>
            <w:tcW w:w="10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(2,849)</w:t>
            </w:r>
          </w:p>
        </w:tc>
        <w:tc>
          <w:tcPr>
            <w:tcW w:w="10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(936)</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(4,983)</w:t>
            </w:r>
          </w:p>
        </w:tc>
        <w:tc>
          <w:tcPr>
            <w:tcW w:w="9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(3,032)</w:t>
            </w:r>
          </w:p>
        </w:tc>
        <w:tc>
          <w:tcPr>
            <w:tcW w:w="0" w:type="dxa"/>
            <w:vAlign w:val="bottom"/>
          </w:tcPr>
          <w:p>
            <w:pPr>
              <w:spacing w:after="0"/>
              <w:rPr>
                <w:sz w:val="1"/>
                <w:szCs w:val="1"/>
                <w:color w:val="auto"/>
              </w:rPr>
            </w:pPr>
          </w:p>
        </w:tc>
      </w:tr>
      <w:tr>
        <w:trPr>
          <w:trHeight w:val="275"/>
        </w:trPr>
        <w:tc>
          <w:tcPr>
            <w:tcW w:w="4100" w:type="dxa"/>
            <w:vAlign w:val="bottom"/>
          </w:tcPr>
          <w:p>
            <w:pPr>
              <w:ind w:left="280"/>
              <w:spacing w:after="0"/>
              <w:rPr>
                <w:sz w:val="20"/>
                <w:szCs w:val="20"/>
                <w:color w:val="auto"/>
              </w:rPr>
            </w:pPr>
            <w:r>
              <w:rPr>
                <w:rFonts w:ascii="Arial" w:cs="Arial" w:eastAsia="Arial" w:hAnsi="Arial"/>
                <w:sz w:val="22"/>
                <w:szCs w:val="22"/>
                <w:color w:val="auto"/>
                <w:w w:val="88"/>
              </w:rPr>
              <w:t>Investment and other income (expense), net</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(347)</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1,366</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1,219</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rPr>
              <w:t>3,177</w:t>
            </w:r>
          </w:p>
        </w:tc>
        <w:tc>
          <w:tcPr>
            <w:tcW w:w="0" w:type="dxa"/>
            <w:vAlign w:val="bottom"/>
          </w:tcPr>
          <w:p>
            <w:pPr>
              <w:spacing w:after="0"/>
              <w:rPr>
                <w:sz w:val="1"/>
                <w:szCs w:val="1"/>
                <w:color w:val="auto"/>
              </w:rPr>
            </w:pPr>
          </w:p>
        </w:tc>
      </w:tr>
      <w:tr>
        <w:trPr>
          <w:trHeight w:val="98"/>
        </w:trPr>
        <w:tc>
          <w:tcPr>
            <w:tcW w:w="4100" w:type="dxa"/>
            <w:vAlign w:val="bottom"/>
            <w:vMerge w:val="restart"/>
          </w:tcPr>
          <w:p>
            <w:pPr>
              <w:ind w:left="280"/>
              <w:spacing w:after="0"/>
              <w:rPr>
                <w:sz w:val="20"/>
                <w:szCs w:val="20"/>
                <w:color w:val="auto"/>
              </w:rPr>
            </w:pPr>
            <w:r>
              <w:rPr>
                <w:rFonts w:ascii="Arial" w:cs="Arial" w:eastAsia="Arial" w:hAnsi="Arial"/>
                <w:sz w:val="22"/>
                <w:szCs w:val="22"/>
                <w:color w:val="auto"/>
              </w:rPr>
              <w:t>Income (loss) before income taxes</w:t>
            </w:r>
          </w:p>
        </w:tc>
        <w:tc>
          <w:tcPr>
            <w:tcW w:w="6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1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00" w:type="dxa"/>
            <w:vAlign w:val="bottom"/>
          </w:tcPr>
          <w:p>
            <w:pPr>
              <w:ind w:left="320"/>
              <w:spacing w:after="0"/>
              <w:rPr>
                <w:sz w:val="20"/>
                <w:szCs w:val="20"/>
                <w:color w:val="auto"/>
              </w:rPr>
            </w:pPr>
            <w:r>
              <w:rPr>
                <w:rFonts w:ascii="Arial" w:cs="Arial" w:eastAsia="Arial" w:hAnsi="Arial"/>
                <w:sz w:val="22"/>
                <w:szCs w:val="22"/>
                <w:color w:val="auto"/>
              </w:rPr>
              <w:t>and minority interest</w:t>
            </w:r>
          </w:p>
        </w:tc>
        <w:tc>
          <w:tcPr>
            <w:tcW w:w="1040" w:type="dxa"/>
            <w:vAlign w:val="bottom"/>
            <w:gridSpan w:val="2"/>
            <w:vMerge w:val="restart"/>
          </w:tcPr>
          <w:p>
            <w:pPr>
              <w:jc w:val="right"/>
              <w:spacing w:after="0"/>
              <w:rPr>
                <w:sz w:val="20"/>
                <w:szCs w:val="20"/>
                <w:color w:val="auto"/>
              </w:rPr>
            </w:pPr>
            <w:r>
              <w:rPr>
                <w:rFonts w:ascii="Arial" w:cs="Arial" w:eastAsia="Arial" w:hAnsi="Arial"/>
                <w:sz w:val="22"/>
                <w:szCs w:val="22"/>
                <w:color w:val="auto"/>
              </w:rPr>
              <w:t>(1,110)</w:t>
            </w:r>
          </w:p>
        </w:tc>
        <w:tc>
          <w:tcPr>
            <w:tcW w:w="1020" w:type="dxa"/>
            <w:vAlign w:val="bottom"/>
            <w:gridSpan w:val="2"/>
            <w:vMerge w:val="restart"/>
          </w:tcPr>
          <w:p>
            <w:pPr>
              <w:jc w:val="right"/>
              <w:spacing w:after="0"/>
              <w:rPr>
                <w:sz w:val="20"/>
                <w:szCs w:val="20"/>
                <w:color w:val="auto"/>
              </w:rPr>
            </w:pPr>
            <w:r>
              <w:rPr>
                <w:rFonts w:ascii="Arial" w:cs="Arial" w:eastAsia="Arial" w:hAnsi="Arial"/>
                <w:sz w:val="22"/>
                <w:szCs w:val="22"/>
                <w:color w:val="auto"/>
              </w:rPr>
              <w:t>7,857</w:t>
            </w:r>
          </w:p>
        </w:tc>
        <w:tc>
          <w:tcPr>
            <w:tcW w:w="980" w:type="dxa"/>
            <w:vAlign w:val="bottom"/>
            <w:gridSpan w:val="2"/>
            <w:vMerge w:val="restart"/>
          </w:tcPr>
          <w:p>
            <w:pPr>
              <w:jc w:val="right"/>
              <w:spacing w:after="0"/>
              <w:rPr>
                <w:sz w:val="20"/>
                <w:szCs w:val="20"/>
                <w:color w:val="auto"/>
              </w:rPr>
            </w:pPr>
            <w:r>
              <w:rPr>
                <w:rFonts w:ascii="Arial" w:cs="Arial" w:eastAsia="Arial" w:hAnsi="Arial"/>
                <w:sz w:val="22"/>
                <w:szCs w:val="22"/>
                <w:color w:val="auto"/>
              </w:rPr>
              <w:t>(1,623)</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22"/>
                <w:szCs w:val="22"/>
                <w:color w:val="auto"/>
              </w:rPr>
              <w:t>18,330</w:t>
            </w: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6"/>
        </w:trPr>
        <w:tc>
          <w:tcPr>
            <w:tcW w:w="4100" w:type="dxa"/>
            <w:vAlign w:val="bottom"/>
          </w:tcPr>
          <w:p>
            <w:pPr>
              <w:spacing w:after="0"/>
              <w:rPr>
                <w:sz w:val="20"/>
                <w:szCs w:val="20"/>
                <w:color w:val="auto"/>
              </w:rPr>
            </w:pPr>
            <w:r>
              <w:rPr>
                <w:rFonts w:ascii="Arial" w:cs="Arial" w:eastAsia="Arial" w:hAnsi="Arial"/>
                <w:sz w:val="22"/>
                <w:szCs w:val="22"/>
                <w:color w:val="auto"/>
              </w:rPr>
              <w:t>Income tax benefit (provision)</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(932)</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6,400</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(2,804)</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rPr>
              <w:t>5,088</w:t>
            </w:r>
          </w:p>
        </w:tc>
        <w:tc>
          <w:tcPr>
            <w:tcW w:w="0" w:type="dxa"/>
            <w:vAlign w:val="bottom"/>
          </w:tcPr>
          <w:p>
            <w:pPr>
              <w:spacing w:after="0"/>
              <w:rPr>
                <w:sz w:val="1"/>
                <w:szCs w:val="1"/>
                <w:color w:val="auto"/>
              </w:rPr>
            </w:pPr>
          </w:p>
        </w:tc>
      </w:tr>
      <w:tr>
        <w:trPr>
          <w:trHeight w:val="98"/>
        </w:trPr>
        <w:tc>
          <w:tcPr>
            <w:tcW w:w="4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100" w:type="dxa"/>
            <w:vAlign w:val="bottom"/>
          </w:tcPr>
          <w:p>
            <w:pPr>
              <w:ind w:left="280"/>
              <w:spacing w:after="0"/>
              <w:rPr>
                <w:sz w:val="20"/>
                <w:szCs w:val="20"/>
                <w:color w:val="auto"/>
              </w:rPr>
            </w:pPr>
            <w:r>
              <w:rPr>
                <w:rFonts w:ascii="Arial" w:cs="Arial" w:eastAsia="Arial" w:hAnsi="Arial"/>
                <w:sz w:val="22"/>
                <w:szCs w:val="22"/>
                <w:color w:val="auto"/>
              </w:rPr>
              <w:t>Income (loss) before minority interest</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(2,042)</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14,257</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(4,427)</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rPr>
              <w:t>23,418</w:t>
            </w:r>
          </w:p>
        </w:tc>
        <w:tc>
          <w:tcPr>
            <w:tcW w:w="0" w:type="dxa"/>
            <w:vAlign w:val="bottom"/>
          </w:tcPr>
          <w:p>
            <w:pPr>
              <w:spacing w:after="0"/>
              <w:rPr>
                <w:sz w:val="1"/>
                <w:szCs w:val="1"/>
                <w:color w:val="auto"/>
              </w:rPr>
            </w:pPr>
          </w:p>
        </w:tc>
      </w:tr>
      <w:tr>
        <w:trPr>
          <w:trHeight w:val="486"/>
        </w:trPr>
        <w:tc>
          <w:tcPr>
            <w:tcW w:w="4100" w:type="dxa"/>
            <w:vAlign w:val="bottom"/>
          </w:tcPr>
          <w:p>
            <w:pPr>
              <w:spacing w:after="0"/>
              <w:rPr>
                <w:sz w:val="20"/>
                <w:szCs w:val="20"/>
                <w:color w:val="auto"/>
              </w:rPr>
            </w:pPr>
            <w:r>
              <w:rPr>
                <w:rFonts w:ascii="Arial" w:cs="Arial" w:eastAsia="Arial" w:hAnsi="Arial"/>
                <w:sz w:val="22"/>
                <w:szCs w:val="22"/>
                <w:color w:val="auto"/>
              </w:rPr>
              <w:t>Minority interest</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(27)</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(191)</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(982)</w:t>
            </w:r>
          </w:p>
        </w:tc>
        <w:tc>
          <w:tcPr>
            <w:tcW w:w="920" w:type="dxa"/>
            <w:vAlign w:val="bottom"/>
            <w:gridSpan w:val="2"/>
          </w:tcPr>
          <w:p>
            <w:pPr>
              <w:jc w:val="right"/>
              <w:ind w:right="40"/>
              <w:spacing w:after="0"/>
              <w:rPr>
                <w:sz w:val="20"/>
                <w:szCs w:val="20"/>
                <w:color w:val="auto"/>
              </w:rPr>
            </w:pPr>
            <w:r>
              <w:rPr>
                <w:rFonts w:ascii="Arial" w:cs="Arial" w:eastAsia="Arial" w:hAnsi="Arial"/>
                <w:sz w:val="22"/>
                <w:szCs w:val="22"/>
                <w:color w:val="auto"/>
              </w:rPr>
              <w:t>(1,495)</w:t>
            </w:r>
          </w:p>
        </w:tc>
        <w:tc>
          <w:tcPr>
            <w:tcW w:w="0" w:type="dxa"/>
            <w:vAlign w:val="bottom"/>
          </w:tcPr>
          <w:p>
            <w:pPr>
              <w:spacing w:after="0"/>
              <w:rPr>
                <w:sz w:val="1"/>
                <w:szCs w:val="1"/>
                <w:color w:val="auto"/>
              </w:rPr>
            </w:pPr>
          </w:p>
        </w:tc>
      </w:tr>
      <w:tr>
        <w:trPr>
          <w:trHeight w:val="98"/>
        </w:trPr>
        <w:tc>
          <w:tcPr>
            <w:tcW w:w="4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8" w:right="1440" w:bottom="0" w:gutter="0" w:footer="0" w:header="0"/>
        </w:sectPr>
      </w:pPr>
    </w:p>
    <w:bookmarkStart w:id="4" w:name="page5"/>
    <w:bookmarkEnd w:id="4"/>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75"/>
        </w:trPr>
        <w:tc>
          <w:tcPr>
            <w:tcW w:w="4160" w:type="dxa"/>
            <w:vAlign w:val="bottom"/>
          </w:tcPr>
          <w:p>
            <w:pPr>
              <w:spacing w:after="0"/>
              <w:rPr>
                <w:sz w:val="20"/>
                <w:szCs w:val="20"/>
                <w:color w:val="auto"/>
              </w:rPr>
            </w:pPr>
            <w:r>
              <w:rPr>
                <w:rFonts w:ascii="Arial" w:cs="Arial" w:eastAsia="Arial" w:hAnsi="Arial"/>
                <w:sz w:val="22"/>
                <w:szCs w:val="22"/>
                <w:color w:val="auto"/>
              </w:rPr>
              <w:t>Net income (loss)</w:t>
            </w:r>
          </w:p>
        </w:tc>
        <w:tc>
          <w:tcPr>
            <w:tcW w:w="980" w:type="dxa"/>
            <w:vAlign w:val="bottom"/>
          </w:tcPr>
          <w:p>
            <w:pPr>
              <w:jc w:val="right"/>
              <w:spacing w:after="0"/>
              <w:rPr>
                <w:sz w:val="20"/>
                <w:szCs w:val="20"/>
                <w:color w:val="auto"/>
              </w:rPr>
            </w:pPr>
            <w:r>
              <w:rPr>
                <w:rFonts w:ascii="Arial" w:cs="Arial" w:eastAsia="Arial" w:hAnsi="Arial"/>
                <w:sz w:val="22"/>
                <w:szCs w:val="22"/>
                <w:color w:val="auto"/>
              </w:rPr>
              <w:t>$ (2,069)</w:t>
            </w: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rPr>
              <w:t>$ 14,066</w:t>
            </w:r>
          </w:p>
        </w:tc>
        <w:tc>
          <w:tcPr>
            <w:tcW w:w="960" w:type="dxa"/>
            <w:vAlign w:val="bottom"/>
            <w:gridSpan w:val="2"/>
          </w:tcPr>
          <w:p>
            <w:pPr>
              <w:jc w:val="right"/>
              <w:ind w:right="40"/>
              <w:spacing w:after="0"/>
              <w:rPr>
                <w:sz w:val="20"/>
                <w:szCs w:val="20"/>
                <w:color w:val="auto"/>
              </w:rPr>
            </w:pPr>
            <w:r>
              <w:rPr>
                <w:rFonts w:ascii="Arial" w:cs="Arial" w:eastAsia="Arial" w:hAnsi="Arial"/>
                <w:sz w:val="22"/>
                <w:szCs w:val="22"/>
                <w:color w:val="auto"/>
              </w:rPr>
              <w:t>$ (5,409)</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w w:val="95"/>
              </w:rPr>
              <w:t>$ 21,923</w:t>
            </w:r>
          </w:p>
        </w:tc>
        <w:tc>
          <w:tcPr>
            <w:tcW w:w="0" w:type="dxa"/>
            <w:vAlign w:val="bottom"/>
          </w:tcPr>
          <w:p>
            <w:pPr>
              <w:spacing w:after="0"/>
              <w:rPr>
                <w:sz w:val="1"/>
                <w:szCs w:val="1"/>
                <w:color w:val="auto"/>
              </w:rPr>
            </w:pPr>
          </w:p>
        </w:tc>
      </w:tr>
      <w:tr>
        <w:trPr>
          <w:trHeight w:val="122"/>
        </w:trPr>
        <w:tc>
          <w:tcPr>
            <w:tcW w:w="4160" w:type="dxa"/>
            <w:vAlign w:val="bottom"/>
            <w:vMerge w:val="restart"/>
          </w:tcPr>
          <w:p>
            <w:pPr>
              <w:spacing w:after="0"/>
              <w:rPr>
                <w:sz w:val="20"/>
                <w:szCs w:val="20"/>
                <w:color w:val="auto"/>
              </w:rPr>
            </w:pPr>
            <w:r>
              <w:rPr>
                <w:rFonts w:ascii="Arial" w:cs="Arial" w:eastAsia="Arial" w:hAnsi="Arial"/>
                <w:sz w:val="22"/>
                <w:szCs w:val="22"/>
                <w:color w:val="auto"/>
              </w:rPr>
              <w:t>Earnings (loss) per share:</w:t>
            </w:r>
          </w:p>
        </w:tc>
        <w:tc>
          <w:tcPr>
            <w:tcW w:w="9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41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160" w:type="dxa"/>
            <w:vAlign w:val="bottom"/>
          </w:tcPr>
          <w:p>
            <w:pPr>
              <w:ind w:left="280"/>
              <w:spacing w:after="0"/>
              <w:rPr>
                <w:sz w:val="20"/>
                <w:szCs w:val="20"/>
                <w:color w:val="auto"/>
              </w:rPr>
            </w:pPr>
            <w:r>
              <w:rPr>
                <w:rFonts w:ascii="Arial" w:cs="Arial" w:eastAsia="Arial" w:hAnsi="Arial"/>
                <w:sz w:val="22"/>
                <w:szCs w:val="22"/>
                <w:color w:val="auto"/>
              </w:rPr>
              <w:t>Basic</w:t>
            </w:r>
          </w:p>
        </w:tc>
        <w:tc>
          <w:tcPr>
            <w:tcW w:w="980" w:type="dxa"/>
            <w:vAlign w:val="bottom"/>
          </w:tcPr>
          <w:p>
            <w:pPr>
              <w:jc w:val="right"/>
              <w:spacing w:after="0"/>
              <w:rPr>
                <w:sz w:val="20"/>
                <w:szCs w:val="20"/>
                <w:color w:val="auto"/>
              </w:rPr>
            </w:pPr>
            <w:r>
              <w:rPr>
                <w:rFonts w:ascii="Arial" w:cs="Arial" w:eastAsia="Arial" w:hAnsi="Arial"/>
                <w:sz w:val="22"/>
                <w:szCs w:val="22"/>
                <w:color w:val="auto"/>
              </w:rPr>
              <w:t>$(0.05)</w:t>
            </w: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rPr>
              <w:t>$0.34</w:t>
            </w:r>
          </w:p>
        </w:tc>
        <w:tc>
          <w:tcPr>
            <w:tcW w:w="960" w:type="dxa"/>
            <w:vAlign w:val="bottom"/>
            <w:gridSpan w:val="2"/>
          </w:tcPr>
          <w:p>
            <w:pPr>
              <w:jc w:val="right"/>
              <w:ind w:right="40"/>
              <w:spacing w:after="0"/>
              <w:rPr>
                <w:sz w:val="20"/>
                <w:szCs w:val="20"/>
                <w:color w:val="auto"/>
              </w:rPr>
            </w:pPr>
            <w:r>
              <w:rPr>
                <w:rFonts w:ascii="Arial" w:cs="Arial" w:eastAsia="Arial" w:hAnsi="Arial"/>
                <w:sz w:val="22"/>
                <w:szCs w:val="22"/>
                <w:color w:val="auto"/>
              </w:rPr>
              <w:t>$(0.13)</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rPr>
              <w:t>$0.53</w:t>
            </w:r>
          </w:p>
        </w:tc>
        <w:tc>
          <w:tcPr>
            <w:tcW w:w="0" w:type="dxa"/>
            <w:vAlign w:val="bottom"/>
          </w:tcPr>
          <w:p>
            <w:pPr>
              <w:spacing w:after="0"/>
              <w:rPr>
                <w:sz w:val="1"/>
                <w:szCs w:val="1"/>
                <w:color w:val="auto"/>
              </w:rPr>
            </w:pPr>
          </w:p>
        </w:tc>
      </w:tr>
      <w:tr>
        <w:trPr>
          <w:trHeight w:val="122"/>
        </w:trPr>
        <w:tc>
          <w:tcPr>
            <w:tcW w:w="4160" w:type="dxa"/>
            <w:vAlign w:val="bottom"/>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4160" w:type="dxa"/>
            <w:vAlign w:val="bottom"/>
          </w:tcPr>
          <w:p>
            <w:pPr>
              <w:ind w:left="280"/>
              <w:spacing w:after="0"/>
              <w:rPr>
                <w:sz w:val="20"/>
                <w:szCs w:val="20"/>
                <w:color w:val="auto"/>
              </w:rPr>
            </w:pPr>
            <w:r>
              <w:rPr>
                <w:rFonts w:ascii="Arial" w:cs="Arial" w:eastAsia="Arial" w:hAnsi="Arial"/>
                <w:sz w:val="22"/>
                <w:szCs w:val="22"/>
                <w:color w:val="auto"/>
              </w:rPr>
              <w:t>Diluted</w:t>
            </w:r>
          </w:p>
        </w:tc>
        <w:tc>
          <w:tcPr>
            <w:tcW w:w="980" w:type="dxa"/>
            <w:vAlign w:val="bottom"/>
          </w:tcPr>
          <w:p>
            <w:pPr>
              <w:jc w:val="right"/>
              <w:spacing w:after="0"/>
              <w:rPr>
                <w:sz w:val="20"/>
                <w:szCs w:val="20"/>
                <w:color w:val="auto"/>
              </w:rPr>
            </w:pPr>
            <w:r>
              <w:rPr>
                <w:rFonts w:ascii="Arial" w:cs="Arial" w:eastAsia="Arial" w:hAnsi="Arial"/>
                <w:sz w:val="22"/>
                <w:szCs w:val="22"/>
                <w:color w:val="auto"/>
              </w:rPr>
              <w:t>$(0.05)</w:t>
            </w: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rPr>
              <w:t>$0.30</w:t>
            </w:r>
          </w:p>
        </w:tc>
        <w:tc>
          <w:tcPr>
            <w:tcW w:w="960" w:type="dxa"/>
            <w:vAlign w:val="bottom"/>
            <w:gridSpan w:val="2"/>
          </w:tcPr>
          <w:p>
            <w:pPr>
              <w:jc w:val="right"/>
              <w:ind w:right="40"/>
              <w:spacing w:after="0"/>
              <w:rPr>
                <w:sz w:val="20"/>
                <w:szCs w:val="20"/>
                <w:color w:val="auto"/>
              </w:rPr>
            </w:pPr>
            <w:r>
              <w:rPr>
                <w:rFonts w:ascii="Arial" w:cs="Arial" w:eastAsia="Arial" w:hAnsi="Arial"/>
                <w:sz w:val="22"/>
                <w:szCs w:val="22"/>
                <w:color w:val="auto"/>
              </w:rPr>
              <w:t>$(0.13)</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rPr>
              <w:t>$0.47</w:t>
            </w:r>
          </w:p>
        </w:tc>
        <w:tc>
          <w:tcPr>
            <w:tcW w:w="0" w:type="dxa"/>
            <w:vAlign w:val="bottom"/>
          </w:tcPr>
          <w:p>
            <w:pPr>
              <w:spacing w:after="0"/>
              <w:rPr>
                <w:sz w:val="1"/>
                <w:szCs w:val="1"/>
                <w:color w:val="auto"/>
              </w:rPr>
            </w:pPr>
          </w:p>
        </w:tc>
      </w:tr>
      <w:tr>
        <w:trPr>
          <w:trHeight w:val="122"/>
        </w:trPr>
        <w:tc>
          <w:tcPr>
            <w:tcW w:w="4160" w:type="dxa"/>
            <w:vAlign w:val="bottom"/>
            <w:vMerge w:val="restart"/>
          </w:tcPr>
          <w:p>
            <w:pPr>
              <w:spacing w:after="0"/>
              <w:rPr>
                <w:sz w:val="20"/>
                <w:szCs w:val="20"/>
                <w:color w:val="auto"/>
              </w:rPr>
            </w:pPr>
            <w:r>
              <w:rPr>
                <w:rFonts w:ascii="Arial" w:cs="Arial" w:eastAsia="Arial" w:hAnsi="Arial"/>
                <w:sz w:val="22"/>
                <w:szCs w:val="22"/>
                <w:color w:val="auto"/>
                <w:w w:val="92"/>
              </w:rPr>
              <w:t>Weighted average number of common shares</w:t>
            </w:r>
          </w:p>
        </w:tc>
        <w:tc>
          <w:tcPr>
            <w:tcW w:w="9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41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60" w:type="dxa"/>
            <w:vAlign w:val="bottom"/>
          </w:tcPr>
          <w:p>
            <w:pPr>
              <w:ind w:left="160"/>
              <w:spacing w:after="0"/>
              <w:rPr>
                <w:sz w:val="20"/>
                <w:szCs w:val="20"/>
                <w:color w:val="auto"/>
              </w:rPr>
            </w:pPr>
            <w:r>
              <w:rPr>
                <w:rFonts w:ascii="Arial" w:cs="Arial" w:eastAsia="Arial" w:hAnsi="Arial"/>
                <w:sz w:val="22"/>
                <w:szCs w:val="22"/>
                <w:color w:val="auto"/>
              </w:rPr>
              <w:t>outstanding:</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160" w:type="dxa"/>
            <w:vAlign w:val="bottom"/>
          </w:tcPr>
          <w:p>
            <w:pPr>
              <w:ind w:left="280"/>
              <w:spacing w:after="0"/>
              <w:rPr>
                <w:sz w:val="20"/>
                <w:szCs w:val="20"/>
                <w:color w:val="auto"/>
              </w:rPr>
            </w:pPr>
            <w:r>
              <w:rPr>
                <w:rFonts w:ascii="Arial" w:cs="Arial" w:eastAsia="Arial" w:hAnsi="Arial"/>
                <w:sz w:val="22"/>
                <w:szCs w:val="22"/>
                <w:color w:val="auto"/>
              </w:rPr>
              <w:t>Basic</w:t>
            </w:r>
          </w:p>
        </w:tc>
        <w:tc>
          <w:tcPr>
            <w:tcW w:w="980" w:type="dxa"/>
            <w:vAlign w:val="bottom"/>
          </w:tcPr>
          <w:p>
            <w:pPr>
              <w:jc w:val="right"/>
              <w:spacing w:after="0"/>
              <w:rPr>
                <w:sz w:val="20"/>
                <w:szCs w:val="20"/>
                <w:color w:val="auto"/>
              </w:rPr>
            </w:pPr>
            <w:r>
              <w:rPr>
                <w:rFonts w:ascii="Arial" w:cs="Arial" w:eastAsia="Arial" w:hAnsi="Arial"/>
                <w:sz w:val="22"/>
                <w:szCs w:val="22"/>
                <w:color w:val="auto"/>
              </w:rPr>
              <w:t>41,638</w:t>
            </w: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rPr>
              <w:t>41,513</w:t>
            </w:r>
          </w:p>
        </w:tc>
        <w:tc>
          <w:tcPr>
            <w:tcW w:w="960" w:type="dxa"/>
            <w:vAlign w:val="bottom"/>
            <w:gridSpan w:val="2"/>
          </w:tcPr>
          <w:p>
            <w:pPr>
              <w:jc w:val="right"/>
              <w:ind w:right="80"/>
              <w:spacing w:after="0"/>
              <w:rPr>
                <w:sz w:val="20"/>
                <w:szCs w:val="20"/>
                <w:color w:val="auto"/>
              </w:rPr>
            </w:pPr>
            <w:r>
              <w:rPr>
                <w:rFonts w:ascii="Arial" w:cs="Arial" w:eastAsia="Arial" w:hAnsi="Arial"/>
                <w:sz w:val="22"/>
                <w:szCs w:val="22"/>
                <w:color w:val="auto"/>
              </w:rPr>
              <w:t>41,632</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rPr>
              <w:t>41,494</w:t>
            </w:r>
          </w:p>
        </w:tc>
        <w:tc>
          <w:tcPr>
            <w:tcW w:w="0" w:type="dxa"/>
            <w:vAlign w:val="bottom"/>
          </w:tcPr>
          <w:p>
            <w:pPr>
              <w:spacing w:after="0"/>
              <w:rPr>
                <w:sz w:val="1"/>
                <w:szCs w:val="1"/>
                <w:color w:val="auto"/>
              </w:rPr>
            </w:pPr>
          </w:p>
        </w:tc>
      </w:tr>
      <w:tr>
        <w:trPr>
          <w:trHeight w:val="122"/>
        </w:trPr>
        <w:tc>
          <w:tcPr>
            <w:tcW w:w="4160" w:type="dxa"/>
            <w:vAlign w:val="bottom"/>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58"/>
        </w:trPr>
        <w:tc>
          <w:tcPr>
            <w:tcW w:w="4160" w:type="dxa"/>
            <w:vAlign w:val="bottom"/>
          </w:tcPr>
          <w:p>
            <w:pPr>
              <w:ind w:left="280"/>
              <w:spacing w:after="0"/>
              <w:rPr>
                <w:sz w:val="20"/>
                <w:szCs w:val="20"/>
                <w:color w:val="auto"/>
              </w:rPr>
            </w:pPr>
            <w:r>
              <w:rPr>
                <w:rFonts w:ascii="Arial" w:cs="Arial" w:eastAsia="Arial" w:hAnsi="Arial"/>
                <w:sz w:val="22"/>
                <w:szCs w:val="22"/>
                <w:color w:val="auto"/>
              </w:rPr>
              <w:t>Diluted</w:t>
            </w:r>
          </w:p>
        </w:tc>
        <w:tc>
          <w:tcPr>
            <w:tcW w:w="980" w:type="dxa"/>
            <w:vAlign w:val="bottom"/>
          </w:tcPr>
          <w:p>
            <w:pPr>
              <w:jc w:val="right"/>
              <w:spacing w:after="0"/>
              <w:rPr>
                <w:sz w:val="20"/>
                <w:szCs w:val="20"/>
                <w:color w:val="auto"/>
              </w:rPr>
            </w:pPr>
            <w:r>
              <w:rPr>
                <w:rFonts w:ascii="Arial" w:cs="Arial" w:eastAsia="Arial" w:hAnsi="Arial"/>
                <w:sz w:val="22"/>
                <w:szCs w:val="22"/>
                <w:color w:val="auto"/>
              </w:rPr>
              <w:t>41,638</w:t>
            </w: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rPr>
              <w:t>51,399</w:t>
            </w:r>
          </w:p>
        </w:tc>
        <w:tc>
          <w:tcPr>
            <w:tcW w:w="960" w:type="dxa"/>
            <w:vAlign w:val="bottom"/>
            <w:gridSpan w:val="2"/>
          </w:tcPr>
          <w:p>
            <w:pPr>
              <w:jc w:val="right"/>
              <w:ind w:right="80"/>
              <w:spacing w:after="0"/>
              <w:rPr>
                <w:sz w:val="20"/>
                <w:szCs w:val="20"/>
                <w:color w:val="auto"/>
              </w:rPr>
            </w:pPr>
            <w:r>
              <w:rPr>
                <w:rFonts w:ascii="Arial" w:cs="Arial" w:eastAsia="Arial" w:hAnsi="Arial"/>
                <w:sz w:val="22"/>
                <w:szCs w:val="22"/>
                <w:color w:val="auto"/>
              </w:rPr>
              <w:t>41,632</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rPr>
              <w:t>51,380</w:t>
            </w:r>
          </w:p>
        </w:tc>
        <w:tc>
          <w:tcPr>
            <w:tcW w:w="0" w:type="dxa"/>
            <w:vAlign w:val="bottom"/>
          </w:tcPr>
          <w:p>
            <w:pPr>
              <w:spacing w:after="0"/>
              <w:rPr>
                <w:sz w:val="1"/>
                <w:szCs w:val="1"/>
                <w:color w:val="auto"/>
              </w:rPr>
            </w:pPr>
          </w:p>
        </w:tc>
      </w:tr>
      <w:tr>
        <w:trPr>
          <w:trHeight w:val="122"/>
        </w:trPr>
        <w:tc>
          <w:tcPr>
            <w:tcW w:w="4160" w:type="dxa"/>
            <w:vAlign w:val="bottom"/>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bottom w:val="single" w:sz="8" w:color="336699"/>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-2070100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-2070100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-2070100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-2070100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-2070100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-2070100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-2070100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-2070100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-1443990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-1443990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-1443990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-1443990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-1443990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-1443990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-1443990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-1443990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-1127125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-1127125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-1127125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-1127125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-1127125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-1127125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-1127125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-1127125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-346710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-346710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-346710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-346710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-346710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-346710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-346710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-346710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Condensed Consolidated Statements of Cash Flows</w:t>
      </w:r>
    </w:p>
    <w:p>
      <w:pPr>
        <w:jc w:val="center"/>
        <w:spacing w:after="0" w:line="230" w:lineRule="auto"/>
        <w:rPr>
          <w:sz w:val="20"/>
          <w:szCs w:val="20"/>
          <w:color w:val="auto"/>
        </w:rPr>
      </w:pPr>
      <w:r>
        <w:rPr>
          <w:rFonts w:ascii="Arial" w:cs="Arial" w:eastAsia="Arial" w:hAnsi="Arial"/>
          <w:sz w:val="22"/>
          <w:szCs w:val="22"/>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560" w:type="dxa"/>
        <w:tblCellMar>
          <w:top w:w="0" w:type="dxa"/>
          <w:left w:w="0" w:type="dxa"/>
          <w:bottom w:w="0" w:type="dxa"/>
          <w:right w:w="0" w:type="dxa"/>
        </w:tblCellMar>
      </w:tblPr>
      <w:tr>
        <w:trPr>
          <w:trHeight w:val="281"/>
        </w:trPr>
        <w:tc>
          <w:tcPr>
            <w:tcW w:w="5920" w:type="dxa"/>
            <w:vAlign w:val="bottom"/>
          </w:tcPr>
          <w:p>
            <w:pPr>
              <w:spacing w:after="0"/>
              <w:rPr>
                <w:sz w:val="24"/>
                <w:szCs w:val="24"/>
                <w:color w:val="auto"/>
              </w:rPr>
            </w:pPr>
          </w:p>
        </w:tc>
        <w:tc>
          <w:tcPr>
            <w:tcW w:w="2020" w:type="dxa"/>
            <w:vAlign w:val="bottom"/>
            <w:gridSpan w:val="3"/>
          </w:tcPr>
          <w:p>
            <w:pPr>
              <w:jc w:val="right"/>
              <w:ind w:right="72"/>
              <w:spacing w:after="0"/>
              <w:rPr>
                <w:sz w:val="20"/>
                <w:szCs w:val="20"/>
                <w:color w:val="auto"/>
              </w:rPr>
            </w:pPr>
            <w:r>
              <w:rPr>
                <w:rFonts w:ascii="Arial" w:cs="Arial" w:eastAsia="Arial" w:hAnsi="Arial"/>
                <w:sz w:val="22"/>
                <w:szCs w:val="22"/>
                <w:b w:val="1"/>
                <w:bCs w:val="1"/>
                <w:color w:val="auto"/>
                <w:w w:val="95"/>
              </w:rPr>
              <w:t>Six Months Ended</w:t>
            </w:r>
          </w:p>
        </w:tc>
        <w:tc>
          <w:tcPr>
            <w:tcW w:w="0" w:type="dxa"/>
            <w:vAlign w:val="bottom"/>
          </w:tcPr>
          <w:p>
            <w:pPr>
              <w:spacing w:after="0"/>
              <w:rPr>
                <w:sz w:val="1"/>
                <w:szCs w:val="1"/>
                <w:color w:val="auto"/>
              </w:rPr>
            </w:pPr>
          </w:p>
        </w:tc>
      </w:tr>
      <w:tr>
        <w:trPr>
          <w:trHeight w:val="98"/>
        </w:trPr>
        <w:tc>
          <w:tcPr>
            <w:tcW w:w="59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59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w w:val="94"/>
              </w:rPr>
              <w:t>April 27,</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w w:val="94"/>
              </w:rPr>
              <w:t>April 29,</w:t>
            </w:r>
          </w:p>
        </w:tc>
        <w:tc>
          <w:tcPr>
            <w:tcW w:w="0" w:type="dxa"/>
            <w:vAlign w:val="bottom"/>
          </w:tcPr>
          <w:p>
            <w:pPr>
              <w:spacing w:after="0"/>
              <w:rPr>
                <w:sz w:val="1"/>
                <w:szCs w:val="1"/>
                <w:color w:val="auto"/>
              </w:rPr>
            </w:pPr>
          </w:p>
        </w:tc>
      </w:tr>
      <w:tr>
        <w:trPr>
          <w:trHeight w:val="281"/>
        </w:trPr>
        <w:tc>
          <w:tcPr>
            <w:tcW w:w="5920" w:type="dxa"/>
            <w:vAlign w:val="bottom"/>
          </w:tcPr>
          <w:p>
            <w:pPr>
              <w:spacing w:after="0"/>
              <w:rPr>
                <w:sz w:val="24"/>
                <w:szCs w:val="24"/>
                <w:color w:val="auto"/>
              </w:rPr>
            </w:pPr>
          </w:p>
        </w:tc>
        <w:tc>
          <w:tcPr>
            <w:tcW w:w="880" w:type="dxa"/>
            <w:vAlign w:val="bottom"/>
          </w:tcPr>
          <w:p>
            <w:pPr>
              <w:jc w:val="right"/>
              <w:ind w:right="132"/>
              <w:spacing w:after="0"/>
              <w:rPr>
                <w:sz w:val="20"/>
                <w:szCs w:val="20"/>
                <w:color w:val="auto"/>
              </w:rPr>
            </w:pPr>
            <w:r>
              <w:rPr>
                <w:rFonts w:ascii="Arial" w:cs="Arial" w:eastAsia="Arial" w:hAnsi="Arial"/>
                <w:sz w:val="22"/>
                <w:szCs w:val="22"/>
                <w:b w:val="1"/>
                <w:bCs w:val="1"/>
                <w:color w:val="auto"/>
              </w:rPr>
              <w:t>2008</w:t>
            </w:r>
          </w:p>
        </w:tc>
        <w:tc>
          <w:tcPr>
            <w:tcW w:w="1140" w:type="dxa"/>
            <w:vAlign w:val="bottom"/>
            <w:gridSpan w:val="2"/>
          </w:tcPr>
          <w:p>
            <w:pPr>
              <w:jc w:val="right"/>
              <w:ind w:right="152"/>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5920" w:type="dxa"/>
            <w:vAlign w:val="bottom"/>
            <w:vMerge w:val="restart"/>
          </w:tcPr>
          <w:p>
            <w:pPr>
              <w:spacing w:after="0"/>
              <w:rPr>
                <w:sz w:val="20"/>
                <w:szCs w:val="20"/>
                <w:color w:val="auto"/>
              </w:rPr>
            </w:pPr>
            <w:r>
              <w:rPr>
                <w:rFonts w:ascii="Arial" w:cs="Arial" w:eastAsia="Arial" w:hAnsi="Arial"/>
                <w:sz w:val="22"/>
                <w:szCs w:val="22"/>
                <w:color w:val="auto"/>
              </w:rPr>
              <w:t>Cash flows from operating activities:</w:t>
            </w:r>
          </w:p>
        </w:tc>
        <w:tc>
          <w:tcPr>
            <w:tcW w:w="8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59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220"/>
              <w:spacing w:after="0" w:line="243" w:lineRule="exact"/>
              <w:rPr>
                <w:sz w:val="20"/>
                <w:szCs w:val="20"/>
                <w:color w:val="auto"/>
              </w:rPr>
            </w:pPr>
            <w:r>
              <w:rPr>
                <w:rFonts w:ascii="Arial" w:cs="Arial" w:eastAsia="Arial" w:hAnsi="Arial"/>
                <w:sz w:val="22"/>
                <w:szCs w:val="22"/>
                <w:color w:val="auto"/>
              </w:rPr>
              <w:t>Net income (loss)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$(5,409)</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$ 21,923</w:t>
            </w:r>
          </w:p>
        </w:tc>
        <w:tc>
          <w:tcPr>
            <w:tcW w:w="0" w:type="dxa"/>
            <w:vAlign w:val="bottom"/>
          </w:tcPr>
          <w:p>
            <w:pPr>
              <w:spacing w:after="0"/>
              <w:rPr>
                <w:sz w:val="1"/>
                <w:szCs w:val="1"/>
                <w:color w:val="auto"/>
              </w:rPr>
            </w:pPr>
          </w:p>
        </w:tc>
      </w:tr>
      <w:tr>
        <w:trPr>
          <w:trHeight w:val="243"/>
        </w:trPr>
        <w:tc>
          <w:tcPr>
            <w:tcW w:w="5920" w:type="dxa"/>
            <w:vAlign w:val="bottom"/>
          </w:tcPr>
          <w:p>
            <w:pPr>
              <w:ind w:left="200"/>
              <w:spacing w:after="0" w:line="243" w:lineRule="exact"/>
              <w:rPr>
                <w:sz w:val="20"/>
                <w:szCs w:val="20"/>
                <w:color w:val="auto"/>
              </w:rPr>
            </w:pPr>
            <w:r>
              <w:rPr>
                <w:rFonts w:ascii="Arial" w:cs="Arial" w:eastAsia="Arial" w:hAnsi="Arial"/>
                <w:sz w:val="22"/>
                <w:szCs w:val="22"/>
                <w:color w:val="auto"/>
              </w:rPr>
              <w:t>Adjustments to reconcile net income (loss)</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380"/>
              <w:spacing w:after="0" w:line="243" w:lineRule="exact"/>
              <w:rPr>
                <w:sz w:val="20"/>
                <w:szCs w:val="20"/>
                <w:color w:val="auto"/>
              </w:rPr>
            </w:pPr>
            <w:r>
              <w:rPr>
                <w:rFonts w:ascii="Arial" w:cs="Arial" w:eastAsia="Arial" w:hAnsi="Arial"/>
                <w:sz w:val="22"/>
                <w:szCs w:val="22"/>
                <w:color w:val="auto"/>
              </w:rPr>
              <w:t>to net cash provided by operating activities:</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700"/>
              <w:spacing w:after="0" w:line="243" w:lineRule="exact"/>
              <w:rPr>
                <w:sz w:val="20"/>
                <w:szCs w:val="20"/>
                <w:color w:val="auto"/>
              </w:rPr>
            </w:pPr>
            <w:r>
              <w:rPr>
                <w:rFonts w:ascii="Arial" w:cs="Arial" w:eastAsia="Arial" w:hAnsi="Arial"/>
                <w:sz w:val="22"/>
                <w:szCs w:val="22"/>
                <w:color w:val="auto"/>
              </w:rPr>
              <w:t>Depreciation and amortization</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51,280</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47,840</w:t>
            </w:r>
          </w:p>
        </w:tc>
        <w:tc>
          <w:tcPr>
            <w:tcW w:w="0" w:type="dxa"/>
            <w:vAlign w:val="bottom"/>
          </w:tcPr>
          <w:p>
            <w:pPr>
              <w:spacing w:after="0"/>
              <w:rPr>
                <w:sz w:val="1"/>
                <w:szCs w:val="1"/>
                <w:color w:val="auto"/>
              </w:rPr>
            </w:pPr>
          </w:p>
        </w:tc>
      </w:tr>
      <w:tr>
        <w:trPr>
          <w:trHeight w:val="243"/>
        </w:trPr>
        <w:tc>
          <w:tcPr>
            <w:tcW w:w="5920" w:type="dxa"/>
            <w:vAlign w:val="bottom"/>
          </w:tcPr>
          <w:p>
            <w:pPr>
              <w:ind w:left="700"/>
              <w:spacing w:after="0" w:line="243" w:lineRule="exact"/>
              <w:rPr>
                <w:sz w:val="20"/>
                <w:szCs w:val="20"/>
                <w:color w:val="auto"/>
              </w:rPr>
            </w:pPr>
            <w:r>
              <w:rPr>
                <w:rFonts w:ascii="Arial" w:cs="Arial" w:eastAsia="Arial" w:hAnsi="Arial"/>
                <w:sz w:val="22"/>
                <w:szCs w:val="22"/>
                <w:color w:val="auto"/>
              </w:rPr>
              <w:t>Gain on sale of facility</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(2,254)</w:t>
            </w:r>
          </w:p>
        </w:tc>
        <w:tc>
          <w:tcPr>
            <w:tcW w:w="0" w:type="dxa"/>
            <w:vAlign w:val="bottom"/>
          </w:tcPr>
          <w:p>
            <w:pPr>
              <w:spacing w:after="0"/>
              <w:rPr>
                <w:sz w:val="1"/>
                <w:szCs w:val="1"/>
                <w:color w:val="auto"/>
              </w:rPr>
            </w:pPr>
          </w:p>
        </w:tc>
      </w:tr>
      <w:tr>
        <w:trPr>
          <w:trHeight w:val="243"/>
        </w:trPr>
        <w:tc>
          <w:tcPr>
            <w:tcW w:w="5920" w:type="dxa"/>
            <w:vAlign w:val="bottom"/>
          </w:tcPr>
          <w:p>
            <w:pPr>
              <w:ind w:left="700"/>
              <w:spacing w:after="0" w:line="243" w:lineRule="exact"/>
              <w:rPr>
                <w:sz w:val="20"/>
                <w:szCs w:val="20"/>
                <w:color w:val="auto"/>
              </w:rPr>
            </w:pPr>
            <w:r>
              <w:rPr>
                <w:rFonts w:ascii="Arial" w:cs="Arial" w:eastAsia="Arial" w:hAnsi="Arial"/>
                <w:sz w:val="22"/>
                <w:szCs w:val="22"/>
                <w:color w:val="auto"/>
                <w:w w:val="97"/>
              </w:rPr>
              <w:t>Minority interest in income of consolidated subsidiaries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982</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1,495</w:t>
            </w:r>
          </w:p>
        </w:tc>
        <w:tc>
          <w:tcPr>
            <w:tcW w:w="0" w:type="dxa"/>
            <w:vAlign w:val="bottom"/>
          </w:tcPr>
          <w:p>
            <w:pPr>
              <w:spacing w:after="0"/>
              <w:rPr>
                <w:sz w:val="1"/>
                <w:szCs w:val="1"/>
                <w:color w:val="auto"/>
              </w:rPr>
            </w:pPr>
          </w:p>
        </w:tc>
      </w:tr>
      <w:tr>
        <w:trPr>
          <w:trHeight w:val="243"/>
        </w:trPr>
        <w:tc>
          <w:tcPr>
            <w:tcW w:w="5920" w:type="dxa"/>
            <w:vAlign w:val="bottom"/>
          </w:tcPr>
          <w:p>
            <w:pPr>
              <w:ind w:left="700"/>
              <w:spacing w:after="0" w:line="243" w:lineRule="exact"/>
              <w:rPr>
                <w:sz w:val="20"/>
                <w:szCs w:val="20"/>
                <w:color w:val="auto"/>
              </w:rPr>
            </w:pPr>
            <w:r>
              <w:rPr>
                <w:rFonts w:ascii="Arial" w:cs="Arial" w:eastAsia="Arial" w:hAnsi="Arial"/>
                <w:sz w:val="22"/>
                <w:szCs w:val="22"/>
                <w:color w:val="auto"/>
              </w:rPr>
              <w:t>Changes in assets and liabilities:</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960"/>
              <w:spacing w:after="0" w:line="243" w:lineRule="exact"/>
              <w:rPr>
                <w:sz w:val="20"/>
                <w:szCs w:val="20"/>
                <w:color w:val="auto"/>
              </w:rPr>
            </w:pPr>
            <w:r>
              <w:rPr>
                <w:rFonts w:ascii="Arial" w:cs="Arial" w:eastAsia="Arial" w:hAnsi="Arial"/>
                <w:sz w:val="22"/>
                <w:szCs w:val="22"/>
                <w:color w:val="auto"/>
              </w:rPr>
              <w:t>Accounts receivable</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(10,267)</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8,973</w:t>
            </w:r>
          </w:p>
        </w:tc>
        <w:tc>
          <w:tcPr>
            <w:tcW w:w="0" w:type="dxa"/>
            <w:vAlign w:val="bottom"/>
          </w:tcPr>
          <w:p>
            <w:pPr>
              <w:spacing w:after="0"/>
              <w:rPr>
                <w:sz w:val="1"/>
                <w:szCs w:val="1"/>
                <w:color w:val="auto"/>
              </w:rPr>
            </w:pPr>
          </w:p>
        </w:tc>
      </w:tr>
      <w:tr>
        <w:trPr>
          <w:trHeight w:val="243"/>
        </w:trPr>
        <w:tc>
          <w:tcPr>
            <w:tcW w:w="5920" w:type="dxa"/>
            <w:vAlign w:val="bottom"/>
          </w:tcPr>
          <w:p>
            <w:pPr>
              <w:ind w:left="980"/>
              <w:spacing w:after="0" w:line="243" w:lineRule="exact"/>
              <w:rPr>
                <w:sz w:val="20"/>
                <w:szCs w:val="20"/>
                <w:color w:val="auto"/>
              </w:rPr>
            </w:pPr>
            <w:r>
              <w:rPr>
                <w:rFonts w:ascii="Arial" w:cs="Arial" w:eastAsia="Arial" w:hAnsi="Arial"/>
                <w:sz w:val="22"/>
                <w:szCs w:val="22"/>
                <w:color w:val="auto"/>
              </w:rPr>
              <w:t>Inventories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(2,380)</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1,163</w:t>
            </w:r>
          </w:p>
        </w:tc>
        <w:tc>
          <w:tcPr>
            <w:tcW w:w="0" w:type="dxa"/>
            <w:vAlign w:val="bottom"/>
          </w:tcPr>
          <w:p>
            <w:pPr>
              <w:spacing w:after="0"/>
              <w:rPr>
                <w:sz w:val="1"/>
                <w:szCs w:val="1"/>
                <w:color w:val="auto"/>
              </w:rPr>
            </w:pPr>
          </w:p>
        </w:tc>
      </w:tr>
      <w:tr>
        <w:trPr>
          <w:trHeight w:val="243"/>
        </w:trPr>
        <w:tc>
          <w:tcPr>
            <w:tcW w:w="5920" w:type="dxa"/>
            <w:vAlign w:val="bottom"/>
          </w:tcPr>
          <w:p>
            <w:pPr>
              <w:ind w:left="980"/>
              <w:spacing w:after="0" w:line="243" w:lineRule="exact"/>
              <w:rPr>
                <w:sz w:val="20"/>
                <w:szCs w:val="20"/>
                <w:color w:val="auto"/>
              </w:rPr>
            </w:pPr>
            <w:r>
              <w:rPr>
                <w:rFonts w:ascii="Arial" w:cs="Arial" w:eastAsia="Arial" w:hAnsi="Arial"/>
                <w:sz w:val="22"/>
                <w:szCs w:val="22"/>
                <w:color w:val="auto"/>
              </w:rPr>
              <w:t>Other current assets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(273)</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7,403</w:t>
            </w:r>
          </w:p>
        </w:tc>
        <w:tc>
          <w:tcPr>
            <w:tcW w:w="0" w:type="dxa"/>
            <w:vAlign w:val="bottom"/>
          </w:tcPr>
          <w:p>
            <w:pPr>
              <w:spacing w:after="0"/>
              <w:rPr>
                <w:sz w:val="1"/>
                <w:szCs w:val="1"/>
                <w:color w:val="auto"/>
              </w:rPr>
            </w:pPr>
          </w:p>
        </w:tc>
      </w:tr>
      <w:tr>
        <w:trPr>
          <w:trHeight w:val="275"/>
        </w:trPr>
        <w:tc>
          <w:tcPr>
            <w:tcW w:w="5920" w:type="dxa"/>
            <w:vAlign w:val="bottom"/>
          </w:tcPr>
          <w:p>
            <w:pPr>
              <w:ind w:left="960"/>
              <w:spacing w:after="0"/>
              <w:rPr>
                <w:sz w:val="20"/>
                <w:szCs w:val="20"/>
                <w:color w:val="auto"/>
              </w:rPr>
            </w:pPr>
            <w:r>
              <w:rPr>
                <w:rFonts w:ascii="Arial" w:cs="Arial" w:eastAsia="Arial" w:hAnsi="Arial"/>
                <w:sz w:val="22"/>
                <w:szCs w:val="22"/>
                <w:color w:val="auto"/>
              </w:rPr>
              <w:t>Accounts payable and other</w:t>
            </w:r>
          </w:p>
        </w:tc>
        <w:tc>
          <w:tcPr>
            <w:tcW w:w="880" w:type="dxa"/>
            <w:vAlign w:val="bottom"/>
          </w:tcPr>
          <w:p>
            <w:pPr>
              <w:jc w:val="right"/>
              <w:spacing w:after="0"/>
              <w:rPr>
                <w:sz w:val="20"/>
                <w:szCs w:val="20"/>
                <w:color w:val="auto"/>
              </w:rPr>
            </w:pPr>
            <w:r>
              <w:rPr>
                <w:rFonts w:ascii="Arial" w:cs="Arial" w:eastAsia="Arial" w:hAnsi="Arial"/>
                <w:sz w:val="22"/>
                <w:szCs w:val="22"/>
                <w:color w:val="auto"/>
              </w:rPr>
              <w:t>1,170</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(14,998)</w:t>
            </w:r>
          </w:p>
        </w:tc>
        <w:tc>
          <w:tcPr>
            <w:tcW w:w="0" w:type="dxa"/>
            <w:vAlign w:val="bottom"/>
          </w:tcPr>
          <w:p>
            <w:pPr>
              <w:spacing w:after="0"/>
              <w:rPr>
                <w:sz w:val="1"/>
                <w:szCs w:val="1"/>
                <w:color w:val="auto"/>
              </w:rPr>
            </w:pPr>
          </w:p>
        </w:tc>
      </w:tr>
      <w:tr>
        <w:trPr>
          <w:trHeight w:val="98"/>
        </w:trPr>
        <w:tc>
          <w:tcPr>
            <w:tcW w:w="59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920" w:type="dxa"/>
            <w:vAlign w:val="bottom"/>
          </w:tcPr>
          <w:p>
            <w:pPr>
              <w:spacing w:after="0"/>
              <w:rPr>
                <w:sz w:val="20"/>
                <w:szCs w:val="20"/>
                <w:color w:val="auto"/>
              </w:rPr>
            </w:pPr>
            <w:r>
              <w:rPr>
                <w:rFonts w:ascii="Arial" w:cs="Arial" w:eastAsia="Arial" w:hAnsi="Arial"/>
                <w:sz w:val="22"/>
                <w:szCs w:val="22"/>
                <w:color w:val="auto"/>
              </w:rPr>
              <w:t>Net cash provided by operating activities</w:t>
            </w:r>
          </w:p>
        </w:tc>
        <w:tc>
          <w:tcPr>
            <w:tcW w:w="880" w:type="dxa"/>
            <w:vAlign w:val="bottom"/>
          </w:tcPr>
          <w:p>
            <w:pPr>
              <w:jc w:val="right"/>
              <w:spacing w:after="0"/>
              <w:rPr>
                <w:sz w:val="20"/>
                <w:szCs w:val="20"/>
                <w:color w:val="auto"/>
              </w:rPr>
            </w:pPr>
            <w:r>
              <w:rPr>
                <w:rFonts w:ascii="Arial" w:cs="Arial" w:eastAsia="Arial" w:hAnsi="Arial"/>
                <w:sz w:val="22"/>
                <w:szCs w:val="22"/>
                <w:color w:val="auto"/>
              </w:rPr>
              <w:t>35,103</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71,545</w:t>
            </w:r>
          </w:p>
        </w:tc>
        <w:tc>
          <w:tcPr>
            <w:tcW w:w="0" w:type="dxa"/>
            <w:vAlign w:val="bottom"/>
          </w:tcPr>
          <w:p>
            <w:pPr>
              <w:spacing w:after="0"/>
              <w:rPr>
                <w:sz w:val="1"/>
                <w:szCs w:val="1"/>
                <w:color w:val="auto"/>
              </w:rPr>
            </w:pPr>
          </w:p>
        </w:tc>
      </w:tr>
      <w:tr>
        <w:trPr>
          <w:trHeight w:val="98"/>
        </w:trPr>
        <w:tc>
          <w:tcPr>
            <w:tcW w:w="5920" w:type="dxa"/>
            <w:vAlign w:val="bottom"/>
            <w:vMerge w:val="restart"/>
          </w:tcPr>
          <w:p>
            <w:pPr>
              <w:spacing w:after="0"/>
              <w:rPr>
                <w:sz w:val="20"/>
                <w:szCs w:val="20"/>
                <w:color w:val="auto"/>
              </w:rPr>
            </w:pPr>
            <w:r>
              <w:rPr>
                <w:rFonts w:ascii="Arial" w:cs="Arial" w:eastAsia="Arial" w:hAnsi="Arial"/>
                <w:sz w:val="22"/>
                <w:szCs w:val="22"/>
                <w:color w:val="auto"/>
              </w:rPr>
              <w:t>Cash flows from investing activities:</w:t>
            </w:r>
          </w:p>
        </w:tc>
        <w:tc>
          <w:tcPr>
            <w:tcW w:w="88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9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280"/>
              <w:spacing w:after="0" w:line="243" w:lineRule="exact"/>
              <w:rPr>
                <w:sz w:val="20"/>
                <w:szCs w:val="20"/>
                <w:color w:val="auto"/>
              </w:rPr>
            </w:pPr>
            <w:r>
              <w:rPr>
                <w:rFonts w:ascii="Arial" w:cs="Arial" w:eastAsia="Arial" w:hAnsi="Arial"/>
                <w:sz w:val="22"/>
                <w:szCs w:val="22"/>
                <w:color w:val="auto"/>
              </w:rPr>
              <w:t>Purchases of property, plant and equipment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(78,067)</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(37,346)</w:t>
            </w:r>
          </w:p>
        </w:tc>
        <w:tc>
          <w:tcPr>
            <w:tcW w:w="0" w:type="dxa"/>
            <w:vAlign w:val="bottom"/>
          </w:tcPr>
          <w:p>
            <w:pPr>
              <w:spacing w:after="0"/>
              <w:rPr>
                <w:sz w:val="1"/>
                <w:szCs w:val="1"/>
                <w:color w:val="auto"/>
              </w:rPr>
            </w:pPr>
          </w:p>
        </w:tc>
      </w:tr>
      <w:tr>
        <w:trPr>
          <w:trHeight w:val="243"/>
        </w:trPr>
        <w:tc>
          <w:tcPr>
            <w:tcW w:w="5920" w:type="dxa"/>
            <w:vAlign w:val="bottom"/>
          </w:tcPr>
          <w:p>
            <w:pPr>
              <w:ind w:left="280"/>
              <w:spacing w:after="0" w:line="243" w:lineRule="exact"/>
              <w:rPr>
                <w:sz w:val="20"/>
                <w:szCs w:val="20"/>
                <w:color w:val="auto"/>
              </w:rPr>
            </w:pPr>
            <w:r>
              <w:rPr>
                <w:rFonts w:ascii="Arial" w:cs="Arial" w:eastAsia="Arial" w:hAnsi="Arial"/>
                <w:sz w:val="22"/>
                <w:szCs w:val="22"/>
                <w:color w:val="auto"/>
              </w:rPr>
              <w:t>Investment in joint venture</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(2,598)</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920" w:type="dxa"/>
            <w:vAlign w:val="bottom"/>
          </w:tcPr>
          <w:p>
            <w:pPr>
              <w:ind w:left="280"/>
              <w:spacing w:after="0" w:line="243" w:lineRule="exact"/>
              <w:rPr>
                <w:sz w:val="20"/>
                <w:szCs w:val="20"/>
                <w:color w:val="auto"/>
              </w:rPr>
            </w:pPr>
            <w:r>
              <w:rPr>
                <w:rFonts w:ascii="Arial" w:cs="Arial" w:eastAsia="Arial" w:hAnsi="Arial"/>
                <w:sz w:val="22"/>
                <w:szCs w:val="22"/>
                <w:color w:val="auto"/>
              </w:rPr>
              <w:t>Purchases of short-term investments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(306)</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5920" w:type="dxa"/>
            <w:vAlign w:val="bottom"/>
          </w:tcPr>
          <w:p>
            <w:pPr>
              <w:ind w:left="280"/>
              <w:spacing w:after="0" w:line="243" w:lineRule="exact"/>
              <w:rPr>
                <w:sz w:val="20"/>
                <w:szCs w:val="20"/>
                <w:color w:val="auto"/>
              </w:rPr>
            </w:pPr>
            <w:r>
              <w:rPr>
                <w:rFonts w:ascii="Arial" w:cs="Arial" w:eastAsia="Arial" w:hAnsi="Arial"/>
                <w:sz w:val="22"/>
                <w:szCs w:val="22"/>
                <w:color w:val="auto"/>
              </w:rPr>
              <w:t>Proceeds from sales of investments and other</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3,552</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48,507</w:t>
            </w:r>
          </w:p>
        </w:tc>
        <w:tc>
          <w:tcPr>
            <w:tcW w:w="0" w:type="dxa"/>
            <w:vAlign w:val="bottom"/>
          </w:tcPr>
          <w:p>
            <w:pPr>
              <w:spacing w:after="0"/>
              <w:rPr>
                <w:sz w:val="1"/>
                <w:szCs w:val="1"/>
                <w:color w:val="auto"/>
              </w:rPr>
            </w:pPr>
          </w:p>
        </w:tc>
      </w:tr>
      <w:tr>
        <w:trPr>
          <w:trHeight w:val="275"/>
        </w:trPr>
        <w:tc>
          <w:tcPr>
            <w:tcW w:w="5920" w:type="dxa"/>
            <w:vAlign w:val="bottom"/>
          </w:tcPr>
          <w:p>
            <w:pPr>
              <w:ind w:left="280"/>
              <w:spacing w:after="0"/>
              <w:rPr>
                <w:sz w:val="20"/>
                <w:szCs w:val="20"/>
                <w:color w:val="auto"/>
              </w:rPr>
            </w:pPr>
            <w:r>
              <w:rPr>
                <w:rFonts w:ascii="Arial" w:cs="Arial" w:eastAsia="Arial" w:hAnsi="Arial"/>
                <w:sz w:val="22"/>
                <w:szCs w:val="22"/>
                <w:color w:val="auto"/>
              </w:rPr>
              <w:t>Proceeds from sale of facility</w:t>
            </w:r>
          </w:p>
        </w:tc>
        <w:tc>
          <w:tcPr>
            <w:tcW w:w="880" w:type="dxa"/>
            <w:vAlign w:val="bottom"/>
          </w:tcPr>
          <w:p>
            <w:pPr>
              <w:jc w:val="right"/>
              <w:spacing w:after="0"/>
              <w:rPr>
                <w:sz w:val="20"/>
                <w:szCs w:val="20"/>
                <w:color w:val="auto"/>
              </w:rPr>
            </w:pPr>
            <w:r>
              <w:rPr>
                <w:rFonts w:ascii="Arial" w:cs="Arial" w:eastAsia="Arial" w:hAnsi="Arial"/>
                <w:sz w:val="22"/>
                <w:szCs w:val="22"/>
                <w:color w:val="auto"/>
              </w:rPr>
              <w:t>-</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5,011</w:t>
            </w:r>
          </w:p>
        </w:tc>
        <w:tc>
          <w:tcPr>
            <w:tcW w:w="0" w:type="dxa"/>
            <w:vAlign w:val="bottom"/>
          </w:tcPr>
          <w:p>
            <w:pPr>
              <w:spacing w:after="0"/>
              <w:rPr>
                <w:sz w:val="1"/>
                <w:szCs w:val="1"/>
                <w:color w:val="auto"/>
              </w:rPr>
            </w:pPr>
          </w:p>
        </w:tc>
      </w:tr>
      <w:tr>
        <w:trPr>
          <w:trHeight w:val="98"/>
        </w:trPr>
        <w:tc>
          <w:tcPr>
            <w:tcW w:w="59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5920" w:type="dxa"/>
            <w:vAlign w:val="bottom"/>
          </w:tcPr>
          <w:p>
            <w:pPr>
              <w:spacing w:after="0"/>
              <w:rPr>
                <w:sz w:val="20"/>
                <w:szCs w:val="20"/>
                <w:color w:val="auto"/>
              </w:rPr>
            </w:pPr>
            <w:r>
              <w:rPr>
                <w:rFonts w:ascii="Arial" w:cs="Arial" w:eastAsia="Arial" w:hAnsi="Arial"/>
                <w:sz w:val="22"/>
                <w:szCs w:val="22"/>
                <w:color w:val="auto"/>
              </w:rPr>
              <w:t>Net cash provided by (used in) investing activities</w:t>
            </w:r>
          </w:p>
        </w:tc>
        <w:tc>
          <w:tcPr>
            <w:tcW w:w="880" w:type="dxa"/>
            <w:vAlign w:val="bottom"/>
          </w:tcPr>
          <w:p>
            <w:pPr>
              <w:jc w:val="right"/>
              <w:spacing w:after="0"/>
              <w:rPr>
                <w:sz w:val="20"/>
                <w:szCs w:val="20"/>
                <w:color w:val="auto"/>
              </w:rPr>
            </w:pPr>
            <w:r>
              <w:rPr>
                <w:rFonts w:ascii="Arial" w:cs="Arial" w:eastAsia="Arial" w:hAnsi="Arial"/>
                <w:sz w:val="22"/>
                <w:szCs w:val="22"/>
                <w:color w:val="auto"/>
              </w:rPr>
              <w:t>(77,419)</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16,172</w:t>
            </w:r>
          </w:p>
        </w:tc>
        <w:tc>
          <w:tcPr>
            <w:tcW w:w="0" w:type="dxa"/>
            <w:vAlign w:val="bottom"/>
          </w:tcPr>
          <w:p>
            <w:pPr>
              <w:spacing w:after="0"/>
              <w:rPr>
                <w:sz w:val="1"/>
                <w:szCs w:val="1"/>
                <w:color w:val="auto"/>
              </w:rPr>
            </w:pPr>
          </w:p>
        </w:tc>
      </w:tr>
      <w:tr>
        <w:trPr>
          <w:trHeight w:val="98"/>
        </w:trPr>
        <w:tc>
          <w:tcPr>
            <w:tcW w:w="5920" w:type="dxa"/>
            <w:vAlign w:val="bottom"/>
            <w:vMerge w:val="restart"/>
          </w:tcPr>
          <w:p>
            <w:pPr>
              <w:spacing w:after="0"/>
              <w:rPr>
                <w:sz w:val="20"/>
                <w:szCs w:val="20"/>
                <w:color w:val="auto"/>
              </w:rPr>
            </w:pPr>
            <w:r>
              <w:rPr>
                <w:rFonts w:ascii="Arial" w:cs="Arial" w:eastAsia="Arial" w:hAnsi="Arial"/>
                <w:sz w:val="22"/>
                <w:szCs w:val="22"/>
                <w:color w:val="auto"/>
              </w:rPr>
              <w:t>Cash flows from financing activities:</w:t>
            </w:r>
          </w:p>
        </w:tc>
        <w:tc>
          <w:tcPr>
            <w:tcW w:w="880" w:type="dxa"/>
            <w:vAlign w:val="bottom"/>
            <w:tcBorders>
              <w:bottom w:val="single" w:sz="8" w:color="336699"/>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59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280"/>
              <w:spacing w:after="0" w:line="243" w:lineRule="exact"/>
              <w:rPr>
                <w:sz w:val="20"/>
                <w:szCs w:val="20"/>
                <w:color w:val="auto"/>
              </w:rPr>
            </w:pPr>
            <w:r>
              <w:rPr>
                <w:rFonts w:ascii="Arial" w:cs="Arial" w:eastAsia="Arial" w:hAnsi="Arial"/>
                <w:sz w:val="22"/>
                <w:szCs w:val="22"/>
                <w:color w:val="auto"/>
              </w:rPr>
              <w:t>Repayments of long-term borrowings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w w:val="87"/>
              </w:rPr>
              <w:t>(168,991)</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(87,087)</w:t>
            </w:r>
          </w:p>
        </w:tc>
        <w:tc>
          <w:tcPr>
            <w:tcW w:w="0" w:type="dxa"/>
            <w:vAlign w:val="bottom"/>
          </w:tcPr>
          <w:p>
            <w:pPr>
              <w:spacing w:after="0"/>
              <w:rPr>
                <w:sz w:val="1"/>
                <w:szCs w:val="1"/>
                <w:color w:val="auto"/>
              </w:rPr>
            </w:pPr>
          </w:p>
        </w:tc>
      </w:tr>
      <w:tr>
        <w:trPr>
          <w:trHeight w:val="243"/>
        </w:trPr>
        <w:tc>
          <w:tcPr>
            <w:tcW w:w="5920" w:type="dxa"/>
            <w:vAlign w:val="bottom"/>
          </w:tcPr>
          <w:p>
            <w:pPr>
              <w:ind w:left="280"/>
              <w:spacing w:after="0" w:line="243" w:lineRule="exact"/>
              <w:rPr>
                <w:sz w:val="20"/>
                <w:szCs w:val="20"/>
                <w:color w:val="auto"/>
              </w:rPr>
            </w:pPr>
            <w:r>
              <w:rPr>
                <w:rFonts w:ascii="Arial" w:cs="Arial" w:eastAsia="Arial" w:hAnsi="Arial"/>
                <w:sz w:val="22"/>
                <w:szCs w:val="22"/>
                <w:color w:val="auto"/>
              </w:rPr>
              <w:t>Proceeds from long-term borrowings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w w:val="98"/>
              </w:rPr>
              <w:t>132,140</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3,369</w:t>
            </w:r>
          </w:p>
        </w:tc>
        <w:tc>
          <w:tcPr>
            <w:tcW w:w="0" w:type="dxa"/>
            <w:vAlign w:val="bottom"/>
          </w:tcPr>
          <w:p>
            <w:pPr>
              <w:spacing w:after="0"/>
              <w:rPr>
                <w:sz w:val="1"/>
                <w:szCs w:val="1"/>
                <w:color w:val="auto"/>
              </w:rPr>
            </w:pPr>
          </w:p>
        </w:tc>
      </w:tr>
      <w:tr>
        <w:trPr>
          <w:trHeight w:val="243"/>
        </w:trPr>
        <w:tc>
          <w:tcPr>
            <w:tcW w:w="5920" w:type="dxa"/>
            <w:vAlign w:val="bottom"/>
          </w:tcPr>
          <w:p>
            <w:pPr>
              <w:ind w:left="280"/>
              <w:spacing w:after="0" w:line="243" w:lineRule="exact"/>
              <w:rPr>
                <w:sz w:val="20"/>
                <w:szCs w:val="20"/>
                <w:color w:val="auto"/>
              </w:rPr>
            </w:pPr>
            <w:r>
              <w:rPr>
                <w:rFonts w:ascii="Arial" w:cs="Arial" w:eastAsia="Arial" w:hAnsi="Arial"/>
                <w:sz w:val="22"/>
                <w:szCs w:val="22"/>
                <w:color w:val="auto"/>
              </w:rPr>
              <w:t>Proceeds from issuance of common stock</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552</w:t>
            </w:r>
          </w:p>
        </w:tc>
        <w:tc>
          <w:tcPr>
            <w:tcW w:w="0" w:type="dxa"/>
            <w:vAlign w:val="bottom"/>
          </w:tcPr>
          <w:p>
            <w:pPr>
              <w:spacing w:after="0"/>
              <w:rPr>
                <w:sz w:val="1"/>
                <w:szCs w:val="1"/>
                <w:color w:val="auto"/>
              </w:rPr>
            </w:pPr>
          </w:p>
        </w:tc>
      </w:tr>
      <w:tr>
        <w:trPr>
          <w:trHeight w:val="275"/>
        </w:trPr>
        <w:tc>
          <w:tcPr>
            <w:tcW w:w="5920" w:type="dxa"/>
            <w:vAlign w:val="bottom"/>
          </w:tcPr>
          <w:p>
            <w:pPr>
              <w:ind w:left="280"/>
              <w:spacing w:after="0"/>
              <w:rPr>
                <w:sz w:val="20"/>
                <w:szCs w:val="20"/>
                <w:color w:val="auto"/>
              </w:rPr>
            </w:pPr>
            <w:r>
              <w:rPr>
                <w:rFonts w:ascii="Arial" w:cs="Arial" w:eastAsia="Arial" w:hAnsi="Arial"/>
                <w:sz w:val="22"/>
                <w:szCs w:val="22"/>
                <w:color w:val="auto"/>
              </w:rPr>
              <w:t>Other</w:t>
            </w:r>
          </w:p>
        </w:tc>
        <w:tc>
          <w:tcPr>
            <w:tcW w:w="880" w:type="dxa"/>
            <w:vAlign w:val="bottom"/>
          </w:tcPr>
          <w:p>
            <w:pPr>
              <w:jc w:val="right"/>
              <w:spacing w:after="0"/>
              <w:rPr>
                <w:sz w:val="20"/>
                <w:szCs w:val="20"/>
                <w:color w:val="auto"/>
              </w:rPr>
            </w:pPr>
            <w:r>
              <w:rPr>
                <w:rFonts w:ascii="Arial" w:cs="Arial" w:eastAsia="Arial" w:hAnsi="Arial"/>
                <w:sz w:val="22"/>
                <w:szCs w:val="22"/>
                <w:color w:val="auto"/>
              </w:rPr>
              <w:t>(498)</w:t>
            </w:r>
          </w:p>
        </w:tc>
        <w:tc>
          <w:tcPr>
            <w:tcW w:w="11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12"/>
        </w:trPr>
        <w:tc>
          <w:tcPr>
            <w:tcW w:w="5920" w:type="dxa"/>
            <w:vAlign w:val="bottom"/>
          </w:tcPr>
          <w:p>
            <w:pPr>
              <w:spacing w:after="0"/>
              <w:rPr>
                <w:sz w:val="9"/>
                <w:szCs w:val="9"/>
                <w:color w:val="auto"/>
              </w:rPr>
            </w:pPr>
          </w:p>
        </w:tc>
        <w:tc>
          <w:tcPr>
            <w:tcW w:w="880" w:type="dxa"/>
            <w:vAlign w:val="bottom"/>
            <w:tcBorders>
              <w:bottom w:val="single" w:sz="8" w:color="336699"/>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336699"/>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8" w:right="1440" w:bottom="0" w:gutter="0" w:footer="0" w:header="0"/>
        </w:sectPr>
      </w:pPr>
    </w:p>
    <w:bookmarkStart w:id="5" w:name="page6"/>
    <w:bookmarkEnd w:id="5"/>
    <w:p>
      <w:pPr>
        <w:spacing w:after="0" w:line="1" w:lineRule="exact"/>
        <w:rPr>
          <w:sz w:val="20"/>
          <w:szCs w:val="20"/>
          <w:color w:val="auto"/>
        </w:rPr>
      </w:pPr>
    </w:p>
    <w:tbl>
      <w:tblPr>
        <w:tblLayout w:type="fixed"/>
        <w:tblInd w:w="1760" w:type="dxa"/>
        <w:tblCellMar>
          <w:top w:w="0" w:type="dxa"/>
          <w:left w:w="0" w:type="dxa"/>
          <w:bottom w:w="0" w:type="dxa"/>
          <w:right w:w="0" w:type="dxa"/>
        </w:tblCellMar>
      </w:tblPr>
      <w:tr>
        <w:trPr>
          <w:trHeight w:val="275"/>
        </w:trPr>
        <w:tc>
          <w:tcPr>
            <w:tcW w:w="5920" w:type="dxa"/>
            <w:vAlign w:val="bottom"/>
          </w:tcPr>
          <w:p>
            <w:pPr>
              <w:spacing w:after="0"/>
              <w:rPr>
                <w:sz w:val="20"/>
                <w:szCs w:val="20"/>
                <w:color w:val="auto"/>
              </w:rPr>
            </w:pPr>
            <w:r>
              <w:rPr>
                <w:rFonts w:ascii="Arial" w:cs="Arial" w:eastAsia="Arial" w:hAnsi="Arial"/>
                <w:sz w:val="22"/>
                <w:szCs w:val="22"/>
                <w:color w:val="auto"/>
              </w:rPr>
              <w:t>Net cash used in financing activities</w:t>
            </w:r>
          </w:p>
        </w:tc>
        <w:tc>
          <w:tcPr>
            <w:tcW w:w="880" w:type="dxa"/>
            <w:vAlign w:val="bottom"/>
          </w:tcPr>
          <w:p>
            <w:pPr>
              <w:jc w:val="right"/>
              <w:spacing w:after="0"/>
              <w:rPr>
                <w:sz w:val="20"/>
                <w:szCs w:val="20"/>
                <w:color w:val="auto"/>
              </w:rPr>
            </w:pPr>
            <w:r>
              <w:rPr>
                <w:rFonts w:ascii="Arial" w:cs="Arial" w:eastAsia="Arial" w:hAnsi="Arial"/>
                <w:sz w:val="22"/>
                <w:szCs w:val="22"/>
                <w:color w:val="auto"/>
              </w:rPr>
              <w:t>(37,349)</w:t>
            </w:r>
          </w:p>
        </w:tc>
        <w:tc>
          <w:tcPr>
            <w:tcW w:w="1140" w:type="dxa"/>
            <w:vAlign w:val="bottom"/>
            <w:gridSpan w:val="3"/>
          </w:tcPr>
          <w:p>
            <w:pPr>
              <w:jc w:val="right"/>
              <w:spacing w:after="0"/>
              <w:rPr>
                <w:sz w:val="20"/>
                <w:szCs w:val="20"/>
                <w:color w:val="auto"/>
              </w:rPr>
            </w:pPr>
            <w:r>
              <w:rPr>
                <w:rFonts w:ascii="Arial" w:cs="Arial" w:eastAsia="Arial" w:hAnsi="Arial"/>
                <w:sz w:val="22"/>
                <w:szCs w:val="22"/>
                <w:color w:val="auto"/>
              </w:rPr>
              <w:t>(83,166)</w:t>
            </w:r>
          </w:p>
        </w:tc>
      </w:tr>
      <w:tr>
        <w:trPr>
          <w:trHeight w:val="112"/>
        </w:trPr>
        <w:tc>
          <w:tcPr>
            <w:tcW w:w="5920" w:type="dxa"/>
            <w:vAlign w:val="bottom"/>
          </w:tcPr>
          <w:p>
            <w:pPr>
              <w:spacing w:after="0"/>
              <w:rPr>
                <w:sz w:val="9"/>
                <w:szCs w:val="9"/>
                <w:color w:val="auto"/>
              </w:rPr>
            </w:pPr>
          </w:p>
        </w:tc>
        <w:tc>
          <w:tcPr>
            <w:tcW w:w="880" w:type="dxa"/>
            <w:vAlign w:val="bottom"/>
            <w:tcBorders>
              <w:bottom w:val="single" w:sz="8" w:color="336699"/>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336699"/>
            </w:tcBorders>
          </w:tcPr>
          <w:p>
            <w:pPr>
              <w:spacing w:after="0"/>
              <w:rPr>
                <w:sz w:val="9"/>
                <w:szCs w:val="9"/>
                <w:color w:val="auto"/>
              </w:rPr>
            </w:pPr>
          </w:p>
        </w:tc>
        <w:tc>
          <w:tcPr>
            <w:tcW w:w="680" w:type="dxa"/>
            <w:vAlign w:val="bottom"/>
            <w:tcBorders>
              <w:bottom w:val="single" w:sz="8" w:color="336699"/>
            </w:tcBorders>
          </w:tcPr>
          <w:p>
            <w:pPr>
              <w:spacing w:after="0"/>
              <w:rPr>
                <w:sz w:val="9"/>
                <w:szCs w:val="9"/>
                <w:color w:val="auto"/>
              </w:rPr>
            </w:pPr>
          </w:p>
        </w:tc>
      </w:tr>
      <w:tr>
        <w:trPr>
          <w:trHeight w:val="355"/>
        </w:trPr>
        <w:tc>
          <w:tcPr>
            <w:tcW w:w="592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880" w:type="dxa"/>
            <w:vAlign w:val="bottom"/>
          </w:tcPr>
          <w:p>
            <w:pPr>
              <w:jc w:val="right"/>
              <w:spacing w:after="0"/>
              <w:rPr>
                <w:sz w:val="20"/>
                <w:szCs w:val="20"/>
                <w:color w:val="auto"/>
              </w:rPr>
            </w:pPr>
            <w:r>
              <w:rPr>
                <w:rFonts w:ascii="Arial" w:cs="Arial" w:eastAsia="Arial" w:hAnsi="Arial"/>
                <w:sz w:val="22"/>
                <w:szCs w:val="22"/>
                <w:color w:val="auto"/>
              </w:rPr>
              <w:t>719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w w:val="88"/>
              </w:rPr>
              <w:t>(2,186)</w:t>
            </w:r>
          </w:p>
        </w:tc>
      </w:tr>
      <w:tr>
        <w:trPr>
          <w:trHeight w:val="112"/>
        </w:trPr>
        <w:tc>
          <w:tcPr>
            <w:tcW w:w="5920" w:type="dxa"/>
            <w:vAlign w:val="bottom"/>
          </w:tcPr>
          <w:p>
            <w:pPr>
              <w:spacing w:after="0"/>
              <w:rPr>
                <w:sz w:val="9"/>
                <w:szCs w:val="9"/>
                <w:color w:val="auto"/>
              </w:rPr>
            </w:pPr>
          </w:p>
        </w:tc>
        <w:tc>
          <w:tcPr>
            <w:tcW w:w="880" w:type="dxa"/>
            <w:vAlign w:val="bottom"/>
            <w:tcBorders>
              <w:bottom w:val="single" w:sz="8" w:color="336699"/>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336699"/>
            </w:tcBorders>
          </w:tcPr>
          <w:p>
            <w:pPr>
              <w:spacing w:after="0"/>
              <w:rPr>
                <w:sz w:val="9"/>
                <w:szCs w:val="9"/>
                <w:color w:val="auto"/>
              </w:rPr>
            </w:pPr>
          </w:p>
        </w:tc>
        <w:tc>
          <w:tcPr>
            <w:tcW w:w="680" w:type="dxa"/>
            <w:vAlign w:val="bottom"/>
            <w:tcBorders>
              <w:bottom w:val="single" w:sz="8" w:color="336699"/>
            </w:tcBorders>
          </w:tcPr>
          <w:p>
            <w:pPr>
              <w:spacing w:after="0"/>
              <w:rPr>
                <w:sz w:val="9"/>
                <w:szCs w:val="9"/>
                <w:color w:val="auto"/>
              </w:rPr>
            </w:pPr>
          </w:p>
        </w:tc>
      </w:tr>
      <w:tr>
        <w:trPr>
          <w:trHeight w:val="323"/>
        </w:trPr>
        <w:tc>
          <w:tcPr>
            <w:tcW w:w="5920" w:type="dxa"/>
            <w:vAlign w:val="bottom"/>
          </w:tcPr>
          <w:p>
            <w:pPr>
              <w:spacing w:after="0"/>
              <w:rPr>
                <w:sz w:val="20"/>
                <w:szCs w:val="20"/>
                <w:color w:val="auto"/>
              </w:rPr>
            </w:pPr>
            <w:r>
              <w:rPr>
                <w:rFonts w:ascii="Arial" w:cs="Arial" w:eastAsia="Arial" w:hAnsi="Arial"/>
                <w:sz w:val="22"/>
                <w:szCs w:val="22"/>
                <w:color w:val="auto"/>
              </w:rPr>
              <w:t>Net increase (decrease) in cash and cash equivalents</w:t>
            </w:r>
          </w:p>
        </w:tc>
        <w:tc>
          <w:tcPr>
            <w:tcW w:w="880" w:type="dxa"/>
            <w:vAlign w:val="bottom"/>
          </w:tcPr>
          <w:p>
            <w:pPr>
              <w:jc w:val="right"/>
              <w:spacing w:after="0"/>
              <w:rPr>
                <w:sz w:val="20"/>
                <w:szCs w:val="20"/>
                <w:color w:val="auto"/>
              </w:rPr>
            </w:pPr>
            <w:r>
              <w:rPr>
                <w:rFonts w:ascii="Arial" w:cs="Arial" w:eastAsia="Arial" w:hAnsi="Arial"/>
                <w:sz w:val="22"/>
                <w:szCs w:val="22"/>
                <w:color w:val="auto"/>
              </w:rPr>
              <w:t>(78,946)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2,365</w:t>
            </w:r>
          </w:p>
        </w:tc>
      </w:tr>
      <w:tr>
        <w:trPr>
          <w:trHeight w:val="275"/>
        </w:trPr>
        <w:tc>
          <w:tcPr>
            <w:tcW w:w="5920" w:type="dxa"/>
            <w:vAlign w:val="bottom"/>
          </w:tcPr>
          <w:p>
            <w:pPr>
              <w:spacing w:after="0"/>
              <w:rPr>
                <w:sz w:val="20"/>
                <w:szCs w:val="20"/>
                <w:color w:val="auto"/>
              </w:rPr>
            </w:pPr>
            <w:r>
              <w:rPr>
                <w:rFonts w:ascii="Arial" w:cs="Arial" w:eastAsia="Arial" w:hAnsi="Arial"/>
                <w:sz w:val="22"/>
                <w:szCs w:val="22"/>
                <w:color w:val="auto"/>
              </w:rPr>
              <w:t>Cash and cash equivalents at beginning of period</w:t>
            </w:r>
          </w:p>
        </w:tc>
        <w:tc>
          <w:tcPr>
            <w:tcW w:w="880" w:type="dxa"/>
            <w:vAlign w:val="bottom"/>
          </w:tcPr>
          <w:p>
            <w:pPr>
              <w:jc w:val="right"/>
              <w:spacing w:after="0"/>
              <w:rPr>
                <w:sz w:val="20"/>
                <w:szCs w:val="20"/>
                <w:color w:val="auto"/>
              </w:rPr>
            </w:pPr>
            <w:r>
              <w:rPr>
                <w:rFonts w:ascii="Arial" w:cs="Arial" w:eastAsia="Arial" w:hAnsi="Arial"/>
                <w:sz w:val="22"/>
                <w:szCs w:val="22"/>
                <w:color w:val="auto"/>
                <w:w w:val="98"/>
              </w:rPr>
              <w:t>146,049</w:t>
            </w:r>
          </w:p>
        </w:tc>
        <w:tc>
          <w:tcPr>
            <w:tcW w:w="1140" w:type="dxa"/>
            <w:vAlign w:val="bottom"/>
            <w:gridSpan w:val="3"/>
          </w:tcPr>
          <w:p>
            <w:pPr>
              <w:jc w:val="right"/>
              <w:spacing w:after="0"/>
              <w:rPr>
                <w:sz w:val="20"/>
                <w:szCs w:val="20"/>
                <w:color w:val="auto"/>
              </w:rPr>
            </w:pPr>
            <w:r>
              <w:rPr>
                <w:rFonts w:ascii="Arial" w:cs="Arial" w:eastAsia="Arial" w:hAnsi="Arial"/>
                <w:sz w:val="22"/>
                <w:szCs w:val="22"/>
                <w:color w:val="auto"/>
              </w:rPr>
              <w:t>129,425</w:t>
            </w:r>
          </w:p>
        </w:tc>
      </w:tr>
      <w:tr>
        <w:trPr>
          <w:trHeight w:val="112"/>
        </w:trPr>
        <w:tc>
          <w:tcPr>
            <w:tcW w:w="5920" w:type="dxa"/>
            <w:vAlign w:val="bottom"/>
          </w:tcPr>
          <w:p>
            <w:pPr>
              <w:spacing w:after="0"/>
              <w:rPr>
                <w:sz w:val="9"/>
                <w:szCs w:val="9"/>
                <w:color w:val="auto"/>
              </w:rPr>
            </w:pPr>
          </w:p>
        </w:tc>
        <w:tc>
          <w:tcPr>
            <w:tcW w:w="880" w:type="dxa"/>
            <w:vAlign w:val="bottom"/>
            <w:tcBorders>
              <w:bottom w:val="single" w:sz="8" w:color="336699"/>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336699"/>
            </w:tcBorders>
            <w:gridSpan w:val="2"/>
          </w:tcPr>
          <w:p>
            <w:pPr>
              <w:spacing w:after="0"/>
              <w:rPr>
                <w:sz w:val="9"/>
                <w:szCs w:val="9"/>
                <w:color w:val="auto"/>
              </w:rPr>
            </w:pPr>
          </w:p>
        </w:tc>
      </w:tr>
      <w:tr>
        <w:trPr>
          <w:trHeight w:val="355"/>
        </w:trPr>
        <w:tc>
          <w:tcPr>
            <w:tcW w:w="5920" w:type="dxa"/>
            <w:vAlign w:val="bottom"/>
          </w:tcPr>
          <w:p>
            <w:pPr>
              <w:spacing w:after="0"/>
              <w:rPr>
                <w:sz w:val="20"/>
                <w:szCs w:val="20"/>
                <w:color w:val="auto"/>
              </w:rPr>
            </w:pPr>
            <w:r>
              <w:rPr>
                <w:rFonts w:ascii="Arial" w:cs="Arial" w:eastAsia="Arial" w:hAnsi="Arial"/>
                <w:sz w:val="22"/>
                <w:szCs w:val="22"/>
                <w:color w:val="auto"/>
              </w:rPr>
              <w:t>Cash and cash equivalents at end of period</w:t>
            </w:r>
          </w:p>
        </w:tc>
        <w:tc>
          <w:tcPr>
            <w:tcW w:w="880" w:type="dxa"/>
            <w:vAlign w:val="bottom"/>
          </w:tcPr>
          <w:p>
            <w:pPr>
              <w:jc w:val="right"/>
              <w:spacing w:after="0"/>
              <w:rPr>
                <w:sz w:val="20"/>
                <w:szCs w:val="20"/>
                <w:color w:val="auto"/>
              </w:rPr>
            </w:pPr>
            <w:r>
              <w:rPr>
                <w:rFonts w:ascii="Arial" w:cs="Arial" w:eastAsia="Arial" w:hAnsi="Arial"/>
                <w:sz w:val="22"/>
                <w:szCs w:val="22"/>
                <w:color w:val="auto"/>
                <w:w w:val="98"/>
              </w:rPr>
              <w:t>$67,103</w:t>
            </w:r>
          </w:p>
        </w:tc>
        <w:tc>
          <w:tcPr>
            <w:tcW w:w="1140" w:type="dxa"/>
            <w:vAlign w:val="bottom"/>
            <w:gridSpan w:val="3"/>
          </w:tcPr>
          <w:p>
            <w:pPr>
              <w:jc w:val="right"/>
              <w:spacing w:after="0"/>
              <w:rPr>
                <w:sz w:val="20"/>
                <w:szCs w:val="20"/>
                <w:color w:val="auto"/>
              </w:rPr>
            </w:pPr>
            <w:r>
              <w:rPr>
                <w:rFonts w:ascii="Arial" w:cs="Arial" w:eastAsia="Arial" w:hAnsi="Arial"/>
                <w:sz w:val="22"/>
                <w:szCs w:val="22"/>
                <w:color w:val="auto"/>
              </w:rPr>
              <w:t>$131,790</w:t>
            </w:r>
          </w:p>
        </w:tc>
      </w:tr>
      <w:tr>
        <w:trPr>
          <w:trHeight w:val="122"/>
        </w:trPr>
        <w:tc>
          <w:tcPr>
            <w:tcW w:w="5920" w:type="dxa"/>
            <w:vAlign w:val="bottom"/>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336699"/>
            </w:tcBorders>
          </w:tcPr>
          <w:p>
            <w:pPr>
              <w:spacing w:after="0"/>
              <w:rPr>
                <w:sz w:val="10"/>
                <w:szCs w:val="10"/>
                <w:color w:val="auto"/>
              </w:rPr>
            </w:pPr>
          </w:p>
        </w:tc>
        <w:tc>
          <w:tcPr>
            <w:tcW w:w="680" w:type="dxa"/>
            <w:vAlign w:val="bottom"/>
            <w:tcBorders>
              <w:bottom w:val="single" w:sz="8" w:color="336699"/>
            </w:tcBorders>
          </w:tcPr>
          <w:p>
            <w:pPr>
              <w:spacing w:after="0"/>
              <w:rPr>
                <w:sz w:val="10"/>
                <w:szCs w:val="10"/>
                <w:color w:val="auto"/>
              </w:rPr>
            </w:pPr>
          </w:p>
        </w:tc>
      </w:tr>
      <w:tr>
        <w:trPr>
          <w:trHeight w:val="358"/>
        </w:trPr>
        <w:tc>
          <w:tcPr>
            <w:tcW w:w="5920" w:type="dxa"/>
            <w:vAlign w:val="bottom"/>
          </w:tcPr>
          <w:p>
            <w:pPr>
              <w:spacing w:after="0"/>
              <w:rPr>
                <w:sz w:val="20"/>
                <w:szCs w:val="20"/>
                <w:color w:val="auto"/>
              </w:rPr>
            </w:pPr>
            <w:r>
              <w:rPr>
                <w:rFonts w:ascii="Arial" w:cs="Arial" w:eastAsia="Arial" w:hAnsi="Arial"/>
                <w:sz w:val="22"/>
                <w:szCs w:val="22"/>
                <w:color w:val="auto"/>
              </w:rPr>
              <w:t>Supplemented disclosure of cash flow information:</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55"/>
        </w:trPr>
        <w:tc>
          <w:tcPr>
            <w:tcW w:w="5920" w:type="dxa"/>
            <w:vAlign w:val="bottom"/>
          </w:tcPr>
          <w:p>
            <w:pPr>
              <w:ind w:left="280"/>
              <w:spacing w:after="0"/>
              <w:rPr>
                <w:sz w:val="20"/>
                <w:szCs w:val="20"/>
                <w:color w:val="auto"/>
              </w:rPr>
            </w:pPr>
            <w:r>
              <w:rPr>
                <w:rFonts w:ascii="Arial" w:cs="Arial" w:eastAsia="Arial" w:hAnsi="Arial"/>
                <w:sz w:val="22"/>
                <w:szCs w:val="22"/>
                <w:color w:val="auto"/>
              </w:rPr>
              <w:t>Change in accrual for purchases of property, plant</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3"/>
        </w:trPr>
        <w:tc>
          <w:tcPr>
            <w:tcW w:w="5920" w:type="dxa"/>
            <w:vAlign w:val="bottom"/>
          </w:tcPr>
          <w:p>
            <w:pPr>
              <w:ind w:left="440"/>
              <w:spacing w:after="0" w:line="243" w:lineRule="exact"/>
              <w:rPr>
                <w:sz w:val="20"/>
                <w:szCs w:val="20"/>
                <w:color w:val="auto"/>
              </w:rPr>
            </w:pPr>
            <w:r>
              <w:rPr>
                <w:rFonts w:ascii="Arial" w:cs="Arial" w:eastAsia="Arial" w:hAnsi="Arial"/>
                <w:sz w:val="22"/>
                <w:szCs w:val="22"/>
                <w:color w:val="auto"/>
              </w:rPr>
              <w:t>and equipment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w w:val="87"/>
              </w:rPr>
              <w:t>$(25,991)</w:t>
            </w:r>
          </w:p>
        </w:tc>
        <w:tc>
          <w:tcPr>
            <w:tcW w:w="4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(702)</w:t>
            </w:r>
          </w:p>
        </w:tc>
      </w:tr>
      <w:tr>
        <w:trPr>
          <w:trHeight w:val="243"/>
        </w:trPr>
        <w:tc>
          <w:tcPr>
            <w:tcW w:w="5920" w:type="dxa"/>
            <w:vAlign w:val="bottom"/>
          </w:tcPr>
          <w:p>
            <w:pPr>
              <w:ind w:left="280"/>
              <w:spacing w:after="0" w:line="243" w:lineRule="exact"/>
              <w:rPr>
                <w:sz w:val="20"/>
                <w:szCs w:val="20"/>
                <w:color w:val="auto"/>
              </w:rPr>
            </w:pPr>
            <w:r>
              <w:rPr>
                <w:rFonts w:ascii="Arial" w:cs="Arial" w:eastAsia="Arial" w:hAnsi="Arial"/>
                <w:sz w:val="22"/>
                <w:szCs w:val="22"/>
                <w:color w:val="auto"/>
              </w:rPr>
              <w:t>Capital lease obligation for purchases of property, plant</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5"/>
        </w:trPr>
        <w:tc>
          <w:tcPr>
            <w:tcW w:w="5920" w:type="dxa"/>
            <w:vAlign w:val="bottom"/>
          </w:tcPr>
          <w:p>
            <w:pPr>
              <w:ind w:left="440"/>
              <w:spacing w:after="0"/>
              <w:rPr>
                <w:sz w:val="20"/>
                <w:szCs w:val="20"/>
                <w:color w:val="auto"/>
              </w:rPr>
            </w:pPr>
            <w:r>
              <w:rPr>
                <w:rFonts w:ascii="Arial" w:cs="Arial" w:eastAsia="Arial" w:hAnsi="Arial"/>
                <w:sz w:val="22"/>
                <w:szCs w:val="22"/>
                <w:color w:val="auto"/>
              </w:rPr>
              <w:t>and equipment</w:t>
            </w:r>
          </w:p>
        </w:tc>
        <w:tc>
          <w:tcPr>
            <w:tcW w:w="880" w:type="dxa"/>
            <w:vAlign w:val="bottom"/>
          </w:tcPr>
          <w:p>
            <w:pPr>
              <w:jc w:val="right"/>
              <w:spacing w:after="0"/>
              <w:rPr>
                <w:sz w:val="20"/>
                <w:szCs w:val="20"/>
                <w:color w:val="auto"/>
              </w:rPr>
            </w:pPr>
            <w:r>
              <w:rPr>
                <w:rFonts w:ascii="Arial" w:cs="Arial" w:eastAsia="Arial" w:hAnsi="Arial"/>
                <w:sz w:val="22"/>
                <w:szCs w:val="22"/>
                <w:color w:val="auto"/>
                <w:w w:val="91"/>
              </w:rPr>
              <w:t>$ 61,662</w:t>
            </w:r>
          </w:p>
        </w:tc>
        <w:tc>
          <w:tcPr>
            <w:tcW w:w="46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-1028065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-1028065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-1028065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-1028065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22"/>
          <w:szCs w:val="22"/>
          <w:i w:val="1"/>
          <w:iCs w:val="1"/>
          <w:color w:val="auto"/>
        </w:rPr>
        <w:t>See accompanying notes to condensed consolidated financial statements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PHOTRONICS,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Three and Six Months Ended April 27, 2008 and April 29, 2007</w:t>
      </w:r>
    </w:p>
    <w:p>
      <w:pPr>
        <w:jc w:val="center"/>
        <w:ind w:right="-19"/>
        <w:spacing w:after="0" w:line="231" w:lineRule="auto"/>
        <w:rPr>
          <w:sz w:val="20"/>
          <w:szCs w:val="20"/>
          <w:color w:val="auto"/>
        </w:rPr>
      </w:pPr>
      <w:r>
        <w:rPr>
          <w:rFonts w:ascii="Arial" w:cs="Arial" w:eastAsia="Arial" w:hAnsi="Arial"/>
          <w:sz w:val="22"/>
          <w:szCs w:val="22"/>
          <w:b w:val="1"/>
          <w:bCs w:val="1"/>
          <w:color w:val="auto"/>
        </w:rPr>
        <w:t>(unaudited)</w:t>
      </w:r>
    </w:p>
    <w:p>
      <w:pPr>
        <w:jc w:val="center"/>
        <w:ind w:right="-19"/>
        <w:spacing w:after="0"/>
        <w:rPr>
          <w:sz w:val="20"/>
          <w:szCs w:val="20"/>
          <w:color w:val="auto"/>
        </w:rPr>
      </w:pPr>
      <w:r>
        <w:rPr>
          <w:rFonts w:ascii="Arial" w:cs="Arial" w:eastAsia="Arial" w:hAnsi="Arial"/>
          <w:sz w:val="22"/>
          <w:szCs w:val="22"/>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BASIS OF FINANCIAL STATEMENT PRESENTATION</w:t>
      </w:r>
    </w:p>
    <w:p>
      <w:pPr>
        <w:spacing w:after="0" w:line="212" w:lineRule="exact"/>
        <w:rPr>
          <w:sz w:val="20"/>
          <w:szCs w:val="20"/>
          <w:color w:val="auto"/>
        </w:rPr>
      </w:pPr>
    </w:p>
    <w:p>
      <w:pPr>
        <w:ind w:firstLine="270"/>
        <w:spacing w:after="0" w:line="246" w:lineRule="auto"/>
        <w:rPr>
          <w:sz w:val="20"/>
          <w:szCs w:val="20"/>
          <w:color w:val="auto"/>
        </w:rPr>
      </w:pPr>
      <w:r>
        <w:rPr>
          <w:rFonts w:ascii="Arial" w:cs="Arial" w:eastAsia="Arial" w:hAnsi="Arial"/>
          <w:sz w:val="21"/>
          <w:szCs w:val="21"/>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 and a variety of FPDs and, to a lesser extent, other types of electrical and optical components. The Company currently operates principally from eleven manufacturing facilities; three of which are located in Europe, two in Taiwan, one each in Korea, Singapore, and China; and three in the United States, including a state-of-the-art nanofab facility ("U.S. Nanofab") in Boise, Idaho, which commenced production during the three months ended April 27, 2008.</w:t>
      </w:r>
    </w:p>
    <w:p>
      <w:pPr>
        <w:spacing w:after="0" w:line="181" w:lineRule="exact"/>
        <w:rPr>
          <w:sz w:val="20"/>
          <w:szCs w:val="20"/>
          <w:color w:val="auto"/>
        </w:rPr>
      </w:pPr>
    </w:p>
    <w:p>
      <w:pPr>
        <w:ind w:right="280" w:firstLine="266"/>
        <w:spacing w:after="0" w:line="275"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(consisting of normal recurring accruals) considered necessary for a fair presentation have been included. Operating results for the interim period are not necessarily indicative of the results that may be expected for the fiscal year ending November 2, 2008. For further information, refer to the consolidated financial statements and footnotes thereto included in the Company's Annual Report on Form 10-K for the year ended October 28, 2007.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COMPREHENSIVE INCOME (LOSS)</w:t>
      </w:r>
    </w:p>
    <w:p>
      <w:pPr>
        <w:spacing w:after="0" w:line="212" w:lineRule="exact"/>
        <w:rPr>
          <w:sz w:val="20"/>
          <w:szCs w:val="20"/>
          <w:color w:val="auto"/>
        </w:rPr>
      </w:pPr>
    </w:p>
    <w:p>
      <w:pPr>
        <w:ind w:right="220" w:firstLine="266"/>
        <w:spacing w:after="0" w:line="251" w:lineRule="auto"/>
        <w:rPr>
          <w:sz w:val="20"/>
          <w:szCs w:val="20"/>
          <w:color w:val="auto"/>
        </w:rPr>
      </w:pPr>
      <w:r>
        <w:rPr>
          <w:rFonts w:ascii="Arial" w:cs="Arial" w:eastAsia="Arial" w:hAnsi="Arial"/>
          <w:sz w:val="22"/>
          <w:szCs w:val="22"/>
          <w:color w:val="auto"/>
        </w:rPr>
        <w:t>The following table summarizes comprehensive income (loss) for the three and six months ended April 27, 2008 and April 29, 2007: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2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w w:val="89"/>
              </w:rPr>
              <w:t>Three Months Ended</w:t>
            </w:r>
          </w:p>
        </w:tc>
        <w:tc>
          <w:tcPr>
            <w:tcW w:w="300" w:type="dxa"/>
            <w:vAlign w:val="bottom"/>
          </w:tcPr>
          <w:p>
            <w:pPr>
              <w:spacing w:after="0"/>
              <w:rPr>
                <w:sz w:val="24"/>
                <w:szCs w:val="24"/>
                <w:color w:val="auto"/>
              </w:rPr>
            </w:pPr>
          </w:p>
        </w:tc>
        <w:tc>
          <w:tcPr>
            <w:tcW w:w="1920" w:type="dxa"/>
            <w:vAlign w:val="bottom"/>
            <w:gridSpan w:val="3"/>
          </w:tcPr>
          <w:p>
            <w:pPr>
              <w:ind w:left="80"/>
              <w:spacing w:after="0"/>
              <w:rPr>
                <w:sz w:val="20"/>
                <w:szCs w:val="20"/>
                <w:color w:val="auto"/>
              </w:rPr>
            </w:pPr>
            <w:r>
              <w:rPr>
                <w:rFonts w:ascii="Arial" w:cs="Arial" w:eastAsia="Arial" w:hAnsi="Arial"/>
                <w:sz w:val="22"/>
                <w:szCs w:val="22"/>
                <w:b w:val="1"/>
                <w:bCs w:val="1"/>
                <w:color w:val="auto"/>
                <w:w w:val="95"/>
              </w:rPr>
              <w:t>Six Months Ended</w:t>
            </w:r>
          </w:p>
        </w:tc>
      </w:tr>
      <w:tr>
        <w:trPr>
          <w:trHeight w:val="98"/>
        </w:trPr>
        <w:tc>
          <w:tcPr>
            <w:tcW w:w="3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331"/>
        </w:trPr>
        <w:tc>
          <w:tcPr>
            <w:tcW w:w="33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94"/>
              </w:rPr>
              <w:t>April 27,</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2"/>
                <w:szCs w:val="22"/>
                <w:b w:val="1"/>
                <w:bCs w:val="1"/>
                <w:color w:val="auto"/>
                <w:w w:val="94"/>
              </w:rPr>
              <w:t>April 29,</w:t>
            </w:r>
          </w:p>
        </w:tc>
        <w:tc>
          <w:tcPr>
            <w:tcW w:w="3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b w:val="1"/>
                <w:bCs w:val="1"/>
                <w:color w:val="auto"/>
                <w:w w:val="92"/>
              </w:rPr>
              <w:t>April 27,</w:t>
            </w:r>
          </w:p>
        </w:tc>
        <w:tc>
          <w:tcPr>
            <w:tcW w:w="1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22"/>
                <w:szCs w:val="22"/>
                <w:b w:val="1"/>
                <w:bCs w:val="1"/>
                <w:color w:val="auto"/>
                <w:w w:val="94"/>
              </w:rPr>
              <w:t>April 29,</w:t>
            </w:r>
          </w:p>
        </w:tc>
      </w:tr>
      <w:tr>
        <w:trPr>
          <w:trHeight w:val="281"/>
        </w:trPr>
        <w:tc>
          <w:tcPr>
            <w:tcW w:w="3320" w:type="dxa"/>
            <w:vAlign w:val="bottom"/>
          </w:tcPr>
          <w:p>
            <w:pPr>
              <w:spacing w:after="0"/>
              <w:rPr>
                <w:sz w:val="24"/>
                <w:szCs w:val="24"/>
                <w:color w:val="auto"/>
              </w:rPr>
            </w:pPr>
          </w:p>
        </w:tc>
        <w:tc>
          <w:tcPr>
            <w:tcW w:w="920" w:type="dxa"/>
            <w:vAlign w:val="bottom"/>
          </w:tcPr>
          <w:p>
            <w:pPr>
              <w:jc w:val="right"/>
              <w:ind w:right="152"/>
              <w:spacing w:after="0"/>
              <w:rPr>
                <w:sz w:val="20"/>
                <w:szCs w:val="20"/>
                <w:color w:val="auto"/>
              </w:rPr>
            </w:pPr>
            <w:r>
              <w:rPr>
                <w:rFonts w:ascii="Arial" w:cs="Arial" w:eastAsia="Arial" w:hAnsi="Arial"/>
                <w:sz w:val="22"/>
                <w:szCs w:val="22"/>
                <w:b w:val="1"/>
                <w:bCs w:val="1"/>
                <w:color w:val="auto"/>
              </w:rPr>
              <w:t>2008</w:t>
            </w:r>
          </w:p>
        </w:tc>
        <w:tc>
          <w:tcPr>
            <w:tcW w:w="1080" w:type="dxa"/>
            <w:vAlign w:val="bottom"/>
            <w:gridSpan w:val="2"/>
          </w:tcPr>
          <w:p>
            <w:pPr>
              <w:jc w:val="right"/>
              <w:ind w:right="152"/>
              <w:spacing w:after="0"/>
              <w:rPr>
                <w:sz w:val="20"/>
                <w:szCs w:val="20"/>
                <w:color w:val="auto"/>
              </w:rPr>
            </w:pPr>
            <w:r>
              <w:rPr>
                <w:rFonts w:ascii="Arial" w:cs="Arial" w:eastAsia="Arial" w:hAnsi="Arial"/>
                <w:sz w:val="22"/>
                <w:szCs w:val="22"/>
                <w:b w:val="1"/>
                <w:bCs w:val="1"/>
                <w:color w:val="auto"/>
              </w:rPr>
              <w:t>2007</w:t>
            </w:r>
          </w:p>
        </w:tc>
        <w:tc>
          <w:tcPr>
            <w:tcW w:w="1180" w:type="dxa"/>
            <w:vAlign w:val="bottom"/>
            <w:gridSpan w:val="2"/>
          </w:tcPr>
          <w:p>
            <w:pPr>
              <w:jc w:val="center"/>
              <w:ind w:left="152"/>
              <w:spacing w:after="0"/>
              <w:rPr>
                <w:sz w:val="20"/>
                <w:szCs w:val="20"/>
                <w:color w:val="auto"/>
              </w:rPr>
            </w:pPr>
            <w:r>
              <w:rPr>
                <w:rFonts w:ascii="Arial" w:cs="Arial" w:eastAsia="Arial" w:hAnsi="Arial"/>
                <w:sz w:val="22"/>
                <w:szCs w:val="22"/>
                <w:b w:val="1"/>
                <w:bCs w:val="1"/>
                <w:color w:val="auto"/>
                <w:w w:val="89"/>
              </w:rPr>
              <w:t>2008</w:t>
            </w:r>
          </w:p>
        </w:tc>
        <w:tc>
          <w:tcPr>
            <w:tcW w:w="1040" w:type="dxa"/>
            <w:vAlign w:val="bottom"/>
            <w:gridSpan w:val="2"/>
          </w:tcPr>
          <w:p>
            <w:pPr>
              <w:jc w:val="center"/>
              <w:ind w:left="32"/>
              <w:spacing w:after="0"/>
              <w:rPr>
                <w:sz w:val="20"/>
                <w:szCs w:val="20"/>
                <w:color w:val="auto"/>
              </w:rPr>
            </w:pPr>
            <w:r>
              <w:rPr>
                <w:rFonts w:ascii="Arial" w:cs="Arial" w:eastAsia="Arial" w:hAnsi="Arial"/>
                <w:sz w:val="22"/>
                <w:szCs w:val="22"/>
                <w:b w:val="1"/>
                <w:bCs w:val="1"/>
                <w:color w:val="auto"/>
                <w:w w:val="85"/>
              </w:rPr>
              <w:t>2007</w:t>
            </w:r>
          </w:p>
        </w:tc>
      </w:tr>
      <w:tr>
        <w:trPr>
          <w:trHeight w:val="98"/>
        </w:trPr>
        <w:tc>
          <w:tcPr>
            <w:tcW w:w="3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611"/>
        </w:trPr>
        <w:tc>
          <w:tcPr>
            <w:tcW w:w="3320" w:type="dxa"/>
            <w:vAlign w:val="bottom"/>
          </w:tcPr>
          <w:p>
            <w:pPr>
              <w:spacing w:after="0"/>
              <w:rPr>
                <w:sz w:val="20"/>
                <w:szCs w:val="20"/>
                <w:color w:val="auto"/>
              </w:rPr>
            </w:pPr>
            <w:r>
              <w:rPr>
                <w:rFonts w:ascii="Arial" w:cs="Arial" w:eastAsia="Arial" w:hAnsi="Arial"/>
                <w:sz w:val="22"/>
                <w:szCs w:val="22"/>
                <w:color w:val="auto"/>
              </w:rPr>
              <w:t>Net income (loss)</w:t>
            </w:r>
          </w:p>
        </w:tc>
        <w:tc>
          <w:tcPr>
            <w:tcW w:w="920" w:type="dxa"/>
            <w:vAlign w:val="bottom"/>
          </w:tcPr>
          <w:p>
            <w:pPr>
              <w:jc w:val="right"/>
              <w:spacing w:after="0"/>
              <w:rPr>
                <w:sz w:val="20"/>
                <w:szCs w:val="20"/>
                <w:color w:val="auto"/>
              </w:rPr>
            </w:pPr>
            <w:r>
              <w:rPr>
                <w:rFonts w:ascii="Arial" w:cs="Arial" w:eastAsia="Arial" w:hAnsi="Arial"/>
                <w:sz w:val="22"/>
                <w:szCs w:val="22"/>
                <w:color w:val="auto"/>
              </w:rPr>
              <w:t>$(2,069)</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$14,066</w:t>
            </w:r>
          </w:p>
        </w:tc>
        <w:tc>
          <w:tcPr>
            <w:tcW w:w="1180" w:type="dxa"/>
            <w:vAlign w:val="bottom"/>
            <w:gridSpan w:val="2"/>
          </w:tcPr>
          <w:p>
            <w:pPr>
              <w:jc w:val="center"/>
              <w:ind w:left="212"/>
              <w:spacing w:after="0"/>
              <w:rPr>
                <w:sz w:val="20"/>
                <w:szCs w:val="20"/>
                <w:color w:val="auto"/>
              </w:rPr>
            </w:pPr>
            <w:r>
              <w:rPr>
                <w:rFonts w:ascii="Arial" w:cs="Arial" w:eastAsia="Arial" w:hAnsi="Arial"/>
                <w:sz w:val="22"/>
                <w:szCs w:val="22"/>
                <w:color w:val="auto"/>
                <w:w w:val="88"/>
              </w:rPr>
              <w:t>$ (5,409)</w:t>
            </w:r>
          </w:p>
        </w:tc>
        <w:tc>
          <w:tcPr>
            <w:tcW w:w="1040" w:type="dxa"/>
            <w:vAlign w:val="bottom"/>
            <w:gridSpan w:val="2"/>
          </w:tcPr>
          <w:p>
            <w:pPr>
              <w:jc w:val="center"/>
              <w:ind w:left="32"/>
              <w:spacing w:after="0"/>
              <w:rPr>
                <w:sz w:val="20"/>
                <w:szCs w:val="20"/>
                <w:color w:val="auto"/>
              </w:rPr>
            </w:pPr>
            <w:r>
              <w:rPr>
                <w:rFonts w:ascii="Arial" w:cs="Arial" w:eastAsia="Arial" w:hAnsi="Arial"/>
                <w:sz w:val="22"/>
                <w:szCs w:val="22"/>
                <w:color w:val="auto"/>
                <w:w w:val="87"/>
              </w:rPr>
              <w:t>$21,923</w:t>
            </w:r>
          </w:p>
        </w:tc>
      </w:tr>
      <w:tr>
        <w:trPr>
          <w:trHeight w:val="473"/>
        </w:trPr>
        <w:tc>
          <w:tcPr>
            <w:tcW w:w="3320" w:type="dxa"/>
            <w:vAlign w:val="bottom"/>
          </w:tcPr>
          <w:p>
            <w:pPr>
              <w:spacing w:after="0"/>
              <w:rPr>
                <w:sz w:val="20"/>
                <w:szCs w:val="20"/>
                <w:color w:val="auto"/>
              </w:rPr>
            </w:pPr>
            <w:r>
              <w:rPr>
                <w:rFonts w:ascii="Arial" w:cs="Arial" w:eastAsia="Arial" w:hAnsi="Arial"/>
                <w:sz w:val="22"/>
                <w:szCs w:val="22"/>
                <w:color w:val="auto"/>
              </w:rPr>
              <w:t>Other comprehensive income:</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ind w:left="180"/>
        <w:spacing w:after="0" w:line="230" w:lineRule="auto"/>
        <w:rPr>
          <w:sz w:val="20"/>
          <w:szCs w:val="20"/>
          <w:color w:val="auto"/>
        </w:rPr>
      </w:pPr>
      <w:r>
        <w:rPr>
          <w:rFonts w:ascii="Arial" w:cs="Arial" w:eastAsia="Arial" w:hAnsi="Arial"/>
          <w:sz w:val="22"/>
          <w:szCs w:val="22"/>
          <w:color w:val="auto"/>
        </w:rPr>
        <w:t>Change in unrealized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gains on investments,</w:t>
      </w:r>
    </w:p>
    <w:p>
      <w:pPr>
        <w:sectPr>
          <w:pgSz w:w="11900" w:h="16838" w:orient="portrait"/>
          <w:cols w:equalWidth="0" w:num="1">
            <w:col w:w="11420"/>
          </w:cols>
          <w:pgMar w:left="240" w:top="118"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5"/>
        </w:trPr>
        <w:tc>
          <w:tcPr>
            <w:tcW w:w="3320" w:type="dxa"/>
            <w:vAlign w:val="bottom"/>
          </w:tcPr>
          <w:p>
            <w:pPr>
              <w:ind w:left="340"/>
              <w:spacing w:after="0"/>
              <w:rPr>
                <w:sz w:val="20"/>
                <w:szCs w:val="20"/>
                <w:color w:val="auto"/>
              </w:rPr>
            </w:pPr>
            <w:r>
              <w:rPr>
                <w:rFonts w:ascii="Arial" w:cs="Arial" w:eastAsia="Arial" w:hAnsi="Arial"/>
                <w:sz w:val="22"/>
                <w:szCs w:val="22"/>
                <w:color w:val="auto"/>
              </w:rPr>
              <w:t>net of tax</w:t>
            </w:r>
          </w:p>
        </w:tc>
        <w:tc>
          <w:tcPr>
            <w:tcW w:w="920" w:type="dxa"/>
            <w:vAlign w:val="bottom"/>
          </w:tcPr>
          <w:p>
            <w:pPr>
              <w:jc w:val="right"/>
              <w:spacing w:after="0"/>
              <w:rPr>
                <w:sz w:val="20"/>
                <w:szCs w:val="20"/>
                <w:color w:val="auto"/>
              </w:rPr>
            </w:pPr>
            <w:r>
              <w:rPr>
                <w:rFonts w:ascii="Arial" w:cs="Arial" w:eastAsia="Arial" w:hAnsi="Arial"/>
                <w:sz w:val="22"/>
                <w:szCs w:val="22"/>
                <w:color w:val="auto"/>
              </w:rPr>
              <w:t>(43)</w:t>
            </w:r>
          </w:p>
        </w:tc>
        <w:tc>
          <w:tcPr>
            <w:tcW w:w="1080" w:type="dxa"/>
            <w:vAlign w:val="bottom"/>
            <w:gridSpan w:val="2"/>
          </w:tcPr>
          <w:p>
            <w:pPr>
              <w:jc w:val="right"/>
              <w:ind w:right="40"/>
              <w:spacing w:after="0"/>
              <w:rPr>
                <w:sz w:val="20"/>
                <w:szCs w:val="20"/>
                <w:color w:val="auto"/>
              </w:rPr>
            </w:pPr>
            <w:r>
              <w:rPr>
                <w:rFonts w:ascii="Arial" w:cs="Arial" w:eastAsia="Arial" w:hAnsi="Arial"/>
                <w:sz w:val="22"/>
                <w:szCs w:val="22"/>
                <w:color w:val="auto"/>
              </w:rPr>
              <w:t>(133)</w:t>
            </w:r>
          </w:p>
        </w:tc>
        <w:tc>
          <w:tcPr>
            <w:tcW w:w="1180" w:type="dxa"/>
            <w:vAlign w:val="bottom"/>
            <w:gridSpan w:val="3"/>
          </w:tcPr>
          <w:p>
            <w:pPr>
              <w:jc w:val="right"/>
              <w:ind w:right="40"/>
              <w:spacing w:after="0"/>
              <w:rPr>
                <w:sz w:val="20"/>
                <w:szCs w:val="20"/>
                <w:color w:val="auto"/>
              </w:rPr>
            </w:pPr>
            <w:r>
              <w:rPr>
                <w:rFonts w:ascii="Arial" w:cs="Arial" w:eastAsia="Arial" w:hAnsi="Arial"/>
                <w:sz w:val="22"/>
                <w:szCs w:val="22"/>
                <w:color w:val="auto"/>
              </w:rPr>
              <w:t>(92)</w:t>
            </w:r>
          </w:p>
        </w:tc>
        <w:tc>
          <w:tcPr>
            <w:tcW w:w="1040" w:type="dxa"/>
            <w:vAlign w:val="bottom"/>
            <w:gridSpan w:val="2"/>
          </w:tcPr>
          <w:p>
            <w:pPr>
              <w:jc w:val="right"/>
              <w:ind w:right="40"/>
              <w:spacing w:after="0"/>
              <w:rPr>
                <w:sz w:val="20"/>
                <w:szCs w:val="20"/>
                <w:color w:val="auto"/>
              </w:rPr>
            </w:pPr>
            <w:r>
              <w:rPr>
                <w:rFonts w:ascii="Arial" w:cs="Arial" w:eastAsia="Arial" w:hAnsi="Arial"/>
                <w:sz w:val="22"/>
                <w:szCs w:val="22"/>
                <w:color w:val="auto"/>
              </w:rPr>
              <w:t>(120)</w:t>
            </w:r>
          </w:p>
        </w:tc>
      </w:tr>
      <w:tr>
        <w:trPr>
          <w:trHeight w:val="455"/>
        </w:trPr>
        <w:tc>
          <w:tcPr>
            <w:tcW w:w="3320" w:type="dxa"/>
            <w:vAlign w:val="bottom"/>
          </w:tcPr>
          <w:p>
            <w:pPr>
              <w:ind w:left="180"/>
              <w:spacing w:after="0"/>
              <w:rPr>
                <w:sz w:val="20"/>
                <w:szCs w:val="20"/>
                <w:color w:val="auto"/>
              </w:rPr>
            </w:pPr>
            <w:r>
              <w:rPr>
                <w:rFonts w:ascii="Arial" w:cs="Arial" w:eastAsia="Arial" w:hAnsi="Arial"/>
                <w:sz w:val="22"/>
                <w:szCs w:val="22"/>
                <w:color w:val="auto"/>
              </w:rPr>
              <w:t>Change in fair value of cash</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5"/>
        </w:trPr>
        <w:tc>
          <w:tcPr>
            <w:tcW w:w="3320" w:type="dxa"/>
            <w:vAlign w:val="bottom"/>
          </w:tcPr>
          <w:p>
            <w:pPr>
              <w:ind w:left="280"/>
              <w:spacing w:after="0"/>
              <w:rPr>
                <w:sz w:val="20"/>
                <w:szCs w:val="20"/>
                <w:color w:val="auto"/>
              </w:rPr>
            </w:pPr>
            <w:r>
              <w:rPr>
                <w:rFonts w:ascii="Arial" w:cs="Arial" w:eastAsia="Arial" w:hAnsi="Arial"/>
                <w:sz w:val="22"/>
                <w:szCs w:val="22"/>
                <w:color w:val="auto"/>
              </w:rPr>
              <w:t>flow hedges</w:t>
            </w:r>
          </w:p>
        </w:tc>
        <w:tc>
          <w:tcPr>
            <w:tcW w:w="920" w:type="dxa"/>
            <w:vAlign w:val="bottom"/>
          </w:tcPr>
          <w:p>
            <w:pPr>
              <w:jc w:val="right"/>
              <w:spacing w:after="0"/>
              <w:rPr>
                <w:sz w:val="20"/>
                <w:szCs w:val="20"/>
                <w:color w:val="auto"/>
              </w:rPr>
            </w:pPr>
            <w:r>
              <w:rPr>
                <w:rFonts w:ascii="Arial" w:cs="Arial" w:eastAsia="Arial" w:hAnsi="Arial"/>
                <w:sz w:val="22"/>
                <w:szCs w:val="22"/>
                <w:color w:val="auto"/>
              </w:rPr>
              <w:t>44</w:t>
            </w:r>
          </w:p>
        </w:tc>
        <w:tc>
          <w:tcPr>
            <w:tcW w:w="1080" w:type="dxa"/>
            <w:vAlign w:val="bottom"/>
            <w:gridSpan w:val="2"/>
          </w:tcPr>
          <w:p>
            <w:pPr>
              <w:jc w:val="right"/>
              <w:ind w:right="80"/>
              <w:spacing w:after="0"/>
              <w:rPr>
                <w:sz w:val="20"/>
                <w:szCs w:val="20"/>
                <w:color w:val="auto"/>
              </w:rPr>
            </w:pPr>
            <w:r>
              <w:rPr>
                <w:rFonts w:ascii="Arial" w:cs="Arial" w:eastAsia="Arial" w:hAnsi="Arial"/>
                <w:sz w:val="22"/>
                <w:szCs w:val="22"/>
                <w:color w:val="auto"/>
              </w:rPr>
              <w:t>110</w:t>
            </w:r>
          </w:p>
        </w:tc>
        <w:tc>
          <w:tcPr>
            <w:tcW w:w="1180" w:type="dxa"/>
            <w:vAlign w:val="bottom"/>
            <w:gridSpan w:val="3"/>
          </w:tcPr>
          <w:p>
            <w:pPr>
              <w:jc w:val="right"/>
              <w:ind w:right="100"/>
              <w:spacing w:after="0"/>
              <w:rPr>
                <w:sz w:val="20"/>
                <w:szCs w:val="20"/>
                <w:color w:val="auto"/>
              </w:rPr>
            </w:pPr>
            <w:r>
              <w:rPr>
                <w:rFonts w:ascii="Arial" w:cs="Arial" w:eastAsia="Arial" w:hAnsi="Arial"/>
                <w:sz w:val="22"/>
                <w:szCs w:val="22"/>
                <w:color w:val="auto"/>
              </w:rPr>
              <w:t>72</w:t>
            </w:r>
          </w:p>
        </w:tc>
        <w:tc>
          <w:tcPr>
            <w:tcW w:w="1040" w:type="dxa"/>
            <w:vAlign w:val="bottom"/>
            <w:gridSpan w:val="2"/>
          </w:tcPr>
          <w:p>
            <w:pPr>
              <w:jc w:val="right"/>
              <w:ind w:right="40"/>
              <w:spacing w:after="0"/>
              <w:rPr>
                <w:sz w:val="20"/>
                <w:szCs w:val="20"/>
                <w:color w:val="auto"/>
              </w:rPr>
            </w:pPr>
            <w:r>
              <w:rPr>
                <w:rFonts w:ascii="Arial" w:cs="Arial" w:eastAsia="Arial" w:hAnsi="Arial"/>
                <w:sz w:val="22"/>
                <w:szCs w:val="22"/>
                <w:color w:val="auto"/>
              </w:rPr>
              <w:t>(1,373)</w:t>
            </w:r>
          </w:p>
        </w:tc>
      </w:tr>
      <w:tr>
        <w:trPr>
          <w:trHeight w:val="455"/>
        </w:trPr>
        <w:tc>
          <w:tcPr>
            <w:tcW w:w="3320" w:type="dxa"/>
            <w:vAlign w:val="bottom"/>
          </w:tcPr>
          <w:p>
            <w:pPr>
              <w:ind w:left="180"/>
              <w:spacing w:after="0"/>
              <w:rPr>
                <w:sz w:val="20"/>
                <w:szCs w:val="20"/>
                <w:color w:val="auto"/>
              </w:rPr>
            </w:pPr>
            <w:r>
              <w:rPr>
                <w:rFonts w:ascii="Arial" w:cs="Arial" w:eastAsia="Arial" w:hAnsi="Arial"/>
                <w:sz w:val="22"/>
                <w:szCs w:val="22"/>
                <w:color w:val="auto"/>
              </w:rPr>
              <w:t>Foreign currency translation</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5"/>
        </w:trPr>
        <w:tc>
          <w:tcPr>
            <w:tcW w:w="3320" w:type="dxa"/>
            <w:vAlign w:val="bottom"/>
          </w:tcPr>
          <w:p>
            <w:pPr>
              <w:ind w:left="340"/>
              <w:spacing w:after="0"/>
              <w:rPr>
                <w:sz w:val="20"/>
                <w:szCs w:val="20"/>
                <w:color w:val="auto"/>
              </w:rPr>
            </w:pPr>
            <w:r>
              <w:rPr>
                <w:rFonts w:ascii="Arial" w:cs="Arial" w:eastAsia="Arial" w:hAnsi="Arial"/>
                <w:sz w:val="22"/>
                <w:szCs w:val="22"/>
                <w:color w:val="auto"/>
              </w:rPr>
              <w:t>adjustments</w:t>
            </w:r>
          </w:p>
        </w:tc>
        <w:tc>
          <w:tcPr>
            <w:tcW w:w="920" w:type="dxa"/>
            <w:vAlign w:val="bottom"/>
          </w:tcPr>
          <w:p>
            <w:pPr>
              <w:jc w:val="right"/>
              <w:spacing w:after="0"/>
              <w:rPr>
                <w:sz w:val="20"/>
                <w:szCs w:val="20"/>
                <w:color w:val="auto"/>
              </w:rPr>
            </w:pPr>
            <w:r>
              <w:rPr>
                <w:rFonts w:ascii="Arial" w:cs="Arial" w:eastAsia="Arial" w:hAnsi="Arial"/>
                <w:sz w:val="22"/>
                <w:szCs w:val="22"/>
                <w:color w:val="auto"/>
              </w:rPr>
              <w:t>(58)</w:t>
            </w:r>
          </w:p>
        </w:tc>
        <w:tc>
          <w:tcPr>
            <w:tcW w:w="1080" w:type="dxa"/>
            <w:vAlign w:val="bottom"/>
            <w:gridSpan w:val="2"/>
          </w:tcPr>
          <w:p>
            <w:pPr>
              <w:jc w:val="right"/>
              <w:ind w:right="80"/>
              <w:spacing w:after="0"/>
              <w:rPr>
                <w:sz w:val="20"/>
                <w:szCs w:val="20"/>
                <w:color w:val="auto"/>
              </w:rPr>
            </w:pPr>
            <w:r>
              <w:rPr>
                <w:rFonts w:ascii="Arial" w:cs="Arial" w:eastAsia="Arial" w:hAnsi="Arial"/>
                <w:sz w:val="22"/>
                <w:szCs w:val="22"/>
                <w:color w:val="auto"/>
              </w:rPr>
              <w:t>467</w:t>
            </w:r>
          </w:p>
        </w:tc>
        <w:tc>
          <w:tcPr>
            <w:tcW w:w="1180" w:type="dxa"/>
            <w:vAlign w:val="bottom"/>
            <w:gridSpan w:val="3"/>
          </w:tcPr>
          <w:p>
            <w:pPr>
              <w:jc w:val="right"/>
              <w:ind w:right="40"/>
              <w:spacing w:after="0"/>
              <w:rPr>
                <w:sz w:val="20"/>
                <w:szCs w:val="20"/>
                <w:color w:val="auto"/>
              </w:rPr>
            </w:pPr>
            <w:r>
              <w:rPr>
                <w:rFonts w:ascii="Arial" w:cs="Arial" w:eastAsia="Arial" w:hAnsi="Arial"/>
                <w:sz w:val="22"/>
                <w:szCs w:val="22"/>
                <w:color w:val="auto"/>
              </w:rPr>
              <w:t>(7,440)</w:t>
            </w: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rPr>
              <w:t>6,558</w:t>
            </w:r>
          </w:p>
        </w:tc>
      </w:tr>
      <w:tr>
        <w:trPr>
          <w:trHeight w:val="98"/>
        </w:trPr>
        <w:tc>
          <w:tcPr>
            <w:tcW w:w="332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r>
      <w:tr>
        <w:trPr>
          <w:trHeight w:val="368"/>
        </w:trPr>
        <w:tc>
          <w:tcPr>
            <w:tcW w:w="3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(57)</w:t>
            </w:r>
          </w:p>
        </w:tc>
        <w:tc>
          <w:tcPr>
            <w:tcW w:w="1080" w:type="dxa"/>
            <w:vAlign w:val="bottom"/>
            <w:gridSpan w:val="2"/>
          </w:tcPr>
          <w:p>
            <w:pPr>
              <w:jc w:val="right"/>
              <w:ind w:right="80"/>
              <w:spacing w:after="0"/>
              <w:rPr>
                <w:sz w:val="20"/>
                <w:szCs w:val="20"/>
                <w:color w:val="auto"/>
              </w:rPr>
            </w:pPr>
            <w:r>
              <w:rPr>
                <w:rFonts w:ascii="Arial" w:cs="Arial" w:eastAsia="Arial" w:hAnsi="Arial"/>
                <w:sz w:val="22"/>
                <w:szCs w:val="22"/>
                <w:color w:val="auto"/>
              </w:rPr>
              <w:t>444</w:t>
            </w:r>
          </w:p>
        </w:tc>
        <w:tc>
          <w:tcPr>
            <w:tcW w:w="1180" w:type="dxa"/>
            <w:vAlign w:val="bottom"/>
            <w:gridSpan w:val="3"/>
          </w:tcPr>
          <w:p>
            <w:pPr>
              <w:jc w:val="right"/>
              <w:ind w:right="40"/>
              <w:spacing w:after="0"/>
              <w:rPr>
                <w:sz w:val="20"/>
                <w:szCs w:val="20"/>
                <w:color w:val="auto"/>
              </w:rPr>
            </w:pPr>
            <w:r>
              <w:rPr>
                <w:rFonts w:ascii="Arial" w:cs="Arial" w:eastAsia="Arial" w:hAnsi="Arial"/>
                <w:sz w:val="22"/>
                <w:szCs w:val="22"/>
                <w:color w:val="auto"/>
              </w:rPr>
              <w:t>(7,460)</w:t>
            </w: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rPr>
              <w:t>5,065</w:t>
            </w:r>
          </w:p>
        </w:tc>
      </w:tr>
      <w:tr>
        <w:trPr>
          <w:trHeight w:val="98"/>
        </w:trPr>
        <w:tc>
          <w:tcPr>
            <w:tcW w:w="332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r>
      <w:tr>
        <w:trPr>
          <w:trHeight w:val="368"/>
        </w:trPr>
        <w:tc>
          <w:tcPr>
            <w:tcW w:w="3320" w:type="dxa"/>
            <w:vAlign w:val="bottom"/>
          </w:tcPr>
          <w:p>
            <w:pPr>
              <w:spacing w:after="0"/>
              <w:rPr>
                <w:sz w:val="20"/>
                <w:szCs w:val="20"/>
                <w:color w:val="auto"/>
              </w:rPr>
            </w:pPr>
            <w:r>
              <w:rPr>
                <w:rFonts w:ascii="Arial" w:cs="Arial" w:eastAsia="Arial" w:hAnsi="Arial"/>
                <w:sz w:val="22"/>
                <w:szCs w:val="22"/>
                <w:color w:val="auto"/>
                <w:w w:val="96"/>
              </w:rPr>
              <w:t>Total comprehensive income (loss)</w:t>
            </w:r>
          </w:p>
        </w:tc>
        <w:tc>
          <w:tcPr>
            <w:tcW w:w="920" w:type="dxa"/>
            <w:vAlign w:val="bottom"/>
          </w:tcPr>
          <w:p>
            <w:pPr>
              <w:jc w:val="right"/>
              <w:spacing w:after="0"/>
              <w:rPr>
                <w:sz w:val="20"/>
                <w:szCs w:val="20"/>
                <w:color w:val="auto"/>
              </w:rPr>
            </w:pPr>
            <w:r>
              <w:rPr>
                <w:rFonts w:ascii="Arial" w:cs="Arial" w:eastAsia="Arial" w:hAnsi="Arial"/>
                <w:sz w:val="22"/>
                <w:szCs w:val="22"/>
                <w:color w:val="auto"/>
              </w:rPr>
              <w:t>$(2,126)</w:t>
            </w:r>
          </w:p>
        </w:tc>
        <w:tc>
          <w:tcPr>
            <w:tcW w:w="1080" w:type="dxa"/>
            <w:vAlign w:val="bottom"/>
            <w:gridSpan w:val="2"/>
          </w:tcPr>
          <w:p>
            <w:pPr>
              <w:jc w:val="right"/>
              <w:ind w:right="80"/>
              <w:spacing w:after="0"/>
              <w:rPr>
                <w:sz w:val="20"/>
                <w:szCs w:val="20"/>
                <w:color w:val="auto"/>
              </w:rPr>
            </w:pPr>
            <w:r>
              <w:rPr>
                <w:rFonts w:ascii="Arial" w:cs="Arial" w:eastAsia="Arial" w:hAnsi="Arial"/>
                <w:sz w:val="22"/>
                <w:szCs w:val="22"/>
                <w:color w:val="auto"/>
              </w:rPr>
              <w:t>$14,510</w:t>
            </w:r>
          </w:p>
        </w:tc>
        <w:tc>
          <w:tcPr>
            <w:tcW w:w="1180" w:type="dxa"/>
            <w:vAlign w:val="bottom"/>
            <w:gridSpan w:val="3"/>
          </w:tcPr>
          <w:p>
            <w:pPr>
              <w:jc w:val="right"/>
              <w:ind w:right="40"/>
              <w:spacing w:after="0"/>
              <w:rPr>
                <w:sz w:val="20"/>
                <w:szCs w:val="20"/>
                <w:color w:val="auto"/>
              </w:rPr>
            </w:pPr>
            <w:r>
              <w:rPr>
                <w:rFonts w:ascii="Arial" w:cs="Arial" w:eastAsia="Arial" w:hAnsi="Arial"/>
                <w:sz w:val="22"/>
                <w:szCs w:val="22"/>
                <w:color w:val="auto"/>
              </w:rPr>
              <w:t>$(12,869)</w:t>
            </w: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rPr>
              <w:t>$26,988</w:t>
            </w:r>
          </w:p>
        </w:tc>
      </w:tr>
      <w:tr>
        <w:trPr>
          <w:trHeight w:val="122"/>
        </w:trPr>
        <w:tc>
          <w:tcPr>
            <w:tcW w:w="332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8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640" w:type="dxa"/>
            <w:vAlign w:val="bottom"/>
            <w:gridSpan w:val="2"/>
          </w:tcPr>
          <w:p>
            <w:pPr>
              <w:spacing w:after="0"/>
              <w:rPr>
                <w:sz w:val="20"/>
                <w:szCs w:val="20"/>
                <w:color w:val="auto"/>
              </w:rPr>
            </w:pPr>
            <w:r>
              <w:rPr>
                <w:rFonts w:ascii="Arial" w:cs="Arial" w:eastAsia="Arial" w:hAnsi="Arial"/>
                <w:sz w:val="22"/>
                <w:szCs w:val="22"/>
                <w:b w:val="1"/>
                <w:bCs w:val="1"/>
                <w:color w:val="auto"/>
              </w:rPr>
              <w:t>NOTE 3 - EARNINGS (LOSS) PER SHARE</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60" w:type="dxa"/>
            <w:vAlign w:val="bottom"/>
            <w:gridSpan w:val="11"/>
          </w:tcPr>
          <w:p>
            <w:pPr>
              <w:ind w:left="280"/>
              <w:spacing w:after="0"/>
              <w:rPr>
                <w:sz w:val="20"/>
                <w:szCs w:val="20"/>
                <w:color w:val="auto"/>
              </w:rPr>
            </w:pPr>
            <w:r>
              <w:rPr>
                <w:rFonts w:ascii="Arial" w:cs="Arial" w:eastAsia="Arial" w:hAnsi="Arial"/>
                <w:sz w:val="22"/>
                <w:szCs w:val="22"/>
                <w:color w:val="auto"/>
                <w:w w:val="95"/>
              </w:rPr>
              <w:t>The calculation of basic and diluted earnings (loss) per share is presented below:</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5"/>
          </w:tcPr>
          <w:p>
            <w:pPr>
              <w:jc w:val="right"/>
              <w:ind w:right="12"/>
              <w:spacing w:after="0"/>
              <w:rPr>
                <w:sz w:val="20"/>
                <w:szCs w:val="20"/>
                <w:color w:val="auto"/>
              </w:rPr>
            </w:pPr>
            <w:r>
              <w:rPr>
                <w:rFonts w:ascii="Arial" w:cs="Arial" w:eastAsia="Arial" w:hAnsi="Arial"/>
                <w:sz w:val="22"/>
                <w:szCs w:val="22"/>
                <w:b w:val="1"/>
                <w:bCs w:val="1"/>
                <w:color w:val="auto"/>
                <w:w w:val="92"/>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5"/>
          </w:tcPr>
          <w:p>
            <w:pPr>
              <w:jc w:val="right"/>
              <w:ind w:right="52"/>
              <w:spacing w:after="0"/>
              <w:rPr>
                <w:sz w:val="20"/>
                <w:szCs w:val="20"/>
                <w:color w:val="auto"/>
              </w:rPr>
            </w:pPr>
            <w:r>
              <w:rPr>
                <w:rFonts w:ascii="Arial" w:cs="Arial" w:eastAsia="Arial" w:hAnsi="Arial"/>
                <w:sz w:val="22"/>
                <w:szCs w:val="22"/>
                <w:b w:val="1"/>
                <w:bCs w:val="1"/>
                <w:color w:val="auto"/>
                <w:w w:val="95"/>
              </w:rPr>
              <w:t>Six Months Ended</w:t>
            </w:r>
          </w:p>
        </w:tc>
        <w:tc>
          <w:tcPr>
            <w:tcW w:w="0" w:type="dxa"/>
            <w:vAlign w:val="bottom"/>
          </w:tcPr>
          <w:p>
            <w:pPr>
              <w:spacing w:after="0"/>
              <w:rPr>
                <w:sz w:val="1"/>
                <w:szCs w:val="1"/>
                <w:color w:val="auto"/>
              </w:rPr>
            </w:pPr>
          </w:p>
        </w:tc>
      </w:tr>
      <w:tr>
        <w:trPr>
          <w:trHeight w:val="98"/>
        </w:trPr>
        <w:tc>
          <w:tcPr>
            <w:tcW w:w="46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w w:val="99"/>
              </w:rPr>
              <w:t>April 27,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22"/>
                <w:szCs w:val="22"/>
                <w:b w:val="1"/>
                <w:bCs w:val="1"/>
                <w:color w:val="auto"/>
                <w:w w:val="99"/>
              </w:rPr>
              <w:t>April 29,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w w:val="94"/>
              </w:rPr>
              <w:t>April 27,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w w:val="94"/>
              </w:rPr>
              <w:t>April 29,</w:t>
            </w:r>
          </w:p>
        </w:tc>
        <w:tc>
          <w:tcPr>
            <w:tcW w:w="0" w:type="dxa"/>
            <w:vAlign w:val="bottom"/>
          </w:tcPr>
          <w:p>
            <w:pPr>
              <w:spacing w:after="0"/>
              <w:rPr>
                <w:sz w:val="1"/>
                <w:szCs w:val="1"/>
                <w:color w:val="auto"/>
              </w:rPr>
            </w:pPr>
          </w:p>
        </w:tc>
      </w:tr>
      <w:tr>
        <w:trPr>
          <w:trHeight w:val="281"/>
        </w:trPr>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ind w:right="192"/>
              <w:spacing w:after="0"/>
              <w:rPr>
                <w:sz w:val="20"/>
                <w:szCs w:val="20"/>
                <w:color w:val="auto"/>
              </w:rPr>
            </w:pPr>
            <w:r>
              <w:rPr>
                <w:rFonts w:ascii="Arial" w:cs="Arial" w:eastAsia="Arial" w:hAnsi="Arial"/>
                <w:sz w:val="22"/>
                <w:szCs w:val="22"/>
                <w:b w:val="1"/>
                <w:bCs w:val="1"/>
                <w:color w:val="auto"/>
              </w:rPr>
              <w:t>2008</w:t>
            </w:r>
          </w:p>
        </w:tc>
        <w:tc>
          <w:tcPr>
            <w:tcW w:w="1180" w:type="dxa"/>
            <w:vAlign w:val="bottom"/>
            <w:gridSpan w:val="4"/>
          </w:tcPr>
          <w:p>
            <w:pPr>
              <w:jc w:val="right"/>
              <w:ind w:right="192"/>
              <w:spacing w:after="0"/>
              <w:rPr>
                <w:sz w:val="20"/>
                <w:szCs w:val="20"/>
                <w:color w:val="auto"/>
              </w:rPr>
            </w:pPr>
            <w:r>
              <w:rPr>
                <w:rFonts w:ascii="Arial" w:cs="Arial" w:eastAsia="Arial" w:hAnsi="Arial"/>
                <w:sz w:val="22"/>
                <w:szCs w:val="22"/>
                <w:b w:val="1"/>
                <w:bCs w:val="1"/>
                <w:color w:val="auto"/>
              </w:rPr>
              <w:t>2007</w:t>
            </w:r>
          </w:p>
        </w:tc>
        <w:tc>
          <w:tcPr>
            <w:tcW w:w="1060" w:type="dxa"/>
            <w:vAlign w:val="bottom"/>
            <w:gridSpan w:val="4"/>
          </w:tcPr>
          <w:p>
            <w:pPr>
              <w:jc w:val="right"/>
              <w:ind w:right="132"/>
              <w:spacing w:after="0"/>
              <w:rPr>
                <w:sz w:val="20"/>
                <w:szCs w:val="20"/>
                <w:color w:val="auto"/>
              </w:rPr>
            </w:pPr>
            <w:r>
              <w:rPr>
                <w:rFonts w:ascii="Arial" w:cs="Arial" w:eastAsia="Arial" w:hAnsi="Arial"/>
                <w:sz w:val="22"/>
                <w:szCs w:val="22"/>
                <w:b w:val="1"/>
                <w:bCs w:val="1"/>
                <w:color w:val="auto"/>
              </w:rPr>
              <w:t>2008</w:t>
            </w:r>
          </w:p>
        </w:tc>
        <w:tc>
          <w:tcPr>
            <w:tcW w:w="1100" w:type="dxa"/>
            <w:vAlign w:val="bottom"/>
            <w:gridSpan w:val="4"/>
          </w:tcPr>
          <w:p>
            <w:pPr>
              <w:jc w:val="right"/>
              <w:ind w:right="152"/>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46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1"/>
        </w:trPr>
        <w:tc>
          <w:tcPr>
            <w:tcW w:w="4640" w:type="dxa"/>
            <w:vAlign w:val="bottom"/>
            <w:gridSpan w:val="2"/>
          </w:tcPr>
          <w:p>
            <w:pPr>
              <w:spacing w:after="0"/>
              <w:rPr>
                <w:sz w:val="20"/>
                <w:szCs w:val="20"/>
                <w:color w:val="auto"/>
              </w:rPr>
            </w:pPr>
            <w:r>
              <w:rPr>
                <w:rFonts w:ascii="Arial" w:cs="Arial" w:eastAsia="Arial" w:hAnsi="Arial"/>
                <w:sz w:val="22"/>
                <w:szCs w:val="22"/>
                <w:color w:val="auto"/>
              </w:rPr>
              <w:t>Net income (loss)</w:t>
            </w:r>
          </w:p>
        </w:tc>
        <w:tc>
          <w:tcPr>
            <w:tcW w:w="980" w:type="dxa"/>
            <w:vAlign w:val="bottom"/>
          </w:tcPr>
          <w:p>
            <w:pPr>
              <w:jc w:val="right"/>
              <w:spacing w:after="0"/>
              <w:rPr>
                <w:sz w:val="20"/>
                <w:szCs w:val="20"/>
                <w:color w:val="auto"/>
              </w:rPr>
            </w:pPr>
            <w:r>
              <w:rPr>
                <w:rFonts w:ascii="Arial" w:cs="Arial" w:eastAsia="Arial" w:hAnsi="Arial"/>
                <w:sz w:val="22"/>
                <w:szCs w:val="22"/>
                <w:color w:val="auto"/>
              </w:rPr>
              <w:t>$(2,069)</w:t>
            </w:r>
          </w:p>
        </w:tc>
        <w:tc>
          <w:tcPr>
            <w:tcW w:w="1180" w:type="dxa"/>
            <w:vAlign w:val="bottom"/>
            <w:gridSpan w:val="4"/>
          </w:tcPr>
          <w:p>
            <w:pPr>
              <w:jc w:val="right"/>
              <w:spacing w:after="0"/>
              <w:rPr>
                <w:sz w:val="20"/>
                <w:szCs w:val="20"/>
                <w:color w:val="auto"/>
              </w:rPr>
            </w:pPr>
            <w:r>
              <w:rPr>
                <w:rFonts w:ascii="Arial" w:cs="Arial" w:eastAsia="Arial" w:hAnsi="Arial"/>
                <w:sz w:val="22"/>
                <w:szCs w:val="22"/>
                <w:color w:val="auto"/>
              </w:rPr>
              <w:t>$14,066</w:t>
            </w: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$(5,409)</w:t>
            </w:r>
          </w:p>
        </w:tc>
        <w:tc>
          <w:tcPr>
            <w:tcW w:w="1100" w:type="dxa"/>
            <w:vAlign w:val="bottom"/>
            <w:gridSpan w:val="4"/>
          </w:tcPr>
          <w:p>
            <w:pPr>
              <w:jc w:val="right"/>
              <w:spacing w:after="0"/>
              <w:rPr>
                <w:sz w:val="20"/>
                <w:szCs w:val="20"/>
                <w:color w:val="auto"/>
              </w:rPr>
            </w:pPr>
            <w:r>
              <w:rPr>
                <w:rFonts w:ascii="Arial" w:cs="Arial" w:eastAsia="Arial" w:hAnsi="Arial"/>
                <w:sz w:val="22"/>
                <w:szCs w:val="22"/>
                <w:color w:val="auto"/>
              </w:rPr>
              <w:t>$21,923</w:t>
            </w:r>
          </w:p>
        </w:tc>
        <w:tc>
          <w:tcPr>
            <w:tcW w:w="0" w:type="dxa"/>
            <w:vAlign w:val="bottom"/>
          </w:tcPr>
          <w:p>
            <w:pPr>
              <w:spacing w:after="0"/>
              <w:rPr>
                <w:sz w:val="1"/>
                <w:szCs w:val="1"/>
                <w:color w:val="auto"/>
              </w:rPr>
            </w:pPr>
          </w:p>
        </w:tc>
      </w:tr>
      <w:tr>
        <w:trPr>
          <w:trHeight w:val="455"/>
        </w:trPr>
        <w:tc>
          <w:tcPr>
            <w:tcW w:w="4640" w:type="dxa"/>
            <w:vAlign w:val="bottom"/>
            <w:gridSpan w:val="2"/>
          </w:tcPr>
          <w:p>
            <w:pPr>
              <w:spacing w:after="0"/>
              <w:rPr>
                <w:sz w:val="20"/>
                <w:szCs w:val="20"/>
                <w:color w:val="auto"/>
              </w:rPr>
            </w:pPr>
            <w:r>
              <w:rPr>
                <w:rFonts w:ascii="Arial" w:cs="Arial" w:eastAsia="Arial" w:hAnsi="Arial"/>
                <w:sz w:val="22"/>
                <w:szCs w:val="22"/>
                <w:color w:val="auto"/>
              </w:rPr>
              <w:t>Effect of dilutive securities: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Interest expense on convertible notes,</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40" w:type="dxa"/>
            <w:vAlign w:val="bottom"/>
            <w:gridSpan w:val="2"/>
          </w:tcPr>
          <w:p>
            <w:pPr>
              <w:ind w:left="220"/>
              <w:spacing w:after="0"/>
              <w:rPr>
                <w:sz w:val="20"/>
                <w:szCs w:val="20"/>
                <w:color w:val="auto"/>
              </w:rPr>
            </w:pPr>
            <w:r>
              <w:rPr>
                <w:rFonts w:ascii="Arial" w:cs="Arial" w:eastAsia="Arial" w:hAnsi="Arial"/>
                <w:sz w:val="22"/>
                <w:szCs w:val="22"/>
                <w:color w:val="auto"/>
              </w:rPr>
              <w:t>net of related tax effect</w:t>
            </w: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gridSpan w:val="4"/>
          </w:tcPr>
          <w:p>
            <w:pPr>
              <w:jc w:val="right"/>
              <w:spacing w:after="0"/>
              <w:rPr>
                <w:sz w:val="20"/>
                <w:szCs w:val="20"/>
                <w:color w:val="auto"/>
              </w:rPr>
            </w:pPr>
            <w:r>
              <w:rPr>
                <w:rFonts w:ascii="Arial" w:cs="Arial" w:eastAsia="Arial" w:hAnsi="Arial"/>
                <w:sz w:val="22"/>
                <w:szCs w:val="22"/>
                <w:color w:val="auto"/>
              </w:rPr>
              <w:t>1,100</w:t>
            </w: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1100" w:type="dxa"/>
            <w:vAlign w:val="bottom"/>
            <w:gridSpan w:val="4"/>
          </w:tcPr>
          <w:p>
            <w:pPr>
              <w:jc w:val="right"/>
              <w:spacing w:after="0"/>
              <w:rPr>
                <w:sz w:val="20"/>
                <w:szCs w:val="20"/>
                <w:color w:val="auto"/>
              </w:rPr>
            </w:pPr>
            <w:r>
              <w:rPr>
                <w:rFonts w:ascii="Arial" w:cs="Arial" w:eastAsia="Arial" w:hAnsi="Arial"/>
                <w:sz w:val="22"/>
                <w:szCs w:val="22"/>
                <w:color w:val="auto"/>
              </w:rPr>
              <w:t>2,201</w:t>
            </w:r>
          </w:p>
        </w:tc>
        <w:tc>
          <w:tcPr>
            <w:tcW w:w="0" w:type="dxa"/>
            <w:vAlign w:val="bottom"/>
          </w:tcPr>
          <w:p>
            <w:pPr>
              <w:spacing w:after="0"/>
              <w:rPr>
                <w:sz w:val="1"/>
                <w:szCs w:val="1"/>
                <w:color w:val="auto"/>
              </w:rPr>
            </w:pPr>
          </w:p>
        </w:tc>
      </w:tr>
      <w:tr>
        <w:trPr>
          <w:trHeight w:val="98"/>
        </w:trPr>
        <w:tc>
          <w:tcPr>
            <w:tcW w:w="46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640" w:type="dxa"/>
            <w:vAlign w:val="bottom"/>
            <w:gridSpan w:val="2"/>
          </w:tcPr>
          <w:p>
            <w:pPr>
              <w:spacing w:after="0"/>
              <w:rPr>
                <w:sz w:val="20"/>
                <w:szCs w:val="20"/>
                <w:color w:val="auto"/>
              </w:rPr>
            </w:pPr>
            <w:r>
              <w:rPr>
                <w:rFonts w:ascii="Arial" w:cs="Arial" w:eastAsia="Arial" w:hAnsi="Arial"/>
                <w:sz w:val="22"/>
                <w:szCs w:val="22"/>
                <w:color w:val="auto"/>
              </w:rPr>
              <w:t>Earnings for diluted earnings (loss) per share</w:t>
            </w:r>
          </w:p>
        </w:tc>
        <w:tc>
          <w:tcPr>
            <w:tcW w:w="980" w:type="dxa"/>
            <w:vAlign w:val="bottom"/>
          </w:tcPr>
          <w:p>
            <w:pPr>
              <w:jc w:val="right"/>
              <w:spacing w:after="0"/>
              <w:rPr>
                <w:sz w:val="20"/>
                <w:szCs w:val="20"/>
                <w:color w:val="auto"/>
              </w:rPr>
            </w:pPr>
            <w:r>
              <w:rPr>
                <w:rFonts w:ascii="Arial" w:cs="Arial" w:eastAsia="Arial" w:hAnsi="Arial"/>
                <w:sz w:val="22"/>
                <w:szCs w:val="22"/>
                <w:color w:val="auto"/>
              </w:rPr>
              <w:t>$(2,069)</w:t>
            </w:r>
          </w:p>
        </w:tc>
        <w:tc>
          <w:tcPr>
            <w:tcW w:w="1180" w:type="dxa"/>
            <w:vAlign w:val="bottom"/>
            <w:gridSpan w:val="4"/>
          </w:tcPr>
          <w:p>
            <w:pPr>
              <w:jc w:val="right"/>
              <w:spacing w:after="0"/>
              <w:rPr>
                <w:sz w:val="20"/>
                <w:szCs w:val="20"/>
                <w:color w:val="auto"/>
              </w:rPr>
            </w:pPr>
            <w:r>
              <w:rPr>
                <w:rFonts w:ascii="Arial" w:cs="Arial" w:eastAsia="Arial" w:hAnsi="Arial"/>
                <w:sz w:val="22"/>
                <w:szCs w:val="22"/>
                <w:color w:val="auto"/>
              </w:rPr>
              <w:t>$15,166</w:t>
            </w: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$(5,409)</w:t>
            </w:r>
          </w:p>
        </w:tc>
        <w:tc>
          <w:tcPr>
            <w:tcW w:w="1100" w:type="dxa"/>
            <w:vAlign w:val="bottom"/>
            <w:gridSpan w:val="4"/>
          </w:tcPr>
          <w:p>
            <w:pPr>
              <w:jc w:val="right"/>
              <w:spacing w:after="0"/>
              <w:rPr>
                <w:sz w:val="20"/>
                <w:szCs w:val="20"/>
                <w:color w:val="auto"/>
              </w:rPr>
            </w:pPr>
            <w:r>
              <w:rPr>
                <w:rFonts w:ascii="Arial" w:cs="Arial" w:eastAsia="Arial" w:hAnsi="Arial"/>
                <w:sz w:val="22"/>
                <w:szCs w:val="22"/>
                <w:color w:val="auto"/>
              </w:rPr>
              <w:t>$24,124</w:t>
            </w: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4640" w:type="dxa"/>
            <w:vAlign w:val="bottom"/>
            <w:gridSpan w:val="2"/>
          </w:tcPr>
          <w:p>
            <w:pPr>
              <w:spacing w:after="0"/>
              <w:rPr>
                <w:sz w:val="20"/>
                <w:szCs w:val="20"/>
                <w:color w:val="auto"/>
              </w:rPr>
            </w:pPr>
            <w:r>
              <w:rPr>
                <w:rFonts w:ascii="Arial" w:cs="Arial" w:eastAsia="Arial" w:hAnsi="Arial"/>
                <w:sz w:val="22"/>
                <w:szCs w:val="22"/>
                <w:color w:val="auto"/>
                <w:w w:val="95"/>
              </w:rPr>
              <w:t>Weighted average common shares computations: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4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Weighted average common shares used for</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basic earnings (loss) per share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41,638</w:t>
            </w:r>
          </w:p>
        </w:tc>
        <w:tc>
          <w:tcPr>
            <w:tcW w:w="11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41,513</w:t>
            </w:r>
          </w:p>
        </w:tc>
        <w:tc>
          <w:tcPr>
            <w:tcW w:w="10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41,632</w:t>
            </w:r>
          </w:p>
        </w:tc>
        <w:tc>
          <w:tcPr>
            <w:tcW w:w="11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41,494</w:t>
            </w:r>
          </w:p>
        </w:tc>
        <w:tc>
          <w:tcPr>
            <w:tcW w:w="0" w:type="dxa"/>
            <w:vAlign w:val="bottom"/>
          </w:tcPr>
          <w:p>
            <w:pPr>
              <w:spacing w:after="0"/>
              <w:rPr>
                <w:sz w:val="1"/>
                <w:szCs w:val="1"/>
                <w:color w:val="auto"/>
              </w:rPr>
            </w:pPr>
          </w:p>
        </w:tc>
      </w:tr>
      <w:tr>
        <w:trPr>
          <w:trHeight w:val="243"/>
        </w:trPr>
        <w:tc>
          <w:tcPr>
            <w:tcW w:w="46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Effect of dilutive securities:</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Convertible notes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9,441</w:t>
            </w:r>
          </w:p>
        </w:tc>
        <w:tc>
          <w:tcPr>
            <w:tcW w:w="10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9,441</w:t>
            </w:r>
          </w:p>
        </w:tc>
        <w:tc>
          <w:tcPr>
            <w:tcW w:w="0" w:type="dxa"/>
            <w:vAlign w:val="bottom"/>
          </w:tcPr>
          <w:p>
            <w:pPr>
              <w:spacing w:after="0"/>
              <w:rPr>
                <w:sz w:val="1"/>
                <w:szCs w:val="1"/>
                <w:color w:val="auto"/>
              </w:rPr>
            </w:pPr>
          </w:p>
        </w:tc>
      </w:tr>
      <w:tr>
        <w:trPr>
          <w:trHeight w:val="275"/>
        </w:trPr>
        <w:tc>
          <w:tcPr>
            <w:tcW w:w="4640" w:type="dxa"/>
            <w:vAlign w:val="bottom"/>
            <w:gridSpan w:val="2"/>
          </w:tcPr>
          <w:p>
            <w:pPr>
              <w:ind w:left="280"/>
              <w:spacing w:after="0"/>
              <w:rPr>
                <w:sz w:val="20"/>
                <w:szCs w:val="20"/>
                <w:color w:val="auto"/>
              </w:rPr>
            </w:pPr>
            <w:r>
              <w:rPr>
                <w:rFonts w:ascii="Arial" w:cs="Arial" w:eastAsia="Arial" w:hAnsi="Arial"/>
                <w:sz w:val="22"/>
                <w:szCs w:val="22"/>
                <w:color w:val="auto"/>
              </w:rPr>
              <w:t>Employee stock options</w:t>
            </w: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gridSpan w:val="4"/>
          </w:tcPr>
          <w:p>
            <w:pPr>
              <w:jc w:val="right"/>
              <w:spacing w:after="0"/>
              <w:rPr>
                <w:sz w:val="20"/>
                <w:szCs w:val="20"/>
                <w:color w:val="auto"/>
              </w:rPr>
            </w:pPr>
            <w:r>
              <w:rPr>
                <w:rFonts w:ascii="Arial" w:cs="Arial" w:eastAsia="Arial" w:hAnsi="Arial"/>
                <w:sz w:val="22"/>
                <w:szCs w:val="22"/>
                <w:color w:val="auto"/>
              </w:rPr>
              <w:t>445</w:t>
            </w: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1100" w:type="dxa"/>
            <w:vAlign w:val="bottom"/>
            <w:gridSpan w:val="4"/>
          </w:tcPr>
          <w:p>
            <w:pPr>
              <w:jc w:val="right"/>
              <w:spacing w:after="0"/>
              <w:rPr>
                <w:sz w:val="20"/>
                <w:szCs w:val="20"/>
                <w:color w:val="auto"/>
              </w:rPr>
            </w:pPr>
            <w:r>
              <w:rPr>
                <w:rFonts w:ascii="Arial" w:cs="Arial" w:eastAsia="Arial" w:hAnsi="Arial"/>
                <w:sz w:val="22"/>
                <w:szCs w:val="22"/>
                <w:color w:val="auto"/>
              </w:rPr>
              <w:t>445</w:t>
            </w:r>
          </w:p>
        </w:tc>
        <w:tc>
          <w:tcPr>
            <w:tcW w:w="0" w:type="dxa"/>
            <w:vAlign w:val="bottom"/>
          </w:tcPr>
          <w:p>
            <w:pPr>
              <w:spacing w:after="0"/>
              <w:rPr>
                <w:sz w:val="1"/>
                <w:szCs w:val="1"/>
                <w:color w:val="auto"/>
              </w:rPr>
            </w:pPr>
          </w:p>
        </w:tc>
      </w:tr>
      <w:tr>
        <w:trPr>
          <w:trHeight w:val="98"/>
        </w:trPr>
        <w:tc>
          <w:tcPr>
            <w:tcW w:w="4640" w:type="dxa"/>
            <w:vAlign w:val="bottom"/>
            <w:gridSpan w:val="2"/>
          </w:tcPr>
          <w:p>
            <w:pPr>
              <w:spacing w:after="0"/>
              <w:rPr>
                <w:sz w:val="8"/>
                <w:szCs w:val="8"/>
                <w:color w:val="auto"/>
              </w:rPr>
            </w:pPr>
          </w:p>
        </w:tc>
        <w:tc>
          <w:tcPr>
            <w:tcW w:w="980" w:type="dxa"/>
            <w:vAlign w:val="bottom"/>
            <w:tcBorders>
              <w:bottom w:val="single" w:sz="8" w:color="336699"/>
            </w:tcBorders>
          </w:tcPr>
          <w:p>
            <w:pPr>
              <w:spacing w:after="0"/>
              <w:rPr>
                <w:sz w:val="8"/>
                <w:szCs w:val="8"/>
                <w:color w:val="auto"/>
              </w:rPr>
            </w:pPr>
          </w:p>
        </w:tc>
        <w:tc>
          <w:tcPr>
            <w:tcW w:w="180" w:type="dxa"/>
            <w:vAlign w:val="bottom"/>
            <w:gridSpan w:val="3"/>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160" w:type="dxa"/>
            <w:vAlign w:val="bottom"/>
            <w:gridSpan w:val="3"/>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180" w:type="dxa"/>
            <w:vAlign w:val="bottom"/>
            <w:gridSpan w:val="3"/>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4640" w:type="dxa"/>
            <w:vAlign w:val="bottom"/>
            <w:gridSpan w:val="2"/>
          </w:tcPr>
          <w:p>
            <w:pPr>
              <w:ind w:left="180"/>
              <w:spacing w:after="0"/>
              <w:rPr>
                <w:sz w:val="20"/>
                <w:szCs w:val="20"/>
                <w:color w:val="auto"/>
              </w:rPr>
            </w:pPr>
            <w:r>
              <w:rPr>
                <w:rFonts w:ascii="Arial" w:cs="Arial" w:eastAsia="Arial" w:hAnsi="Arial"/>
                <w:sz w:val="22"/>
                <w:szCs w:val="22"/>
                <w:color w:val="auto"/>
              </w:rPr>
              <w:t>Dilutive potential common shares</w:t>
            </w:r>
          </w:p>
        </w:tc>
        <w:tc>
          <w:tcPr>
            <w:tcW w:w="98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gridSpan w:val="4"/>
          </w:tcPr>
          <w:p>
            <w:pPr>
              <w:jc w:val="right"/>
              <w:spacing w:after="0"/>
              <w:rPr>
                <w:sz w:val="20"/>
                <w:szCs w:val="20"/>
                <w:color w:val="auto"/>
              </w:rPr>
            </w:pPr>
            <w:r>
              <w:rPr>
                <w:rFonts w:ascii="Arial" w:cs="Arial" w:eastAsia="Arial" w:hAnsi="Arial"/>
                <w:sz w:val="22"/>
                <w:szCs w:val="22"/>
                <w:color w:val="auto"/>
              </w:rPr>
              <w:t>9,886</w:t>
            </w: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1100" w:type="dxa"/>
            <w:vAlign w:val="bottom"/>
            <w:gridSpan w:val="4"/>
          </w:tcPr>
          <w:p>
            <w:pPr>
              <w:jc w:val="right"/>
              <w:spacing w:after="0"/>
              <w:rPr>
                <w:sz w:val="20"/>
                <w:szCs w:val="20"/>
                <w:color w:val="auto"/>
              </w:rPr>
            </w:pPr>
            <w:r>
              <w:rPr>
                <w:rFonts w:ascii="Arial" w:cs="Arial" w:eastAsia="Arial" w:hAnsi="Arial"/>
                <w:sz w:val="22"/>
                <w:szCs w:val="22"/>
                <w:color w:val="auto"/>
              </w:rPr>
              <w:t>9,886</w:t>
            </w:r>
          </w:p>
        </w:tc>
        <w:tc>
          <w:tcPr>
            <w:tcW w:w="0" w:type="dxa"/>
            <w:vAlign w:val="bottom"/>
          </w:tcPr>
          <w:p>
            <w:pPr>
              <w:spacing w:after="0"/>
              <w:rPr>
                <w:sz w:val="1"/>
                <w:szCs w:val="1"/>
                <w:color w:val="auto"/>
              </w:rPr>
            </w:pPr>
          </w:p>
        </w:tc>
      </w:tr>
      <w:tr>
        <w:trPr>
          <w:trHeight w:val="98"/>
        </w:trPr>
        <w:tc>
          <w:tcPr>
            <w:tcW w:w="4640" w:type="dxa"/>
            <w:vAlign w:val="bottom"/>
            <w:gridSpan w:val="2"/>
            <w:vMerge w:val="restart"/>
          </w:tcPr>
          <w:p>
            <w:pPr>
              <w:ind w:left="120"/>
              <w:spacing w:after="0"/>
              <w:rPr>
                <w:sz w:val="20"/>
                <w:szCs w:val="20"/>
                <w:color w:val="auto"/>
              </w:rPr>
            </w:pPr>
            <w:r>
              <w:rPr>
                <w:rFonts w:ascii="Arial" w:cs="Arial" w:eastAsia="Arial" w:hAnsi="Arial"/>
                <w:sz w:val="22"/>
                <w:szCs w:val="22"/>
                <w:color w:val="auto"/>
              </w:rPr>
              <w:t>Weighted average common shares used for</w:t>
            </w:r>
          </w:p>
        </w:tc>
        <w:tc>
          <w:tcPr>
            <w:tcW w:w="98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6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640" w:type="dxa"/>
            <w:vAlign w:val="bottom"/>
            <w:gridSpan w:val="2"/>
          </w:tcPr>
          <w:p>
            <w:pPr>
              <w:ind w:left="180"/>
              <w:spacing w:after="0"/>
              <w:rPr>
                <w:sz w:val="20"/>
                <w:szCs w:val="20"/>
                <w:color w:val="auto"/>
              </w:rPr>
            </w:pPr>
            <w:r>
              <w:rPr>
                <w:rFonts w:ascii="Arial" w:cs="Arial" w:eastAsia="Arial" w:hAnsi="Arial"/>
                <w:sz w:val="22"/>
                <w:szCs w:val="22"/>
                <w:color w:val="auto"/>
              </w:rPr>
              <w:t>diluted earnings per share</w:t>
            </w:r>
          </w:p>
        </w:tc>
        <w:tc>
          <w:tcPr>
            <w:tcW w:w="980" w:type="dxa"/>
            <w:vAlign w:val="bottom"/>
          </w:tcPr>
          <w:p>
            <w:pPr>
              <w:jc w:val="right"/>
              <w:spacing w:after="0"/>
              <w:rPr>
                <w:sz w:val="20"/>
                <w:szCs w:val="20"/>
                <w:color w:val="auto"/>
              </w:rPr>
            </w:pPr>
            <w:r>
              <w:rPr>
                <w:rFonts w:ascii="Arial" w:cs="Arial" w:eastAsia="Arial" w:hAnsi="Arial"/>
                <w:sz w:val="22"/>
                <w:szCs w:val="22"/>
                <w:color w:val="auto"/>
              </w:rPr>
              <w:t>41,638</w:t>
            </w:r>
          </w:p>
        </w:tc>
        <w:tc>
          <w:tcPr>
            <w:tcW w:w="1180" w:type="dxa"/>
            <w:vAlign w:val="bottom"/>
            <w:gridSpan w:val="4"/>
          </w:tcPr>
          <w:p>
            <w:pPr>
              <w:jc w:val="right"/>
              <w:spacing w:after="0"/>
              <w:rPr>
                <w:sz w:val="20"/>
                <w:szCs w:val="20"/>
                <w:color w:val="auto"/>
              </w:rPr>
            </w:pPr>
            <w:r>
              <w:rPr>
                <w:rFonts w:ascii="Arial" w:cs="Arial" w:eastAsia="Arial" w:hAnsi="Arial"/>
                <w:sz w:val="22"/>
                <w:szCs w:val="22"/>
                <w:color w:val="auto"/>
              </w:rPr>
              <w:t>51,399</w:t>
            </w: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41,632</w:t>
            </w:r>
          </w:p>
        </w:tc>
        <w:tc>
          <w:tcPr>
            <w:tcW w:w="1100" w:type="dxa"/>
            <w:vAlign w:val="bottom"/>
            <w:gridSpan w:val="4"/>
          </w:tcPr>
          <w:p>
            <w:pPr>
              <w:jc w:val="right"/>
              <w:spacing w:after="0"/>
              <w:rPr>
                <w:sz w:val="20"/>
                <w:szCs w:val="20"/>
                <w:color w:val="auto"/>
              </w:rPr>
            </w:pPr>
            <w:r>
              <w:rPr>
                <w:rFonts w:ascii="Arial" w:cs="Arial" w:eastAsia="Arial" w:hAnsi="Arial"/>
                <w:sz w:val="22"/>
                <w:szCs w:val="22"/>
                <w:color w:val="auto"/>
              </w:rPr>
              <w:t>51,380</w:t>
            </w: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8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0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4640" w:type="dxa"/>
            <w:vAlign w:val="bottom"/>
            <w:gridSpan w:val="2"/>
          </w:tcPr>
          <w:p>
            <w:pPr>
              <w:spacing w:after="0"/>
              <w:rPr>
                <w:sz w:val="20"/>
                <w:szCs w:val="20"/>
                <w:color w:val="auto"/>
              </w:rPr>
            </w:pPr>
            <w:r>
              <w:rPr>
                <w:rFonts w:ascii="Arial" w:cs="Arial" w:eastAsia="Arial" w:hAnsi="Arial"/>
                <w:sz w:val="22"/>
                <w:szCs w:val="22"/>
                <w:color w:val="auto"/>
              </w:rPr>
              <w:t>Earnings (loss) per share:</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40" w:type="dxa"/>
            <w:vAlign w:val="bottom"/>
            <w:gridSpan w:val="2"/>
          </w:tcPr>
          <w:p>
            <w:pPr>
              <w:ind w:left="180"/>
              <w:spacing w:after="0" w:line="243" w:lineRule="exact"/>
              <w:rPr>
                <w:sz w:val="20"/>
                <w:szCs w:val="20"/>
                <w:color w:val="auto"/>
              </w:rPr>
            </w:pPr>
            <w:r>
              <w:rPr>
                <w:rFonts w:ascii="Arial" w:cs="Arial" w:eastAsia="Arial" w:hAnsi="Arial"/>
                <w:sz w:val="22"/>
                <w:szCs w:val="22"/>
                <w:color w:val="auto"/>
              </w:rPr>
              <w:t>Basic</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$(0.05)</w:t>
            </w:r>
          </w:p>
        </w:tc>
        <w:tc>
          <w:tcPr>
            <w:tcW w:w="11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$0.34</w:t>
            </w:r>
          </w:p>
        </w:tc>
        <w:tc>
          <w:tcPr>
            <w:tcW w:w="10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$(0.13)</w:t>
            </w:r>
          </w:p>
        </w:tc>
        <w:tc>
          <w:tcPr>
            <w:tcW w:w="11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$0.53</w:t>
            </w:r>
          </w:p>
        </w:tc>
        <w:tc>
          <w:tcPr>
            <w:tcW w:w="0" w:type="dxa"/>
            <w:vAlign w:val="bottom"/>
          </w:tcPr>
          <w:p>
            <w:pPr>
              <w:spacing w:after="0"/>
              <w:rPr>
                <w:sz w:val="1"/>
                <w:szCs w:val="1"/>
                <w:color w:val="auto"/>
              </w:rPr>
            </w:pPr>
          </w:p>
        </w:tc>
      </w:tr>
      <w:tr>
        <w:trPr>
          <w:trHeight w:val="275"/>
        </w:trPr>
        <w:tc>
          <w:tcPr>
            <w:tcW w:w="4640" w:type="dxa"/>
            <w:vAlign w:val="bottom"/>
            <w:gridSpan w:val="2"/>
          </w:tcPr>
          <w:p>
            <w:pPr>
              <w:ind w:left="180"/>
              <w:spacing w:after="0"/>
              <w:rPr>
                <w:sz w:val="20"/>
                <w:szCs w:val="20"/>
                <w:color w:val="auto"/>
              </w:rPr>
            </w:pPr>
            <w:r>
              <w:rPr>
                <w:rFonts w:ascii="Arial" w:cs="Arial" w:eastAsia="Arial" w:hAnsi="Arial"/>
                <w:sz w:val="22"/>
                <w:szCs w:val="22"/>
                <w:color w:val="auto"/>
              </w:rPr>
              <w:t>Diluted</w:t>
            </w:r>
          </w:p>
        </w:tc>
        <w:tc>
          <w:tcPr>
            <w:tcW w:w="980" w:type="dxa"/>
            <w:vAlign w:val="bottom"/>
          </w:tcPr>
          <w:p>
            <w:pPr>
              <w:jc w:val="right"/>
              <w:spacing w:after="0"/>
              <w:rPr>
                <w:sz w:val="20"/>
                <w:szCs w:val="20"/>
                <w:color w:val="auto"/>
              </w:rPr>
            </w:pPr>
            <w:r>
              <w:rPr>
                <w:rFonts w:ascii="Arial" w:cs="Arial" w:eastAsia="Arial" w:hAnsi="Arial"/>
                <w:sz w:val="22"/>
                <w:szCs w:val="22"/>
                <w:color w:val="auto"/>
              </w:rPr>
              <w:t>$(0.05)</w:t>
            </w:r>
          </w:p>
        </w:tc>
        <w:tc>
          <w:tcPr>
            <w:tcW w:w="1180" w:type="dxa"/>
            <w:vAlign w:val="bottom"/>
            <w:gridSpan w:val="4"/>
          </w:tcPr>
          <w:p>
            <w:pPr>
              <w:jc w:val="right"/>
              <w:spacing w:after="0"/>
              <w:rPr>
                <w:sz w:val="20"/>
                <w:szCs w:val="20"/>
                <w:color w:val="auto"/>
              </w:rPr>
            </w:pPr>
            <w:r>
              <w:rPr>
                <w:rFonts w:ascii="Arial" w:cs="Arial" w:eastAsia="Arial" w:hAnsi="Arial"/>
                <w:sz w:val="22"/>
                <w:szCs w:val="22"/>
                <w:color w:val="auto"/>
              </w:rPr>
              <w:t>$0.30</w:t>
            </w:r>
          </w:p>
        </w:tc>
        <w:tc>
          <w:tcPr>
            <w:tcW w:w="1060" w:type="dxa"/>
            <w:vAlign w:val="bottom"/>
            <w:gridSpan w:val="4"/>
          </w:tcPr>
          <w:p>
            <w:pPr>
              <w:jc w:val="right"/>
              <w:spacing w:after="0"/>
              <w:rPr>
                <w:sz w:val="20"/>
                <w:szCs w:val="20"/>
                <w:color w:val="auto"/>
              </w:rPr>
            </w:pPr>
            <w:r>
              <w:rPr>
                <w:rFonts w:ascii="Arial" w:cs="Arial" w:eastAsia="Arial" w:hAnsi="Arial"/>
                <w:sz w:val="22"/>
                <w:szCs w:val="22"/>
                <w:color w:val="auto"/>
              </w:rPr>
              <w:t>$(0.13)</w:t>
            </w:r>
          </w:p>
        </w:tc>
        <w:tc>
          <w:tcPr>
            <w:tcW w:w="1100" w:type="dxa"/>
            <w:vAlign w:val="bottom"/>
            <w:gridSpan w:val="4"/>
          </w:tcPr>
          <w:p>
            <w:pPr>
              <w:jc w:val="right"/>
              <w:spacing w:after="0"/>
              <w:rPr>
                <w:sz w:val="20"/>
                <w:szCs w:val="20"/>
                <w:color w:val="auto"/>
              </w:rPr>
            </w:pPr>
            <w:r>
              <w:rPr>
                <w:rFonts w:ascii="Arial" w:cs="Arial" w:eastAsia="Arial" w:hAnsi="Arial"/>
                <w:sz w:val="22"/>
                <w:szCs w:val="22"/>
                <w:color w:val="auto"/>
              </w:rPr>
              <w:t>$0.47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-2426335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-2426335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-2426335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-2426335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-2426335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-2426335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-2426335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-2426335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-565150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-565150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-565150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-565150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-565150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-565150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-565150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-565150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66"/>
        <w:spacing w:after="0" w:line="297" w:lineRule="auto"/>
        <w:rPr>
          <w:sz w:val="20"/>
          <w:szCs w:val="20"/>
          <w:color w:val="auto"/>
        </w:rPr>
      </w:pPr>
      <w:r>
        <w:rPr>
          <w:rFonts w:ascii="Arial" w:cs="Arial" w:eastAsia="Arial" w:hAnsi="Arial"/>
          <w:sz w:val="19"/>
          <w:szCs w:val="19"/>
          <w:color w:val="auto"/>
        </w:rPr>
        <w:t>The potential effect of the conversion of the Company's convertible subordinated notes and the exercise of some of its employee stock options would be antidilutive. The following table shows the amount of incremental shares outstanding that would have been added if the assumed conversion of convertible subordinated notes and stock options had been dilutive.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320" w:type="dxa"/>
            <w:vAlign w:val="bottom"/>
          </w:tcPr>
          <w:p>
            <w:pPr>
              <w:spacing w:after="0"/>
              <w:rPr>
                <w:sz w:val="24"/>
                <w:szCs w:val="24"/>
                <w:color w:val="auto"/>
              </w:rPr>
            </w:pPr>
          </w:p>
        </w:tc>
        <w:tc>
          <w:tcPr>
            <w:tcW w:w="2400" w:type="dxa"/>
            <w:vAlign w:val="bottom"/>
            <w:gridSpan w:val="3"/>
          </w:tcPr>
          <w:p>
            <w:pPr>
              <w:jc w:val="right"/>
              <w:ind w:right="132"/>
              <w:spacing w:after="0"/>
              <w:rPr>
                <w:sz w:val="20"/>
                <w:szCs w:val="20"/>
                <w:color w:val="auto"/>
              </w:rPr>
            </w:pPr>
            <w:r>
              <w:rPr>
                <w:rFonts w:ascii="Arial" w:cs="Arial" w:eastAsia="Arial" w:hAnsi="Arial"/>
                <w:sz w:val="22"/>
                <w:szCs w:val="22"/>
                <w:b w:val="1"/>
                <w:bCs w:val="1"/>
                <w:color w:val="auto"/>
                <w:w w:val="98"/>
              </w:rPr>
              <w:t>Three Months Ended</w:t>
            </w:r>
          </w:p>
        </w:tc>
        <w:tc>
          <w:tcPr>
            <w:tcW w:w="100" w:type="dxa"/>
            <w:vAlign w:val="bottom"/>
          </w:tcPr>
          <w:p>
            <w:pPr>
              <w:spacing w:after="0"/>
              <w:rPr>
                <w:sz w:val="24"/>
                <w:szCs w:val="24"/>
                <w:color w:val="auto"/>
              </w:rPr>
            </w:pPr>
          </w:p>
        </w:tc>
        <w:tc>
          <w:tcPr>
            <w:tcW w:w="2120" w:type="dxa"/>
            <w:vAlign w:val="bottom"/>
            <w:gridSpan w:val="3"/>
          </w:tcPr>
          <w:p>
            <w:pPr>
              <w:jc w:val="right"/>
              <w:ind w:right="112"/>
              <w:spacing w:after="0"/>
              <w:rPr>
                <w:sz w:val="20"/>
                <w:szCs w:val="20"/>
                <w:color w:val="auto"/>
              </w:rPr>
            </w:pPr>
            <w:r>
              <w:rPr>
                <w:rFonts w:ascii="Arial" w:cs="Arial" w:eastAsia="Arial" w:hAnsi="Arial"/>
                <w:sz w:val="22"/>
                <w:szCs w:val="22"/>
                <w:b w:val="1"/>
                <w:bCs w:val="1"/>
                <w:color w:val="auto"/>
                <w:w w:val="98"/>
              </w:rPr>
              <w:t>Six Months Ended</w:t>
            </w:r>
          </w:p>
        </w:tc>
      </w:tr>
      <w:tr>
        <w:trPr>
          <w:trHeight w:val="98"/>
        </w:trPr>
        <w:tc>
          <w:tcPr>
            <w:tcW w:w="43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331"/>
        </w:trPr>
        <w:tc>
          <w:tcPr>
            <w:tcW w:w="43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Arial" w:cs="Arial" w:eastAsia="Arial" w:hAnsi="Arial"/>
                <w:sz w:val="22"/>
                <w:szCs w:val="22"/>
                <w:b w:val="1"/>
                <w:bCs w:val="1"/>
                <w:color w:val="auto"/>
              </w:rPr>
              <w:t>April 27,</w:t>
            </w:r>
          </w:p>
        </w:tc>
        <w:tc>
          <w:tcPr>
            <w:tcW w:w="2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b w:val="1"/>
                <w:bCs w:val="1"/>
                <w:color w:val="auto"/>
              </w:rPr>
              <w:t>April 29,</w:t>
            </w:r>
          </w:p>
        </w:tc>
        <w:tc>
          <w:tcPr>
            <w:tcW w:w="100" w:type="dxa"/>
            <w:vAlign w:val="bottom"/>
          </w:tcPr>
          <w:p>
            <w:pPr>
              <w:spacing w:after="0"/>
              <w:rPr>
                <w:sz w:val="24"/>
                <w:szCs w:val="24"/>
                <w:color w:val="auto"/>
              </w:rPr>
            </w:pPr>
          </w:p>
        </w:tc>
        <w:tc>
          <w:tcPr>
            <w:tcW w:w="1020" w:type="dxa"/>
            <w:vAlign w:val="bottom"/>
          </w:tcPr>
          <w:p>
            <w:pPr>
              <w:jc w:val="right"/>
              <w:ind w:right="12"/>
              <w:spacing w:after="0"/>
              <w:rPr>
                <w:sz w:val="20"/>
                <w:szCs w:val="20"/>
                <w:color w:val="auto"/>
              </w:rPr>
            </w:pPr>
            <w:r>
              <w:rPr>
                <w:rFonts w:ascii="Arial" w:cs="Arial" w:eastAsia="Arial" w:hAnsi="Arial"/>
                <w:sz w:val="22"/>
                <w:szCs w:val="22"/>
                <w:b w:val="1"/>
                <w:bCs w:val="1"/>
                <w:color w:val="auto"/>
              </w:rPr>
              <w:t>April 27,</w:t>
            </w:r>
          </w:p>
        </w:tc>
        <w:tc>
          <w:tcPr>
            <w:tcW w:w="2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22"/>
                <w:szCs w:val="22"/>
                <w:b w:val="1"/>
                <w:bCs w:val="1"/>
                <w:color w:val="auto"/>
              </w:rPr>
              <w:t>April 29,</w:t>
            </w:r>
          </w:p>
        </w:tc>
      </w:tr>
      <w:tr>
        <w:trPr>
          <w:trHeight w:val="281"/>
        </w:trPr>
        <w:tc>
          <w:tcPr>
            <w:tcW w:w="4320" w:type="dxa"/>
            <w:vAlign w:val="bottom"/>
          </w:tcPr>
          <w:p>
            <w:pPr>
              <w:spacing w:after="0"/>
              <w:rPr>
                <w:sz w:val="24"/>
                <w:szCs w:val="24"/>
                <w:color w:val="auto"/>
              </w:rPr>
            </w:pPr>
          </w:p>
        </w:tc>
        <w:tc>
          <w:tcPr>
            <w:tcW w:w="1160" w:type="dxa"/>
            <w:vAlign w:val="bottom"/>
          </w:tcPr>
          <w:p>
            <w:pPr>
              <w:jc w:val="right"/>
              <w:ind w:right="272"/>
              <w:spacing w:after="0"/>
              <w:rPr>
                <w:sz w:val="20"/>
                <w:szCs w:val="20"/>
                <w:color w:val="auto"/>
              </w:rPr>
            </w:pPr>
            <w:r>
              <w:rPr>
                <w:rFonts w:ascii="Arial" w:cs="Arial" w:eastAsia="Arial" w:hAnsi="Arial"/>
                <w:sz w:val="22"/>
                <w:szCs w:val="22"/>
                <w:b w:val="1"/>
                <w:bCs w:val="1"/>
                <w:color w:val="auto"/>
              </w:rPr>
              <w:t>2008</w:t>
            </w:r>
          </w:p>
        </w:tc>
        <w:tc>
          <w:tcPr>
            <w:tcW w:w="1240" w:type="dxa"/>
            <w:vAlign w:val="bottom"/>
            <w:gridSpan w:val="2"/>
          </w:tcPr>
          <w:p>
            <w:pPr>
              <w:jc w:val="right"/>
              <w:ind w:right="292"/>
              <w:spacing w:after="0"/>
              <w:rPr>
                <w:sz w:val="20"/>
                <w:szCs w:val="20"/>
                <w:color w:val="auto"/>
              </w:rPr>
            </w:pPr>
            <w:r>
              <w:rPr>
                <w:rFonts w:ascii="Arial" w:cs="Arial" w:eastAsia="Arial" w:hAnsi="Arial"/>
                <w:sz w:val="22"/>
                <w:szCs w:val="22"/>
                <w:b w:val="1"/>
                <w:bCs w:val="1"/>
                <w:color w:val="auto"/>
              </w:rPr>
              <w:t>2007</w:t>
            </w:r>
          </w:p>
        </w:tc>
        <w:tc>
          <w:tcPr>
            <w:tcW w:w="1120" w:type="dxa"/>
            <w:vAlign w:val="bottom"/>
            <w:gridSpan w:val="2"/>
          </w:tcPr>
          <w:p>
            <w:pPr>
              <w:jc w:val="right"/>
              <w:ind w:right="192"/>
              <w:spacing w:after="0"/>
              <w:rPr>
                <w:sz w:val="20"/>
                <w:szCs w:val="20"/>
                <w:color w:val="auto"/>
              </w:rPr>
            </w:pPr>
            <w:r>
              <w:rPr>
                <w:rFonts w:ascii="Arial" w:cs="Arial" w:eastAsia="Arial" w:hAnsi="Arial"/>
                <w:sz w:val="22"/>
                <w:szCs w:val="22"/>
                <w:b w:val="1"/>
                <w:bCs w:val="1"/>
                <w:color w:val="auto"/>
              </w:rPr>
              <w:t>2008</w:t>
            </w:r>
          </w:p>
        </w:tc>
        <w:tc>
          <w:tcPr>
            <w:tcW w:w="1100" w:type="dxa"/>
            <w:vAlign w:val="bottom"/>
            <w:gridSpan w:val="2"/>
          </w:tcPr>
          <w:p>
            <w:pPr>
              <w:jc w:val="right"/>
              <w:ind w:right="212"/>
              <w:spacing w:after="0"/>
              <w:rPr>
                <w:sz w:val="20"/>
                <w:szCs w:val="20"/>
                <w:color w:val="auto"/>
              </w:rPr>
            </w:pPr>
            <w:r>
              <w:rPr>
                <w:rFonts w:ascii="Arial" w:cs="Arial" w:eastAsia="Arial" w:hAnsi="Arial"/>
                <w:sz w:val="22"/>
                <w:szCs w:val="22"/>
                <w:b w:val="1"/>
                <w:bCs w:val="1"/>
                <w:color w:val="auto"/>
              </w:rPr>
              <w:t>2007</w:t>
            </w:r>
          </w:p>
        </w:tc>
      </w:tr>
      <w:tr>
        <w:trPr>
          <w:trHeight w:val="98"/>
        </w:trPr>
        <w:tc>
          <w:tcPr>
            <w:tcW w:w="43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580"/>
        </w:trPr>
        <w:tc>
          <w:tcPr>
            <w:tcW w:w="4320" w:type="dxa"/>
            <w:vAlign w:val="bottom"/>
          </w:tcPr>
          <w:p>
            <w:pPr>
              <w:spacing w:after="0"/>
              <w:rPr>
                <w:sz w:val="20"/>
                <w:szCs w:val="20"/>
                <w:color w:val="auto"/>
              </w:rPr>
            </w:pPr>
            <w:r>
              <w:rPr>
                <w:rFonts w:ascii="Arial" w:cs="Arial" w:eastAsia="Arial" w:hAnsi="Arial"/>
                <w:sz w:val="22"/>
                <w:szCs w:val="22"/>
                <w:color w:val="auto"/>
              </w:rPr>
              <w:t>Convertible notes</w:t>
            </w:r>
          </w:p>
        </w:tc>
        <w:tc>
          <w:tcPr>
            <w:tcW w:w="1160" w:type="dxa"/>
            <w:vAlign w:val="bottom"/>
          </w:tcPr>
          <w:p>
            <w:pPr>
              <w:jc w:val="right"/>
              <w:spacing w:after="0"/>
              <w:rPr>
                <w:sz w:val="20"/>
                <w:szCs w:val="20"/>
                <w:color w:val="auto"/>
              </w:rPr>
            </w:pPr>
            <w:r>
              <w:rPr>
                <w:rFonts w:ascii="Arial" w:cs="Arial" w:eastAsia="Arial" w:hAnsi="Arial"/>
                <w:sz w:val="22"/>
                <w:szCs w:val="22"/>
                <w:color w:val="auto"/>
              </w:rPr>
              <w:t>8,196</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8,818</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608</w:t>
            </w:r>
          </w:p>
        </w:tc>
      </w:tr>
      <w:tr>
        <w:trPr>
          <w:trHeight w:val="275"/>
        </w:trPr>
        <w:tc>
          <w:tcPr>
            <w:tcW w:w="4320" w:type="dxa"/>
            <w:vAlign w:val="bottom"/>
          </w:tcPr>
          <w:p>
            <w:pPr>
              <w:spacing w:after="0"/>
              <w:rPr>
                <w:sz w:val="20"/>
                <w:szCs w:val="20"/>
                <w:color w:val="auto"/>
              </w:rPr>
            </w:pPr>
            <w:r>
              <w:rPr>
                <w:rFonts w:ascii="Arial" w:cs="Arial" w:eastAsia="Arial" w:hAnsi="Arial"/>
                <w:sz w:val="22"/>
                <w:szCs w:val="22"/>
                <w:color w:val="auto"/>
              </w:rPr>
              <w:t>Employee stock options</w:t>
            </w:r>
          </w:p>
        </w:tc>
        <w:tc>
          <w:tcPr>
            <w:tcW w:w="1160" w:type="dxa"/>
            <w:vAlign w:val="bottom"/>
          </w:tcPr>
          <w:p>
            <w:pPr>
              <w:jc w:val="right"/>
              <w:spacing w:after="0"/>
              <w:rPr>
                <w:sz w:val="20"/>
                <w:szCs w:val="20"/>
                <w:color w:val="auto"/>
              </w:rPr>
            </w:pPr>
            <w:r>
              <w:rPr>
                <w:rFonts w:ascii="Arial" w:cs="Arial" w:eastAsia="Arial" w:hAnsi="Arial"/>
                <w:sz w:val="22"/>
                <w:szCs w:val="22"/>
                <w:color w:val="auto"/>
              </w:rPr>
              <w:t>2,502</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1,770</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2,389</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1,789</w:t>
            </w:r>
          </w:p>
        </w:tc>
      </w:tr>
      <w:tr>
        <w:trPr>
          <w:trHeight w:val="98"/>
        </w:trPr>
        <w:tc>
          <w:tcPr>
            <w:tcW w:w="432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336699"/>
            </w:tcBorders>
          </w:tcPr>
          <w:p>
            <w:pPr>
              <w:spacing w:after="0"/>
              <w:rPr>
                <w:sz w:val="8"/>
                <w:szCs w:val="8"/>
                <w:color w:val="auto"/>
              </w:rPr>
            </w:pPr>
          </w:p>
        </w:tc>
      </w:tr>
    </w:tbl>
    <w:p>
      <w:pPr>
        <w:sectPr>
          <w:pgSz w:w="11900" w:h="16838" w:orient="portrait"/>
          <w:cols w:equalWidth="0" w:num="1">
            <w:col w:w="11360"/>
          </w:cols>
          <w:pgMar w:left="240" w:top="118" w:right="2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320" w:type="dxa"/>
            <w:vAlign w:val="bottom"/>
          </w:tcPr>
          <w:p>
            <w:pPr>
              <w:spacing w:after="0"/>
              <w:rPr>
                <w:sz w:val="20"/>
                <w:szCs w:val="20"/>
                <w:color w:val="auto"/>
              </w:rPr>
            </w:pPr>
            <w:r>
              <w:rPr>
                <w:rFonts w:ascii="Arial" w:cs="Arial" w:eastAsia="Arial" w:hAnsi="Arial"/>
                <w:sz w:val="22"/>
                <w:szCs w:val="22"/>
                <w:color w:val="auto"/>
              </w:rPr>
              <w:t>Total potentially dilutive shares excluded</w:t>
            </w:r>
          </w:p>
        </w:tc>
        <w:tc>
          <w:tcPr>
            <w:tcW w:w="1160" w:type="dxa"/>
            <w:vAlign w:val="bottom"/>
          </w:tcPr>
          <w:p>
            <w:pPr>
              <w:jc w:val="right"/>
              <w:spacing w:after="0"/>
              <w:rPr>
                <w:sz w:val="20"/>
                <w:szCs w:val="20"/>
                <w:color w:val="auto"/>
              </w:rPr>
            </w:pPr>
            <w:r>
              <w:rPr>
                <w:rFonts w:ascii="Arial" w:cs="Arial" w:eastAsia="Arial" w:hAnsi="Arial"/>
                <w:sz w:val="22"/>
                <w:szCs w:val="22"/>
                <w:color w:val="auto"/>
              </w:rPr>
              <w:t>10,698</w:t>
            </w:r>
          </w:p>
        </w:tc>
        <w:tc>
          <w:tcPr>
            <w:tcW w:w="1240" w:type="dxa"/>
            <w:vAlign w:val="bottom"/>
            <w:gridSpan w:val="2"/>
          </w:tcPr>
          <w:p>
            <w:pPr>
              <w:jc w:val="right"/>
              <w:ind w:right="80"/>
              <w:spacing w:after="0"/>
              <w:rPr>
                <w:sz w:val="20"/>
                <w:szCs w:val="20"/>
                <w:color w:val="auto"/>
              </w:rPr>
            </w:pPr>
            <w:r>
              <w:rPr>
                <w:rFonts w:ascii="Arial" w:cs="Arial" w:eastAsia="Arial" w:hAnsi="Arial"/>
                <w:sz w:val="22"/>
                <w:szCs w:val="22"/>
                <w:color w:val="auto"/>
              </w:rPr>
              <w:t>1,770</w:t>
            </w:r>
          </w:p>
        </w:tc>
        <w:tc>
          <w:tcPr>
            <w:tcW w:w="1120" w:type="dxa"/>
            <w:vAlign w:val="bottom"/>
            <w:gridSpan w:val="2"/>
          </w:tcPr>
          <w:p>
            <w:pPr>
              <w:jc w:val="right"/>
              <w:ind w:right="80"/>
              <w:spacing w:after="0"/>
              <w:rPr>
                <w:sz w:val="20"/>
                <w:szCs w:val="20"/>
                <w:color w:val="auto"/>
              </w:rPr>
            </w:pPr>
            <w:r>
              <w:rPr>
                <w:rFonts w:ascii="Arial" w:cs="Arial" w:eastAsia="Arial" w:hAnsi="Arial"/>
                <w:sz w:val="22"/>
                <w:szCs w:val="22"/>
                <w:color w:val="auto"/>
              </w:rPr>
              <w:t>11,207</w:t>
            </w:r>
          </w:p>
        </w:tc>
        <w:tc>
          <w:tcPr>
            <w:tcW w:w="1120" w:type="dxa"/>
            <w:vAlign w:val="bottom"/>
            <w:gridSpan w:val="2"/>
          </w:tcPr>
          <w:p>
            <w:pPr>
              <w:jc w:val="right"/>
              <w:ind w:right="100"/>
              <w:spacing w:after="0"/>
              <w:rPr>
                <w:sz w:val="20"/>
                <w:szCs w:val="20"/>
                <w:color w:val="auto"/>
              </w:rPr>
            </w:pPr>
            <w:r>
              <w:rPr>
                <w:rFonts w:ascii="Arial" w:cs="Arial" w:eastAsia="Arial" w:hAnsi="Arial"/>
                <w:sz w:val="22"/>
                <w:szCs w:val="22"/>
                <w:color w:val="auto"/>
              </w:rPr>
              <w:t>2,397</w:t>
            </w:r>
          </w:p>
        </w:tc>
      </w:tr>
      <w:tr>
        <w:trPr>
          <w:trHeight w:val="122"/>
        </w:trPr>
        <w:tc>
          <w:tcPr>
            <w:tcW w:w="4320" w:type="dxa"/>
            <w:vAlign w:val="bottom"/>
          </w:tcPr>
          <w:p>
            <w:pPr>
              <w:spacing w:after="0"/>
              <w:rPr>
                <w:sz w:val="10"/>
                <w:szCs w:val="10"/>
                <w:color w:val="auto"/>
              </w:rPr>
            </w:pPr>
          </w:p>
        </w:tc>
        <w:tc>
          <w:tcPr>
            <w:tcW w:w="116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bottom w:val="single" w:sz="8" w:color="336699"/>
            </w:tcBorders>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INVESTMENTS</w:t>
      </w:r>
    </w:p>
    <w:p>
      <w:pPr>
        <w:spacing w:after="0" w:line="212" w:lineRule="exact"/>
        <w:rPr>
          <w:sz w:val="20"/>
          <w:szCs w:val="20"/>
          <w:color w:val="auto"/>
        </w:rPr>
      </w:pPr>
    </w:p>
    <w:p>
      <w:pPr>
        <w:ind w:firstLine="270"/>
        <w:spacing w:after="0" w:line="238" w:lineRule="auto"/>
        <w:rPr>
          <w:sz w:val="20"/>
          <w:szCs w:val="20"/>
          <w:color w:val="auto"/>
        </w:rPr>
      </w:pPr>
      <w:r>
        <w:rPr>
          <w:rFonts w:ascii="Arial" w:cs="Arial" w:eastAsia="Arial" w:hAnsi="Arial"/>
          <w:sz w:val="22"/>
          <w:szCs w:val="22"/>
          <w:color w:val="auto"/>
        </w:rPr>
        <w:t>Short-term investments at April 27, 2008 consist of foreign bond fund securities and, at October 28, 2007 included term deposits. Long-term investments of $0.1 million at April 27, 2008 and October 28, 2007 included in "Other Assets" primarily consist of available-for-sale equity securities. Fair values of the Company's investments were determined based upon quoted market prices and cash values.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Investments at April 27, 2008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4"/>
              </w:rPr>
              <w:t>Gross</w:t>
            </w:r>
          </w:p>
        </w:tc>
        <w:tc>
          <w:tcPr>
            <w:tcW w:w="1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1"/>
              </w:rPr>
              <w:t>Gross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Unrealized</w:t>
            </w:r>
          </w:p>
        </w:tc>
        <w:tc>
          <w:tcPr>
            <w:tcW w:w="16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Unrealized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right"/>
              <w:ind w:right="32"/>
              <w:spacing w:after="0" w:line="243" w:lineRule="exact"/>
              <w:rPr>
                <w:sz w:val="20"/>
                <w:szCs w:val="20"/>
                <w:color w:val="auto"/>
              </w:rPr>
            </w:pPr>
            <w:r>
              <w:rPr>
                <w:rFonts w:ascii="Arial" w:cs="Arial" w:eastAsia="Arial" w:hAnsi="Arial"/>
                <w:sz w:val="22"/>
                <w:szCs w:val="22"/>
                <w:b w:val="1"/>
                <w:bCs w:val="1"/>
                <w:color w:val="auto"/>
                <w:w w:val="96"/>
              </w:rPr>
              <w:t>Estimated</w:t>
            </w:r>
          </w:p>
        </w:tc>
        <w:tc>
          <w:tcPr>
            <w:tcW w:w="0" w:type="dxa"/>
            <w:vAlign w:val="bottom"/>
          </w:tcPr>
          <w:p>
            <w:pPr>
              <w:spacing w:after="0"/>
              <w:rPr>
                <w:sz w:val="1"/>
                <w:szCs w:val="1"/>
                <w:color w:val="auto"/>
              </w:rPr>
            </w:pPr>
          </w:p>
        </w:tc>
      </w:tr>
      <w:tr>
        <w:trPr>
          <w:trHeight w:val="281"/>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7"/>
              </w:rPr>
              <w:t>Cost Basis</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8"/>
              </w:rPr>
              <w:t>Gains</w:t>
            </w: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79"/>
              </w:rPr>
              <w:t>Losses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22"/>
                <w:szCs w:val="22"/>
                <w:b w:val="1"/>
                <w:bCs w:val="1"/>
                <w:color w:val="auto"/>
                <w:w w:val="98"/>
              </w:rPr>
              <w:t>Fair Value</w:t>
            </w:r>
          </w:p>
        </w:tc>
        <w:tc>
          <w:tcPr>
            <w:tcW w:w="0" w:type="dxa"/>
            <w:vAlign w:val="bottom"/>
          </w:tcPr>
          <w:p>
            <w:pPr>
              <w:spacing w:after="0"/>
              <w:rPr>
                <w:sz w:val="1"/>
                <w:szCs w:val="1"/>
                <w:color w:val="auto"/>
              </w:rPr>
            </w:pPr>
          </w:p>
        </w:tc>
      </w:tr>
      <w:tr>
        <w:trPr>
          <w:trHeight w:val="98"/>
        </w:trPr>
        <w:tc>
          <w:tcPr>
            <w:tcW w:w="3460" w:type="dxa"/>
            <w:vAlign w:val="bottom"/>
            <w:gridSpan w:val="2"/>
            <w:vMerge w:val="restart"/>
          </w:tcPr>
          <w:p>
            <w:pPr>
              <w:spacing w:after="0"/>
              <w:rPr>
                <w:sz w:val="20"/>
                <w:szCs w:val="20"/>
                <w:color w:val="auto"/>
              </w:rPr>
            </w:pPr>
            <w:r>
              <w:rPr>
                <w:rFonts w:ascii="Arial" w:cs="Arial" w:eastAsia="Arial" w:hAnsi="Arial"/>
                <w:sz w:val="22"/>
                <w:szCs w:val="22"/>
                <w:color w:val="auto"/>
              </w:rPr>
              <w:t>Short-term investments:</w:t>
            </w:r>
          </w:p>
        </w:tc>
        <w:tc>
          <w:tcPr>
            <w:tcW w:w="1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4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460" w:type="dxa"/>
            <w:vAlign w:val="bottom"/>
            <w:gridSpan w:val="2"/>
          </w:tcPr>
          <w:p>
            <w:pPr>
              <w:ind w:left="280"/>
              <w:spacing w:after="0"/>
              <w:rPr>
                <w:sz w:val="20"/>
                <w:szCs w:val="20"/>
                <w:color w:val="auto"/>
              </w:rPr>
            </w:pPr>
            <w:r>
              <w:rPr>
                <w:rFonts w:ascii="Arial" w:cs="Arial" w:eastAsia="Arial" w:hAnsi="Arial"/>
                <w:sz w:val="22"/>
                <w:szCs w:val="22"/>
                <w:color w:val="auto"/>
              </w:rPr>
              <w:t>Foreign bond funds</w:t>
            </w:r>
          </w:p>
        </w:tc>
        <w:tc>
          <w:tcPr>
            <w:tcW w:w="1120" w:type="dxa"/>
            <w:vAlign w:val="bottom"/>
          </w:tcPr>
          <w:p>
            <w:pPr>
              <w:jc w:val="right"/>
              <w:spacing w:after="0"/>
              <w:rPr>
                <w:sz w:val="20"/>
                <w:szCs w:val="20"/>
                <w:color w:val="auto"/>
              </w:rPr>
            </w:pPr>
            <w:r>
              <w:rPr>
                <w:rFonts w:ascii="Arial" w:cs="Arial" w:eastAsia="Arial" w:hAnsi="Arial"/>
                <w:sz w:val="22"/>
                <w:szCs w:val="22"/>
                <w:color w:val="auto"/>
              </w:rPr>
              <w:t>$2,450</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$ 44</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$2,494</w:t>
            </w:r>
          </w:p>
        </w:tc>
        <w:tc>
          <w:tcPr>
            <w:tcW w:w="0" w:type="dxa"/>
            <w:vAlign w:val="bottom"/>
          </w:tcPr>
          <w:p>
            <w:pPr>
              <w:spacing w:after="0"/>
              <w:rPr>
                <w:sz w:val="1"/>
                <w:szCs w:val="1"/>
                <w:color w:val="auto"/>
              </w:rPr>
            </w:pPr>
          </w:p>
        </w:tc>
      </w:tr>
      <w:tr>
        <w:trPr>
          <w:trHeight w:val="486"/>
        </w:trPr>
        <w:tc>
          <w:tcPr>
            <w:tcW w:w="3460" w:type="dxa"/>
            <w:vAlign w:val="bottom"/>
            <w:gridSpan w:val="2"/>
          </w:tcPr>
          <w:p>
            <w:pPr>
              <w:spacing w:after="0"/>
              <w:rPr>
                <w:sz w:val="20"/>
                <w:szCs w:val="20"/>
                <w:color w:val="auto"/>
              </w:rPr>
            </w:pPr>
            <w:r>
              <w:rPr>
                <w:rFonts w:ascii="Arial" w:cs="Arial" w:eastAsia="Arial" w:hAnsi="Arial"/>
                <w:sz w:val="22"/>
                <w:szCs w:val="22"/>
                <w:color w:val="auto"/>
              </w:rPr>
              <w:t>Long-term equity investments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30</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94</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r>
        <w:trPr>
          <w:trHeight w:val="98"/>
        </w:trPr>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$2,480</w:t>
            </w: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$138</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$2,618</w:t>
            </w: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Investments at October 28, 2007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4"/>
              </w:rPr>
              <w:t>Gross</w:t>
            </w:r>
          </w:p>
        </w:tc>
        <w:tc>
          <w:tcPr>
            <w:tcW w:w="1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1"/>
              </w:rPr>
              <w:t>Gross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center"/>
              <w:spacing w:after="0" w:line="243" w:lineRule="exact"/>
              <w:rPr>
                <w:sz w:val="20"/>
                <w:szCs w:val="20"/>
                <w:color w:val="auto"/>
              </w:rPr>
            </w:pPr>
            <w:r>
              <w:rPr>
                <w:rFonts w:ascii="Arial" w:cs="Arial" w:eastAsia="Arial" w:hAnsi="Arial"/>
                <w:sz w:val="22"/>
                <w:szCs w:val="22"/>
                <w:b w:val="1"/>
                <w:bCs w:val="1"/>
                <w:color w:val="auto"/>
                <w:w w:val="91"/>
              </w:rPr>
              <w:t>Unrealized</w:t>
            </w:r>
          </w:p>
        </w:tc>
        <w:tc>
          <w:tcPr>
            <w:tcW w:w="16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Unrealized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right"/>
              <w:ind w:right="32"/>
              <w:spacing w:after="0" w:line="243" w:lineRule="exact"/>
              <w:rPr>
                <w:sz w:val="20"/>
                <w:szCs w:val="20"/>
                <w:color w:val="auto"/>
              </w:rPr>
            </w:pPr>
            <w:r>
              <w:rPr>
                <w:rFonts w:ascii="Arial" w:cs="Arial" w:eastAsia="Arial" w:hAnsi="Arial"/>
                <w:sz w:val="22"/>
                <w:szCs w:val="22"/>
                <w:b w:val="1"/>
                <w:bCs w:val="1"/>
                <w:color w:val="auto"/>
                <w:w w:val="96"/>
              </w:rPr>
              <w:t>Estimated</w:t>
            </w:r>
          </w:p>
        </w:tc>
        <w:tc>
          <w:tcPr>
            <w:tcW w:w="0" w:type="dxa"/>
            <w:vAlign w:val="bottom"/>
          </w:tcPr>
          <w:p>
            <w:pPr>
              <w:spacing w:after="0"/>
              <w:rPr>
                <w:sz w:val="1"/>
                <w:szCs w:val="1"/>
                <w:color w:val="auto"/>
              </w:rPr>
            </w:pPr>
          </w:p>
        </w:tc>
      </w:tr>
      <w:tr>
        <w:trPr>
          <w:trHeight w:val="281"/>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b w:val="1"/>
                <w:bCs w:val="1"/>
                <w:color w:val="auto"/>
                <w:w w:val="87"/>
              </w:rPr>
              <w:t>Cost Basis</w:t>
            </w:r>
          </w:p>
        </w:tc>
        <w:tc>
          <w:tcPr>
            <w:tcW w:w="16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8"/>
              </w:rPr>
              <w:t>Gains</w:t>
            </w: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79"/>
              </w:rPr>
              <w:t>Losses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22"/>
                <w:szCs w:val="22"/>
                <w:b w:val="1"/>
                <w:bCs w:val="1"/>
                <w:color w:val="auto"/>
                <w:w w:val="98"/>
              </w:rPr>
              <w:t>Fair Value</w:t>
            </w:r>
          </w:p>
        </w:tc>
        <w:tc>
          <w:tcPr>
            <w:tcW w:w="0" w:type="dxa"/>
            <w:vAlign w:val="bottom"/>
          </w:tcPr>
          <w:p>
            <w:pPr>
              <w:spacing w:after="0"/>
              <w:rPr>
                <w:sz w:val="1"/>
                <w:szCs w:val="1"/>
                <w:color w:val="auto"/>
              </w:rPr>
            </w:pPr>
          </w:p>
        </w:tc>
      </w:tr>
      <w:tr>
        <w:trPr>
          <w:trHeight w:val="98"/>
        </w:trPr>
        <w:tc>
          <w:tcPr>
            <w:tcW w:w="3460" w:type="dxa"/>
            <w:vAlign w:val="bottom"/>
            <w:gridSpan w:val="2"/>
            <w:vMerge w:val="restart"/>
          </w:tcPr>
          <w:p>
            <w:pPr>
              <w:spacing w:after="0"/>
              <w:rPr>
                <w:sz w:val="20"/>
                <w:szCs w:val="20"/>
                <w:color w:val="auto"/>
              </w:rPr>
            </w:pPr>
            <w:r>
              <w:rPr>
                <w:rFonts w:ascii="Arial" w:cs="Arial" w:eastAsia="Arial" w:hAnsi="Arial"/>
                <w:sz w:val="22"/>
                <w:szCs w:val="22"/>
                <w:color w:val="auto"/>
              </w:rPr>
              <w:t>Short-term investments:</w:t>
            </w:r>
          </w:p>
        </w:tc>
        <w:tc>
          <w:tcPr>
            <w:tcW w:w="1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4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460" w:type="dxa"/>
            <w:vAlign w:val="bottom"/>
            <w:gridSpan w:val="2"/>
          </w:tcPr>
          <w:p>
            <w:pPr>
              <w:ind w:left="280"/>
              <w:spacing w:after="0"/>
              <w:rPr>
                <w:sz w:val="20"/>
                <w:szCs w:val="20"/>
                <w:color w:val="auto"/>
              </w:rPr>
            </w:pPr>
            <w:r>
              <w:rPr>
                <w:rFonts w:ascii="Arial" w:cs="Arial" w:eastAsia="Arial" w:hAnsi="Arial"/>
                <w:sz w:val="22"/>
                <w:szCs w:val="22"/>
                <w:color w:val="auto"/>
              </w:rPr>
              <w:t>Term deposit</w:t>
            </w:r>
          </w:p>
        </w:tc>
        <w:tc>
          <w:tcPr>
            <w:tcW w:w="1120" w:type="dxa"/>
            <w:vAlign w:val="bottom"/>
          </w:tcPr>
          <w:p>
            <w:pPr>
              <w:jc w:val="right"/>
              <w:spacing w:after="0"/>
              <w:rPr>
                <w:sz w:val="20"/>
                <w:szCs w:val="20"/>
                <w:color w:val="auto"/>
              </w:rPr>
            </w:pPr>
            <w:r>
              <w:rPr>
                <w:rFonts w:ascii="Arial" w:cs="Arial" w:eastAsia="Arial" w:hAnsi="Arial"/>
                <w:sz w:val="22"/>
                <w:szCs w:val="22"/>
                <w:color w:val="auto"/>
              </w:rPr>
              <w:t>$3,260</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$3,260</w:t>
            </w:r>
          </w:p>
        </w:tc>
        <w:tc>
          <w:tcPr>
            <w:tcW w:w="0" w:type="dxa"/>
            <w:vAlign w:val="bottom"/>
          </w:tcPr>
          <w:p>
            <w:pPr>
              <w:spacing w:after="0"/>
              <w:rPr>
                <w:sz w:val="1"/>
                <w:szCs w:val="1"/>
                <w:color w:val="auto"/>
              </w:rPr>
            </w:pPr>
          </w:p>
        </w:tc>
      </w:tr>
      <w:tr>
        <w:trPr>
          <w:trHeight w:val="486"/>
        </w:trPr>
        <w:tc>
          <w:tcPr>
            <w:tcW w:w="3460" w:type="dxa"/>
            <w:vAlign w:val="bottom"/>
            <w:gridSpan w:val="2"/>
          </w:tcPr>
          <w:p>
            <w:pPr>
              <w:ind w:left="280"/>
              <w:spacing w:after="0"/>
              <w:rPr>
                <w:sz w:val="20"/>
                <w:szCs w:val="20"/>
                <w:color w:val="auto"/>
              </w:rPr>
            </w:pPr>
            <w:r>
              <w:rPr>
                <w:rFonts w:ascii="Arial" w:cs="Arial" w:eastAsia="Arial" w:hAnsi="Arial"/>
                <w:sz w:val="22"/>
                <w:szCs w:val="22"/>
                <w:color w:val="auto"/>
              </w:rPr>
              <w:t>Foreign bond funds</w:t>
            </w:r>
          </w:p>
        </w:tc>
        <w:tc>
          <w:tcPr>
            <w:tcW w:w="1120" w:type="dxa"/>
            <w:vAlign w:val="bottom"/>
          </w:tcPr>
          <w:p>
            <w:pPr>
              <w:jc w:val="right"/>
              <w:spacing w:after="0"/>
              <w:rPr>
                <w:sz w:val="20"/>
                <w:szCs w:val="20"/>
                <w:color w:val="auto"/>
              </w:rPr>
            </w:pPr>
            <w:r>
              <w:rPr>
                <w:rFonts w:ascii="Arial" w:cs="Arial" w:eastAsia="Arial" w:hAnsi="Arial"/>
                <w:sz w:val="22"/>
                <w:szCs w:val="22"/>
                <w:color w:val="auto"/>
              </w:rPr>
              <w:t>2,289</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w w:val="81"/>
              </w:rPr>
              <w:t>108</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2,397</w:t>
            </w:r>
          </w:p>
        </w:tc>
        <w:tc>
          <w:tcPr>
            <w:tcW w:w="0" w:type="dxa"/>
            <w:vAlign w:val="bottom"/>
          </w:tcPr>
          <w:p>
            <w:pPr>
              <w:spacing w:after="0"/>
              <w:rPr>
                <w:sz w:val="1"/>
                <w:szCs w:val="1"/>
                <w:color w:val="auto"/>
              </w:rPr>
            </w:pPr>
          </w:p>
        </w:tc>
      </w:tr>
      <w:tr>
        <w:trPr>
          <w:trHeight w:val="98"/>
        </w:trPr>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40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460" w:type="dxa"/>
            <w:vAlign w:val="bottom"/>
            <w:gridSpan w:val="2"/>
          </w:tcPr>
          <w:p>
            <w:pPr>
              <w:ind w:left="280"/>
              <w:spacing w:after="0"/>
              <w:rPr>
                <w:sz w:val="20"/>
                <w:szCs w:val="20"/>
                <w:color w:val="auto"/>
              </w:rPr>
            </w:pPr>
            <w:r>
              <w:rPr>
                <w:rFonts w:ascii="Arial" w:cs="Arial" w:eastAsia="Arial" w:hAnsi="Arial"/>
                <w:sz w:val="22"/>
                <w:szCs w:val="22"/>
                <w:color w:val="auto"/>
              </w:rPr>
              <w:t>Total short-term investments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5,549</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w w:val="81"/>
              </w:rPr>
              <w:t>108</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5,657</w:t>
            </w:r>
          </w:p>
        </w:tc>
        <w:tc>
          <w:tcPr>
            <w:tcW w:w="0" w:type="dxa"/>
            <w:vAlign w:val="bottom"/>
          </w:tcPr>
          <w:p>
            <w:pPr>
              <w:spacing w:after="0"/>
              <w:rPr>
                <w:sz w:val="1"/>
                <w:szCs w:val="1"/>
                <w:color w:val="auto"/>
              </w:rPr>
            </w:pPr>
          </w:p>
        </w:tc>
      </w:tr>
      <w:tr>
        <w:trPr>
          <w:trHeight w:val="486"/>
        </w:trPr>
        <w:tc>
          <w:tcPr>
            <w:tcW w:w="3460" w:type="dxa"/>
            <w:vAlign w:val="bottom"/>
            <w:gridSpan w:val="2"/>
          </w:tcPr>
          <w:p>
            <w:pPr>
              <w:spacing w:after="0"/>
              <w:rPr>
                <w:sz w:val="20"/>
                <w:szCs w:val="20"/>
                <w:color w:val="auto"/>
              </w:rPr>
            </w:pPr>
            <w:r>
              <w:rPr>
                <w:rFonts w:ascii="Arial" w:cs="Arial" w:eastAsia="Arial" w:hAnsi="Arial"/>
                <w:sz w:val="22"/>
                <w:szCs w:val="22"/>
                <w:color w:val="auto"/>
              </w:rPr>
              <w:t>Long-term equity investments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29</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w w:val="81"/>
              </w:rPr>
              <w:t>109</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138</w:t>
            </w:r>
          </w:p>
        </w:tc>
        <w:tc>
          <w:tcPr>
            <w:tcW w:w="0" w:type="dxa"/>
            <w:vAlign w:val="bottom"/>
          </w:tcPr>
          <w:p>
            <w:pPr>
              <w:spacing w:after="0"/>
              <w:rPr>
                <w:sz w:val="1"/>
                <w:szCs w:val="1"/>
                <w:color w:val="auto"/>
              </w:rPr>
            </w:pPr>
          </w:p>
        </w:tc>
      </w:tr>
      <w:tr>
        <w:trPr>
          <w:trHeight w:val="98"/>
        </w:trPr>
        <w:tc>
          <w:tcPr>
            <w:tcW w:w="3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400" w:type="dxa"/>
            <w:vAlign w:val="bottom"/>
            <w:tcBorders>
              <w:bottom w:val="single" w:sz="8" w:color="336699"/>
            </w:tcBorders>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$5,578</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jc w:val="right"/>
              <w:spacing w:after="0"/>
              <w:rPr>
                <w:sz w:val="20"/>
                <w:szCs w:val="20"/>
                <w:color w:val="auto"/>
              </w:rPr>
            </w:pPr>
            <w:r>
              <w:rPr>
                <w:rFonts w:ascii="Arial" w:cs="Arial" w:eastAsia="Arial" w:hAnsi="Arial"/>
                <w:sz w:val="22"/>
                <w:szCs w:val="22"/>
                <w:color w:val="auto"/>
                <w:w w:val="81"/>
              </w:rPr>
              <w:t>217</w:t>
            </w:r>
          </w:p>
        </w:tc>
        <w:tc>
          <w:tcPr>
            <w:tcW w:w="1380" w:type="dxa"/>
            <w:vAlign w:val="bottom"/>
            <w:gridSpan w:val="2"/>
          </w:tcPr>
          <w:p>
            <w:pPr>
              <w:jc w:val="right"/>
              <w:spacing w:after="0"/>
              <w:rPr>
                <w:sz w:val="20"/>
                <w:szCs w:val="20"/>
                <w:color w:val="auto"/>
              </w:rPr>
            </w:pPr>
            <w:r>
              <w:rPr>
                <w:rFonts w:ascii="Arial" w:cs="Arial" w:eastAsia="Arial" w:hAnsi="Arial"/>
                <w:sz w:val="22"/>
                <w:szCs w:val="22"/>
                <w:color w:val="auto"/>
              </w:rPr>
              <w:t>$ -</w:t>
            </w:r>
          </w:p>
        </w:tc>
        <w:tc>
          <w:tcPr>
            <w:tcW w:w="1360" w:type="dxa"/>
            <w:vAlign w:val="bottom"/>
            <w:gridSpan w:val="4"/>
          </w:tcPr>
          <w:p>
            <w:pPr>
              <w:jc w:val="right"/>
              <w:spacing w:after="0"/>
              <w:rPr>
                <w:sz w:val="20"/>
                <w:szCs w:val="20"/>
                <w:color w:val="auto"/>
              </w:rPr>
            </w:pPr>
            <w:r>
              <w:rPr>
                <w:rFonts w:ascii="Arial" w:cs="Arial" w:eastAsia="Arial" w:hAnsi="Arial"/>
                <w:sz w:val="22"/>
                <w:szCs w:val="22"/>
                <w:color w:val="auto"/>
              </w:rPr>
              <w:t>$5,795</w:t>
            </w: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400" w:type="dxa"/>
            <w:vAlign w:val="bottom"/>
            <w:tcBorders>
              <w:bottom w:val="single" w:sz="8" w:color="336699"/>
            </w:tcBorders>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8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500" w:firstLine="270"/>
        <w:spacing w:after="0"/>
        <w:rPr>
          <w:sz w:val="20"/>
          <w:szCs w:val="20"/>
          <w:color w:val="auto"/>
        </w:rPr>
      </w:pPr>
      <w:r>
        <w:rPr>
          <w:rFonts w:ascii="Arial" w:cs="Arial" w:eastAsia="Arial" w:hAnsi="Arial"/>
          <w:sz w:val="22"/>
          <w:szCs w:val="22"/>
          <w:color w:val="auto"/>
        </w:rPr>
        <w:t>In determining whether investment holdings are other than temporarily impaired, the Company considers the nature, cause, severity and duration of the impairment. The Company and its investment advisors used analyst reports, credit ratings or other items as part of its review. No investments were impaired as of April 27, 2008.</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maturities of short-term investments at April 27, 2008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ind w:left="160"/>
              <w:spacing w:after="0"/>
              <w:rPr>
                <w:sz w:val="20"/>
                <w:szCs w:val="20"/>
                <w:color w:val="auto"/>
              </w:rPr>
            </w:pPr>
            <w:r>
              <w:rPr>
                <w:rFonts w:ascii="Arial" w:cs="Arial" w:eastAsia="Arial" w:hAnsi="Arial"/>
                <w:sz w:val="22"/>
                <w:szCs w:val="22"/>
                <w:b w:val="1"/>
                <w:bCs w:val="1"/>
                <w:color w:val="auto"/>
              </w:rPr>
              <w:t>Estimated</w:t>
            </w:r>
          </w:p>
        </w:tc>
      </w:tr>
      <w:tr>
        <w:trPr>
          <w:trHeight w:val="281"/>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ind w:right="52"/>
              <w:spacing w:after="0"/>
              <w:rPr>
                <w:sz w:val="20"/>
                <w:szCs w:val="20"/>
                <w:color w:val="auto"/>
              </w:rPr>
            </w:pPr>
            <w:r>
              <w:rPr>
                <w:rFonts w:ascii="Arial" w:cs="Arial" w:eastAsia="Arial" w:hAnsi="Arial"/>
                <w:sz w:val="22"/>
                <w:szCs w:val="22"/>
                <w:b w:val="1"/>
                <w:bCs w:val="1"/>
                <w:color w:val="auto"/>
                <w:w w:val="93"/>
              </w:rPr>
              <w:t>Cost Basis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Arial" w:cs="Arial" w:eastAsia="Arial" w:hAnsi="Arial"/>
                <w:sz w:val="22"/>
                <w:szCs w:val="22"/>
                <w:b w:val="1"/>
                <w:bCs w:val="1"/>
                <w:color w:val="auto"/>
              </w:rPr>
              <w:t>Fair Value</w:t>
            </w:r>
          </w:p>
        </w:tc>
      </w:tr>
      <w:tr>
        <w:trPr>
          <w:trHeight w:val="98"/>
        </w:trPr>
        <w:tc>
          <w:tcPr>
            <w:tcW w:w="2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611"/>
        </w:trPr>
        <w:tc>
          <w:tcPr>
            <w:tcW w:w="2960" w:type="dxa"/>
            <w:vAlign w:val="bottom"/>
            <w:gridSpan w:val="2"/>
          </w:tcPr>
          <w:p>
            <w:pPr>
              <w:spacing w:after="0"/>
              <w:rPr>
                <w:sz w:val="20"/>
                <w:szCs w:val="20"/>
                <w:color w:val="auto"/>
              </w:rPr>
            </w:pPr>
            <w:r>
              <w:rPr>
                <w:rFonts w:ascii="Arial" w:cs="Arial" w:eastAsia="Arial" w:hAnsi="Arial"/>
                <w:sz w:val="22"/>
                <w:szCs w:val="22"/>
                <w:color w:val="auto"/>
              </w:rPr>
              <w:t>Due in one year or less</w:t>
            </w:r>
          </w:p>
        </w:tc>
        <w:tc>
          <w:tcPr>
            <w:tcW w:w="1240" w:type="dxa"/>
            <w:vAlign w:val="bottom"/>
          </w:tcPr>
          <w:p>
            <w:pPr>
              <w:jc w:val="right"/>
              <w:spacing w:after="0"/>
              <w:rPr>
                <w:sz w:val="20"/>
                <w:szCs w:val="20"/>
                <w:color w:val="auto"/>
              </w:rPr>
            </w:pPr>
            <w:r>
              <w:rPr>
                <w:rFonts w:ascii="Arial" w:cs="Arial" w:eastAsia="Arial" w:hAnsi="Arial"/>
                <w:sz w:val="22"/>
                <w:szCs w:val="22"/>
                <w:color w:val="auto"/>
              </w:rPr>
              <w:t>$2,450</w:t>
            </w:r>
          </w:p>
        </w:tc>
        <w:tc>
          <w:tcPr>
            <w:tcW w:w="1600" w:type="dxa"/>
            <w:vAlign w:val="bottom"/>
            <w:gridSpan w:val="3"/>
          </w:tcPr>
          <w:p>
            <w:pPr>
              <w:jc w:val="right"/>
              <w:spacing w:after="0"/>
              <w:rPr>
                <w:sz w:val="20"/>
                <w:szCs w:val="20"/>
                <w:color w:val="auto"/>
              </w:rPr>
            </w:pPr>
            <w:r>
              <w:rPr>
                <w:rFonts w:ascii="Arial" w:cs="Arial" w:eastAsia="Arial" w:hAnsi="Arial"/>
                <w:sz w:val="22"/>
                <w:szCs w:val="22"/>
                <w:color w:val="auto"/>
              </w:rPr>
              <w:t>$2,494</w:t>
            </w:r>
          </w:p>
        </w:tc>
      </w:tr>
      <w:tr>
        <w:trPr>
          <w:trHeight w:val="122"/>
        </w:trPr>
        <w:tc>
          <w:tcPr>
            <w:tcW w:w="29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8" w:right="239" w:bottom="681" w:gutter="0" w:footer="0" w:header="0"/>
        </w:sectPr>
      </w:pPr>
    </w:p>
    <w:bookmarkStart w:id="8" w:name="page9"/>
    <w:bookmarkEnd w:id="8"/>
    <w:p>
      <w:pPr>
        <w:ind w:firstLine="270"/>
        <w:spacing w:after="0" w:line="241" w:lineRule="auto"/>
        <w:rPr>
          <w:sz w:val="20"/>
          <w:szCs w:val="20"/>
          <w:color w:val="auto"/>
        </w:rPr>
      </w:pPr>
      <w:r>
        <w:rPr>
          <w:rFonts w:ascii="Arial" w:cs="Arial" w:eastAsia="Arial" w:hAnsi="Arial"/>
          <w:sz w:val="22"/>
          <w:szCs w:val="22"/>
          <w:color w:val="auto"/>
        </w:rPr>
        <w:t>During the six months ended April 27, 2008 the Company's term deposits matured. The Company sold $47.4 million of short-term investments during the six months ended April 29, 2007 in connection with the Company's repayment of its 4.75% convertible subordinated notes in December 2006.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Gross realized gains and losses related to the Company's investments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660" w:type="dxa"/>
            <w:vAlign w:val="bottom"/>
          </w:tcPr>
          <w:p>
            <w:pPr>
              <w:spacing w:after="0"/>
              <w:rPr>
                <w:sz w:val="24"/>
                <w:szCs w:val="24"/>
                <w:color w:val="auto"/>
              </w:rPr>
            </w:pPr>
          </w:p>
        </w:tc>
        <w:tc>
          <w:tcPr>
            <w:tcW w:w="2640" w:type="dxa"/>
            <w:vAlign w:val="bottom"/>
            <w:gridSpan w:val="4"/>
          </w:tcPr>
          <w:p>
            <w:pPr>
              <w:jc w:val="right"/>
              <w:ind w:right="252"/>
              <w:spacing w:after="0"/>
              <w:rPr>
                <w:sz w:val="20"/>
                <w:szCs w:val="20"/>
                <w:color w:val="auto"/>
              </w:rPr>
            </w:pPr>
            <w:r>
              <w:rPr>
                <w:rFonts w:ascii="Arial" w:cs="Arial" w:eastAsia="Arial" w:hAnsi="Arial"/>
                <w:sz w:val="22"/>
                <w:szCs w:val="22"/>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4"/>
          </w:tcPr>
          <w:p>
            <w:pPr>
              <w:ind w:left="320"/>
              <w:spacing w:after="0"/>
              <w:rPr>
                <w:sz w:val="20"/>
                <w:szCs w:val="20"/>
                <w:color w:val="auto"/>
              </w:rPr>
            </w:pPr>
            <w:r>
              <w:rPr>
                <w:rFonts w:ascii="Arial" w:cs="Arial" w:eastAsia="Arial" w:hAnsi="Arial"/>
                <w:sz w:val="22"/>
                <w:szCs w:val="22"/>
                <w:b w:val="1"/>
                <w:bCs w:val="1"/>
                <w:color w:val="auto"/>
              </w:rPr>
              <w:t>Six Months Ended</w:t>
            </w:r>
          </w:p>
        </w:tc>
      </w:tr>
      <w:tr>
        <w:trPr>
          <w:trHeight w:val="98"/>
        </w:trPr>
        <w:tc>
          <w:tcPr>
            <w:tcW w:w="26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331"/>
        </w:trPr>
        <w:tc>
          <w:tcPr>
            <w:tcW w:w="2660" w:type="dxa"/>
            <w:vAlign w:val="bottom"/>
          </w:tcPr>
          <w:p>
            <w:pPr>
              <w:spacing w:after="0"/>
              <w:rPr>
                <w:sz w:val="24"/>
                <w:szCs w:val="24"/>
                <w:color w:val="auto"/>
              </w:rPr>
            </w:pPr>
          </w:p>
        </w:tc>
        <w:tc>
          <w:tcPr>
            <w:tcW w:w="1240" w:type="dxa"/>
            <w:vAlign w:val="bottom"/>
          </w:tcPr>
          <w:p>
            <w:pPr>
              <w:jc w:val="right"/>
              <w:ind w:right="112"/>
              <w:spacing w:after="0"/>
              <w:rPr>
                <w:sz w:val="20"/>
                <w:szCs w:val="20"/>
                <w:color w:val="auto"/>
              </w:rPr>
            </w:pPr>
            <w:r>
              <w:rPr>
                <w:rFonts w:ascii="Arial" w:cs="Arial" w:eastAsia="Arial" w:hAnsi="Arial"/>
                <w:sz w:val="22"/>
                <w:szCs w:val="22"/>
                <w:b w:val="1"/>
                <w:bCs w:val="1"/>
                <w:color w:val="auto"/>
              </w:rPr>
              <w:t>April 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Arial" w:cs="Arial" w:eastAsia="Arial" w:hAnsi="Arial"/>
                <w:sz w:val="22"/>
                <w:szCs w:val="22"/>
                <w:b w:val="1"/>
                <w:bCs w:val="1"/>
                <w:color w:val="auto"/>
              </w:rPr>
              <w:t>April 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22"/>
                <w:szCs w:val="22"/>
                <w:b w:val="1"/>
                <w:bCs w:val="1"/>
                <w:color w:val="auto"/>
              </w:rPr>
              <w:t>April 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Arial" w:cs="Arial" w:eastAsia="Arial" w:hAnsi="Arial"/>
                <w:sz w:val="22"/>
                <w:szCs w:val="22"/>
                <w:b w:val="1"/>
                <w:bCs w:val="1"/>
                <w:color w:val="auto"/>
              </w:rPr>
              <w:t>April 29,</w:t>
            </w:r>
          </w:p>
        </w:tc>
      </w:tr>
      <w:tr>
        <w:trPr>
          <w:trHeight w:val="281"/>
        </w:trPr>
        <w:tc>
          <w:tcPr>
            <w:tcW w:w="2660" w:type="dxa"/>
            <w:vAlign w:val="bottom"/>
          </w:tcPr>
          <w:p>
            <w:pPr>
              <w:spacing w:after="0"/>
              <w:rPr>
                <w:sz w:val="24"/>
                <w:szCs w:val="24"/>
                <w:color w:val="auto"/>
              </w:rPr>
            </w:pPr>
          </w:p>
        </w:tc>
        <w:tc>
          <w:tcPr>
            <w:tcW w:w="1240" w:type="dxa"/>
            <w:vAlign w:val="bottom"/>
          </w:tcPr>
          <w:p>
            <w:pPr>
              <w:jc w:val="right"/>
              <w:ind w:right="312"/>
              <w:spacing w:after="0"/>
              <w:rPr>
                <w:sz w:val="20"/>
                <w:szCs w:val="20"/>
                <w:color w:val="auto"/>
              </w:rPr>
            </w:pPr>
            <w:r>
              <w:rPr>
                <w:rFonts w:ascii="Arial" w:cs="Arial" w:eastAsia="Arial" w:hAnsi="Arial"/>
                <w:sz w:val="22"/>
                <w:szCs w:val="22"/>
                <w:b w:val="1"/>
                <w:bCs w:val="1"/>
                <w:color w:val="auto"/>
              </w:rPr>
              <w:t>2008</w:t>
            </w:r>
          </w:p>
        </w:tc>
        <w:tc>
          <w:tcPr>
            <w:tcW w:w="1400" w:type="dxa"/>
            <w:vAlign w:val="bottom"/>
            <w:gridSpan w:val="3"/>
          </w:tcPr>
          <w:p>
            <w:pPr>
              <w:jc w:val="right"/>
              <w:ind w:right="312"/>
              <w:spacing w:after="0"/>
              <w:rPr>
                <w:sz w:val="20"/>
                <w:szCs w:val="20"/>
                <w:color w:val="auto"/>
              </w:rPr>
            </w:pPr>
            <w:r>
              <w:rPr>
                <w:rFonts w:ascii="Arial" w:cs="Arial" w:eastAsia="Arial" w:hAnsi="Arial"/>
                <w:sz w:val="22"/>
                <w:szCs w:val="22"/>
                <w:b w:val="1"/>
                <w:bCs w:val="1"/>
                <w:color w:val="auto"/>
              </w:rPr>
              <w:t>2007</w:t>
            </w:r>
          </w:p>
        </w:tc>
        <w:tc>
          <w:tcPr>
            <w:tcW w:w="1240" w:type="dxa"/>
            <w:vAlign w:val="bottom"/>
            <w:gridSpan w:val="3"/>
          </w:tcPr>
          <w:p>
            <w:pPr>
              <w:ind w:left="440"/>
              <w:spacing w:after="0"/>
              <w:rPr>
                <w:sz w:val="20"/>
                <w:szCs w:val="20"/>
                <w:color w:val="auto"/>
              </w:rPr>
            </w:pPr>
            <w:r>
              <w:rPr>
                <w:rFonts w:ascii="Arial" w:cs="Arial" w:eastAsia="Arial" w:hAnsi="Arial"/>
                <w:sz w:val="22"/>
                <w:szCs w:val="22"/>
                <w:b w:val="1"/>
                <w:bCs w:val="1"/>
                <w:color w:val="auto"/>
              </w:rPr>
              <w:t>2008</w:t>
            </w:r>
          </w:p>
        </w:tc>
        <w:tc>
          <w:tcPr>
            <w:tcW w:w="1280" w:type="dxa"/>
            <w:vAlign w:val="bottom"/>
            <w:gridSpan w:val="3"/>
          </w:tcPr>
          <w:p>
            <w:pPr>
              <w:jc w:val="right"/>
              <w:ind w:right="272"/>
              <w:spacing w:after="0"/>
              <w:rPr>
                <w:sz w:val="20"/>
                <w:szCs w:val="20"/>
                <w:color w:val="auto"/>
              </w:rPr>
            </w:pPr>
            <w:r>
              <w:rPr>
                <w:rFonts w:ascii="Arial" w:cs="Arial" w:eastAsia="Arial" w:hAnsi="Arial"/>
                <w:sz w:val="22"/>
                <w:szCs w:val="22"/>
                <w:b w:val="1"/>
                <w:bCs w:val="1"/>
                <w:color w:val="auto"/>
              </w:rPr>
              <w:t>2007</w:t>
            </w:r>
          </w:p>
        </w:tc>
      </w:tr>
      <w:tr>
        <w:trPr>
          <w:trHeight w:val="98"/>
        </w:trPr>
        <w:tc>
          <w:tcPr>
            <w:tcW w:w="26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580"/>
        </w:trPr>
        <w:tc>
          <w:tcPr>
            <w:tcW w:w="2660" w:type="dxa"/>
            <w:vAlign w:val="bottom"/>
          </w:tcPr>
          <w:p>
            <w:pPr>
              <w:spacing w:after="0"/>
              <w:rPr>
                <w:sz w:val="20"/>
                <w:szCs w:val="20"/>
                <w:color w:val="auto"/>
              </w:rPr>
            </w:pPr>
            <w:r>
              <w:rPr>
                <w:rFonts w:ascii="Arial" w:cs="Arial" w:eastAsia="Arial" w:hAnsi="Arial"/>
                <w:sz w:val="22"/>
                <w:szCs w:val="22"/>
                <w:color w:val="auto"/>
              </w:rPr>
              <w:t>Gross realized gains</w:t>
            </w:r>
          </w:p>
        </w:tc>
        <w:tc>
          <w:tcPr>
            <w:tcW w:w="1240" w:type="dxa"/>
            <w:vAlign w:val="bottom"/>
          </w:tcPr>
          <w:p>
            <w:pPr>
              <w:jc w:val="right"/>
              <w:spacing w:after="0"/>
              <w:rPr>
                <w:sz w:val="20"/>
                <w:szCs w:val="20"/>
                <w:color w:val="auto"/>
              </w:rPr>
            </w:pPr>
            <w:r>
              <w:rPr>
                <w:rFonts w:ascii="Arial" w:cs="Arial" w:eastAsia="Arial" w:hAnsi="Arial"/>
                <w:sz w:val="22"/>
                <w:szCs w:val="22"/>
                <w:color w:val="auto"/>
              </w:rPr>
              <w:t>$ -</w:t>
            </w:r>
          </w:p>
        </w:tc>
        <w:tc>
          <w:tcPr>
            <w:tcW w:w="1400" w:type="dxa"/>
            <w:vAlign w:val="bottom"/>
            <w:gridSpan w:val="3"/>
          </w:tcPr>
          <w:p>
            <w:pPr>
              <w:jc w:val="right"/>
              <w:spacing w:after="0"/>
              <w:rPr>
                <w:sz w:val="20"/>
                <w:szCs w:val="20"/>
                <w:color w:val="auto"/>
              </w:rPr>
            </w:pPr>
            <w:r>
              <w:rPr>
                <w:rFonts w:ascii="Arial" w:cs="Arial" w:eastAsia="Arial" w:hAnsi="Arial"/>
                <w:sz w:val="22"/>
                <w:szCs w:val="22"/>
                <w:color w:val="auto"/>
              </w:rPr>
              <w:t>$391</w:t>
            </w:r>
          </w:p>
        </w:tc>
        <w:tc>
          <w:tcPr>
            <w:tcW w:w="1240" w:type="dxa"/>
            <w:vAlign w:val="bottom"/>
            <w:gridSpan w:val="3"/>
          </w:tcPr>
          <w:p>
            <w:pPr>
              <w:jc w:val="right"/>
              <w:spacing w:after="0"/>
              <w:rPr>
                <w:sz w:val="20"/>
                <w:szCs w:val="20"/>
                <w:color w:val="auto"/>
              </w:rPr>
            </w:pPr>
            <w:r>
              <w:rPr>
                <w:rFonts w:ascii="Arial" w:cs="Arial" w:eastAsia="Arial" w:hAnsi="Arial"/>
                <w:sz w:val="22"/>
                <w:szCs w:val="22"/>
                <w:color w:val="auto"/>
              </w:rPr>
              <w:t>$ -</w:t>
            </w: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$435</w:t>
            </w:r>
          </w:p>
        </w:tc>
      </w:tr>
      <w:tr>
        <w:trPr>
          <w:trHeight w:val="275"/>
        </w:trPr>
        <w:tc>
          <w:tcPr>
            <w:tcW w:w="2660" w:type="dxa"/>
            <w:vAlign w:val="bottom"/>
          </w:tcPr>
          <w:p>
            <w:pPr>
              <w:spacing w:after="0"/>
              <w:rPr>
                <w:sz w:val="20"/>
                <w:szCs w:val="20"/>
                <w:color w:val="auto"/>
              </w:rPr>
            </w:pPr>
            <w:r>
              <w:rPr>
                <w:rFonts w:ascii="Arial" w:cs="Arial" w:eastAsia="Arial" w:hAnsi="Arial"/>
                <w:sz w:val="22"/>
                <w:szCs w:val="22"/>
                <w:color w:val="auto"/>
              </w:rPr>
              <w:t>Gross realized losses</w:t>
            </w:r>
          </w:p>
        </w:tc>
        <w:tc>
          <w:tcPr>
            <w:tcW w:w="1240" w:type="dxa"/>
            <w:vAlign w:val="bottom"/>
          </w:tcPr>
          <w:p>
            <w:pPr>
              <w:jc w:val="right"/>
              <w:spacing w:after="0"/>
              <w:rPr>
                <w:sz w:val="20"/>
                <w:szCs w:val="20"/>
                <w:color w:val="auto"/>
              </w:rPr>
            </w:pPr>
            <w:r>
              <w:rPr>
                <w:rFonts w:ascii="Arial" w:cs="Arial" w:eastAsia="Arial" w:hAnsi="Arial"/>
                <w:sz w:val="22"/>
                <w:szCs w:val="22"/>
                <w:color w:val="auto"/>
              </w:rPr>
              <w:t>-</w:t>
            </w:r>
          </w:p>
        </w:tc>
        <w:tc>
          <w:tcPr>
            <w:tcW w:w="1400" w:type="dxa"/>
            <w:vAlign w:val="bottom"/>
            <w:gridSpan w:val="3"/>
          </w:tcPr>
          <w:p>
            <w:pPr>
              <w:jc w:val="right"/>
              <w:spacing w:after="0"/>
              <w:rPr>
                <w:sz w:val="20"/>
                <w:szCs w:val="20"/>
                <w:color w:val="auto"/>
              </w:rPr>
            </w:pPr>
            <w:r>
              <w:rPr>
                <w:rFonts w:ascii="Arial" w:cs="Arial" w:eastAsia="Arial" w:hAnsi="Arial"/>
                <w:sz w:val="22"/>
                <w:szCs w:val="22"/>
                <w:color w:val="auto"/>
              </w:rPr>
              <w:t>(56)</w:t>
            </w:r>
          </w:p>
        </w:tc>
        <w:tc>
          <w:tcPr>
            <w:tcW w:w="124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(87)</w:t>
            </w:r>
          </w:p>
        </w:tc>
      </w:tr>
      <w:tr>
        <w:trPr>
          <w:trHeight w:val="98"/>
        </w:trPr>
        <w:tc>
          <w:tcPr>
            <w:tcW w:w="2660" w:type="dxa"/>
            <w:vAlign w:val="bottom"/>
          </w:tcPr>
          <w:p>
            <w:pPr>
              <w:spacing w:after="0"/>
              <w:rPr>
                <w:sz w:val="8"/>
                <w:szCs w:val="8"/>
                <w:color w:val="auto"/>
              </w:rPr>
            </w:pPr>
          </w:p>
        </w:tc>
        <w:tc>
          <w:tcPr>
            <w:tcW w:w="124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r>
      <w:tr>
        <w:trPr>
          <w:trHeight w:val="368"/>
        </w:trPr>
        <w:tc>
          <w:tcPr>
            <w:tcW w:w="2660" w:type="dxa"/>
            <w:vAlign w:val="bottom"/>
          </w:tcPr>
          <w:p>
            <w:pPr>
              <w:spacing w:after="0"/>
              <w:rPr>
                <w:sz w:val="20"/>
                <w:szCs w:val="20"/>
                <w:color w:val="auto"/>
              </w:rPr>
            </w:pPr>
            <w:r>
              <w:rPr>
                <w:rFonts w:ascii="Arial" w:cs="Arial" w:eastAsia="Arial" w:hAnsi="Arial"/>
                <w:sz w:val="22"/>
                <w:szCs w:val="22"/>
                <w:color w:val="auto"/>
              </w:rPr>
              <w:t>Net realized gains</w:t>
            </w:r>
          </w:p>
        </w:tc>
        <w:tc>
          <w:tcPr>
            <w:tcW w:w="1240" w:type="dxa"/>
            <w:vAlign w:val="bottom"/>
          </w:tcPr>
          <w:p>
            <w:pPr>
              <w:jc w:val="right"/>
              <w:spacing w:after="0"/>
              <w:rPr>
                <w:sz w:val="20"/>
                <w:szCs w:val="20"/>
                <w:color w:val="auto"/>
              </w:rPr>
            </w:pPr>
            <w:r>
              <w:rPr>
                <w:rFonts w:ascii="Arial" w:cs="Arial" w:eastAsia="Arial" w:hAnsi="Arial"/>
                <w:sz w:val="22"/>
                <w:szCs w:val="22"/>
                <w:color w:val="auto"/>
              </w:rPr>
              <w:t>$ -</w:t>
            </w:r>
          </w:p>
        </w:tc>
        <w:tc>
          <w:tcPr>
            <w:tcW w:w="1400" w:type="dxa"/>
            <w:vAlign w:val="bottom"/>
            <w:gridSpan w:val="3"/>
          </w:tcPr>
          <w:p>
            <w:pPr>
              <w:jc w:val="right"/>
              <w:spacing w:after="0"/>
              <w:rPr>
                <w:sz w:val="20"/>
                <w:szCs w:val="20"/>
                <w:color w:val="auto"/>
              </w:rPr>
            </w:pPr>
            <w:r>
              <w:rPr>
                <w:rFonts w:ascii="Arial" w:cs="Arial" w:eastAsia="Arial" w:hAnsi="Arial"/>
                <w:sz w:val="22"/>
                <w:szCs w:val="22"/>
                <w:color w:val="auto"/>
              </w:rPr>
              <w:t>$335</w:t>
            </w:r>
          </w:p>
        </w:tc>
        <w:tc>
          <w:tcPr>
            <w:tcW w:w="1240" w:type="dxa"/>
            <w:vAlign w:val="bottom"/>
            <w:gridSpan w:val="3"/>
          </w:tcPr>
          <w:p>
            <w:pPr>
              <w:jc w:val="right"/>
              <w:spacing w:after="0"/>
              <w:rPr>
                <w:sz w:val="20"/>
                <w:szCs w:val="20"/>
                <w:color w:val="auto"/>
              </w:rPr>
            </w:pPr>
            <w:r>
              <w:rPr>
                <w:rFonts w:ascii="Arial" w:cs="Arial" w:eastAsia="Arial" w:hAnsi="Arial"/>
                <w:sz w:val="22"/>
                <w:szCs w:val="22"/>
                <w:color w:val="auto"/>
              </w:rPr>
              <w:t>$ -</w:t>
            </w: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$348</w:t>
            </w:r>
          </w:p>
        </w:tc>
      </w:tr>
      <w:tr>
        <w:trPr>
          <w:trHeight w:val="122"/>
        </w:trPr>
        <w:tc>
          <w:tcPr>
            <w:tcW w:w="2660" w:type="dxa"/>
            <w:vAlign w:val="bottom"/>
          </w:tcPr>
          <w:p>
            <w:pPr>
              <w:spacing w:after="0"/>
              <w:rPr>
                <w:sz w:val="10"/>
                <w:szCs w:val="10"/>
                <w:color w:val="auto"/>
              </w:rPr>
            </w:pPr>
          </w:p>
        </w:tc>
        <w:tc>
          <w:tcPr>
            <w:tcW w:w="124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26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6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STOCK-BASED COMPENSATION PLANS</w:t>
      </w:r>
    </w:p>
    <w:p>
      <w:pPr>
        <w:spacing w:after="0" w:line="212" w:lineRule="exact"/>
        <w:rPr>
          <w:sz w:val="20"/>
          <w:szCs w:val="20"/>
          <w:color w:val="auto"/>
        </w:rPr>
      </w:pPr>
    </w:p>
    <w:p>
      <w:pPr>
        <w:ind w:right="20" w:firstLine="270"/>
        <w:spacing w:after="0" w:line="273" w:lineRule="auto"/>
        <w:rPr>
          <w:sz w:val="20"/>
          <w:szCs w:val="20"/>
          <w:color w:val="auto"/>
        </w:rPr>
      </w:pPr>
      <w:r>
        <w:rPr>
          <w:rFonts w:ascii="Arial" w:cs="Arial" w:eastAsia="Arial" w:hAnsi="Arial"/>
          <w:sz w:val="19"/>
          <w:szCs w:val="19"/>
          <w:color w:val="auto"/>
        </w:rPr>
        <w:t>In March 2007, shareholders approved a new stock-based compensation plan ("Plan"), under which options, restricted stock, restricted stock units, stock appreciation rights, performance stock, performance units, and other awards based on, or related to shares of the Company's common stock may be granted from shares authorized but unissued, shares previously issued and reacquired by the Company or both. A maximum of three million shares of common stock may be issued under the Plan. Awards may be granted to Company officers, employees and directors, non-employee directors, consultants, advisors and independent contractors of the Company or a subsidiary of the Company. The Plan prohibits further awards from being issued under prior plans. The plans are more fully described below. The Company incurred compensation cost under the plans for the three and six months ended April 27, 2008 of $0.7 million and $1.2 million, respectively, as compared to $0.7 million and $1.5 million, respectively, for the comparable prior year periods. No compensation cost was capitalized as part of inventory, and no income tax benefit was recorded in those periods. No equity awards were settled in cash during the periods presented.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212" w:lineRule="exact"/>
        <w:rPr>
          <w:sz w:val="20"/>
          <w:szCs w:val="20"/>
          <w:color w:val="auto"/>
        </w:rPr>
      </w:pPr>
    </w:p>
    <w:p>
      <w:pPr>
        <w:ind w:right="280" w:firstLine="270"/>
        <w:spacing w:after="0" w:line="297" w:lineRule="auto"/>
        <w:rPr>
          <w:sz w:val="20"/>
          <w:szCs w:val="20"/>
          <w:color w:val="auto"/>
        </w:rPr>
      </w:pPr>
      <w:r>
        <w:rPr>
          <w:rFonts w:ascii="Arial" w:cs="Arial" w:eastAsia="Arial" w:hAnsi="Arial"/>
          <w:sz w:val="19"/>
          <w:szCs w:val="19"/>
          <w:color w:val="auto"/>
        </w:rPr>
        <w:t>Option awards generally vest in one to four years, and have a ten-year contractual term. All incentive and non-qualified stock option grants must have an exercise price equal to the market value of the underlying common stock on the date of grant. The option and share awards provide for accelerated vesting if there is a change in control as defined in the Plan.</w:t>
      </w:r>
    </w:p>
    <w:p>
      <w:pPr>
        <w:spacing w:after="0" w:line="134" w:lineRule="exact"/>
        <w:rPr>
          <w:sz w:val="20"/>
          <w:szCs w:val="20"/>
          <w:color w:val="auto"/>
        </w:rPr>
      </w:pPr>
    </w:p>
    <w:p>
      <w:pPr>
        <w:ind w:firstLine="266"/>
        <w:spacing w:after="0" w:line="248" w:lineRule="auto"/>
        <w:rPr>
          <w:sz w:val="20"/>
          <w:szCs w:val="20"/>
          <w:color w:val="auto"/>
        </w:rPr>
      </w:pPr>
      <w:r>
        <w:rPr>
          <w:rFonts w:ascii="Arial" w:cs="Arial" w:eastAsia="Arial" w:hAnsi="Arial"/>
          <w:sz w:val="21"/>
          <w:szCs w:val="21"/>
          <w:color w:val="auto"/>
        </w:rPr>
        <w:t>The fair value of option grants is determined with the closing price on the day of grant using the Black-Scholes option pricing model. Expected volatility is based on the historical volatility of the Company's stock. The Company uses historical option exercise behavior and employee termination data to estimate option life, which represents the period of time that the options granted are expected to remain outstanding. The risk-free rate of return for the estimated life of the option is based on the U.S. Treasury yield curve in effect at the time of grant. The weighted average assumptions used for the six months ended April 27, 2008 and April 29, 2007 are noted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780" w:type="dxa"/>
            <w:vAlign w:val="bottom"/>
          </w:tcPr>
          <w:p>
            <w:pPr>
              <w:spacing w:after="0"/>
              <w:rPr>
                <w:sz w:val="24"/>
                <w:szCs w:val="24"/>
                <w:color w:val="auto"/>
              </w:rPr>
            </w:pPr>
          </w:p>
        </w:tc>
        <w:tc>
          <w:tcPr>
            <w:tcW w:w="2680" w:type="dxa"/>
            <w:vAlign w:val="bottom"/>
            <w:gridSpan w:val="3"/>
          </w:tcPr>
          <w:p>
            <w:pPr>
              <w:jc w:val="right"/>
              <w:ind w:right="392"/>
              <w:spacing w:after="0"/>
              <w:rPr>
                <w:sz w:val="20"/>
                <w:szCs w:val="20"/>
                <w:color w:val="auto"/>
              </w:rPr>
            </w:pPr>
            <w:r>
              <w:rPr>
                <w:rFonts w:ascii="Arial" w:cs="Arial" w:eastAsia="Arial" w:hAnsi="Arial"/>
                <w:sz w:val="22"/>
                <w:szCs w:val="22"/>
                <w:b w:val="1"/>
                <w:bCs w:val="1"/>
                <w:color w:val="auto"/>
              </w:rPr>
              <w:t>Six Months Ended</w:t>
            </w:r>
          </w:p>
        </w:tc>
      </w:tr>
      <w:tr>
        <w:trPr>
          <w:trHeight w:val="98"/>
        </w:trPr>
        <w:tc>
          <w:tcPr>
            <w:tcW w:w="278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331"/>
        </w:trPr>
        <w:tc>
          <w:tcPr>
            <w:tcW w:w="2780" w:type="dxa"/>
            <w:vAlign w:val="bottom"/>
          </w:tcPr>
          <w:p>
            <w:pPr>
              <w:spacing w:after="0"/>
              <w:rPr>
                <w:sz w:val="24"/>
                <w:szCs w:val="24"/>
                <w:color w:val="auto"/>
              </w:rPr>
            </w:pPr>
          </w:p>
        </w:tc>
        <w:tc>
          <w:tcPr>
            <w:tcW w:w="1440" w:type="dxa"/>
            <w:vAlign w:val="bottom"/>
          </w:tcPr>
          <w:p>
            <w:pPr>
              <w:jc w:val="right"/>
              <w:ind w:right="212"/>
              <w:spacing w:after="0"/>
              <w:rPr>
                <w:sz w:val="20"/>
                <w:szCs w:val="20"/>
                <w:color w:val="auto"/>
              </w:rPr>
            </w:pPr>
            <w:r>
              <w:rPr>
                <w:rFonts w:ascii="Arial" w:cs="Arial" w:eastAsia="Arial" w:hAnsi="Arial"/>
                <w:sz w:val="22"/>
                <w:szCs w:val="22"/>
                <w:b w:val="1"/>
                <w:bCs w:val="1"/>
                <w:color w:val="auto"/>
              </w:rPr>
              <w:t>April 27,</w:t>
            </w:r>
          </w:p>
        </w:tc>
        <w:tc>
          <w:tcPr>
            <w:tcW w:w="100" w:type="dxa"/>
            <w:vAlign w:val="bottom"/>
          </w:tcPr>
          <w:p>
            <w:pPr>
              <w:spacing w:after="0"/>
              <w:rPr>
                <w:sz w:val="24"/>
                <w:szCs w:val="24"/>
                <w:color w:val="auto"/>
              </w:rPr>
            </w:pPr>
          </w:p>
        </w:tc>
        <w:tc>
          <w:tcPr>
            <w:tcW w:w="1140" w:type="dxa"/>
            <w:vAlign w:val="bottom"/>
          </w:tcPr>
          <w:p>
            <w:pPr>
              <w:jc w:val="right"/>
              <w:ind w:right="72"/>
              <w:spacing w:after="0"/>
              <w:rPr>
                <w:sz w:val="20"/>
                <w:szCs w:val="20"/>
                <w:color w:val="auto"/>
              </w:rPr>
            </w:pPr>
            <w:r>
              <w:rPr>
                <w:rFonts w:ascii="Arial" w:cs="Arial" w:eastAsia="Arial" w:hAnsi="Arial"/>
                <w:sz w:val="22"/>
                <w:szCs w:val="22"/>
                <w:b w:val="1"/>
                <w:bCs w:val="1"/>
                <w:color w:val="auto"/>
              </w:rPr>
              <w:t>April 29,</w:t>
            </w:r>
          </w:p>
        </w:tc>
      </w:tr>
      <w:tr>
        <w:trPr>
          <w:trHeight w:val="281"/>
        </w:trPr>
        <w:tc>
          <w:tcPr>
            <w:tcW w:w="2780" w:type="dxa"/>
            <w:vAlign w:val="bottom"/>
          </w:tcPr>
          <w:p>
            <w:pPr>
              <w:spacing w:after="0"/>
              <w:rPr>
                <w:sz w:val="24"/>
                <w:szCs w:val="24"/>
                <w:color w:val="auto"/>
              </w:rPr>
            </w:pPr>
          </w:p>
        </w:tc>
        <w:tc>
          <w:tcPr>
            <w:tcW w:w="1440" w:type="dxa"/>
            <w:vAlign w:val="bottom"/>
          </w:tcPr>
          <w:p>
            <w:pPr>
              <w:jc w:val="right"/>
              <w:ind w:right="412"/>
              <w:spacing w:after="0"/>
              <w:rPr>
                <w:sz w:val="20"/>
                <w:szCs w:val="20"/>
                <w:color w:val="auto"/>
              </w:rPr>
            </w:pPr>
            <w:r>
              <w:rPr>
                <w:rFonts w:ascii="Arial" w:cs="Arial" w:eastAsia="Arial" w:hAnsi="Arial"/>
                <w:sz w:val="22"/>
                <w:szCs w:val="22"/>
                <w:b w:val="1"/>
                <w:bCs w:val="1"/>
                <w:color w:val="auto"/>
              </w:rPr>
              <w:t>2008</w:t>
            </w:r>
          </w:p>
        </w:tc>
        <w:tc>
          <w:tcPr>
            <w:tcW w:w="1240" w:type="dxa"/>
            <w:vAlign w:val="bottom"/>
            <w:gridSpan w:val="2"/>
          </w:tcPr>
          <w:p>
            <w:pPr>
              <w:jc w:val="right"/>
              <w:ind w:right="252"/>
              <w:spacing w:after="0"/>
              <w:rPr>
                <w:sz w:val="20"/>
                <w:szCs w:val="20"/>
                <w:color w:val="auto"/>
              </w:rPr>
            </w:pPr>
            <w:r>
              <w:rPr>
                <w:rFonts w:ascii="Arial" w:cs="Arial" w:eastAsia="Arial" w:hAnsi="Arial"/>
                <w:sz w:val="22"/>
                <w:szCs w:val="22"/>
                <w:b w:val="1"/>
                <w:bCs w:val="1"/>
                <w:color w:val="auto"/>
              </w:rPr>
              <w:t>2007</w:t>
            </w:r>
          </w:p>
        </w:tc>
      </w:tr>
      <w:tr>
        <w:trPr>
          <w:trHeight w:val="98"/>
        </w:trPr>
        <w:tc>
          <w:tcPr>
            <w:tcW w:w="278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611"/>
        </w:trPr>
        <w:tc>
          <w:tcPr>
            <w:tcW w:w="2780" w:type="dxa"/>
            <w:vAlign w:val="bottom"/>
          </w:tcPr>
          <w:p>
            <w:pPr>
              <w:spacing w:after="0"/>
              <w:rPr>
                <w:sz w:val="20"/>
                <w:szCs w:val="20"/>
                <w:color w:val="auto"/>
              </w:rPr>
            </w:pPr>
            <w:r>
              <w:rPr>
                <w:rFonts w:ascii="Arial" w:cs="Arial" w:eastAsia="Arial" w:hAnsi="Arial"/>
                <w:sz w:val="22"/>
                <w:szCs w:val="22"/>
                <w:color w:val="auto"/>
              </w:rPr>
              <w:t>Volatility</w:t>
            </w:r>
          </w:p>
        </w:tc>
        <w:tc>
          <w:tcPr>
            <w:tcW w:w="1440" w:type="dxa"/>
            <w:vAlign w:val="bottom"/>
          </w:tcPr>
          <w:p>
            <w:pPr>
              <w:jc w:val="right"/>
              <w:spacing w:after="0"/>
              <w:rPr>
                <w:sz w:val="20"/>
                <w:szCs w:val="20"/>
                <w:color w:val="auto"/>
              </w:rPr>
            </w:pPr>
            <w:r>
              <w:rPr>
                <w:rFonts w:ascii="Arial" w:cs="Arial" w:eastAsia="Arial" w:hAnsi="Arial"/>
                <w:sz w:val="22"/>
                <w:szCs w:val="22"/>
                <w:color w:val="auto"/>
              </w:rPr>
              <w:t>43.1%</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52.8%</w:t>
            </w:r>
          </w:p>
        </w:tc>
      </w:tr>
      <w:tr>
        <w:trPr>
          <w:trHeight w:val="486"/>
        </w:trPr>
        <w:tc>
          <w:tcPr>
            <w:tcW w:w="2780" w:type="dxa"/>
            <w:vAlign w:val="bottom"/>
          </w:tcPr>
          <w:p>
            <w:pPr>
              <w:spacing w:after="0"/>
              <w:rPr>
                <w:sz w:val="20"/>
                <w:szCs w:val="20"/>
                <w:color w:val="auto"/>
              </w:rPr>
            </w:pPr>
            <w:r>
              <w:rPr>
                <w:rFonts w:ascii="Arial" w:cs="Arial" w:eastAsia="Arial" w:hAnsi="Arial"/>
                <w:sz w:val="22"/>
                <w:szCs w:val="22"/>
                <w:color w:val="auto"/>
              </w:rPr>
              <w:t>Risk free rate of return</w:t>
            </w:r>
          </w:p>
        </w:tc>
        <w:tc>
          <w:tcPr>
            <w:tcW w:w="1440" w:type="dxa"/>
            <w:vAlign w:val="bottom"/>
          </w:tcPr>
          <w:p>
            <w:pPr>
              <w:jc w:val="right"/>
              <w:spacing w:after="0"/>
              <w:rPr>
                <w:sz w:val="20"/>
                <w:szCs w:val="20"/>
                <w:color w:val="auto"/>
              </w:rPr>
            </w:pPr>
            <w:r>
              <w:rPr>
                <w:rFonts w:ascii="Arial" w:cs="Arial" w:eastAsia="Arial" w:hAnsi="Arial"/>
                <w:sz w:val="22"/>
                <w:szCs w:val="22"/>
                <w:color w:val="auto"/>
              </w:rPr>
              <w:t>2.5% - 2.6%</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4.5%</w:t>
            </w:r>
          </w:p>
        </w:tc>
      </w:tr>
      <w:tr>
        <w:trPr>
          <w:trHeight w:val="486"/>
        </w:trPr>
        <w:tc>
          <w:tcPr>
            <w:tcW w:w="2780" w:type="dxa"/>
            <w:vAlign w:val="bottom"/>
          </w:tcPr>
          <w:p>
            <w:pPr>
              <w:spacing w:after="0"/>
              <w:rPr>
                <w:sz w:val="20"/>
                <w:szCs w:val="20"/>
                <w:color w:val="auto"/>
              </w:rPr>
            </w:pPr>
            <w:r>
              <w:rPr>
                <w:rFonts w:ascii="Arial" w:cs="Arial" w:eastAsia="Arial" w:hAnsi="Arial"/>
                <w:sz w:val="22"/>
                <w:szCs w:val="22"/>
                <w:color w:val="auto"/>
              </w:rPr>
              <w:t>Dividend yield</w:t>
            </w:r>
          </w:p>
        </w:tc>
        <w:tc>
          <w:tcPr>
            <w:tcW w:w="1440" w:type="dxa"/>
            <w:vAlign w:val="bottom"/>
          </w:tcPr>
          <w:p>
            <w:pPr>
              <w:jc w:val="right"/>
              <w:spacing w:after="0"/>
              <w:rPr>
                <w:sz w:val="20"/>
                <w:szCs w:val="20"/>
                <w:color w:val="auto"/>
              </w:rPr>
            </w:pPr>
            <w:r>
              <w:rPr>
                <w:rFonts w:ascii="Arial" w:cs="Arial" w:eastAsia="Arial" w:hAnsi="Arial"/>
                <w:sz w:val="22"/>
                <w:szCs w:val="22"/>
                <w:color w:val="auto"/>
              </w:rPr>
              <w:t>0.0%</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0.0%</w:t>
            </w:r>
          </w:p>
        </w:tc>
      </w:tr>
      <w:tr>
        <w:trPr>
          <w:trHeight w:val="486"/>
        </w:trPr>
        <w:tc>
          <w:tcPr>
            <w:tcW w:w="2780" w:type="dxa"/>
            <w:vAlign w:val="bottom"/>
          </w:tcPr>
          <w:p>
            <w:pPr>
              <w:spacing w:after="0"/>
              <w:rPr>
                <w:sz w:val="20"/>
                <w:szCs w:val="20"/>
                <w:color w:val="auto"/>
              </w:rPr>
            </w:pPr>
            <w:r>
              <w:rPr>
                <w:rFonts w:ascii="Arial" w:cs="Arial" w:eastAsia="Arial" w:hAnsi="Arial"/>
                <w:sz w:val="22"/>
                <w:szCs w:val="22"/>
                <w:color w:val="auto"/>
              </w:rPr>
              <w:t>Expected term</w:t>
            </w:r>
          </w:p>
        </w:tc>
        <w:tc>
          <w:tcPr>
            <w:tcW w:w="1440" w:type="dxa"/>
            <w:vAlign w:val="bottom"/>
          </w:tcPr>
          <w:p>
            <w:pPr>
              <w:jc w:val="right"/>
              <w:spacing w:after="0"/>
              <w:rPr>
                <w:sz w:val="20"/>
                <w:szCs w:val="20"/>
                <w:color w:val="auto"/>
              </w:rPr>
            </w:pPr>
            <w:r>
              <w:rPr>
                <w:rFonts w:ascii="Arial" w:cs="Arial" w:eastAsia="Arial" w:hAnsi="Arial"/>
                <w:sz w:val="22"/>
                <w:szCs w:val="22"/>
                <w:color w:val="auto"/>
              </w:rPr>
              <w:t>4.7 years</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4.6 years</w:t>
            </w:r>
          </w:p>
        </w:tc>
      </w:tr>
    </w:tbl>
    <w:p>
      <w:pPr>
        <w:spacing w:after="0" w:line="200" w:lineRule="exact"/>
        <w:rPr>
          <w:sz w:val="20"/>
          <w:szCs w:val="20"/>
          <w:color w:val="auto"/>
        </w:rPr>
      </w:pPr>
    </w:p>
    <w:p>
      <w:pPr>
        <w:sectPr>
          <w:pgSz w:w="11900" w:h="16838" w:orient="portrait"/>
          <w:cols w:equalWidth="0" w:num="1">
            <w:col w:w="11400"/>
          </w:cols>
          <w:pgMar w:left="240" w:top="118" w:right="259"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8" w:right="259" w:bottom="0" w:gutter="0" w:footer="0" w:header="0"/>
          <w:type w:val="continuous"/>
        </w:sectPr>
      </w:pPr>
    </w:p>
    <w:bookmarkStart w:id="9" w:name="page10"/>
    <w:bookmarkEnd w:id="9"/>
    <w:p>
      <w:pPr>
        <w:ind w:left="340"/>
        <w:spacing w:after="0"/>
        <w:rPr>
          <w:sz w:val="20"/>
          <w:szCs w:val="20"/>
          <w:color w:val="auto"/>
        </w:rPr>
      </w:pPr>
      <w:r>
        <w:rPr>
          <w:rFonts w:ascii="Arial" w:cs="Arial" w:eastAsia="Arial" w:hAnsi="Arial"/>
          <w:sz w:val="22"/>
          <w:szCs w:val="22"/>
          <w:color w:val="auto"/>
        </w:rPr>
        <w:t>A summary of option awards under the plan as of April 27, 2008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88"/>
              </w:rPr>
              <w:t>Weighted</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3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Weighted</w:t>
            </w:r>
          </w:p>
        </w:tc>
        <w:tc>
          <w:tcPr>
            <w:tcW w:w="300" w:type="dxa"/>
            <w:vAlign w:val="bottom"/>
          </w:tcPr>
          <w:p>
            <w:pPr>
              <w:spacing w:after="0"/>
              <w:rPr>
                <w:sz w:val="21"/>
                <w:szCs w:val="21"/>
                <w:color w:val="auto"/>
              </w:rPr>
            </w:pPr>
          </w:p>
        </w:tc>
        <w:tc>
          <w:tcPr>
            <w:tcW w:w="1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Average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3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300" w:type="dxa"/>
            <w:vAlign w:val="bottom"/>
          </w:tcPr>
          <w:p>
            <w:pPr>
              <w:spacing w:after="0"/>
              <w:rPr>
                <w:sz w:val="21"/>
                <w:szCs w:val="21"/>
                <w:color w:val="auto"/>
              </w:rPr>
            </w:pPr>
          </w:p>
        </w:tc>
        <w:tc>
          <w:tcPr>
            <w:tcW w:w="1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Remaining</w:t>
            </w:r>
          </w:p>
        </w:tc>
        <w:tc>
          <w:tcPr>
            <w:tcW w:w="380" w:type="dxa"/>
            <w:vAlign w:val="bottom"/>
          </w:tcPr>
          <w:p>
            <w:pPr>
              <w:spacing w:after="0"/>
              <w:rPr>
                <w:sz w:val="21"/>
                <w:szCs w:val="21"/>
                <w:color w:val="auto"/>
              </w:rPr>
            </w:pP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Aggregate</w:t>
            </w:r>
          </w:p>
        </w:tc>
      </w:tr>
      <w:tr>
        <w:trPr>
          <w:trHeight w:val="243"/>
        </w:trPr>
        <w:tc>
          <w:tcPr>
            <w:tcW w:w="3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3"/>
              </w:rPr>
              <w:t>Exercise</w:t>
            </w:r>
          </w:p>
        </w:tc>
        <w:tc>
          <w:tcPr>
            <w:tcW w:w="300" w:type="dxa"/>
            <w:vAlign w:val="bottom"/>
          </w:tcPr>
          <w:p>
            <w:pPr>
              <w:spacing w:after="0"/>
              <w:rPr>
                <w:sz w:val="21"/>
                <w:szCs w:val="21"/>
                <w:color w:val="auto"/>
              </w:rPr>
            </w:pPr>
          </w:p>
        </w:tc>
        <w:tc>
          <w:tcPr>
            <w:tcW w:w="1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Contractual</w:t>
            </w:r>
          </w:p>
        </w:tc>
        <w:tc>
          <w:tcPr>
            <w:tcW w:w="380" w:type="dxa"/>
            <w:vAlign w:val="bottom"/>
          </w:tcPr>
          <w:p>
            <w:pPr>
              <w:spacing w:after="0"/>
              <w:rPr>
                <w:sz w:val="21"/>
                <w:szCs w:val="21"/>
                <w:color w:val="auto"/>
              </w:rPr>
            </w:pP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Intrinsic</w:t>
            </w:r>
          </w:p>
        </w:tc>
      </w:tr>
      <w:tr>
        <w:trPr>
          <w:trHeight w:val="281"/>
        </w:trPr>
        <w:tc>
          <w:tcPr>
            <w:tcW w:w="3140" w:type="dxa"/>
            <w:vAlign w:val="bottom"/>
          </w:tcPr>
          <w:p>
            <w:pPr>
              <w:ind w:left="1200"/>
              <w:spacing w:after="0"/>
              <w:rPr>
                <w:sz w:val="20"/>
                <w:szCs w:val="20"/>
                <w:color w:val="auto"/>
              </w:rPr>
            </w:pPr>
            <w:r>
              <w:rPr>
                <w:rFonts w:ascii="Arial" w:cs="Arial" w:eastAsia="Arial" w:hAnsi="Arial"/>
                <w:sz w:val="22"/>
                <w:szCs w:val="22"/>
                <w:b w:val="1"/>
                <w:bCs w:val="1"/>
                <w:color w:val="auto"/>
              </w:rPr>
              <w:t>Options</w:t>
            </w:r>
          </w:p>
        </w:tc>
        <w:tc>
          <w:tcPr>
            <w:tcW w:w="30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Arial" w:cs="Arial" w:eastAsia="Arial" w:hAnsi="Arial"/>
                <w:sz w:val="22"/>
                <w:szCs w:val="22"/>
                <w:b w:val="1"/>
                <w:bCs w:val="1"/>
                <w:color w:val="auto"/>
              </w:rPr>
              <w:t>Shares</w:t>
            </w:r>
          </w:p>
        </w:tc>
        <w:tc>
          <w:tcPr>
            <w:tcW w:w="2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22"/>
                <w:szCs w:val="22"/>
                <w:b w:val="1"/>
                <w:bCs w:val="1"/>
                <w:color w:val="auto"/>
                <w:w w:val="89"/>
              </w:rPr>
              <w:t>Price</w:t>
            </w:r>
          </w:p>
        </w:tc>
        <w:tc>
          <w:tcPr>
            <w:tcW w:w="3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97"/>
              </w:rPr>
              <w:t>Life</w:t>
            </w:r>
          </w:p>
        </w:tc>
        <w:tc>
          <w:tcPr>
            <w:tcW w:w="3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8"/>
              </w:rPr>
              <w:t>Value</w:t>
            </w:r>
          </w:p>
        </w:tc>
      </w:tr>
      <w:tr>
        <w:trPr>
          <w:trHeight w:val="98"/>
        </w:trPr>
        <w:tc>
          <w:tcPr>
            <w:tcW w:w="31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580"/>
        </w:trPr>
        <w:tc>
          <w:tcPr>
            <w:tcW w:w="3140" w:type="dxa"/>
            <w:vAlign w:val="bottom"/>
          </w:tcPr>
          <w:p>
            <w:pPr>
              <w:spacing w:after="0"/>
              <w:rPr>
                <w:sz w:val="20"/>
                <w:szCs w:val="20"/>
                <w:color w:val="auto"/>
              </w:rPr>
            </w:pPr>
            <w:r>
              <w:rPr>
                <w:rFonts w:ascii="Arial" w:cs="Arial" w:eastAsia="Arial" w:hAnsi="Arial"/>
                <w:sz w:val="22"/>
                <w:szCs w:val="22"/>
                <w:color w:val="auto"/>
              </w:rPr>
              <w:t>Outstanding at April 27, 2008</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2,184,815</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$18.68</w:t>
            </w:r>
          </w:p>
        </w:tc>
        <w:tc>
          <w:tcPr>
            <w:tcW w:w="300" w:type="dxa"/>
            <w:vAlign w:val="bottom"/>
          </w:tcPr>
          <w:p>
            <w:pPr>
              <w:spacing w:after="0"/>
              <w:rPr>
                <w:sz w:val="24"/>
                <w:szCs w:val="24"/>
                <w:color w:val="auto"/>
              </w:rPr>
            </w:pPr>
          </w:p>
        </w:tc>
        <w:tc>
          <w:tcPr>
            <w:tcW w:w="1360" w:type="dxa"/>
            <w:vAlign w:val="bottom"/>
          </w:tcPr>
          <w:p>
            <w:pPr>
              <w:ind w:left="560"/>
              <w:spacing w:after="0"/>
              <w:rPr>
                <w:sz w:val="20"/>
                <w:szCs w:val="20"/>
                <w:color w:val="auto"/>
              </w:rPr>
            </w:pPr>
            <w:r>
              <w:rPr>
                <w:rFonts w:ascii="Arial" w:cs="Arial" w:eastAsia="Arial" w:hAnsi="Arial"/>
                <w:sz w:val="22"/>
                <w:szCs w:val="22"/>
                <w:color w:val="auto"/>
                <w:w w:val="86"/>
              </w:rPr>
              <w:t>5.9 years</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 -</w:t>
            </w:r>
          </w:p>
        </w:tc>
      </w:tr>
      <w:tr>
        <w:trPr>
          <w:trHeight w:val="275"/>
        </w:trPr>
        <w:tc>
          <w:tcPr>
            <w:tcW w:w="3140" w:type="dxa"/>
            <w:vAlign w:val="bottom"/>
          </w:tcPr>
          <w:p>
            <w:pPr>
              <w:spacing w:after="0"/>
              <w:rPr>
                <w:sz w:val="20"/>
                <w:szCs w:val="20"/>
                <w:color w:val="auto"/>
              </w:rPr>
            </w:pPr>
            <w:r>
              <w:rPr>
                <w:rFonts w:ascii="Arial" w:cs="Arial" w:eastAsia="Arial" w:hAnsi="Arial"/>
                <w:sz w:val="22"/>
                <w:szCs w:val="22"/>
                <w:color w:val="auto"/>
              </w:rPr>
              <w:t>Exercisable at April 27, 2008</w:t>
            </w:r>
          </w:p>
        </w:tc>
        <w:tc>
          <w:tcPr>
            <w:tcW w:w="1360" w:type="dxa"/>
            <w:vAlign w:val="bottom"/>
            <w:gridSpan w:val="2"/>
          </w:tcPr>
          <w:p>
            <w:pPr>
              <w:jc w:val="right"/>
              <w:spacing w:after="0"/>
              <w:rPr>
                <w:sz w:val="20"/>
                <w:szCs w:val="20"/>
                <w:color w:val="auto"/>
              </w:rPr>
            </w:pPr>
            <w:r>
              <w:rPr>
                <w:rFonts w:ascii="Arial" w:cs="Arial" w:eastAsia="Arial" w:hAnsi="Arial"/>
                <w:sz w:val="22"/>
                <w:szCs w:val="22"/>
                <w:color w:val="auto"/>
              </w:rPr>
              <w:t>1,673,945</w:t>
            </w: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$19.32</w:t>
            </w:r>
          </w:p>
        </w:tc>
        <w:tc>
          <w:tcPr>
            <w:tcW w:w="300" w:type="dxa"/>
            <w:vAlign w:val="bottom"/>
          </w:tcPr>
          <w:p>
            <w:pPr>
              <w:spacing w:after="0"/>
              <w:rPr>
                <w:sz w:val="23"/>
                <w:szCs w:val="23"/>
                <w:color w:val="auto"/>
              </w:rPr>
            </w:pPr>
          </w:p>
        </w:tc>
        <w:tc>
          <w:tcPr>
            <w:tcW w:w="1360" w:type="dxa"/>
            <w:vAlign w:val="bottom"/>
          </w:tcPr>
          <w:p>
            <w:pPr>
              <w:ind w:left="560"/>
              <w:spacing w:after="0"/>
              <w:rPr>
                <w:sz w:val="20"/>
                <w:szCs w:val="20"/>
                <w:color w:val="auto"/>
              </w:rPr>
            </w:pPr>
            <w:r>
              <w:rPr>
                <w:rFonts w:ascii="Arial" w:cs="Arial" w:eastAsia="Arial" w:hAnsi="Arial"/>
                <w:sz w:val="22"/>
                <w:szCs w:val="22"/>
                <w:color w:val="auto"/>
                <w:w w:val="86"/>
              </w:rPr>
              <w:t>5.3 years</w:t>
            </w: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firstLine="266"/>
        <w:spacing w:after="0" w:line="287" w:lineRule="auto"/>
        <w:rPr>
          <w:sz w:val="20"/>
          <w:szCs w:val="20"/>
          <w:color w:val="auto"/>
        </w:rPr>
      </w:pPr>
      <w:r>
        <w:rPr>
          <w:rFonts w:ascii="Arial" w:cs="Arial" w:eastAsia="Arial" w:hAnsi="Arial"/>
          <w:sz w:val="19"/>
          <w:szCs w:val="19"/>
          <w:color w:val="auto"/>
        </w:rPr>
        <w:t>There were 18,500 share options granted with a weighted average grant date fair value of $4.15 during the six months ended April 27, 2008. For the comparable period last year 50,750 share options were granted with a weighted average grant date fair value of $7.31 per share. As of April 27, 2008 the total compensation cost related to non-vested option awards not yet recognized was approximately $3.0 million. That cost is expected to be recognized over a weighted average amortization period of 2.3 years.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w:t>
      </w:r>
    </w:p>
    <w:p>
      <w:pPr>
        <w:spacing w:after="0" w:line="212" w:lineRule="exact"/>
        <w:rPr>
          <w:sz w:val="20"/>
          <w:szCs w:val="20"/>
          <w:color w:val="auto"/>
        </w:rPr>
      </w:pPr>
    </w:p>
    <w:p>
      <w:pPr>
        <w:ind w:right="180" w:firstLine="266"/>
        <w:spacing w:after="0" w:line="247" w:lineRule="auto"/>
        <w:rPr>
          <w:sz w:val="20"/>
          <w:szCs w:val="20"/>
          <w:color w:val="auto"/>
        </w:rPr>
      </w:pPr>
      <w:r>
        <w:rPr>
          <w:rFonts w:ascii="Arial" w:cs="Arial" w:eastAsia="Arial" w:hAnsi="Arial"/>
          <w:sz w:val="21"/>
          <w:szCs w:val="21"/>
          <w:color w:val="auto"/>
        </w:rPr>
        <w:t>The Company also grants restricted stock awards periodically. The restrictions on these awards lapse over a service period that has ranged from less than one to eight years. During the six months ended April 27, 2008, 149,300 shares were granted with a weighted average grant date fair value of $11.79 per share. For the comparable period last year 36,500 shares were granted with a weighted average grant date fair value of $14.11 per share. As of April 27, 2008, the total compensation cost related to non-vested restricted stock awards not yet recognized was approximately $4.5 million, which is expected to be recognized over a weighted average amortization period of 4.7 years. A summary of the status of the Company's nonvested restricted shares as of April 27, 2008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8"/>
              </w:rPr>
              <w:t>Weighted</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Average</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243"/>
        </w:trPr>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Remaining</w:t>
            </w:r>
          </w:p>
        </w:tc>
        <w:tc>
          <w:tcPr>
            <w:tcW w:w="240" w:type="dxa"/>
            <w:vAlign w:val="bottom"/>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Aggregate</w:t>
            </w:r>
          </w:p>
        </w:tc>
        <w:tc>
          <w:tcPr>
            <w:tcW w:w="5240" w:type="dxa"/>
            <w:vAlign w:val="bottom"/>
          </w:tcPr>
          <w:p>
            <w:pPr>
              <w:spacing w:after="0"/>
              <w:rPr>
                <w:sz w:val="21"/>
                <w:szCs w:val="21"/>
                <w:color w:val="auto"/>
              </w:rPr>
            </w:pPr>
          </w:p>
        </w:tc>
      </w:tr>
      <w:tr>
        <w:trPr>
          <w:trHeight w:val="243"/>
        </w:trPr>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Contractual</w:t>
            </w:r>
          </w:p>
        </w:tc>
        <w:tc>
          <w:tcPr>
            <w:tcW w:w="240" w:type="dxa"/>
            <w:vAlign w:val="bottom"/>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Intrinsic</w:t>
            </w:r>
          </w:p>
        </w:tc>
        <w:tc>
          <w:tcPr>
            <w:tcW w:w="5240" w:type="dxa"/>
            <w:vAlign w:val="bottom"/>
          </w:tcPr>
          <w:p>
            <w:pPr>
              <w:spacing w:after="0"/>
              <w:rPr>
                <w:sz w:val="21"/>
                <w:szCs w:val="21"/>
                <w:color w:val="auto"/>
              </w:rPr>
            </w:pPr>
          </w:p>
        </w:tc>
      </w:tr>
      <w:tr>
        <w:trPr>
          <w:trHeight w:val="281"/>
        </w:trPr>
        <w:tc>
          <w:tcPr>
            <w:tcW w:w="2620" w:type="dxa"/>
            <w:vAlign w:val="bottom"/>
          </w:tcPr>
          <w:p>
            <w:pPr>
              <w:jc w:val="center"/>
              <w:spacing w:after="0"/>
              <w:rPr>
                <w:sz w:val="20"/>
                <w:szCs w:val="20"/>
                <w:color w:val="auto"/>
              </w:rPr>
            </w:pPr>
            <w:r>
              <w:rPr>
                <w:rFonts w:ascii="Arial" w:cs="Arial" w:eastAsia="Arial" w:hAnsi="Arial"/>
                <w:sz w:val="22"/>
                <w:szCs w:val="22"/>
                <w:b w:val="1"/>
                <w:bCs w:val="1"/>
                <w:color w:val="auto"/>
                <w:w w:val="87"/>
              </w:rPr>
              <w:t>Restricted Stock</w:t>
            </w:r>
          </w:p>
        </w:tc>
        <w:tc>
          <w:tcPr>
            <w:tcW w:w="2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2"/>
                <w:szCs w:val="22"/>
                <w:b w:val="1"/>
                <w:bCs w:val="1"/>
                <w:color w:val="auto"/>
                <w:w w:val="84"/>
              </w:rPr>
              <w:t>Shares</w:t>
            </w: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7"/>
              </w:rPr>
              <w:t>Life</w:t>
            </w:r>
          </w:p>
        </w:tc>
        <w:tc>
          <w:tcPr>
            <w:tcW w:w="2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88"/>
              </w:rPr>
              <w:t>Value</w:t>
            </w:r>
          </w:p>
        </w:tc>
        <w:tc>
          <w:tcPr>
            <w:tcW w:w="5240" w:type="dxa"/>
            <w:vAlign w:val="bottom"/>
          </w:tcPr>
          <w:p>
            <w:pPr>
              <w:spacing w:after="0"/>
              <w:rPr>
                <w:sz w:val="24"/>
                <w:szCs w:val="24"/>
                <w:color w:val="auto"/>
              </w:rPr>
            </w:pPr>
          </w:p>
        </w:tc>
      </w:tr>
      <w:tr>
        <w:trPr>
          <w:trHeight w:val="98"/>
        </w:trPr>
        <w:tc>
          <w:tcPr>
            <w:tcW w:w="2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r>
      <w:tr>
        <w:trPr>
          <w:trHeight w:val="611"/>
        </w:trPr>
        <w:tc>
          <w:tcPr>
            <w:tcW w:w="2620" w:type="dxa"/>
            <w:vAlign w:val="bottom"/>
          </w:tcPr>
          <w:p>
            <w:pPr>
              <w:jc w:val="center"/>
              <w:spacing w:after="0"/>
              <w:rPr>
                <w:sz w:val="20"/>
                <w:szCs w:val="20"/>
                <w:color w:val="auto"/>
              </w:rPr>
            </w:pPr>
            <w:r>
              <w:rPr>
                <w:rFonts w:ascii="Arial" w:cs="Arial" w:eastAsia="Arial" w:hAnsi="Arial"/>
                <w:sz w:val="22"/>
                <w:szCs w:val="22"/>
                <w:color w:val="auto"/>
                <w:w w:val="91"/>
              </w:rPr>
              <w:t>Outstanding at April 27, 2008</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344,928</w:t>
            </w:r>
          </w:p>
        </w:tc>
        <w:tc>
          <w:tcPr>
            <w:tcW w:w="240" w:type="dxa"/>
            <w:vAlign w:val="bottom"/>
          </w:tcPr>
          <w:p>
            <w:pPr>
              <w:spacing w:after="0"/>
              <w:rPr>
                <w:sz w:val="24"/>
                <w:szCs w:val="24"/>
                <w:color w:val="auto"/>
              </w:rPr>
            </w:pPr>
          </w:p>
        </w:tc>
        <w:tc>
          <w:tcPr>
            <w:tcW w:w="1160" w:type="dxa"/>
            <w:vAlign w:val="bottom"/>
          </w:tcPr>
          <w:p>
            <w:pPr>
              <w:ind w:left="340"/>
              <w:spacing w:after="0"/>
              <w:rPr>
                <w:sz w:val="20"/>
                <w:szCs w:val="20"/>
                <w:color w:val="auto"/>
              </w:rPr>
            </w:pPr>
            <w:r>
              <w:rPr>
                <w:rFonts w:ascii="Arial" w:cs="Arial" w:eastAsia="Arial" w:hAnsi="Arial"/>
                <w:sz w:val="22"/>
                <w:szCs w:val="22"/>
                <w:color w:val="auto"/>
                <w:w w:val="88"/>
              </w:rPr>
              <w:t>4.7 years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$3,711</w:t>
            </w:r>
          </w:p>
        </w:tc>
        <w:tc>
          <w:tcPr>
            <w:tcW w:w="5240" w:type="dxa"/>
            <w:vAlign w:val="bottom"/>
          </w:tcPr>
          <w:p>
            <w:pPr>
              <w:spacing w:after="0"/>
              <w:rPr>
                <w:sz w:val="24"/>
                <w:szCs w:val="24"/>
                <w:color w:val="auto"/>
              </w:rPr>
            </w:pPr>
          </w:p>
        </w:tc>
      </w:tr>
      <w:tr>
        <w:trPr>
          <w:trHeight w:val="918"/>
        </w:trPr>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gridSpan w:val="2"/>
          </w:tcPr>
          <w:p>
            <w:pPr>
              <w:jc w:val="center"/>
              <w:ind w:left="132"/>
              <w:spacing w:after="0"/>
              <w:rPr>
                <w:sz w:val="20"/>
                <w:szCs w:val="20"/>
                <w:color w:val="auto"/>
              </w:rPr>
            </w:pPr>
            <w:r>
              <w:rPr>
                <w:rFonts w:ascii="Arial" w:cs="Arial" w:eastAsia="Arial" w:hAnsi="Arial"/>
                <w:sz w:val="22"/>
                <w:szCs w:val="22"/>
                <w:color w:val="auto"/>
                <w:w w:val="91"/>
              </w:rPr>
              <w:t>-11-</w:t>
            </w:r>
          </w:p>
        </w:tc>
        <w:tc>
          <w:tcPr>
            <w:tcW w:w="5240" w:type="dxa"/>
            <w:vAlign w:val="bottom"/>
          </w:tcPr>
          <w:p>
            <w:pPr>
              <w:spacing w:after="0"/>
              <w:rPr>
                <w:sz w:val="24"/>
                <w:szCs w:val="24"/>
                <w:color w:val="auto"/>
              </w:rPr>
            </w:pPr>
          </w:p>
        </w:tc>
      </w:tr>
      <w:tr>
        <w:trPr>
          <w:trHeight w:val="213"/>
        </w:trPr>
        <w:tc>
          <w:tcPr>
            <w:tcW w:w="26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52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GEOGRAPHIC INFORMATION</w:t>
      </w:r>
    </w:p>
    <w:p>
      <w:pPr>
        <w:spacing w:after="0" w:line="212" w:lineRule="exact"/>
        <w:rPr>
          <w:sz w:val="20"/>
          <w:szCs w:val="20"/>
          <w:color w:val="auto"/>
        </w:rPr>
      </w:pPr>
    </w:p>
    <w:p>
      <w:pPr>
        <w:ind w:right="280" w:firstLine="266"/>
        <w:spacing w:after="0" w:line="236" w:lineRule="auto"/>
        <w:rPr>
          <w:sz w:val="20"/>
          <w:szCs w:val="20"/>
          <w:color w:val="auto"/>
        </w:rPr>
      </w:pPr>
      <w:r>
        <w:rPr>
          <w:rFonts w:ascii="Arial" w:cs="Arial" w:eastAsia="Arial" w:hAnsi="Arial"/>
          <w:sz w:val="22"/>
          <w:szCs w:val="22"/>
          <w:color w:val="auto"/>
        </w:rPr>
        <w:t>The Company operates in a single operating segment as a manufacturer of photomasks, which are high precision quartz plates containing microscopic images of electronic circuits for use in the fabrication of semiconductors. Geographic net sales are based primarily on where the Company's facility is located. The Company's net sales and operating income (loss) for the three and six months ended April 27, 2008 and April 29, 2007, and long-lived assets by geographic area as of April 27, 2008 and October 28, 2007, were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3"/>
          </w:tcPr>
          <w:p>
            <w:pPr>
              <w:jc w:val="right"/>
              <w:ind w:right="232"/>
              <w:spacing w:after="0"/>
              <w:rPr>
                <w:sz w:val="20"/>
                <w:szCs w:val="20"/>
                <w:color w:val="auto"/>
              </w:rPr>
            </w:pPr>
            <w:r>
              <w:rPr>
                <w:rFonts w:ascii="Arial" w:cs="Arial" w:eastAsia="Arial" w:hAnsi="Arial"/>
                <w:sz w:val="22"/>
                <w:szCs w:val="22"/>
                <w:b w:val="1"/>
                <w:bCs w:val="1"/>
                <w:color w:val="auto"/>
              </w:rPr>
              <w:t>Three Months Ended</w:t>
            </w:r>
          </w:p>
        </w:tc>
        <w:tc>
          <w:tcPr>
            <w:tcW w:w="120" w:type="dxa"/>
            <w:vAlign w:val="bottom"/>
          </w:tcPr>
          <w:p>
            <w:pPr>
              <w:spacing w:after="0"/>
              <w:rPr>
                <w:sz w:val="24"/>
                <w:szCs w:val="24"/>
                <w:color w:val="auto"/>
              </w:rPr>
            </w:pPr>
          </w:p>
        </w:tc>
        <w:tc>
          <w:tcPr>
            <w:tcW w:w="2400" w:type="dxa"/>
            <w:vAlign w:val="bottom"/>
            <w:gridSpan w:val="4"/>
          </w:tcPr>
          <w:p>
            <w:pPr>
              <w:ind w:left="34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98"/>
        </w:trPr>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b w:val="1"/>
                <w:bCs w:val="1"/>
                <w:color w:val="auto"/>
              </w:rPr>
              <w:t>April 27,</w:t>
            </w:r>
          </w:p>
        </w:tc>
        <w:tc>
          <w:tcPr>
            <w:tcW w:w="100" w:type="dxa"/>
            <w:vAlign w:val="bottom"/>
          </w:tcPr>
          <w:p>
            <w:pPr>
              <w:spacing w:after="0"/>
              <w:rPr>
                <w:sz w:val="24"/>
                <w:szCs w:val="24"/>
                <w:color w:val="auto"/>
              </w:rPr>
            </w:pPr>
          </w:p>
        </w:tc>
        <w:tc>
          <w:tcPr>
            <w:tcW w:w="1400" w:type="dxa"/>
            <w:vAlign w:val="bottom"/>
          </w:tcPr>
          <w:p>
            <w:pPr>
              <w:jc w:val="right"/>
              <w:ind w:right="192"/>
              <w:spacing w:after="0"/>
              <w:rPr>
                <w:sz w:val="20"/>
                <w:szCs w:val="20"/>
                <w:color w:val="auto"/>
              </w:rPr>
            </w:pPr>
            <w:r>
              <w:rPr>
                <w:rFonts w:ascii="Arial" w:cs="Arial" w:eastAsia="Arial" w:hAnsi="Arial"/>
                <w:sz w:val="22"/>
                <w:szCs w:val="22"/>
                <w:b w:val="1"/>
                <w:bCs w:val="1"/>
                <w:color w:val="auto"/>
              </w:rPr>
              <w:t>April 29,</w:t>
            </w:r>
          </w:p>
        </w:tc>
        <w:tc>
          <w:tcPr>
            <w:tcW w:w="12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22"/>
                <w:szCs w:val="22"/>
                <w:b w:val="1"/>
                <w:bCs w:val="1"/>
                <w:color w:val="auto"/>
              </w:rPr>
              <w:t>April 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Arial" w:cs="Arial" w:eastAsia="Arial" w:hAnsi="Arial"/>
                <w:sz w:val="22"/>
                <w:szCs w:val="22"/>
                <w:b w:val="1"/>
                <w:bCs w:val="1"/>
                <w:color w:val="auto"/>
              </w:rPr>
              <w:t>April 29,</w:t>
            </w:r>
          </w:p>
        </w:tc>
        <w:tc>
          <w:tcPr>
            <w:tcW w:w="0" w:type="dxa"/>
            <w:vAlign w:val="bottom"/>
          </w:tcPr>
          <w:p>
            <w:pPr>
              <w:spacing w:after="0"/>
              <w:rPr>
                <w:sz w:val="1"/>
                <w:szCs w:val="1"/>
                <w:color w:val="auto"/>
              </w:rPr>
            </w:pPr>
          </w:p>
        </w:tc>
      </w:tr>
      <w:tr>
        <w:trPr>
          <w:trHeight w:val="281"/>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272"/>
              <w:spacing w:after="0"/>
              <w:rPr>
                <w:sz w:val="20"/>
                <w:szCs w:val="20"/>
                <w:color w:val="auto"/>
              </w:rPr>
            </w:pPr>
            <w:r>
              <w:rPr>
                <w:rFonts w:ascii="Arial" w:cs="Arial" w:eastAsia="Arial" w:hAnsi="Arial"/>
                <w:sz w:val="22"/>
                <w:szCs w:val="22"/>
                <w:b w:val="1"/>
                <w:bCs w:val="1"/>
                <w:color w:val="auto"/>
              </w:rPr>
              <w:t>2008</w:t>
            </w:r>
          </w:p>
        </w:tc>
        <w:tc>
          <w:tcPr>
            <w:tcW w:w="1500" w:type="dxa"/>
            <w:vAlign w:val="bottom"/>
            <w:gridSpan w:val="2"/>
          </w:tcPr>
          <w:p>
            <w:pPr>
              <w:jc w:val="right"/>
              <w:ind w:right="392"/>
              <w:spacing w:after="0"/>
              <w:rPr>
                <w:sz w:val="20"/>
                <w:szCs w:val="20"/>
                <w:color w:val="auto"/>
              </w:rPr>
            </w:pPr>
            <w:r>
              <w:rPr>
                <w:rFonts w:ascii="Arial" w:cs="Arial" w:eastAsia="Arial" w:hAnsi="Arial"/>
                <w:sz w:val="22"/>
                <w:szCs w:val="22"/>
                <w:b w:val="1"/>
                <w:bCs w:val="1"/>
                <w:color w:val="auto"/>
              </w:rPr>
              <w:t>2007</w:t>
            </w:r>
          </w:p>
        </w:tc>
        <w:tc>
          <w:tcPr>
            <w:tcW w:w="1240" w:type="dxa"/>
            <w:vAlign w:val="bottom"/>
            <w:gridSpan w:val="2"/>
          </w:tcPr>
          <w:p>
            <w:pPr>
              <w:ind w:left="460"/>
              <w:spacing w:after="0"/>
              <w:rPr>
                <w:sz w:val="20"/>
                <w:szCs w:val="20"/>
                <w:color w:val="auto"/>
              </w:rPr>
            </w:pPr>
            <w:r>
              <w:rPr>
                <w:rFonts w:ascii="Arial" w:cs="Arial" w:eastAsia="Arial" w:hAnsi="Arial"/>
                <w:sz w:val="22"/>
                <w:szCs w:val="22"/>
                <w:b w:val="1"/>
                <w:bCs w:val="1"/>
                <w:color w:val="auto"/>
              </w:rPr>
              <w:t>2008</w:t>
            </w:r>
          </w:p>
        </w:tc>
        <w:tc>
          <w:tcPr>
            <w:tcW w:w="1280" w:type="dxa"/>
            <w:vAlign w:val="bottom"/>
            <w:gridSpan w:val="3"/>
          </w:tcPr>
          <w:p>
            <w:pPr>
              <w:jc w:val="right"/>
              <w:ind w:right="272"/>
              <w:spacing w:after="0"/>
              <w:rPr>
                <w:sz w:val="20"/>
                <w:szCs w:val="20"/>
                <w:color w:val="auto"/>
              </w:rPr>
            </w:pPr>
            <w:r>
              <w:rPr>
                <w:rFonts w:ascii="Arial" w:cs="Arial" w:eastAsia="Arial" w:hAnsi="Arial"/>
                <w:sz w:val="22"/>
                <w:szCs w:val="22"/>
                <w:b w:val="1"/>
                <w:bCs w:val="1"/>
                <w:color w:val="auto"/>
              </w:rPr>
              <w:t>2007</w:t>
            </w:r>
          </w:p>
        </w:tc>
        <w:tc>
          <w:tcPr>
            <w:tcW w:w="0" w:type="dxa"/>
            <w:vAlign w:val="bottom"/>
          </w:tcPr>
          <w:p>
            <w:pPr>
              <w:spacing w:after="0"/>
              <w:rPr>
                <w:sz w:val="1"/>
                <w:szCs w:val="1"/>
                <w:color w:val="auto"/>
              </w:rPr>
            </w:pPr>
          </w:p>
        </w:tc>
      </w:tr>
      <w:tr>
        <w:trPr>
          <w:trHeight w:val="98"/>
        </w:trPr>
        <w:tc>
          <w:tcPr>
            <w:tcW w:w="30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Net sales</w:t>
            </w: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30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Asia</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$ 66,137</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$ 63,896</w:t>
            </w:r>
          </w:p>
        </w:tc>
        <w:tc>
          <w:tcPr>
            <w:tcW w:w="12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$130,037</w:t>
            </w:r>
          </w:p>
        </w:tc>
        <w:tc>
          <w:tcPr>
            <w:tcW w:w="12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$122,605</w:t>
            </w: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Europe</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18,060</w:t>
            </w:r>
          </w:p>
        </w:tc>
        <w:tc>
          <w:tcPr>
            <w:tcW w:w="15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18,999</w:t>
            </w:r>
          </w:p>
        </w:tc>
        <w:tc>
          <w:tcPr>
            <w:tcW w:w="12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35,766</w:t>
            </w:r>
          </w:p>
        </w:tc>
        <w:tc>
          <w:tcPr>
            <w:tcW w:w="12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38,488</w:t>
            </w:r>
          </w:p>
        </w:tc>
        <w:tc>
          <w:tcPr>
            <w:tcW w:w="0" w:type="dxa"/>
            <w:vAlign w:val="bottom"/>
          </w:tcPr>
          <w:p>
            <w:pPr>
              <w:spacing w:after="0"/>
              <w:rPr>
                <w:sz w:val="1"/>
                <w:szCs w:val="1"/>
                <w:color w:val="auto"/>
              </w:rPr>
            </w:pPr>
          </w:p>
        </w:tc>
      </w:tr>
      <w:tr>
        <w:trPr>
          <w:trHeight w:val="275"/>
        </w:trPr>
        <w:tc>
          <w:tcPr>
            <w:tcW w:w="3000" w:type="dxa"/>
            <w:vAlign w:val="bottom"/>
            <w:gridSpan w:val="2"/>
          </w:tcPr>
          <w:p>
            <w:pPr>
              <w:spacing w:after="0"/>
              <w:rPr>
                <w:sz w:val="20"/>
                <w:szCs w:val="20"/>
                <w:color w:val="auto"/>
              </w:rPr>
            </w:pPr>
            <w:r>
              <w:rPr>
                <w:rFonts w:ascii="Arial" w:cs="Arial" w:eastAsia="Arial" w:hAnsi="Arial"/>
                <w:sz w:val="22"/>
                <w:szCs w:val="22"/>
                <w:color w:val="auto"/>
              </w:rPr>
              <w:t>North America</w:t>
            </w:r>
          </w:p>
        </w:tc>
        <w:tc>
          <w:tcPr>
            <w:tcW w:w="1120" w:type="dxa"/>
            <w:vAlign w:val="bottom"/>
          </w:tcPr>
          <w:p>
            <w:pPr>
              <w:jc w:val="right"/>
              <w:spacing w:after="0"/>
              <w:rPr>
                <w:sz w:val="20"/>
                <w:szCs w:val="20"/>
                <w:color w:val="auto"/>
              </w:rPr>
            </w:pPr>
            <w:r>
              <w:rPr>
                <w:rFonts w:ascii="Arial" w:cs="Arial" w:eastAsia="Arial" w:hAnsi="Arial"/>
                <w:sz w:val="22"/>
                <w:szCs w:val="22"/>
                <w:color w:val="auto"/>
              </w:rPr>
              <w:t>26,133</w:t>
            </w: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26,731</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47,742</w:t>
            </w: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54,514</w:t>
            </w:r>
          </w:p>
        </w:tc>
        <w:tc>
          <w:tcPr>
            <w:tcW w:w="0" w:type="dxa"/>
            <w:vAlign w:val="bottom"/>
          </w:tcPr>
          <w:p>
            <w:pPr>
              <w:spacing w:after="0"/>
              <w:rPr>
                <w:sz w:val="1"/>
                <w:szCs w:val="1"/>
                <w:color w:val="auto"/>
              </w:rPr>
            </w:pPr>
          </w:p>
        </w:tc>
      </w:tr>
      <w:tr>
        <w:trPr>
          <w:trHeight w:val="98"/>
        </w:trPr>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$110,330</w:t>
            </w: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$109,626</w:t>
            </w:r>
          </w:p>
        </w:tc>
        <w:tc>
          <w:tcPr>
            <w:tcW w:w="1240" w:type="dxa"/>
            <w:vAlign w:val="bottom"/>
            <w:gridSpan w:val="2"/>
          </w:tcPr>
          <w:p>
            <w:pPr>
              <w:jc w:val="right"/>
              <w:spacing w:after="0"/>
              <w:rPr>
                <w:sz w:val="20"/>
                <w:szCs w:val="20"/>
                <w:color w:val="auto"/>
              </w:rPr>
            </w:pPr>
            <w:r>
              <w:rPr>
                <w:rFonts w:ascii="Arial" w:cs="Arial" w:eastAsia="Arial" w:hAnsi="Arial"/>
                <w:sz w:val="22"/>
                <w:szCs w:val="22"/>
                <w:color w:val="auto"/>
              </w:rPr>
              <w:t>$213,545</w:t>
            </w:r>
          </w:p>
        </w:tc>
        <w:tc>
          <w:tcPr>
            <w:tcW w:w="1280" w:type="dxa"/>
            <w:vAlign w:val="bottom"/>
            <w:gridSpan w:val="3"/>
          </w:tcPr>
          <w:p>
            <w:pPr>
              <w:jc w:val="right"/>
              <w:spacing w:after="0"/>
              <w:rPr>
                <w:sz w:val="20"/>
                <w:szCs w:val="20"/>
                <w:color w:val="auto"/>
              </w:rPr>
            </w:pPr>
            <w:r>
              <w:rPr>
                <w:rFonts w:ascii="Arial" w:cs="Arial" w:eastAsia="Arial" w:hAnsi="Arial"/>
                <w:sz w:val="22"/>
                <w:szCs w:val="22"/>
                <w:color w:val="auto"/>
              </w:rPr>
              <w:t>$215,607</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40"/>
          </w:cols>
          <w:pgMar w:left="240" w:top="577" w:right="219" w:bottom="46"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3"/>
        </w:trPr>
        <w:tc>
          <w:tcPr>
            <w:tcW w:w="3000" w:type="dxa"/>
            <w:vAlign w:val="bottom"/>
            <w:gridSpan w:val="2"/>
          </w:tcPr>
          <w:p>
            <w:pPr>
              <w:spacing w:after="0"/>
              <w:rPr>
                <w:sz w:val="20"/>
                <w:szCs w:val="20"/>
                <w:color w:val="auto"/>
              </w:rPr>
            </w:pPr>
            <w:r>
              <w:rPr>
                <w:rFonts w:ascii="Arial" w:cs="Arial" w:eastAsia="Arial" w:hAnsi="Arial"/>
                <w:sz w:val="22"/>
                <w:szCs w:val="22"/>
                <w:b w:val="1"/>
                <w:bCs w:val="1"/>
                <w:color w:val="auto"/>
              </w:rPr>
              <w:t>Operating Income (loss)</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Asia</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$3,910</w:t>
            </w:r>
          </w:p>
        </w:tc>
        <w:tc>
          <w:tcPr>
            <w:tcW w:w="15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$3,851</w:t>
            </w:r>
          </w:p>
        </w:tc>
        <w:tc>
          <w:tcPr>
            <w:tcW w:w="12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$8,332</w:t>
            </w:r>
          </w:p>
        </w:tc>
        <w:tc>
          <w:tcPr>
            <w:tcW w:w="128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$ 9,325</w:t>
            </w: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Europe</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2,360</w:t>
            </w:r>
          </w:p>
        </w:tc>
        <w:tc>
          <w:tcPr>
            <w:tcW w:w="15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1,943</w:t>
            </w:r>
          </w:p>
        </w:tc>
        <w:tc>
          <w:tcPr>
            <w:tcW w:w="12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3,318</w:t>
            </w:r>
          </w:p>
        </w:tc>
        <w:tc>
          <w:tcPr>
            <w:tcW w:w="128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4,542</w:t>
            </w:r>
          </w:p>
        </w:tc>
        <w:tc>
          <w:tcPr>
            <w:tcW w:w="0" w:type="dxa"/>
            <w:vAlign w:val="bottom"/>
          </w:tcPr>
          <w:p>
            <w:pPr>
              <w:spacing w:after="0"/>
              <w:rPr>
                <w:sz w:val="1"/>
                <w:szCs w:val="1"/>
                <w:color w:val="auto"/>
              </w:rPr>
            </w:pPr>
          </w:p>
        </w:tc>
      </w:tr>
      <w:tr>
        <w:trPr>
          <w:trHeight w:val="275"/>
        </w:trPr>
        <w:tc>
          <w:tcPr>
            <w:tcW w:w="3000" w:type="dxa"/>
            <w:vAlign w:val="bottom"/>
            <w:gridSpan w:val="2"/>
          </w:tcPr>
          <w:p>
            <w:pPr>
              <w:spacing w:after="0"/>
              <w:rPr>
                <w:sz w:val="20"/>
                <w:szCs w:val="20"/>
                <w:color w:val="auto"/>
              </w:rPr>
            </w:pPr>
            <w:r>
              <w:rPr>
                <w:rFonts w:ascii="Arial" w:cs="Arial" w:eastAsia="Arial" w:hAnsi="Arial"/>
                <w:sz w:val="22"/>
                <w:szCs w:val="22"/>
                <w:color w:val="auto"/>
              </w:rPr>
              <w:t>North America</w:t>
            </w:r>
          </w:p>
        </w:tc>
        <w:tc>
          <w:tcPr>
            <w:tcW w:w="1120" w:type="dxa"/>
            <w:vAlign w:val="bottom"/>
          </w:tcPr>
          <w:p>
            <w:pPr>
              <w:jc w:val="right"/>
              <w:spacing w:after="0"/>
              <w:rPr>
                <w:sz w:val="20"/>
                <w:szCs w:val="20"/>
                <w:color w:val="auto"/>
              </w:rPr>
            </w:pPr>
            <w:r>
              <w:rPr>
                <w:rFonts w:ascii="Arial" w:cs="Arial" w:eastAsia="Arial" w:hAnsi="Arial"/>
                <w:sz w:val="22"/>
                <w:szCs w:val="22"/>
                <w:color w:val="auto"/>
              </w:rPr>
              <w:t>(3,484)</w:t>
            </w:r>
          </w:p>
        </w:tc>
        <w:tc>
          <w:tcPr>
            <w:tcW w:w="1500" w:type="dxa"/>
            <w:vAlign w:val="bottom"/>
            <w:gridSpan w:val="4"/>
          </w:tcPr>
          <w:p>
            <w:pPr>
              <w:jc w:val="right"/>
              <w:spacing w:after="0"/>
              <w:rPr>
                <w:sz w:val="20"/>
                <w:szCs w:val="20"/>
                <w:color w:val="auto"/>
              </w:rPr>
            </w:pPr>
            <w:r>
              <w:rPr>
                <w:rFonts w:ascii="Arial" w:cs="Arial" w:eastAsia="Arial" w:hAnsi="Arial"/>
                <w:sz w:val="22"/>
                <w:szCs w:val="22"/>
                <w:color w:val="auto"/>
              </w:rPr>
              <w:t>2,331</w:t>
            </w:r>
          </w:p>
        </w:tc>
        <w:tc>
          <w:tcPr>
            <w:tcW w:w="1240" w:type="dxa"/>
            <w:vAlign w:val="bottom"/>
            <w:gridSpan w:val="2"/>
          </w:tcPr>
          <w:p>
            <w:pPr>
              <w:jc w:val="right"/>
              <w:ind w:right="20"/>
              <w:spacing w:after="0"/>
              <w:rPr>
                <w:sz w:val="20"/>
                <w:szCs w:val="20"/>
                <w:color w:val="auto"/>
              </w:rPr>
            </w:pPr>
            <w:r>
              <w:rPr>
                <w:rFonts w:ascii="Arial" w:cs="Arial" w:eastAsia="Arial" w:hAnsi="Arial"/>
                <w:sz w:val="22"/>
                <w:szCs w:val="22"/>
                <w:color w:val="auto"/>
              </w:rPr>
              <w:t>(8,349)</w:t>
            </w:r>
          </w:p>
        </w:tc>
        <w:tc>
          <w:tcPr>
            <w:tcW w:w="1280" w:type="dxa"/>
            <w:vAlign w:val="bottom"/>
            <w:gridSpan w:val="3"/>
          </w:tcPr>
          <w:p>
            <w:pPr>
              <w:jc w:val="right"/>
              <w:ind w:right="80"/>
              <w:spacing w:after="0"/>
              <w:rPr>
                <w:sz w:val="20"/>
                <w:szCs w:val="20"/>
                <w:color w:val="auto"/>
              </w:rPr>
            </w:pPr>
            <w:r>
              <w:rPr>
                <w:rFonts w:ascii="Arial" w:cs="Arial" w:eastAsia="Arial" w:hAnsi="Arial"/>
                <w:sz w:val="22"/>
                <w:szCs w:val="22"/>
                <w:color w:val="auto"/>
              </w:rPr>
              <w:t>3,550</w:t>
            </w:r>
          </w:p>
        </w:tc>
        <w:tc>
          <w:tcPr>
            <w:tcW w:w="0" w:type="dxa"/>
            <w:vAlign w:val="bottom"/>
          </w:tcPr>
          <w:p>
            <w:pPr>
              <w:spacing w:after="0"/>
              <w:rPr>
                <w:sz w:val="1"/>
                <w:szCs w:val="1"/>
                <w:color w:val="auto"/>
              </w:rPr>
            </w:pPr>
          </w:p>
        </w:tc>
      </w:tr>
      <w:tr>
        <w:trPr>
          <w:trHeight w:val="455"/>
        </w:trPr>
        <w:tc>
          <w:tcPr>
            <w:tcW w:w="3000" w:type="dxa"/>
            <w:vAlign w:val="bottom"/>
            <w:gridSpan w:val="2"/>
          </w:tcPr>
          <w:p>
            <w:pPr>
              <w:spacing w:after="0"/>
              <w:rPr>
                <w:sz w:val="20"/>
                <w:szCs w:val="20"/>
                <w:color w:val="auto"/>
              </w:rPr>
            </w:pPr>
            <w:r>
              <w:rPr>
                <w:rFonts w:ascii="Arial" w:cs="Arial" w:eastAsia="Arial" w:hAnsi="Arial"/>
                <w:sz w:val="22"/>
                <w:szCs w:val="22"/>
                <w:color w:val="auto"/>
              </w:rPr>
              <w:t>Gain on sale of facility</w:t>
            </w: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c>
          <w:tcPr>
            <w:tcW w:w="150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1280" w:type="dxa"/>
            <w:vAlign w:val="bottom"/>
            <w:gridSpan w:val="3"/>
          </w:tcPr>
          <w:p>
            <w:pPr>
              <w:jc w:val="right"/>
              <w:ind w:right="80"/>
              <w:spacing w:after="0"/>
              <w:rPr>
                <w:sz w:val="20"/>
                <w:szCs w:val="20"/>
                <w:color w:val="auto"/>
              </w:rPr>
            </w:pPr>
            <w:r>
              <w:rPr>
                <w:rFonts w:ascii="Arial" w:cs="Arial" w:eastAsia="Arial" w:hAnsi="Arial"/>
                <w:sz w:val="22"/>
                <w:szCs w:val="22"/>
                <w:color w:val="auto"/>
              </w:rPr>
              <w:t>2,254</w:t>
            </w:r>
          </w:p>
        </w:tc>
        <w:tc>
          <w:tcPr>
            <w:tcW w:w="0" w:type="dxa"/>
            <w:vAlign w:val="bottom"/>
          </w:tcPr>
          <w:p>
            <w:pPr>
              <w:spacing w:after="0"/>
              <w:rPr>
                <w:sz w:val="1"/>
                <w:szCs w:val="1"/>
                <w:color w:val="auto"/>
              </w:rPr>
            </w:pPr>
          </w:p>
        </w:tc>
      </w:tr>
      <w:tr>
        <w:trPr>
          <w:trHeight w:val="275"/>
        </w:trPr>
        <w:tc>
          <w:tcPr>
            <w:tcW w:w="3000" w:type="dxa"/>
            <w:vAlign w:val="bottom"/>
            <w:gridSpan w:val="2"/>
          </w:tcPr>
          <w:p>
            <w:pPr>
              <w:spacing w:after="0"/>
              <w:rPr>
                <w:sz w:val="20"/>
                <w:szCs w:val="20"/>
                <w:color w:val="auto"/>
              </w:rPr>
            </w:pPr>
            <w:r>
              <w:rPr>
                <w:rFonts w:ascii="Arial" w:cs="Arial" w:eastAsia="Arial" w:hAnsi="Arial"/>
                <w:sz w:val="22"/>
                <w:szCs w:val="22"/>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22"/>
                <w:szCs w:val="22"/>
                <w:color w:val="auto"/>
              </w:rPr>
              <w:t>(700)</w:t>
            </w:r>
          </w:p>
        </w:tc>
        <w:tc>
          <w:tcPr>
            <w:tcW w:w="1500" w:type="dxa"/>
            <w:vAlign w:val="bottom"/>
            <w:gridSpan w:val="4"/>
          </w:tcPr>
          <w:p>
            <w:pPr>
              <w:jc w:val="right"/>
              <w:spacing w:after="0"/>
              <w:rPr>
                <w:sz w:val="20"/>
                <w:szCs w:val="20"/>
                <w:color w:val="auto"/>
              </w:rPr>
            </w:pPr>
            <w:r>
              <w:rPr>
                <w:rFonts w:ascii="Arial" w:cs="Arial" w:eastAsia="Arial" w:hAnsi="Arial"/>
                <w:sz w:val="22"/>
                <w:szCs w:val="22"/>
                <w:color w:val="auto"/>
              </w:rPr>
              <w:t>(698)</w:t>
            </w:r>
          </w:p>
        </w:tc>
        <w:tc>
          <w:tcPr>
            <w:tcW w:w="1240" w:type="dxa"/>
            <w:vAlign w:val="bottom"/>
            <w:gridSpan w:val="2"/>
          </w:tcPr>
          <w:p>
            <w:pPr>
              <w:jc w:val="right"/>
              <w:ind w:right="20"/>
              <w:spacing w:after="0"/>
              <w:rPr>
                <w:sz w:val="20"/>
                <w:szCs w:val="20"/>
                <w:color w:val="auto"/>
              </w:rPr>
            </w:pPr>
            <w:r>
              <w:rPr>
                <w:rFonts w:ascii="Arial" w:cs="Arial" w:eastAsia="Arial" w:hAnsi="Arial"/>
                <w:sz w:val="22"/>
                <w:szCs w:val="22"/>
                <w:color w:val="auto"/>
              </w:rPr>
              <w:t>(1,160)</w:t>
            </w:r>
          </w:p>
        </w:tc>
        <w:tc>
          <w:tcPr>
            <w:tcW w:w="1280" w:type="dxa"/>
            <w:vAlign w:val="bottom"/>
            <w:gridSpan w:val="3"/>
          </w:tcPr>
          <w:p>
            <w:pPr>
              <w:jc w:val="right"/>
              <w:ind w:right="20"/>
              <w:spacing w:after="0"/>
              <w:rPr>
                <w:sz w:val="20"/>
                <w:szCs w:val="20"/>
                <w:color w:val="auto"/>
              </w:rPr>
            </w:pPr>
            <w:r>
              <w:rPr>
                <w:rFonts w:ascii="Arial" w:cs="Arial" w:eastAsia="Arial" w:hAnsi="Arial"/>
                <w:sz w:val="22"/>
                <w:szCs w:val="22"/>
                <w:color w:val="auto"/>
              </w:rPr>
              <w:t>(1,486)</w:t>
            </w:r>
          </w:p>
        </w:tc>
        <w:tc>
          <w:tcPr>
            <w:tcW w:w="0" w:type="dxa"/>
            <w:vAlign w:val="bottom"/>
          </w:tcPr>
          <w:p>
            <w:pPr>
              <w:spacing w:after="0"/>
              <w:rPr>
                <w:sz w:val="1"/>
                <w:szCs w:val="1"/>
                <w:color w:val="auto"/>
              </w:rPr>
            </w:pPr>
          </w:p>
        </w:tc>
      </w:tr>
      <w:tr>
        <w:trPr>
          <w:trHeight w:val="98"/>
        </w:trPr>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$2,086</w:t>
            </w:r>
          </w:p>
        </w:tc>
        <w:tc>
          <w:tcPr>
            <w:tcW w:w="1500" w:type="dxa"/>
            <w:vAlign w:val="bottom"/>
            <w:gridSpan w:val="4"/>
          </w:tcPr>
          <w:p>
            <w:pPr>
              <w:jc w:val="right"/>
              <w:spacing w:after="0"/>
              <w:rPr>
                <w:sz w:val="20"/>
                <w:szCs w:val="20"/>
                <w:color w:val="auto"/>
              </w:rPr>
            </w:pPr>
            <w:r>
              <w:rPr>
                <w:rFonts w:ascii="Arial" w:cs="Arial" w:eastAsia="Arial" w:hAnsi="Arial"/>
                <w:sz w:val="22"/>
                <w:szCs w:val="22"/>
                <w:color w:val="auto"/>
              </w:rPr>
              <w:t>$7,427</w:t>
            </w:r>
          </w:p>
        </w:tc>
        <w:tc>
          <w:tcPr>
            <w:tcW w:w="1240" w:type="dxa"/>
            <w:vAlign w:val="bottom"/>
            <w:gridSpan w:val="2"/>
          </w:tcPr>
          <w:p>
            <w:pPr>
              <w:jc w:val="right"/>
              <w:ind w:right="80"/>
              <w:spacing w:after="0"/>
              <w:rPr>
                <w:sz w:val="20"/>
                <w:szCs w:val="20"/>
                <w:color w:val="auto"/>
              </w:rPr>
            </w:pPr>
            <w:r>
              <w:rPr>
                <w:rFonts w:ascii="Arial" w:cs="Arial" w:eastAsia="Arial" w:hAnsi="Arial"/>
                <w:sz w:val="22"/>
                <w:szCs w:val="22"/>
                <w:color w:val="auto"/>
              </w:rPr>
              <w:t>$2,141</w:t>
            </w:r>
          </w:p>
        </w:tc>
        <w:tc>
          <w:tcPr>
            <w:tcW w:w="1280" w:type="dxa"/>
            <w:vAlign w:val="bottom"/>
            <w:gridSpan w:val="3"/>
          </w:tcPr>
          <w:p>
            <w:pPr>
              <w:jc w:val="right"/>
              <w:ind w:right="80"/>
              <w:spacing w:after="0"/>
              <w:rPr>
                <w:sz w:val="20"/>
                <w:szCs w:val="20"/>
                <w:color w:val="auto"/>
              </w:rPr>
            </w:pPr>
            <w:r>
              <w:rPr>
                <w:rFonts w:ascii="Arial" w:cs="Arial" w:eastAsia="Arial" w:hAnsi="Arial"/>
                <w:sz w:val="22"/>
                <w:szCs w:val="22"/>
                <w:color w:val="auto"/>
              </w:rPr>
              <w:t>$18,185</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38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b w:val="1"/>
                <w:bCs w:val="1"/>
                <w:color w:val="auto"/>
              </w:rPr>
              <w:t>April 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right"/>
              <w:ind w:right="52"/>
              <w:spacing w:after="0"/>
              <w:rPr>
                <w:sz w:val="20"/>
                <w:szCs w:val="20"/>
                <w:color w:val="auto"/>
              </w:rPr>
            </w:pPr>
            <w:r>
              <w:rPr>
                <w:rFonts w:ascii="Arial" w:cs="Arial" w:eastAsia="Arial" w:hAnsi="Arial"/>
                <w:sz w:val="22"/>
                <w:szCs w:val="22"/>
                <w:b w:val="1"/>
                <w:bCs w:val="1"/>
                <w:color w:val="auto"/>
                <w:w w:val="99"/>
              </w:rPr>
              <w:t>October 28,</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272"/>
              <w:spacing w:after="0"/>
              <w:rPr>
                <w:sz w:val="20"/>
                <w:szCs w:val="20"/>
                <w:color w:val="auto"/>
              </w:rPr>
            </w:pPr>
            <w:r>
              <w:rPr>
                <w:rFonts w:ascii="Arial" w:cs="Arial" w:eastAsia="Arial" w:hAnsi="Arial"/>
                <w:sz w:val="22"/>
                <w:szCs w:val="22"/>
                <w:b w:val="1"/>
                <w:bCs w:val="1"/>
                <w:color w:val="auto"/>
              </w:rPr>
              <w:t>2008</w:t>
            </w:r>
          </w:p>
        </w:tc>
        <w:tc>
          <w:tcPr>
            <w:tcW w:w="1500" w:type="dxa"/>
            <w:vAlign w:val="bottom"/>
            <w:gridSpan w:val="4"/>
          </w:tcPr>
          <w:p>
            <w:pPr>
              <w:jc w:val="right"/>
              <w:ind w:right="392"/>
              <w:spacing w:after="0"/>
              <w:rPr>
                <w:sz w:val="20"/>
                <w:szCs w:val="20"/>
                <w:color w:val="auto"/>
              </w:rPr>
            </w:pPr>
            <w:r>
              <w:rPr>
                <w:rFonts w:ascii="Arial" w:cs="Arial" w:eastAsia="Arial" w:hAnsi="Arial"/>
                <w:sz w:val="22"/>
                <w:szCs w:val="22"/>
                <w:b w:val="1"/>
                <w:bCs w:val="1"/>
                <w:color w:val="auto"/>
              </w:rPr>
              <w:t>2007</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00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Long-lived assets</w:t>
            </w: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30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Asia</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$337,540</w:t>
            </w:r>
          </w:p>
        </w:tc>
        <w:tc>
          <w:tcPr>
            <w:tcW w:w="15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$329,619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spacing w:after="0" w:line="243" w:lineRule="exact"/>
              <w:rPr>
                <w:sz w:val="20"/>
                <w:szCs w:val="20"/>
                <w:color w:val="auto"/>
              </w:rPr>
            </w:pPr>
            <w:r>
              <w:rPr>
                <w:rFonts w:ascii="Arial" w:cs="Arial" w:eastAsia="Arial" w:hAnsi="Arial"/>
                <w:sz w:val="22"/>
                <w:szCs w:val="22"/>
                <w:color w:val="auto"/>
              </w:rPr>
              <w:t>Europe</w:t>
            </w: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52,384</w:t>
            </w:r>
          </w:p>
        </w:tc>
        <w:tc>
          <w:tcPr>
            <w:tcW w:w="150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67,084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000" w:type="dxa"/>
            <w:vAlign w:val="bottom"/>
            <w:gridSpan w:val="2"/>
          </w:tcPr>
          <w:p>
            <w:pPr>
              <w:spacing w:after="0"/>
              <w:rPr>
                <w:sz w:val="20"/>
                <w:szCs w:val="20"/>
                <w:color w:val="auto"/>
              </w:rPr>
            </w:pPr>
            <w:r>
              <w:rPr>
                <w:rFonts w:ascii="Arial" w:cs="Arial" w:eastAsia="Arial" w:hAnsi="Arial"/>
                <w:sz w:val="22"/>
                <w:szCs w:val="22"/>
                <w:color w:val="auto"/>
              </w:rPr>
              <w:t>North America</w:t>
            </w:r>
          </w:p>
        </w:tc>
        <w:tc>
          <w:tcPr>
            <w:tcW w:w="1120" w:type="dxa"/>
            <w:vAlign w:val="bottom"/>
          </w:tcPr>
          <w:p>
            <w:pPr>
              <w:jc w:val="right"/>
              <w:spacing w:after="0"/>
              <w:rPr>
                <w:sz w:val="20"/>
                <w:szCs w:val="20"/>
                <w:color w:val="auto"/>
              </w:rPr>
            </w:pPr>
            <w:r>
              <w:rPr>
                <w:rFonts w:ascii="Arial" w:cs="Arial" w:eastAsia="Arial" w:hAnsi="Arial"/>
                <w:sz w:val="22"/>
                <w:szCs w:val="22"/>
                <w:color w:val="auto"/>
              </w:rPr>
              <w:t>201,029</w:t>
            </w:r>
          </w:p>
        </w:tc>
        <w:tc>
          <w:tcPr>
            <w:tcW w:w="1500" w:type="dxa"/>
            <w:vAlign w:val="bottom"/>
            <w:gridSpan w:val="4"/>
          </w:tcPr>
          <w:p>
            <w:pPr>
              <w:jc w:val="right"/>
              <w:spacing w:after="0"/>
              <w:rPr>
                <w:sz w:val="20"/>
                <w:szCs w:val="20"/>
                <w:color w:val="auto"/>
              </w:rPr>
            </w:pPr>
            <w:r>
              <w:rPr>
                <w:rFonts w:ascii="Arial" w:cs="Arial" w:eastAsia="Arial" w:hAnsi="Arial"/>
                <w:sz w:val="22"/>
                <w:szCs w:val="22"/>
                <w:color w:val="auto"/>
              </w:rPr>
              <w:t>134,875</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bottom w:val="single" w:sz="8" w:color="336699"/>
            </w:tcBorders>
          </w:tcPr>
          <w:p>
            <w:pPr>
              <w:spacing w:after="0"/>
              <w:rPr>
                <w:sz w:val="8"/>
                <w:szCs w:val="8"/>
                <w:color w:val="auto"/>
              </w:rPr>
            </w:pPr>
          </w:p>
        </w:tc>
        <w:tc>
          <w:tcPr>
            <w:tcW w:w="120" w:type="dxa"/>
            <w:vAlign w:val="bottom"/>
            <w:gridSpan w:val="3"/>
          </w:tcPr>
          <w:p>
            <w:pPr>
              <w:spacing w:after="0"/>
              <w:rPr>
                <w:sz w:val="8"/>
                <w:szCs w:val="8"/>
                <w:color w:val="auto"/>
              </w:rPr>
            </w:pPr>
          </w:p>
        </w:tc>
        <w:tc>
          <w:tcPr>
            <w:tcW w:w="138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$590,953</w:t>
            </w:r>
          </w:p>
        </w:tc>
        <w:tc>
          <w:tcPr>
            <w:tcW w:w="1500" w:type="dxa"/>
            <w:vAlign w:val="bottom"/>
            <w:gridSpan w:val="4"/>
          </w:tcPr>
          <w:p>
            <w:pPr>
              <w:jc w:val="right"/>
              <w:spacing w:after="0"/>
              <w:rPr>
                <w:sz w:val="20"/>
                <w:szCs w:val="20"/>
                <w:color w:val="auto"/>
              </w:rPr>
            </w:pPr>
            <w:r>
              <w:rPr>
                <w:rFonts w:ascii="Arial" w:cs="Arial" w:eastAsia="Arial" w:hAnsi="Arial"/>
                <w:sz w:val="22"/>
                <w:szCs w:val="22"/>
                <w:color w:val="auto"/>
              </w:rPr>
              <w:t>$531,578</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12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138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-1736090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-1736090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-1736090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-1736090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-1736090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-1736090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-1736090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-1736090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60" w:firstLine="266"/>
        <w:spacing w:after="0" w:line="251" w:lineRule="auto"/>
        <w:rPr>
          <w:sz w:val="20"/>
          <w:szCs w:val="20"/>
          <w:color w:val="auto"/>
        </w:rPr>
      </w:pPr>
      <w:r>
        <w:rPr>
          <w:rFonts w:ascii="Arial" w:cs="Arial" w:eastAsia="Arial" w:hAnsi="Arial"/>
          <w:sz w:val="22"/>
          <w:szCs w:val="22"/>
          <w:color w:val="auto"/>
        </w:rPr>
        <w:t>The Company is typically impacted during its first fiscal quarter by the North America and European holiday periods as some customers reduce their effective workdays and orders during this period.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INCOME TAXES</w:t>
      </w:r>
    </w:p>
    <w:p>
      <w:pPr>
        <w:spacing w:after="0" w:line="212" w:lineRule="exact"/>
        <w:rPr>
          <w:sz w:val="20"/>
          <w:szCs w:val="20"/>
          <w:color w:val="auto"/>
        </w:rPr>
      </w:pPr>
    </w:p>
    <w:p>
      <w:pPr>
        <w:ind w:right="80" w:firstLine="266"/>
        <w:spacing w:after="0" w:line="235" w:lineRule="auto"/>
        <w:rPr>
          <w:sz w:val="20"/>
          <w:szCs w:val="20"/>
          <w:color w:val="auto"/>
        </w:rPr>
      </w:pPr>
      <w:r>
        <w:rPr>
          <w:rFonts w:ascii="Arial" w:cs="Arial" w:eastAsia="Arial" w:hAnsi="Arial"/>
          <w:sz w:val="22"/>
          <w:szCs w:val="22"/>
          <w:color w:val="auto"/>
        </w:rPr>
        <w:t>The effective tax rate in Q2-08 differs from the amount computed by applying the U.S. statutory rate of 35% to the income before taxes primarily because income tax provisions in jurisdictions where the Company generated income were, due to valuation allowances, not significantly offset by income tax benefits in jurisdictions where the Company incurred losses. The effective tax rate in Q2-07 differs from the amount computed by applying the U.S. statutory rate of 35% to income before taxes primarily due to the benefit recorded for the resolution and settlement of U.S. and foreign tax matters that were associated with uncertain tax positions in prior years.</w:t>
      </w:r>
    </w:p>
    <w:p>
      <w:pPr>
        <w:spacing w:after="0" w:line="188" w:lineRule="exact"/>
        <w:rPr>
          <w:sz w:val="20"/>
          <w:szCs w:val="20"/>
          <w:color w:val="auto"/>
        </w:rPr>
      </w:pPr>
    </w:p>
    <w:p>
      <w:pPr>
        <w:ind w:right="180" w:firstLine="266"/>
        <w:spacing w:after="0" w:line="258" w:lineRule="auto"/>
        <w:rPr>
          <w:sz w:val="20"/>
          <w:szCs w:val="20"/>
          <w:color w:val="auto"/>
        </w:rPr>
      </w:pPr>
      <w:r>
        <w:rPr>
          <w:rFonts w:ascii="Arial" w:cs="Arial" w:eastAsia="Arial" w:hAnsi="Arial"/>
          <w:sz w:val="21"/>
          <w:szCs w:val="21"/>
          <w:color w:val="auto"/>
        </w:rPr>
        <w:t>The Company's operations have followed the migration of semiconductor industry fabrication to Asia, where the Company operates in countries where it is accorded favorable tax treatment. PKLT, the Company's FPD manufacturing facility in Taiwan, is accorded a tax holiday, which is expected to expire in 2012. In addition, the Company has been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480"/>
        <w:spacing w:after="0"/>
        <w:rPr>
          <w:sz w:val="20"/>
          <w:szCs w:val="20"/>
          <w:color w:val="auto"/>
        </w:rPr>
      </w:pPr>
      <w:r>
        <w:rPr>
          <w:rFonts w:ascii="Arial" w:cs="Arial" w:eastAsia="Arial" w:hAnsi="Arial"/>
          <w:sz w:val="22"/>
          <w:szCs w:val="22"/>
          <w:color w:val="auto"/>
        </w:rPr>
        <w:t>accorded a tax holiday in China which is expected to expire in 2011. These tax holidays had no dollar or per share effect in the three and six months ended April 27, 2008 and April 29, 2007. In Korea and Taiwan, various investment tax credits have been utilized to reduce the Company's effective income tax rate.</w:t>
      </w:r>
    </w:p>
    <w:p>
      <w:pPr>
        <w:spacing w:after="0" w:line="186" w:lineRule="exact"/>
        <w:rPr>
          <w:sz w:val="20"/>
          <w:szCs w:val="20"/>
          <w:color w:val="auto"/>
        </w:rPr>
      </w:pPr>
    </w:p>
    <w:p>
      <w:pPr>
        <w:ind w:right="60" w:firstLine="270"/>
        <w:spacing w:after="0" w:line="244" w:lineRule="auto"/>
        <w:rPr>
          <w:sz w:val="20"/>
          <w:szCs w:val="20"/>
          <w:color w:val="auto"/>
        </w:rPr>
      </w:pPr>
      <w:r>
        <w:rPr>
          <w:rFonts w:ascii="Arial" w:cs="Arial" w:eastAsia="Arial" w:hAnsi="Arial"/>
          <w:sz w:val="21"/>
          <w:szCs w:val="21"/>
          <w:color w:val="auto"/>
        </w:rPr>
        <w:t>In June 2006, the FASB issued FASB Interpretation Number 48 ("FIN 48"), "Accounting for Uncertainty in Income Taxes - an Interpretation of FASB Statement No. 109." The interpretation contains a two 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as of the beginning of its 2008 fiscal year. Prior to adoption, the Company's pre-existing policy was to establish reserves, including interest and penalties, for uncertain tax positions that reflected the probable outcome of known tax contingencies. As of the date of adoption of FIN 48, the Company has elected to recognize interest, and penalties if applicable, related to uncertain tax positions in the income tax provision in its condensed consolidated statements of operations. As compared to the Company's historical approach, the application of FIN 48 resulted in a net increase to accrued income taxes payable of approximately $1.0 million (including interest and penalties of approximately $0.2 million), and a decrease to retained earnings of the same amount. There were no significant changes to the liability for uncertain tax positions (or accrued interest and penalties) during the six months ended April 27, 2008.</w:t>
      </w:r>
    </w:p>
    <w:p>
      <w:pPr>
        <w:spacing w:after="0" w:line="182" w:lineRule="exact"/>
        <w:rPr>
          <w:sz w:val="20"/>
          <w:szCs w:val="20"/>
          <w:color w:val="auto"/>
        </w:rPr>
      </w:pPr>
    </w:p>
    <w:p>
      <w:pPr>
        <w:ind w:firstLine="258"/>
        <w:spacing w:after="0"/>
        <w:rPr>
          <w:sz w:val="20"/>
          <w:szCs w:val="20"/>
          <w:color w:val="auto"/>
        </w:rPr>
      </w:pPr>
      <w:r>
        <w:rPr>
          <w:rFonts w:ascii="Arial" w:cs="Arial" w:eastAsia="Arial" w:hAnsi="Arial"/>
          <w:sz w:val="22"/>
          <w:szCs w:val="22"/>
          <w:color w:val="auto"/>
        </w:rPr>
        <w:t>As of the date of adoption of FIN 48 the gross unrecognized tax benefits for income taxes associated with uncertain tax positions totaled approximately $3.5 million. If recognized, the benefits would favorably affect the Company’s effective rate in future periods.</w:t>
      </w:r>
    </w:p>
    <w:p>
      <w:pPr>
        <w:sectPr>
          <w:pgSz w:w="11900" w:h="16838" w:orient="portrait"/>
          <w:cols w:equalWidth="0" w:num="1">
            <w:col w:w="11420"/>
          </w:cols>
          <w:pgMar w:left="240" w:top="108" w:right="239" w:bottom="82" w:gutter="0" w:footer="0" w:header="0"/>
        </w:sectPr>
      </w:pPr>
    </w:p>
    <w:bookmarkStart w:id="11" w:name="page12"/>
    <w:bookmarkEnd w:id="11"/>
    <w:p>
      <w:pPr>
        <w:spacing w:after="0" w:line="81" w:lineRule="exact"/>
        <w:rPr>
          <w:sz w:val="20"/>
          <w:szCs w:val="20"/>
          <w:color w:val="auto"/>
        </w:rPr>
      </w:pPr>
    </w:p>
    <w:p>
      <w:pPr>
        <w:ind w:right="120" w:firstLine="270"/>
        <w:spacing w:after="0" w:line="238" w:lineRule="auto"/>
        <w:rPr>
          <w:sz w:val="20"/>
          <w:szCs w:val="20"/>
          <w:color w:val="auto"/>
        </w:rPr>
      </w:pPr>
      <w:r>
        <w:rPr>
          <w:rFonts w:ascii="Arial" w:cs="Arial" w:eastAsia="Arial" w:hAnsi="Arial"/>
          <w:sz w:val="22"/>
          <w:szCs w:val="22"/>
          <w:color w:val="auto"/>
        </w:rPr>
        <w:t>It is possible that material changes to the gross unrecognized tax benefits may be required during fiscal year 2008. These changes relate to possible settlements in the U.K. and Germany during fiscal year 2008. Though the Company expects these items may result in a net reduction of its unrecognized tax benefits, an estimate of the expected reduction and related income tax benefit cannot be made at this time.</w:t>
      </w:r>
    </w:p>
    <w:p>
      <w:pPr>
        <w:spacing w:after="0" w:line="186" w:lineRule="exact"/>
        <w:rPr>
          <w:sz w:val="20"/>
          <w:szCs w:val="20"/>
          <w:color w:val="auto"/>
        </w:rPr>
      </w:pPr>
    </w:p>
    <w:p>
      <w:pPr>
        <w:ind w:right="20" w:firstLine="270"/>
        <w:spacing w:after="0" w:line="251" w:lineRule="auto"/>
        <w:rPr>
          <w:sz w:val="20"/>
          <w:szCs w:val="20"/>
          <w:color w:val="auto"/>
        </w:rPr>
      </w:pPr>
      <w:r>
        <w:rPr>
          <w:rFonts w:ascii="Arial" w:cs="Arial" w:eastAsia="Arial" w:hAnsi="Arial"/>
          <w:sz w:val="22"/>
          <w:szCs w:val="22"/>
          <w:color w:val="auto"/>
        </w:rPr>
        <w:t>Currently, the statutes of limitations remain open subsequent to and including 2003 in the U.S. and Korea, 2002 in the U.K., and 2001 in Germany.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160" w:type="dxa"/>
            <w:vAlign w:val="bottom"/>
            <w:gridSpan w:val="2"/>
          </w:tcPr>
          <w:p>
            <w:pPr>
              <w:spacing w:after="0"/>
              <w:rPr>
                <w:sz w:val="20"/>
                <w:szCs w:val="20"/>
                <w:color w:val="auto"/>
              </w:rPr>
            </w:pPr>
            <w:r>
              <w:rPr>
                <w:rFonts w:ascii="Arial" w:cs="Arial" w:eastAsia="Arial" w:hAnsi="Arial"/>
                <w:sz w:val="22"/>
                <w:szCs w:val="22"/>
                <w:b w:val="1"/>
                <w:bCs w:val="1"/>
                <w:color w:val="auto"/>
              </w:rPr>
              <w:t>NOTE 8 - LONG -TERM BORROWINGS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160" w:type="dxa"/>
            <w:vAlign w:val="bottom"/>
            <w:gridSpan w:val="2"/>
          </w:tcPr>
          <w:p>
            <w:pPr>
              <w:ind w:left="280"/>
              <w:spacing w:after="0"/>
              <w:rPr>
                <w:sz w:val="20"/>
                <w:szCs w:val="20"/>
                <w:color w:val="auto"/>
              </w:rPr>
            </w:pPr>
            <w:r>
              <w:rPr>
                <w:rFonts w:ascii="Arial" w:cs="Arial" w:eastAsia="Arial" w:hAnsi="Arial"/>
                <w:sz w:val="22"/>
                <w:szCs w:val="22"/>
                <w:color w:val="auto"/>
              </w:rPr>
              <w:t>Long-term borrowings consist of the following:</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w w:val="94"/>
              </w:rPr>
              <w:t>April 27,</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2"/>
                <w:szCs w:val="22"/>
                <w:b w:val="1"/>
                <w:bCs w:val="1"/>
                <w:color w:val="auto"/>
                <w:w w:val="90"/>
              </w:rPr>
              <w:t>October 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ind w:right="152"/>
              <w:spacing w:after="0"/>
              <w:rPr>
                <w:sz w:val="20"/>
                <w:szCs w:val="20"/>
                <w:color w:val="auto"/>
              </w:rPr>
            </w:pPr>
            <w:r>
              <w:rPr>
                <w:rFonts w:ascii="Arial" w:cs="Arial" w:eastAsia="Arial" w:hAnsi="Arial"/>
                <w:sz w:val="22"/>
                <w:szCs w:val="22"/>
                <w:b w:val="1"/>
                <w:bCs w:val="1"/>
                <w:color w:val="auto"/>
              </w:rPr>
              <w:t>2008</w:t>
            </w:r>
          </w:p>
        </w:tc>
        <w:tc>
          <w:tcPr>
            <w:tcW w:w="128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rPr>
              <w:t>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160" w:type="dxa"/>
            <w:vAlign w:val="bottom"/>
            <w:gridSpan w:val="2"/>
            <w:vMerge w:val="restart"/>
          </w:tcPr>
          <w:p>
            <w:pPr>
              <w:spacing w:after="0"/>
              <w:rPr>
                <w:sz w:val="20"/>
                <w:szCs w:val="20"/>
                <w:color w:val="auto"/>
              </w:rPr>
            </w:pPr>
            <w:r>
              <w:rPr>
                <w:rFonts w:ascii="Arial" w:cs="Arial" w:eastAsia="Arial" w:hAnsi="Arial"/>
                <w:sz w:val="22"/>
                <w:szCs w:val="22"/>
                <w:color w:val="auto"/>
              </w:rPr>
              <w:t>Borrowings under revolving credit facility, which bears interest</w:t>
            </w: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61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160" w:type="dxa"/>
            <w:vAlign w:val="bottom"/>
            <w:gridSpan w:val="2"/>
          </w:tcPr>
          <w:p>
            <w:pPr>
              <w:spacing w:after="0"/>
              <w:rPr>
                <w:sz w:val="20"/>
                <w:szCs w:val="20"/>
                <w:color w:val="auto"/>
              </w:rPr>
            </w:pPr>
            <w:r>
              <w:rPr>
                <w:rFonts w:ascii="Arial" w:cs="Arial" w:eastAsia="Arial" w:hAnsi="Arial"/>
                <w:sz w:val="22"/>
                <w:szCs w:val="22"/>
                <w:color w:val="auto"/>
              </w:rPr>
              <w:t>at a variable rate, as defined (4.2% at April 27, 2008)</w:t>
            </w:r>
          </w:p>
        </w:tc>
        <w:tc>
          <w:tcPr>
            <w:tcW w:w="920" w:type="dxa"/>
            <w:vAlign w:val="bottom"/>
          </w:tcPr>
          <w:p>
            <w:pPr>
              <w:jc w:val="right"/>
              <w:spacing w:after="0"/>
              <w:rPr>
                <w:sz w:val="20"/>
                <w:szCs w:val="20"/>
                <w:color w:val="auto"/>
              </w:rPr>
            </w:pPr>
            <w:r>
              <w:rPr>
                <w:rFonts w:ascii="Arial" w:cs="Arial" w:eastAsia="Arial" w:hAnsi="Arial"/>
                <w:sz w:val="22"/>
                <w:szCs w:val="22"/>
                <w:color w:val="auto"/>
                <w:w w:val="89"/>
              </w:rPr>
              <w:t>$115,000</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6160" w:type="dxa"/>
            <w:vAlign w:val="bottom"/>
            <w:gridSpan w:val="2"/>
          </w:tcPr>
          <w:p>
            <w:pPr>
              <w:spacing w:after="0"/>
              <w:rPr>
                <w:sz w:val="20"/>
                <w:szCs w:val="20"/>
                <w:color w:val="auto"/>
              </w:rPr>
            </w:pPr>
            <w:r>
              <w:rPr>
                <w:rFonts w:ascii="Arial" w:cs="Arial" w:eastAsia="Arial" w:hAnsi="Arial"/>
                <w:sz w:val="22"/>
                <w:szCs w:val="22"/>
                <w:color w:val="auto"/>
                <w:w w:val="95"/>
              </w:rPr>
              <w:t>2.25% convertible subordinated notes redeemed on April 15, 2008</w:t>
            </w:r>
          </w:p>
        </w:tc>
        <w:tc>
          <w:tcPr>
            <w:tcW w:w="920" w:type="dxa"/>
            <w:vAlign w:val="bottom"/>
          </w:tcPr>
          <w:p>
            <w:pPr>
              <w:jc w:val="right"/>
              <w:spacing w:after="0"/>
              <w:rPr>
                <w:sz w:val="20"/>
                <w:szCs w:val="20"/>
                <w:color w:val="auto"/>
              </w:rPr>
            </w:pPr>
            <w:r>
              <w:rPr>
                <w:rFonts w:ascii="Arial" w:cs="Arial" w:eastAsia="Arial" w:hAnsi="Arial"/>
                <w:sz w:val="22"/>
                <w:szCs w:val="22"/>
                <w:color w:val="auto"/>
              </w:rPr>
              <w:t>-</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$150,000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160" w:type="dxa"/>
            <w:vAlign w:val="bottom"/>
            <w:gridSpan w:val="2"/>
          </w:tcPr>
          <w:p>
            <w:pPr>
              <w:spacing w:after="0"/>
              <w:rPr>
                <w:sz w:val="20"/>
                <w:szCs w:val="20"/>
                <w:color w:val="auto"/>
              </w:rPr>
            </w:pPr>
            <w:r>
              <w:rPr>
                <w:rFonts w:ascii="Arial" w:cs="Arial" w:eastAsia="Arial" w:hAnsi="Arial"/>
                <w:sz w:val="22"/>
                <w:szCs w:val="22"/>
                <w:color w:val="auto"/>
              </w:rPr>
              <w:t>8.0% capital lease obligation payable through January 2013</w:t>
            </w:r>
          </w:p>
        </w:tc>
        <w:tc>
          <w:tcPr>
            <w:tcW w:w="920" w:type="dxa"/>
            <w:vAlign w:val="bottom"/>
          </w:tcPr>
          <w:p>
            <w:pPr>
              <w:jc w:val="right"/>
              <w:spacing w:after="0"/>
              <w:rPr>
                <w:sz w:val="20"/>
                <w:szCs w:val="20"/>
                <w:color w:val="auto"/>
              </w:rPr>
            </w:pPr>
            <w:r>
              <w:rPr>
                <w:rFonts w:ascii="Arial" w:cs="Arial" w:eastAsia="Arial" w:hAnsi="Arial"/>
                <w:sz w:val="22"/>
                <w:szCs w:val="22"/>
                <w:color w:val="auto"/>
              </w:rPr>
              <w:t>59,124</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160" w:type="dxa"/>
            <w:vAlign w:val="bottom"/>
            <w:gridSpan w:val="2"/>
          </w:tcPr>
          <w:p>
            <w:pPr>
              <w:spacing w:after="0"/>
              <w:rPr>
                <w:sz w:val="20"/>
                <w:szCs w:val="20"/>
                <w:color w:val="auto"/>
              </w:rPr>
            </w:pPr>
            <w:r>
              <w:rPr>
                <w:rFonts w:ascii="Arial" w:cs="Arial" w:eastAsia="Arial" w:hAnsi="Arial"/>
                <w:sz w:val="22"/>
                <w:szCs w:val="22"/>
                <w:color w:val="auto"/>
              </w:rPr>
              <w:t>5.6% capital lease obligation payable through October 2012</w:t>
            </w:r>
          </w:p>
        </w:tc>
        <w:tc>
          <w:tcPr>
            <w:tcW w:w="920" w:type="dxa"/>
            <w:vAlign w:val="bottom"/>
          </w:tcPr>
          <w:p>
            <w:pPr>
              <w:jc w:val="right"/>
              <w:spacing w:after="0"/>
              <w:rPr>
                <w:sz w:val="20"/>
                <w:szCs w:val="20"/>
                <w:color w:val="auto"/>
              </w:rPr>
            </w:pPr>
            <w:r>
              <w:rPr>
                <w:rFonts w:ascii="Arial" w:cs="Arial" w:eastAsia="Arial" w:hAnsi="Arial"/>
                <w:sz w:val="22"/>
                <w:szCs w:val="22"/>
                <w:color w:val="auto"/>
              </w:rPr>
              <w:t>18,459</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19,912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160" w:type="dxa"/>
            <w:vAlign w:val="bottom"/>
            <w:gridSpan w:val="2"/>
          </w:tcPr>
          <w:p>
            <w:pPr>
              <w:spacing w:after="0"/>
              <w:rPr>
                <w:sz w:val="20"/>
                <w:szCs w:val="20"/>
                <w:color w:val="auto"/>
              </w:rPr>
            </w:pPr>
            <w:r>
              <w:rPr>
                <w:rFonts w:ascii="Arial" w:cs="Arial" w:eastAsia="Arial" w:hAnsi="Arial"/>
                <w:sz w:val="22"/>
                <w:szCs w:val="22"/>
                <w:color w:val="auto"/>
              </w:rPr>
              <w:t>Foreign notes payable</w:t>
            </w:r>
          </w:p>
        </w:tc>
        <w:tc>
          <w:tcPr>
            <w:tcW w:w="920" w:type="dxa"/>
            <w:vAlign w:val="bottom"/>
          </w:tcPr>
          <w:p>
            <w:pPr>
              <w:jc w:val="right"/>
              <w:spacing w:after="0"/>
              <w:rPr>
                <w:sz w:val="20"/>
                <w:szCs w:val="20"/>
                <w:color w:val="auto"/>
              </w:rPr>
            </w:pPr>
            <w:r>
              <w:rPr>
                <w:rFonts w:ascii="Arial" w:cs="Arial" w:eastAsia="Arial" w:hAnsi="Arial"/>
                <w:sz w:val="22"/>
                <w:szCs w:val="22"/>
                <w:color w:val="auto"/>
              </w:rPr>
              <w:t>29,878</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25,823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222,461</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195,735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160" w:type="dxa"/>
            <w:vAlign w:val="bottom"/>
            <w:gridSpan w:val="2"/>
          </w:tcPr>
          <w:p>
            <w:pPr>
              <w:spacing w:after="0"/>
              <w:rPr>
                <w:sz w:val="20"/>
                <w:szCs w:val="20"/>
                <w:color w:val="auto"/>
              </w:rPr>
            </w:pPr>
            <w:r>
              <w:rPr>
                <w:rFonts w:ascii="Arial" w:cs="Arial" w:eastAsia="Arial" w:hAnsi="Arial"/>
                <w:sz w:val="22"/>
                <w:szCs w:val="22"/>
                <w:color w:val="auto"/>
              </w:rPr>
              <w:t>Less current portion</w:t>
            </w:r>
          </w:p>
        </w:tc>
        <w:tc>
          <w:tcPr>
            <w:tcW w:w="920" w:type="dxa"/>
            <w:vAlign w:val="bottom"/>
          </w:tcPr>
          <w:p>
            <w:pPr>
              <w:jc w:val="right"/>
              <w:spacing w:after="0"/>
              <w:rPr>
                <w:sz w:val="20"/>
                <w:szCs w:val="20"/>
                <w:color w:val="auto"/>
              </w:rPr>
            </w:pPr>
            <w:r>
              <w:rPr>
                <w:rFonts w:ascii="Arial" w:cs="Arial" w:eastAsia="Arial" w:hAnsi="Arial"/>
                <w:sz w:val="22"/>
                <w:szCs w:val="22"/>
                <w:color w:val="auto"/>
              </w:rPr>
              <w:t>17,523</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4,482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336699"/>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w w:val="89"/>
              </w:rPr>
              <w:t>$204,938</w:t>
            </w:r>
          </w:p>
        </w:tc>
        <w:tc>
          <w:tcPr>
            <w:tcW w:w="1280" w:type="dxa"/>
            <w:vAlign w:val="bottom"/>
            <w:gridSpan w:val="2"/>
          </w:tcPr>
          <w:p>
            <w:pPr>
              <w:jc w:val="right"/>
              <w:spacing w:after="0"/>
              <w:rPr>
                <w:sz w:val="20"/>
                <w:szCs w:val="20"/>
                <w:color w:val="auto"/>
              </w:rPr>
            </w:pPr>
            <w:r>
              <w:rPr>
                <w:rFonts w:ascii="Arial" w:cs="Arial" w:eastAsia="Arial" w:hAnsi="Arial"/>
                <w:sz w:val="22"/>
                <w:szCs w:val="22"/>
                <w:color w:val="auto"/>
              </w:rPr>
              <w:t>$191,253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14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bottom w:val="single" w:sz="8" w:color="336699"/>
            </w:tcBorders>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firstLine="270"/>
        <w:spacing w:after="0" w:line="271" w:lineRule="auto"/>
        <w:rPr>
          <w:sz w:val="20"/>
          <w:szCs w:val="20"/>
          <w:color w:val="auto"/>
        </w:rPr>
      </w:pPr>
      <w:r>
        <w:rPr>
          <w:rFonts w:ascii="Arial" w:cs="Arial" w:eastAsia="Arial" w:hAnsi="Arial"/>
          <w:sz w:val="19"/>
          <w:szCs w:val="19"/>
          <w:color w:val="auto"/>
        </w:rPr>
        <w:t>On April 15, 2008, the Company redeemed its $150.0 million 2.25% convertible subordinated notes. In connection with this redemption, the Company had net borrowings of $115.0 million under its revolving credit facility ("credit facility") at April 27, 2008. The Company entered into the credit facility agreement on June 6, 2007 with a group of financial institutions. The credit facility provides for an aggregate commitment of $155.0 million over a 5-year term, and allows for borrowings in various currencies. The applicable interest rate spread and facility fee vary based upon the Company's senior leverage ratio. Under the terms of the credit facility, the Company is subject to compliance with certain financial and other covenants, as defined, including, but not limited to: Senior Leverage Ratio, Total Leverage Ratio, and Minimum Unrestricted Cash Balances. The credit facility also limits the amounts of both secured and unsecured debt. The credit facility is secured by a pledge of the Company's stock in certain of its subsidiaries. Borrowings under the credit facility bear interest at certain benchmarked interest rates, as defined, plus a spread based on the Company's senior leverage ratio. On April 25, 2008, the credit facility was amended, primarily amending the Applicable Rate chart and the Maximum Senior Leverage Ratio terms, and providing that the Company enter into an agreement evidencing permanent long-term capital of at least $75.0 million by November 2, 2008. As of April 27, 2008, $115.0 million was borrowed under the credit facility and $3.6 million was utilized for a standby letter of credit, and the remaining balance of $36.4 million was available to the Company.</w:t>
      </w:r>
    </w:p>
    <w:p>
      <w:pPr>
        <w:spacing w:after="0" w:line="200" w:lineRule="exact"/>
        <w:rPr>
          <w:sz w:val="20"/>
          <w:szCs w:val="20"/>
          <w:color w:val="auto"/>
        </w:rPr>
      </w:pPr>
    </w:p>
    <w:p>
      <w:pPr>
        <w:spacing w:after="0" w:line="212" w:lineRule="exact"/>
        <w:rPr>
          <w:sz w:val="20"/>
          <w:szCs w:val="20"/>
          <w:color w:val="auto"/>
        </w:rPr>
      </w:pPr>
    </w:p>
    <w:p>
      <w:pPr>
        <w:ind w:firstLine="270"/>
        <w:spacing w:after="0" w:line="247" w:lineRule="auto"/>
        <w:rPr>
          <w:sz w:val="20"/>
          <w:szCs w:val="20"/>
          <w:color w:val="auto"/>
        </w:rPr>
      </w:pPr>
      <w:r>
        <w:rPr>
          <w:rFonts w:ascii="Arial" w:cs="Arial" w:eastAsia="Arial" w:hAnsi="Arial"/>
          <w:sz w:val="21"/>
          <w:szCs w:val="21"/>
          <w:color w:val="auto"/>
        </w:rPr>
        <w:t>During the three months ended January 27, 2008, a capital lease agreement commenced and was also modified as discussed below for the U.S. Nanofab. Quarterly lease payments, which bear interest at 8%, are $3.8 million for the period April 2008 through January 2013. As of April 27, 2008 total capital lease amounts payable were $71.6 million of which $59.1 million represents principal and $12.5 million represents interest. At the end of the 5-year lease term, ownership of the property transfers to the Company. The modification during the three months ended January 27, 2008 changed the initial lease payment from January 1, 2008 to April 1, 2008, the final lease payment from October 1, 2012 to January 1, 2013, and increased the total payments under the lease from $73.9 million to $75.4 million.</w:t>
      </w:r>
    </w:p>
    <w:p>
      <w:pPr>
        <w:spacing w:after="0" w:line="178"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In October 2007, the Company entered into a capital lease agreement in the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185" w:lineRule="exact"/>
        <w:rPr>
          <w:sz w:val="20"/>
          <w:szCs w:val="20"/>
          <w:color w:val="auto"/>
        </w:rPr>
      </w:pPr>
    </w:p>
    <w:p>
      <w:pPr>
        <w:ind w:right="340" w:firstLine="270"/>
        <w:spacing w:after="0" w:line="328" w:lineRule="auto"/>
        <w:rPr>
          <w:sz w:val="20"/>
          <w:szCs w:val="20"/>
          <w:color w:val="auto"/>
        </w:rPr>
      </w:pPr>
      <w:r>
        <w:rPr>
          <w:rFonts w:ascii="Arial" w:cs="Arial" w:eastAsia="Arial" w:hAnsi="Arial"/>
          <w:sz w:val="19"/>
          <w:szCs w:val="19"/>
          <w:color w:val="auto"/>
        </w:rPr>
        <w:t>Foreign notes payable, as of April 27, 2008, consist of a China term and revolving debt credit facility and a short-term credit line facility, both of which are fully outstanding, and amount to RMB 186 million ($26.7 million) and RMB 22.5 million ($3.2</w:t>
      </w:r>
    </w:p>
    <w:p>
      <w:pPr>
        <w:sectPr>
          <w:pgSz w:w="11900" w:h="16919" w:orient="portrait"/>
          <w:cols w:equalWidth="0" w:num="1">
            <w:col w:w="11380"/>
          </w:cols>
          <w:pgMar w:left="240" w:top="118" w:right="279" w:bottom="0" w:gutter="0" w:footer="0" w:header="0"/>
        </w:sectPr>
      </w:pPr>
    </w:p>
    <w:bookmarkStart w:id="12" w:name="page13"/>
    <w:bookmarkEnd w:id="12"/>
    <w:p>
      <w:pPr>
        <w:jc w:val="both"/>
        <w:ind w:right="260"/>
        <w:spacing w:after="0" w:line="252" w:lineRule="auto"/>
        <w:rPr>
          <w:sz w:val="20"/>
          <w:szCs w:val="20"/>
          <w:color w:val="auto"/>
        </w:rPr>
      </w:pPr>
      <w:r>
        <w:rPr>
          <w:rFonts w:ascii="Arial" w:cs="Arial" w:eastAsia="Arial" w:hAnsi="Arial"/>
          <w:sz w:val="21"/>
          <w:szCs w:val="21"/>
          <w:color w:val="auto"/>
        </w:rPr>
        <w:t>million). As of April 27, 2008, the term loan interest rate was 7.65%, the revolver was 7.42%, and the short-term credit line was 5.87%. Rates are subject to change based on the People's Bank of China base rate, as defined. The term and revolving debt credit facility is due in October, 2010, and the short-term credit line is due in March, 2009. The Company is subject to certain financial and other covenants similar to those of its credit facility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COMMITMENTS AND CONTINGENCIES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21"/>
          <w:szCs w:val="21"/>
          <w:color w:val="auto"/>
        </w:rPr>
        <w:t>As of April 27, 2008, the Company had commitments outstanding for capital expenditures of approximately $22 million.</w:t>
      </w:r>
    </w:p>
    <w:p>
      <w:pPr>
        <w:spacing w:after="0" w:line="218" w:lineRule="exact"/>
        <w:rPr>
          <w:sz w:val="20"/>
          <w:szCs w:val="20"/>
          <w:color w:val="auto"/>
        </w:rPr>
      </w:pPr>
    </w:p>
    <w:p>
      <w:pPr>
        <w:ind w:right="500" w:firstLine="266"/>
        <w:spacing w:after="0" w:line="274" w:lineRule="auto"/>
        <w:rPr>
          <w:sz w:val="20"/>
          <w:szCs w:val="20"/>
          <w:color w:val="auto"/>
        </w:rPr>
      </w:pPr>
      <w:r>
        <w:rPr>
          <w:rFonts w:ascii="Arial" w:cs="Arial" w:eastAsia="Arial" w:hAnsi="Arial"/>
          <w:sz w:val="21"/>
          <w:szCs w:val="21"/>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RECENT ACCOUNTING PRONOUNCEMENTS</w:t>
      </w:r>
    </w:p>
    <w:p>
      <w:pPr>
        <w:spacing w:after="0" w:line="212" w:lineRule="exact"/>
        <w:rPr>
          <w:sz w:val="20"/>
          <w:szCs w:val="20"/>
          <w:color w:val="auto"/>
        </w:rPr>
      </w:pPr>
    </w:p>
    <w:p>
      <w:pPr>
        <w:ind w:right="380" w:firstLine="270"/>
        <w:spacing w:after="0" w:line="277" w:lineRule="auto"/>
        <w:rPr>
          <w:sz w:val="20"/>
          <w:szCs w:val="20"/>
          <w:color w:val="auto"/>
        </w:rPr>
      </w:pPr>
      <w:r>
        <w:rPr>
          <w:rFonts w:ascii="Arial" w:cs="Arial" w:eastAsia="Arial" w:hAnsi="Arial"/>
          <w:sz w:val="19"/>
          <w:szCs w:val="19"/>
          <w:color w:val="auto"/>
        </w:rPr>
        <w:t>In May 2008, The Financial Accounting Standards Board ("FASB") issued Statement of Financial Accounting Standards ("SFAS") No. 162, "The Hierarchy of Generally Accepted Accounting Principles." SFAS No. 162 identifies the sources of accounting principles and the framework for selecting the principles to be used in the preparation of financial statements of nongovernmental entities that are presented in conformity with generally accepted accounting principles. SFAS No. 162 will be effective 60 days following the Security and Exchange Commission's approval of the Public Company Accounting Oversight Board's amendments to AU Section 411, "The Meaning of Present Fairly in Conformity With Generally Accepted Accounting Principles." The Company is evaluating the impact, if any, SFAS No. 162 will have on its consolidated financial statements.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firstLine="270"/>
        <w:spacing w:after="0" w:line="277" w:lineRule="auto"/>
        <w:rPr>
          <w:sz w:val="20"/>
          <w:szCs w:val="20"/>
          <w:color w:val="auto"/>
        </w:rPr>
      </w:pPr>
      <w:r>
        <w:rPr>
          <w:rFonts w:ascii="Arial" w:cs="Arial" w:eastAsia="Arial" w:hAnsi="Arial"/>
          <w:sz w:val="19"/>
          <w:szCs w:val="19"/>
          <w:color w:val="auto"/>
        </w:rPr>
        <w:t>In March 2008, the FASB issued SFAS No. 161, "Disclosures about Derivative Instruments and Hedging Activities - an amendment of FASB Statement No. 133." SFAS No. 161 changes the disclosure requirements for derivative instruments and hedging activities by requiring entities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SFAS No. 161 is effective for financial statements issued for fiscal years beginning after November 15, 2008 and interim periods within those fiscal years. The Company is evaluating the impact, if any, SFAS No. 161 will have on its consolidated financial statements.</w:t>
      </w:r>
    </w:p>
    <w:p>
      <w:pPr>
        <w:spacing w:after="0" w:line="153" w:lineRule="exact"/>
        <w:rPr>
          <w:sz w:val="20"/>
          <w:szCs w:val="20"/>
          <w:color w:val="auto"/>
        </w:rPr>
      </w:pPr>
    </w:p>
    <w:p>
      <w:pPr>
        <w:ind w:right="660" w:firstLine="324"/>
        <w:spacing w:after="0" w:line="282" w:lineRule="auto"/>
        <w:rPr>
          <w:sz w:val="20"/>
          <w:szCs w:val="20"/>
          <w:color w:val="auto"/>
        </w:rPr>
      </w:pPr>
      <w:r>
        <w:rPr>
          <w:rFonts w:ascii="Arial" w:cs="Arial" w:eastAsia="Arial" w:hAnsi="Arial"/>
          <w:sz w:val="19"/>
          <w:szCs w:val="19"/>
          <w:color w:val="auto"/>
        </w:rPr>
        <w:t>In December 2007, the FASB issued SFAS No. 160, "Noncontrolling Interests in Consolidated Financial Statements - an amendment of Accounting Research Bulletin No. 51." SFAS No. 160 establishes accounting and reporting standards for the noncontrolling interest in a subsidiary and for the deconsolidation of a subsidiary. SFAS No. 160 is effective for financial statements issued for fiscal years beginning after December 15, 2008, and interim statements within those fiscal years. The Company is currently evaluating the impact SFAS No. 160 will have on its consolidated financial statements.</w:t>
      </w:r>
    </w:p>
    <w:p>
      <w:pPr>
        <w:spacing w:after="0" w:line="148" w:lineRule="exact"/>
        <w:rPr>
          <w:sz w:val="20"/>
          <w:szCs w:val="20"/>
          <w:color w:val="auto"/>
        </w:rPr>
      </w:pPr>
    </w:p>
    <w:p>
      <w:pPr>
        <w:ind w:firstLine="270"/>
        <w:spacing w:after="0" w:line="277" w:lineRule="auto"/>
        <w:rPr>
          <w:sz w:val="20"/>
          <w:szCs w:val="20"/>
          <w:color w:val="auto"/>
        </w:rPr>
      </w:pPr>
      <w:r>
        <w:rPr>
          <w:rFonts w:ascii="Arial" w:cs="Arial" w:eastAsia="Arial" w:hAnsi="Arial"/>
          <w:sz w:val="19"/>
          <w:szCs w:val="19"/>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will not impact the Company's consolidated financial statements upon adoption.</w:t>
      </w:r>
    </w:p>
    <w:p>
      <w:pPr>
        <w:spacing w:after="0" w:line="153" w:lineRule="exact"/>
        <w:rPr>
          <w:sz w:val="20"/>
          <w:szCs w:val="20"/>
          <w:color w:val="auto"/>
        </w:rPr>
      </w:pPr>
    </w:p>
    <w:p>
      <w:pPr>
        <w:ind w:right="200" w:firstLine="270"/>
        <w:spacing w:after="0" w:line="236" w:lineRule="auto"/>
        <w:rPr>
          <w:sz w:val="20"/>
          <w:szCs w:val="20"/>
          <w:color w:val="auto"/>
        </w:rPr>
      </w:pPr>
      <w:r>
        <w:rPr>
          <w:rFonts w:ascii="Arial" w:cs="Arial" w:eastAsia="Arial" w:hAnsi="Arial"/>
          <w:sz w:val="22"/>
          <w:szCs w:val="22"/>
          <w:color w:val="auto"/>
        </w:rPr>
        <w:t>In February 2007, the FASB issued SFAS No. 159, "The Fair Value Option for Financial Assets and Financial Liabilities - Including an Amendment of FASB Statement No. 115." SFAS No. 159 permits entities to choose to measure many financial instruments and certain other items at fair value, and is effective as of the beginning of an entity's first fiscal year that begins after November 15, 2007. The Company is currently evaluating the impact that the adoption of SFAS No. 159 will have on its consolidated financial statements.</w:t>
      </w:r>
    </w:p>
    <w:p>
      <w:pPr>
        <w:spacing w:after="0" w:line="188" w:lineRule="exact"/>
        <w:rPr>
          <w:sz w:val="20"/>
          <w:szCs w:val="20"/>
          <w:color w:val="auto"/>
        </w:rPr>
      </w:pPr>
    </w:p>
    <w:p>
      <w:pPr>
        <w:ind w:right="100" w:firstLine="270"/>
        <w:spacing w:after="0" w:line="272" w:lineRule="auto"/>
        <w:rPr>
          <w:sz w:val="20"/>
          <w:szCs w:val="20"/>
          <w:color w:val="auto"/>
        </w:rPr>
      </w:pPr>
      <w:r>
        <w:rPr>
          <w:rFonts w:ascii="Arial" w:cs="Arial" w:eastAsia="Arial" w:hAnsi="Arial"/>
          <w:sz w:val="19"/>
          <w:szCs w:val="19"/>
          <w:color w:val="auto"/>
        </w:rPr>
        <w:t>In September 2006, the FASB issued SFAS No. 157, “Fair Value Measurements,” which provides a consistent definition of fair value which focuses on exit price and prioritizes, within a measurement of fair value, the use of market-based inputs over entity-specific inputs. SFAS No. 157 requires expanded disclosures about fair value measurements and establishes a three-level hierarchy for fair value measurements based on the transparency of inputs to the valuation of an asset or liability as of the measurement date. The standard also requires that a company use its own nonperformance risk when measuring liabilities carried at fair value, including derivatives. In February 2008, the FASB approved a FASB Staff Position ("FSP") that permits companies to partially defer the effective date of SFAS No. 157 for one year for nonfinancial assets and nonfinancial liabilities that are recognized or disclosed at fair value in the financial statements on a nonrecurring basis. The FSP did not permit companies to defer recognition and disclosure requirements for financial assets and financial liabilities or for nonfinancial assets and nonfinancial liabilities that are remeasured at least annually. SFAS No. 157 is effective for financial assets and financial liabilities and for nonfinancial assets and nonfinancial liabilities that are remeasured at least annually for financial statements issued for fiscal years beginning after November 15, 2007 and interim periods within those fiscal years. The provisions of SFAS No. 157 will be applied prospectively. The Company intends to defer adoption of SFAS No. 157 for one year for nonfinancial assets and nonfinancial liabilities that are</w:t>
      </w:r>
    </w:p>
    <w:p>
      <w:pPr>
        <w:sectPr>
          <w:pgSz w:w="11900" w:h="16838" w:orient="portrait"/>
          <w:cols w:equalWidth="0" w:num="1">
            <w:col w:w="11420"/>
          </w:cols>
          <w:pgMar w:left="240" w:top="118" w:right="239" w:bottom="0" w:gutter="0" w:footer="0" w:header="0"/>
        </w:sectPr>
      </w:pPr>
    </w:p>
    <w:bookmarkStart w:id="13" w:name="page14"/>
    <w:bookmarkEnd w:id="13"/>
    <w:p>
      <w:pPr>
        <w:ind w:right="180"/>
        <w:spacing w:after="0" w:line="251" w:lineRule="auto"/>
        <w:rPr>
          <w:sz w:val="20"/>
          <w:szCs w:val="20"/>
          <w:color w:val="auto"/>
        </w:rPr>
      </w:pPr>
      <w:r>
        <w:rPr>
          <w:rFonts w:ascii="Arial" w:cs="Arial" w:eastAsia="Arial" w:hAnsi="Arial"/>
          <w:sz w:val="22"/>
          <w:szCs w:val="22"/>
          <w:color w:val="auto"/>
        </w:rPr>
        <w:t>recognized or disclosed at fair value in the financial statements on a nonrecurring basis. The Company is currently evaluating the effects, if any, that SFAS No. 157 may have on its financial condition and results of operations.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MANAGEMENT'S DISCUSSION AND ANALYSIS</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OF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ind w:right="140" w:firstLine="270"/>
        <w:spacing w:after="0" w:line="249" w:lineRule="auto"/>
        <w:rPr>
          <w:sz w:val="20"/>
          <w:szCs w:val="20"/>
          <w:color w:val="auto"/>
        </w:rPr>
      </w:pPr>
      <w:r>
        <w:rPr>
          <w:rFonts w:ascii="Arial" w:cs="Arial" w:eastAsia="Arial" w:hAnsi="Arial"/>
          <w:sz w:val="21"/>
          <w:szCs w:val="21"/>
          <w:color w:val="auto"/>
        </w:rPr>
        <w:t>Management's discussion and analysis of the Company's financial condition, business results and outlook should be read in conjunction with its condensed consolidated financial statements and related notes. Various segments of this MD&amp;A do contain forward-looking statements, all of which are presented based on current expectations and may be adversely affected by uncertainties and risk factors presented throughout this filing and the Company's Annual Report on Form 10-K for the fiscal 2007 year, leading actual results to materially differ from these expectations.</w:t>
      </w:r>
    </w:p>
    <w:p>
      <w:pPr>
        <w:spacing w:after="0" w:line="179" w:lineRule="exact"/>
        <w:rPr>
          <w:sz w:val="20"/>
          <w:szCs w:val="20"/>
          <w:color w:val="auto"/>
        </w:rPr>
      </w:pPr>
    </w:p>
    <w:p>
      <w:pPr>
        <w:ind w:firstLine="266"/>
        <w:spacing w:after="0" w:line="271" w:lineRule="auto"/>
        <w:rPr>
          <w:sz w:val="20"/>
          <w:szCs w:val="20"/>
          <w:color w:val="auto"/>
        </w:rPr>
      </w:pPr>
      <w:r>
        <w:rPr>
          <w:rFonts w:ascii="Arial" w:cs="Arial" w:eastAsia="Arial" w:hAnsi="Arial"/>
          <w:sz w:val="19"/>
          <w:szCs w:val="19"/>
          <w:color w:val="auto"/>
        </w:rPr>
        <w:t>The Company sells substantially all of its photomasks to semiconductor designers and manufacturers, and manufacturers of flat panel displays (FPDs). Photomask technology is also being applied to the fabrication of other higher performance electronic products such as photonics, micro-electronic mechanical systems and certain nanotechnology applications.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In addition, the reduced use of customized integrated circuits (ICs), reductions in design complexity or other changes in the technology or methods of manufacturing semiconductors or a slowdown in the introduction of new semiconductor or FPD designs could reduce demand for photomasks even if demand for semiconductors and FPDs increases. Advances in semiconductor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Changes in Results of Operations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and Six Months ended April 27, 2008 and April 29, 2007</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table represents selected operating information expressed as a percentage of net sales: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64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w w:val="89"/>
              </w:rPr>
              <w:t>Three Months Ended</w:t>
            </w:r>
          </w:p>
        </w:tc>
        <w:tc>
          <w:tcPr>
            <w:tcW w:w="80" w:type="dxa"/>
            <w:vAlign w:val="bottom"/>
          </w:tcPr>
          <w:p>
            <w:pPr>
              <w:spacing w:after="0"/>
              <w:rPr>
                <w:sz w:val="24"/>
                <w:szCs w:val="24"/>
                <w:color w:val="auto"/>
              </w:rPr>
            </w:pPr>
          </w:p>
        </w:tc>
        <w:tc>
          <w:tcPr>
            <w:tcW w:w="1900" w:type="dxa"/>
            <w:vAlign w:val="bottom"/>
            <w:gridSpan w:val="3"/>
          </w:tcPr>
          <w:p>
            <w:pPr>
              <w:jc w:val="right"/>
              <w:ind w:right="12"/>
              <w:spacing w:after="0"/>
              <w:rPr>
                <w:sz w:val="20"/>
                <w:szCs w:val="20"/>
                <w:color w:val="auto"/>
              </w:rPr>
            </w:pPr>
            <w:r>
              <w:rPr>
                <w:rFonts w:ascii="Arial" w:cs="Arial" w:eastAsia="Arial" w:hAnsi="Arial"/>
                <w:sz w:val="22"/>
                <w:szCs w:val="22"/>
                <w:b w:val="1"/>
                <w:bCs w:val="1"/>
                <w:color w:val="auto"/>
                <w:w w:val="92"/>
              </w:rPr>
              <w:t>Six Months Ended</w:t>
            </w:r>
          </w:p>
        </w:tc>
      </w:tr>
      <w:tr>
        <w:trPr>
          <w:trHeight w:val="98"/>
        </w:trPr>
        <w:tc>
          <w:tcPr>
            <w:tcW w:w="46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331"/>
        </w:trPr>
        <w:tc>
          <w:tcPr>
            <w:tcW w:w="4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w w:val="96"/>
              </w:rPr>
              <w:t>April 27,</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w w:val="96"/>
              </w:rPr>
              <w:t>April 29,</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b w:val="1"/>
                <w:bCs w:val="1"/>
                <w:color w:val="auto"/>
                <w:w w:val="92"/>
              </w:rPr>
              <w:t>April 27,</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b w:val="1"/>
                <w:bCs w:val="1"/>
                <w:color w:val="auto"/>
                <w:w w:val="92"/>
              </w:rPr>
              <w:t>April 29,</w:t>
            </w:r>
          </w:p>
        </w:tc>
      </w:tr>
      <w:tr>
        <w:trPr>
          <w:trHeight w:val="281"/>
        </w:trPr>
        <w:tc>
          <w:tcPr>
            <w:tcW w:w="4640" w:type="dxa"/>
            <w:vAlign w:val="bottom"/>
          </w:tcPr>
          <w:p>
            <w:pPr>
              <w:spacing w:after="0"/>
              <w:rPr>
                <w:sz w:val="24"/>
                <w:szCs w:val="24"/>
                <w:color w:val="auto"/>
              </w:rPr>
            </w:pPr>
          </w:p>
        </w:tc>
        <w:tc>
          <w:tcPr>
            <w:tcW w:w="920" w:type="dxa"/>
            <w:vAlign w:val="bottom"/>
          </w:tcPr>
          <w:p>
            <w:pPr>
              <w:jc w:val="right"/>
              <w:ind w:right="152"/>
              <w:spacing w:after="0"/>
              <w:rPr>
                <w:sz w:val="20"/>
                <w:szCs w:val="20"/>
                <w:color w:val="auto"/>
              </w:rPr>
            </w:pPr>
            <w:r>
              <w:rPr>
                <w:rFonts w:ascii="Arial" w:cs="Arial" w:eastAsia="Arial" w:hAnsi="Arial"/>
                <w:sz w:val="22"/>
                <w:szCs w:val="22"/>
                <w:b w:val="1"/>
                <w:bCs w:val="1"/>
                <w:color w:val="auto"/>
              </w:rPr>
              <w:t>2008</w:t>
            </w:r>
          </w:p>
        </w:tc>
        <w:tc>
          <w:tcPr>
            <w:tcW w:w="1080" w:type="dxa"/>
            <w:vAlign w:val="bottom"/>
            <w:gridSpan w:val="2"/>
          </w:tcPr>
          <w:p>
            <w:pPr>
              <w:jc w:val="right"/>
              <w:ind w:right="152"/>
              <w:spacing w:after="0"/>
              <w:rPr>
                <w:sz w:val="20"/>
                <w:szCs w:val="20"/>
                <w:color w:val="auto"/>
              </w:rPr>
            </w:pPr>
            <w:r>
              <w:rPr>
                <w:rFonts w:ascii="Arial" w:cs="Arial" w:eastAsia="Arial" w:hAnsi="Arial"/>
                <w:sz w:val="22"/>
                <w:szCs w:val="22"/>
                <w:b w:val="1"/>
                <w:bCs w:val="1"/>
                <w:color w:val="auto"/>
              </w:rPr>
              <w:t>2007</w:t>
            </w:r>
          </w:p>
        </w:tc>
        <w:tc>
          <w:tcPr>
            <w:tcW w:w="940" w:type="dxa"/>
            <w:vAlign w:val="bottom"/>
            <w:gridSpan w:val="2"/>
          </w:tcPr>
          <w:p>
            <w:pPr>
              <w:jc w:val="right"/>
              <w:ind w:right="132"/>
              <w:spacing w:after="0"/>
              <w:rPr>
                <w:sz w:val="20"/>
                <w:szCs w:val="20"/>
                <w:color w:val="auto"/>
              </w:rPr>
            </w:pPr>
            <w:r>
              <w:rPr>
                <w:rFonts w:ascii="Arial" w:cs="Arial" w:eastAsia="Arial" w:hAnsi="Arial"/>
                <w:sz w:val="22"/>
                <w:szCs w:val="22"/>
                <w:b w:val="1"/>
                <w:bCs w:val="1"/>
                <w:color w:val="auto"/>
              </w:rPr>
              <w:t>2008</w:t>
            </w:r>
          </w:p>
        </w:tc>
        <w:tc>
          <w:tcPr>
            <w:tcW w:w="1040" w:type="dxa"/>
            <w:vAlign w:val="bottom"/>
            <w:gridSpan w:val="2"/>
          </w:tcPr>
          <w:p>
            <w:pPr>
              <w:jc w:val="right"/>
              <w:ind w:right="132"/>
              <w:spacing w:after="0"/>
              <w:rPr>
                <w:sz w:val="20"/>
                <w:szCs w:val="20"/>
                <w:color w:val="auto"/>
              </w:rPr>
            </w:pPr>
            <w:r>
              <w:rPr>
                <w:rFonts w:ascii="Arial" w:cs="Arial" w:eastAsia="Arial" w:hAnsi="Arial"/>
                <w:sz w:val="22"/>
                <w:szCs w:val="22"/>
                <w:b w:val="1"/>
                <w:bCs w:val="1"/>
                <w:color w:val="auto"/>
              </w:rPr>
              <w:t>2007</w:t>
            </w:r>
          </w:p>
        </w:tc>
      </w:tr>
      <w:tr>
        <w:trPr>
          <w:trHeight w:val="98"/>
        </w:trPr>
        <w:tc>
          <w:tcPr>
            <w:tcW w:w="46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580"/>
        </w:trPr>
        <w:tc>
          <w:tcPr>
            <w:tcW w:w="4640" w:type="dxa"/>
            <w:vAlign w:val="bottom"/>
          </w:tcPr>
          <w:p>
            <w:pPr>
              <w:spacing w:after="0"/>
              <w:rPr>
                <w:sz w:val="20"/>
                <w:szCs w:val="20"/>
                <w:color w:val="auto"/>
              </w:rPr>
            </w:pPr>
            <w:r>
              <w:rPr>
                <w:rFonts w:ascii="Arial" w:cs="Arial" w:eastAsia="Arial" w:hAnsi="Arial"/>
                <w:sz w:val="22"/>
                <w:szCs w:val="22"/>
                <w:color w:val="auto"/>
              </w:rPr>
              <w:t>Net sales</w:t>
            </w:r>
          </w:p>
        </w:tc>
        <w:tc>
          <w:tcPr>
            <w:tcW w:w="920" w:type="dxa"/>
            <w:vAlign w:val="bottom"/>
          </w:tcPr>
          <w:p>
            <w:pPr>
              <w:jc w:val="right"/>
              <w:spacing w:after="0"/>
              <w:rPr>
                <w:sz w:val="20"/>
                <w:szCs w:val="20"/>
                <w:color w:val="auto"/>
              </w:rPr>
            </w:pPr>
            <w:r>
              <w:rPr>
                <w:rFonts w:ascii="Arial" w:cs="Arial" w:eastAsia="Arial" w:hAnsi="Arial"/>
                <w:sz w:val="22"/>
                <w:szCs w:val="22"/>
                <w:color w:val="auto"/>
              </w:rPr>
              <w:t>100.0%</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100.0%</w:t>
            </w:r>
          </w:p>
        </w:tc>
        <w:tc>
          <w:tcPr>
            <w:tcW w:w="940" w:type="dxa"/>
            <w:vAlign w:val="bottom"/>
            <w:gridSpan w:val="2"/>
          </w:tcPr>
          <w:p>
            <w:pPr>
              <w:jc w:val="right"/>
              <w:spacing w:after="0"/>
              <w:rPr>
                <w:sz w:val="20"/>
                <w:szCs w:val="20"/>
                <w:color w:val="auto"/>
              </w:rPr>
            </w:pPr>
            <w:r>
              <w:rPr>
                <w:rFonts w:ascii="Arial" w:cs="Arial" w:eastAsia="Arial" w:hAnsi="Arial"/>
                <w:sz w:val="22"/>
                <w:szCs w:val="22"/>
                <w:color w:val="auto"/>
              </w:rPr>
              <w:t>100.0%</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100.0%</w:t>
            </w:r>
          </w:p>
        </w:tc>
      </w:tr>
      <w:tr>
        <w:trPr>
          <w:trHeight w:val="275"/>
        </w:trPr>
        <w:tc>
          <w:tcPr>
            <w:tcW w:w="4640" w:type="dxa"/>
            <w:vAlign w:val="bottom"/>
          </w:tcPr>
          <w:p>
            <w:pPr>
              <w:spacing w:after="0"/>
              <w:rPr>
                <w:sz w:val="20"/>
                <w:szCs w:val="20"/>
                <w:color w:val="auto"/>
              </w:rPr>
            </w:pPr>
            <w:r>
              <w:rPr>
                <w:rFonts w:ascii="Arial" w:cs="Arial" w:eastAsia="Arial" w:hAnsi="Arial"/>
                <w:sz w:val="22"/>
                <w:szCs w:val="22"/>
                <w:color w:val="auto"/>
              </w:rPr>
              <w:t>Cost of sales</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(81.6)</w:t>
            </w:r>
          </w:p>
        </w:tc>
        <w:tc>
          <w:tcPr>
            <w:tcW w:w="1080" w:type="dxa"/>
            <w:vAlign w:val="bottom"/>
            <w:gridSpan w:val="2"/>
          </w:tcPr>
          <w:p>
            <w:pPr>
              <w:jc w:val="right"/>
              <w:ind w:right="32"/>
              <w:spacing w:after="0"/>
              <w:rPr>
                <w:sz w:val="20"/>
                <w:szCs w:val="20"/>
                <w:color w:val="auto"/>
              </w:rPr>
            </w:pPr>
            <w:r>
              <w:rPr>
                <w:rFonts w:ascii="Arial" w:cs="Arial" w:eastAsia="Arial" w:hAnsi="Arial"/>
                <w:sz w:val="22"/>
                <w:szCs w:val="22"/>
                <w:color w:val="auto"/>
              </w:rPr>
              <w:t>(76.1)</w:t>
            </w:r>
          </w:p>
        </w:tc>
        <w:tc>
          <w:tcPr>
            <w:tcW w:w="940" w:type="dxa"/>
            <w:vAlign w:val="bottom"/>
            <w:gridSpan w:val="2"/>
          </w:tcPr>
          <w:p>
            <w:pPr>
              <w:jc w:val="right"/>
              <w:ind w:right="92"/>
              <w:spacing w:after="0"/>
              <w:rPr>
                <w:sz w:val="20"/>
                <w:szCs w:val="20"/>
                <w:color w:val="auto"/>
              </w:rPr>
            </w:pPr>
            <w:r>
              <w:rPr>
                <w:rFonts w:ascii="Arial" w:cs="Arial" w:eastAsia="Arial" w:hAnsi="Arial"/>
                <w:sz w:val="22"/>
                <w:szCs w:val="22"/>
                <w:color w:val="auto"/>
              </w:rPr>
              <w:t>(80.9)</w:t>
            </w:r>
          </w:p>
        </w:tc>
        <w:tc>
          <w:tcPr>
            <w:tcW w:w="1040" w:type="dxa"/>
            <w:vAlign w:val="bottom"/>
            <w:gridSpan w:val="2"/>
          </w:tcPr>
          <w:p>
            <w:pPr>
              <w:jc w:val="right"/>
              <w:ind w:right="32"/>
              <w:spacing w:after="0"/>
              <w:rPr>
                <w:sz w:val="20"/>
                <w:szCs w:val="20"/>
                <w:color w:val="auto"/>
              </w:rPr>
            </w:pPr>
            <w:r>
              <w:rPr>
                <w:rFonts w:ascii="Arial" w:cs="Arial" w:eastAsia="Arial" w:hAnsi="Arial"/>
                <w:sz w:val="22"/>
                <w:szCs w:val="22"/>
                <w:color w:val="auto"/>
              </w:rPr>
              <w:t>(74.1)</w:t>
            </w:r>
          </w:p>
        </w:tc>
      </w:tr>
      <w:tr>
        <w:trPr>
          <w:trHeight w:val="98"/>
        </w:trPr>
        <w:tc>
          <w:tcPr>
            <w:tcW w:w="464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r>
      <w:tr>
        <w:trPr>
          <w:trHeight w:val="337"/>
        </w:trPr>
        <w:tc>
          <w:tcPr>
            <w:tcW w:w="4640" w:type="dxa"/>
            <w:vAlign w:val="bottom"/>
          </w:tcPr>
          <w:p>
            <w:pPr>
              <w:spacing w:after="0"/>
              <w:rPr>
                <w:sz w:val="20"/>
                <w:szCs w:val="20"/>
                <w:color w:val="auto"/>
              </w:rPr>
            </w:pPr>
            <w:r>
              <w:rPr>
                <w:rFonts w:ascii="Arial" w:cs="Arial" w:eastAsia="Arial" w:hAnsi="Arial"/>
                <w:sz w:val="22"/>
                <w:szCs w:val="22"/>
                <w:color w:val="auto"/>
              </w:rPr>
              <w:t>Gross margin</w:t>
            </w: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18.4</w:t>
            </w:r>
          </w:p>
        </w:tc>
        <w:tc>
          <w:tcPr>
            <w:tcW w:w="1080" w:type="dxa"/>
            <w:vAlign w:val="bottom"/>
            <w:gridSpan w:val="2"/>
          </w:tcPr>
          <w:p>
            <w:pPr>
              <w:jc w:val="right"/>
              <w:ind w:right="72"/>
              <w:spacing w:after="0"/>
              <w:rPr>
                <w:sz w:val="20"/>
                <w:szCs w:val="20"/>
                <w:color w:val="auto"/>
              </w:rPr>
            </w:pPr>
            <w:r>
              <w:rPr>
                <w:rFonts w:ascii="Arial" w:cs="Arial" w:eastAsia="Arial" w:hAnsi="Arial"/>
                <w:sz w:val="22"/>
                <w:szCs w:val="22"/>
                <w:color w:val="auto"/>
              </w:rPr>
              <w:t>23.9</w:t>
            </w:r>
          </w:p>
        </w:tc>
        <w:tc>
          <w:tcPr>
            <w:tcW w:w="940" w:type="dxa"/>
            <w:vAlign w:val="bottom"/>
            <w:gridSpan w:val="2"/>
          </w:tcPr>
          <w:p>
            <w:pPr>
              <w:jc w:val="right"/>
              <w:ind w:right="152"/>
              <w:spacing w:after="0"/>
              <w:rPr>
                <w:sz w:val="20"/>
                <w:szCs w:val="20"/>
                <w:color w:val="auto"/>
              </w:rPr>
            </w:pPr>
            <w:r>
              <w:rPr>
                <w:rFonts w:ascii="Arial" w:cs="Arial" w:eastAsia="Arial" w:hAnsi="Arial"/>
                <w:sz w:val="22"/>
                <w:szCs w:val="22"/>
                <w:color w:val="auto"/>
              </w:rPr>
              <w:t>19.1</w:t>
            </w:r>
          </w:p>
        </w:tc>
        <w:tc>
          <w:tcPr>
            <w:tcW w:w="1040" w:type="dxa"/>
            <w:vAlign w:val="bottom"/>
            <w:gridSpan w:val="2"/>
          </w:tcPr>
          <w:p>
            <w:pPr>
              <w:jc w:val="right"/>
              <w:ind w:right="92"/>
              <w:spacing w:after="0"/>
              <w:rPr>
                <w:sz w:val="20"/>
                <w:szCs w:val="20"/>
                <w:color w:val="auto"/>
              </w:rPr>
            </w:pPr>
            <w:r>
              <w:rPr>
                <w:rFonts w:ascii="Arial" w:cs="Arial" w:eastAsia="Arial" w:hAnsi="Arial"/>
                <w:sz w:val="22"/>
                <w:szCs w:val="22"/>
                <w:color w:val="auto"/>
              </w:rPr>
              <w:t>25.9</w:t>
            </w: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expenses</w:t>
            </w:r>
          </w:p>
        </w:tc>
        <w:tc>
          <w:tcPr>
            <w:tcW w:w="920" w:type="dxa"/>
            <w:vAlign w:val="bottom"/>
          </w:tcPr>
          <w:p>
            <w:pPr>
              <w:jc w:val="right"/>
              <w:ind w:right="92"/>
              <w:spacing w:after="0" w:line="243" w:lineRule="exact"/>
              <w:rPr>
                <w:sz w:val="20"/>
                <w:szCs w:val="20"/>
                <w:color w:val="auto"/>
              </w:rPr>
            </w:pPr>
            <w:r>
              <w:rPr>
                <w:rFonts w:ascii="Arial" w:cs="Arial" w:eastAsia="Arial" w:hAnsi="Arial"/>
                <w:sz w:val="22"/>
                <w:szCs w:val="22"/>
                <w:color w:val="auto"/>
              </w:rPr>
              <w:t>(12.3)</w:t>
            </w:r>
          </w:p>
        </w:tc>
        <w:tc>
          <w:tcPr>
            <w:tcW w:w="108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(13.2)</w:t>
            </w:r>
          </w:p>
        </w:tc>
        <w:tc>
          <w:tcPr>
            <w:tcW w:w="940" w:type="dxa"/>
            <w:vAlign w:val="bottom"/>
            <w:gridSpan w:val="2"/>
          </w:tcPr>
          <w:p>
            <w:pPr>
              <w:jc w:val="right"/>
              <w:ind w:right="92"/>
              <w:spacing w:after="0" w:line="243" w:lineRule="exact"/>
              <w:rPr>
                <w:sz w:val="20"/>
                <w:szCs w:val="20"/>
                <w:color w:val="auto"/>
              </w:rPr>
            </w:pPr>
            <w:r>
              <w:rPr>
                <w:rFonts w:ascii="Arial" w:cs="Arial" w:eastAsia="Arial" w:hAnsi="Arial"/>
                <w:sz w:val="22"/>
                <w:szCs w:val="22"/>
                <w:color w:val="auto"/>
              </w:rPr>
              <w:t>(14.0)</w:t>
            </w:r>
          </w:p>
        </w:tc>
        <w:tc>
          <w:tcPr>
            <w:tcW w:w="104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(14.3)</w:t>
            </w: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Research and development expenses</w:t>
            </w:r>
          </w:p>
        </w:tc>
        <w:tc>
          <w:tcPr>
            <w:tcW w:w="920" w:type="dxa"/>
            <w:vAlign w:val="bottom"/>
          </w:tcPr>
          <w:p>
            <w:pPr>
              <w:jc w:val="right"/>
              <w:ind w:right="92"/>
              <w:spacing w:after="0" w:line="243" w:lineRule="exact"/>
              <w:rPr>
                <w:sz w:val="20"/>
                <w:szCs w:val="20"/>
                <w:color w:val="auto"/>
              </w:rPr>
            </w:pPr>
            <w:r>
              <w:rPr>
                <w:rFonts w:ascii="Arial" w:cs="Arial" w:eastAsia="Arial" w:hAnsi="Arial"/>
                <w:sz w:val="22"/>
                <w:szCs w:val="22"/>
                <w:color w:val="auto"/>
              </w:rPr>
              <w:t>(4.2)</w:t>
            </w:r>
          </w:p>
        </w:tc>
        <w:tc>
          <w:tcPr>
            <w:tcW w:w="108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(3.9)</w:t>
            </w:r>
          </w:p>
        </w:tc>
        <w:tc>
          <w:tcPr>
            <w:tcW w:w="940" w:type="dxa"/>
            <w:vAlign w:val="bottom"/>
            <w:gridSpan w:val="2"/>
          </w:tcPr>
          <w:p>
            <w:pPr>
              <w:jc w:val="right"/>
              <w:ind w:right="92"/>
              <w:spacing w:after="0" w:line="243" w:lineRule="exact"/>
              <w:rPr>
                <w:sz w:val="20"/>
                <w:szCs w:val="20"/>
                <w:color w:val="auto"/>
              </w:rPr>
            </w:pPr>
            <w:r>
              <w:rPr>
                <w:rFonts w:ascii="Arial" w:cs="Arial" w:eastAsia="Arial" w:hAnsi="Arial"/>
                <w:sz w:val="22"/>
                <w:szCs w:val="22"/>
                <w:color w:val="auto"/>
              </w:rPr>
              <w:t>(4.1)</w:t>
            </w:r>
          </w:p>
        </w:tc>
        <w:tc>
          <w:tcPr>
            <w:tcW w:w="1040" w:type="dxa"/>
            <w:vAlign w:val="bottom"/>
            <w:gridSpan w:val="2"/>
          </w:tcPr>
          <w:p>
            <w:pPr>
              <w:jc w:val="right"/>
              <w:ind w:right="32"/>
              <w:spacing w:after="0" w:line="243" w:lineRule="exact"/>
              <w:rPr>
                <w:sz w:val="20"/>
                <w:szCs w:val="20"/>
                <w:color w:val="auto"/>
              </w:rPr>
            </w:pPr>
            <w:r>
              <w:rPr>
                <w:rFonts w:ascii="Arial" w:cs="Arial" w:eastAsia="Arial" w:hAnsi="Arial"/>
                <w:sz w:val="22"/>
                <w:szCs w:val="22"/>
                <w:color w:val="auto"/>
              </w:rPr>
              <w:t>(4.2)</w:t>
            </w:r>
          </w:p>
        </w:tc>
      </w:tr>
      <w:tr>
        <w:trPr>
          <w:trHeight w:val="275"/>
        </w:trPr>
        <w:tc>
          <w:tcPr>
            <w:tcW w:w="4640" w:type="dxa"/>
            <w:vAlign w:val="bottom"/>
          </w:tcPr>
          <w:p>
            <w:pPr>
              <w:spacing w:after="0"/>
              <w:rPr>
                <w:sz w:val="20"/>
                <w:szCs w:val="20"/>
                <w:color w:val="auto"/>
              </w:rPr>
            </w:pPr>
            <w:r>
              <w:rPr>
                <w:rFonts w:ascii="Arial" w:cs="Arial" w:eastAsia="Arial" w:hAnsi="Arial"/>
                <w:sz w:val="22"/>
                <w:szCs w:val="22"/>
                <w:color w:val="auto"/>
              </w:rPr>
              <w:t>Gain on sale of facility</w:t>
            </w: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72"/>
              <w:spacing w:after="0"/>
              <w:rPr>
                <w:sz w:val="20"/>
                <w:szCs w:val="20"/>
                <w:color w:val="auto"/>
              </w:rPr>
            </w:pPr>
            <w:r>
              <w:rPr>
                <w:rFonts w:ascii="Arial" w:cs="Arial" w:eastAsia="Arial" w:hAnsi="Arial"/>
                <w:sz w:val="22"/>
                <w:szCs w:val="22"/>
                <w:color w:val="auto"/>
              </w:rPr>
              <w:t>-</w:t>
            </w:r>
          </w:p>
        </w:tc>
        <w:tc>
          <w:tcPr>
            <w:tcW w:w="940" w:type="dxa"/>
            <w:vAlign w:val="bottom"/>
            <w:gridSpan w:val="2"/>
          </w:tcPr>
          <w:p>
            <w:pPr>
              <w:jc w:val="right"/>
              <w:ind w:right="152"/>
              <w:spacing w:after="0"/>
              <w:rPr>
                <w:sz w:val="20"/>
                <w:szCs w:val="20"/>
                <w:color w:val="auto"/>
              </w:rPr>
            </w:pPr>
            <w:r>
              <w:rPr>
                <w:rFonts w:ascii="Arial" w:cs="Arial" w:eastAsia="Arial" w:hAnsi="Arial"/>
                <w:sz w:val="22"/>
                <w:szCs w:val="22"/>
                <w:color w:val="auto"/>
              </w:rPr>
              <w:t>-</w:t>
            </w:r>
          </w:p>
        </w:tc>
        <w:tc>
          <w:tcPr>
            <w:tcW w:w="1040" w:type="dxa"/>
            <w:vAlign w:val="bottom"/>
            <w:gridSpan w:val="2"/>
          </w:tcPr>
          <w:p>
            <w:pPr>
              <w:jc w:val="right"/>
              <w:ind w:right="92"/>
              <w:spacing w:after="0"/>
              <w:rPr>
                <w:sz w:val="20"/>
                <w:szCs w:val="20"/>
                <w:color w:val="auto"/>
              </w:rPr>
            </w:pPr>
            <w:r>
              <w:rPr>
                <w:rFonts w:ascii="Arial" w:cs="Arial" w:eastAsia="Arial" w:hAnsi="Arial"/>
                <w:sz w:val="22"/>
                <w:szCs w:val="22"/>
                <w:color w:val="auto"/>
              </w:rPr>
              <w:t>1.0</w:t>
            </w:r>
          </w:p>
        </w:tc>
      </w:tr>
      <w:tr>
        <w:trPr>
          <w:trHeight w:val="98"/>
        </w:trPr>
        <w:tc>
          <w:tcPr>
            <w:tcW w:w="464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r>
      <w:tr>
        <w:trPr>
          <w:trHeight w:val="368"/>
        </w:trPr>
        <w:tc>
          <w:tcPr>
            <w:tcW w:w="4640" w:type="dxa"/>
            <w:vAlign w:val="bottom"/>
          </w:tcPr>
          <w:p>
            <w:pPr>
              <w:spacing w:after="0"/>
              <w:rPr>
                <w:sz w:val="20"/>
                <w:szCs w:val="20"/>
                <w:color w:val="auto"/>
              </w:rPr>
            </w:pPr>
            <w:r>
              <w:rPr>
                <w:rFonts w:ascii="Arial" w:cs="Arial" w:eastAsia="Arial" w:hAnsi="Arial"/>
                <w:sz w:val="22"/>
                <w:szCs w:val="22"/>
                <w:color w:val="auto"/>
              </w:rPr>
              <w:t>Operating income</w:t>
            </w: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1.9</w:t>
            </w:r>
          </w:p>
        </w:tc>
        <w:tc>
          <w:tcPr>
            <w:tcW w:w="1080" w:type="dxa"/>
            <w:vAlign w:val="bottom"/>
            <w:gridSpan w:val="2"/>
          </w:tcPr>
          <w:p>
            <w:pPr>
              <w:jc w:val="right"/>
              <w:ind w:right="72"/>
              <w:spacing w:after="0"/>
              <w:rPr>
                <w:sz w:val="20"/>
                <w:szCs w:val="20"/>
                <w:color w:val="auto"/>
              </w:rPr>
            </w:pPr>
            <w:r>
              <w:rPr>
                <w:rFonts w:ascii="Arial" w:cs="Arial" w:eastAsia="Arial" w:hAnsi="Arial"/>
                <w:sz w:val="22"/>
                <w:szCs w:val="22"/>
                <w:color w:val="auto"/>
              </w:rPr>
              <w:t>6.8</w:t>
            </w:r>
          </w:p>
        </w:tc>
        <w:tc>
          <w:tcPr>
            <w:tcW w:w="940" w:type="dxa"/>
            <w:vAlign w:val="bottom"/>
            <w:gridSpan w:val="2"/>
          </w:tcPr>
          <w:p>
            <w:pPr>
              <w:jc w:val="right"/>
              <w:ind w:right="152"/>
              <w:spacing w:after="0"/>
              <w:rPr>
                <w:sz w:val="20"/>
                <w:szCs w:val="20"/>
                <w:color w:val="auto"/>
              </w:rPr>
            </w:pPr>
            <w:r>
              <w:rPr>
                <w:rFonts w:ascii="Arial" w:cs="Arial" w:eastAsia="Arial" w:hAnsi="Arial"/>
                <w:sz w:val="22"/>
                <w:szCs w:val="22"/>
                <w:color w:val="auto"/>
              </w:rPr>
              <w:t>1.0</w:t>
            </w:r>
          </w:p>
        </w:tc>
        <w:tc>
          <w:tcPr>
            <w:tcW w:w="1040" w:type="dxa"/>
            <w:vAlign w:val="bottom"/>
            <w:gridSpan w:val="2"/>
          </w:tcPr>
          <w:p>
            <w:pPr>
              <w:jc w:val="right"/>
              <w:ind w:right="92"/>
              <w:spacing w:after="0"/>
              <w:rPr>
                <w:sz w:val="20"/>
                <w:szCs w:val="20"/>
                <w:color w:val="auto"/>
              </w:rPr>
            </w:pPr>
            <w:r>
              <w:rPr>
                <w:rFonts w:ascii="Arial" w:cs="Arial" w:eastAsia="Arial" w:hAnsi="Arial"/>
                <w:sz w:val="22"/>
                <w:szCs w:val="22"/>
                <w:color w:val="auto"/>
              </w:rPr>
              <w:t>8.4</w:t>
            </w:r>
          </w:p>
        </w:tc>
      </w:tr>
      <w:tr>
        <w:trPr>
          <w:trHeight w:val="486"/>
        </w:trPr>
        <w:tc>
          <w:tcPr>
            <w:tcW w:w="4640" w:type="dxa"/>
            <w:vAlign w:val="bottom"/>
          </w:tcPr>
          <w:p>
            <w:pPr>
              <w:spacing w:after="0"/>
              <w:rPr>
                <w:sz w:val="20"/>
                <w:szCs w:val="20"/>
                <w:color w:val="auto"/>
              </w:rPr>
            </w:pPr>
            <w:r>
              <w:rPr>
                <w:rFonts w:ascii="Arial" w:cs="Arial" w:eastAsia="Arial" w:hAnsi="Arial"/>
                <w:sz w:val="22"/>
                <w:szCs w:val="22"/>
                <w:color w:val="auto"/>
              </w:rPr>
              <w:t>Other income (expense), net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(2.9)</w:t>
            </w:r>
          </w:p>
        </w:tc>
        <w:tc>
          <w:tcPr>
            <w:tcW w:w="1080" w:type="dxa"/>
            <w:vAlign w:val="bottom"/>
            <w:gridSpan w:val="2"/>
          </w:tcPr>
          <w:p>
            <w:pPr>
              <w:jc w:val="right"/>
              <w:ind w:right="72"/>
              <w:spacing w:after="0"/>
              <w:rPr>
                <w:sz w:val="20"/>
                <w:szCs w:val="20"/>
                <w:color w:val="auto"/>
              </w:rPr>
            </w:pPr>
            <w:r>
              <w:rPr>
                <w:rFonts w:ascii="Arial" w:cs="Arial" w:eastAsia="Arial" w:hAnsi="Arial"/>
                <w:sz w:val="22"/>
                <w:szCs w:val="22"/>
                <w:color w:val="auto"/>
              </w:rPr>
              <w:t>0.4</w:t>
            </w:r>
          </w:p>
        </w:tc>
        <w:tc>
          <w:tcPr>
            <w:tcW w:w="940" w:type="dxa"/>
            <w:vAlign w:val="bottom"/>
            <w:gridSpan w:val="2"/>
          </w:tcPr>
          <w:p>
            <w:pPr>
              <w:jc w:val="right"/>
              <w:ind w:right="92"/>
              <w:spacing w:after="0"/>
              <w:rPr>
                <w:sz w:val="20"/>
                <w:szCs w:val="20"/>
                <w:color w:val="auto"/>
              </w:rPr>
            </w:pPr>
            <w:r>
              <w:rPr>
                <w:rFonts w:ascii="Arial" w:cs="Arial" w:eastAsia="Arial" w:hAnsi="Arial"/>
                <w:sz w:val="22"/>
                <w:szCs w:val="22"/>
                <w:color w:val="auto"/>
              </w:rPr>
              <w:t>(1.8)</w:t>
            </w:r>
          </w:p>
        </w:tc>
        <w:tc>
          <w:tcPr>
            <w:tcW w:w="1040" w:type="dxa"/>
            <w:vAlign w:val="bottom"/>
            <w:gridSpan w:val="2"/>
          </w:tcPr>
          <w:p>
            <w:pPr>
              <w:jc w:val="right"/>
              <w:ind w:right="92"/>
              <w:spacing w:after="0"/>
              <w:rPr>
                <w:sz w:val="20"/>
                <w:szCs w:val="20"/>
                <w:color w:val="auto"/>
              </w:rPr>
            </w:pPr>
            <w:r>
              <w:rPr>
                <w:rFonts w:ascii="Arial" w:cs="Arial" w:eastAsia="Arial" w:hAnsi="Arial"/>
                <w:sz w:val="22"/>
                <w:szCs w:val="22"/>
                <w:color w:val="auto"/>
              </w:rPr>
              <w:t>0.1</w:t>
            </w:r>
          </w:p>
        </w:tc>
      </w:tr>
      <w:tr>
        <w:trPr>
          <w:trHeight w:val="98"/>
        </w:trPr>
        <w:tc>
          <w:tcPr>
            <w:tcW w:w="464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r>
      <w:tr>
        <w:trPr>
          <w:trHeight w:val="337"/>
        </w:trPr>
        <w:tc>
          <w:tcPr>
            <w:tcW w:w="4640" w:type="dxa"/>
            <w:vAlign w:val="bottom"/>
          </w:tcPr>
          <w:p>
            <w:pPr>
              <w:spacing w:after="0"/>
              <w:rPr>
                <w:sz w:val="20"/>
                <w:szCs w:val="20"/>
                <w:color w:val="auto"/>
              </w:rPr>
            </w:pPr>
            <w:r>
              <w:rPr>
                <w:rFonts w:ascii="Arial" w:cs="Arial" w:eastAsia="Arial" w:hAnsi="Arial"/>
                <w:sz w:val="22"/>
                <w:szCs w:val="22"/>
                <w:color w:val="auto"/>
                <w:w w:val="96"/>
              </w:rPr>
              <w:t>Income before income taxes and minority interest</w:t>
            </w:r>
          </w:p>
        </w:tc>
        <w:tc>
          <w:tcPr>
            <w:tcW w:w="920" w:type="dxa"/>
            <w:vAlign w:val="bottom"/>
          </w:tcPr>
          <w:p>
            <w:pPr>
              <w:jc w:val="right"/>
              <w:ind w:right="92"/>
              <w:spacing w:after="0"/>
              <w:rPr>
                <w:sz w:val="20"/>
                <w:szCs w:val="20"/>
                <w:color w:val="auto"/>
              </w:rPr>
            </w:pPr>
            <w:r>
              <w:rPr>
                <w:rFonts w:ascii="Arial" w:cs="Arial" w:eastAsia="Arial" w:hAnsi="Arial"/>
                <w:sz w:val="22"/>
                <w:szCs w:val="22"/>
                <w:color w:val="auto"/>
              </w:rPr>
              <w:t>(1.0)</w:t>
            </w:r>
          </w:p>
        </w:tc>
        <w:tc>
          <w:tcPr>
            <w:tcW w:w="1080" w:type="dxa"/>
            <w:vAlign w:val="bottom"/>
            <w:gridSpan w:val="2"/>
          </w:tcPr>
          <w:p>
            <w:pPr>
              <w:jc w:val="right"/>
              <w:ind w:right="72"/>
              <w:spacing w:after="0"/>
              <w:rPr>
                <w:sz w:val="20"/>
                <w:szCs w:val="20"/>
                <w:color w:val="auto"/>
              </w:rPr>
            </w:pPr>
            <w:r>
              <w:rPr>
                <w:rFonts w:ascii="Arial" w:cs="Arial" w:eastAsia="Arial" w:hAnsi="Arial"/>
                <w:sz w:val="22"/>
                <w:szCs w:val="22"/>
                <w:color w:val="auto"/>
              </w:rPr>
              <w:t>7.2</w:t>
            </w:r>
          </w:p>
        </w:tc>
        <w:tc>
          <w:tcPr>
            <w:tcW w:w="940" w:type="dxa"/>
            <w:vAlign w:val="bottom"/>
            <w:gridSpan w:val="2"/>
          </w:tcPr>
          <w:p>
            <w:pPr>
              <w:jc w:val="right"/>
              <w:ind w:right="92"/>
              <w:spacing w:after="0"/>
              <w:rPr>
                <w:sz w:val="20"/>
                <w:szCs w:val="20"/>
                <w:color w:val="auto"/>
              </w:rPr>
            </w:pPr>
            <w:r>
              <w:rPr>
                <w:rFonts w:ascii="Arial" w:cs="Arial" w:eastAsia="Arial" w:hAnsi="Arial"/>
                <w:sz w:val="22"/>
                <w:szCs w:val="22"/>
                <w:color w:val="auto"/>
              </w:rPr>
              <w:t>(0.8)</w:t>
            </w:r>
          </w:p>
        </w:tc>
        <w:tc>
          <w:tcPr>
            <w:tcW w:w="1040" w:type="dxa"/>
            <w:vAlign w:val="bottom"/>
            <w:gridSpan w:val="2"/>
          </w:tcPr>
          <w:p>
            <w:pPr>
              <w:jc w:val="right"/>
              <w:ind w:right="92"/>
              <w:spacing w:after="0"/>
              <w:rPr>
                <w:sz w:val="20"/>
                <w:szCs w:val="20"/>
                <w:color w:val="auto"/>
              </w:rPr>
            </w:pPr>
            <w:r>
              <w:rPr>
                <w:rFonts w:ascii="Arial" w:cs="Arial" w:eastAsia="Arial" w:hAnsi="Arial"/>
                <w:sz w:val="22"/>
                <w:szCs w:val="22"/>
                <w:color w:val="auto"/>
              </w:rPr>
              <w:t>8.5</w:t>
            </w:r>
          </w:p>
        </w:tc>
      </w:tr>
      <w:tr>
        <w:trPr>
          <w:trHeight w:val="243"/>
        </w:trPr>
        <w:tc>
          <w:tcPr>
            <w:tcW w:w="4640" w:type="dxa"/>
            <w:vAlign w:val="bottom"/>
          </w:tcPr>
          <w:p>
            <w:pPr>
              <w:spacing w:after="0" w:line="243" w:lineRule="exact"/>
              <w:rPr>
                <w:sz w:val="20"/>
                <w:szCs w:val="20"/>
                <w:color w:val="auto"/>
              </w:rPr>
            </w:pPr>
            <w:r>
              <w:rPr>
                <w:rFonts w:ascii="Arial" w:cs="Arial" w:eastAsia="Arial" w:hAnsi="Arial"/>
                <w:sz w:val="22"/>
                <w:szCs w:val="22"/>
                <w:color w:val="auto"/>
              </w:rPr>
              <w:t>Income tax benefit (provision)</w:t>
            </w:r>
          </w:p>
        </w:tc>
        <w:tc>
          <w:tcPr>
            <w:tcW w:w="920" w:type="dxa"/>
            <w:vAlign w:val="bottom"/>
          </w:tcPr>
          <w:p>
            <w:pPr>
              <w:jc w:val="right"/>
              <w:ind w:right="92"/>
              <w:spacing w:after="0" w:line="243" w:lineRule="exact"/>
              <w:rPr>
                <w:sz w:val="20"/>
                <w:szCs w:val="20"/>
                <w:color w:val="auto"/>
              </w:rPr>
            </w:pPr>
            <w:r>
              <w:rPr>
                <w:rFonts w:ascii="Arial" w:cs="Arial" w:eastAsia="Arial" w:hAnsi="Arial"/>
                <w:sz w:val="22"/>
                <w:szCs w:val="22"/>
                <w:color w:val="auto"/>
              </w:rPr>
              <w:t>(0.9)</w:t>
            </w:r>
          </w:p>
        </w:tc>
        <w:tc>
          <w:tcPr>
            <w:tcW w:w="1080" w:type="dxa"/>
            <w:vAlign w:val="bottom"/>
            <w:gridSpan w:val="2"/>
          </w:tcPr>
          <w:p>
            <w:pPr>
              <w:jc w:val="right"/>
              <w:ind w:right="72"/>
              <w:spacing w:after="0" w:line="243" w:lineRule="exact"/>
              <w:rPr>
                <w:sz w:val="20"/>
                <w:szCs w:val="20"/>
                <w:color w:val="auto"/>
              </w:rPr>
            </w:pPr>
            <w:r>
              <w:rPr>
                <w:rFonts w:ascii="Arial" w:cs="Arial" w:eastAsia="Arial" w:hAnsi="Arial"/>
                <w:sz w:val="22"/>
                <w:szCs w:val="22"/>
                <w:color w:val="auto"/>
              </w:rPr>
              <w:t>5.8</w:t>
            </w:r>
          </w:p>
        </w:tc>
        <w:tc>
          <w:tcPr>
            <w:tcW w:w="940" w:type="dxa"/>
            <w:vAlign w:val="bottom"/>
            <w:gridSpan w:val="2"/>
          </w:tcPr>
          <w:p>
            <w:pPr>
              <w:jc w:val="right"/>
              <w:ind w:right="92"/>
              <w:spacing w:after="0" w:line="243" w:lineRule="exact"/>
              <w:rPr>
                <w:sz w:val="20"/>
                <w:szCs w:val="20"/>
                <w:color w:val="auto"/>
              </w:rPr>
            </w:pPr>
            <w:r>
              <w:rPr>
                <w:rFonts w:ascii="Arial" w:cs="Arial" w:eastAsia="Arial" w:hAnsi="Arial"/>
                <w:sz w:val="22"/>
                <w:szCs w:val="22"/>
                <w:color w:val="auto"/>
              </w:rPr>
              <w:t>(1.3)</w:t>
            </w:r>
          </w:p>
        </w:tc>
        <w:tc>
          <w:tcPr>
            <w:tcW w:w="1040" w:type="dxa"/>
            <w:vAlign w:val="bottom"/>
            <w:gridSpan w:val="2"/>
          </w:tcPr>
          <w:p>
            <w:pPr>
              <w:jc w:val="right"/>
              <w:ind w:right="92"/>
              <w:spacing w:after="0" w:line="243" w:lineRule="exact"/>
              <w:rPr>
                <w:sz w:val="20"/>
                <w:szCs w:val="20"/>
                <w:color w:val="auto"/>
              </w:rPr>
            </w:pPr>
            <w:r>
              <w:rPr>
                <w:rFonts w:ascii="Arial" w:cs="Arial" w:eastAsia="Arial" w:hAnsi="Arial"/>
                <w:sz w:val="22"/>
                <w:szCs w:val="22"/>
                <w:color w:val="auto"/>
              </w:rPr>
              <w:t>2.4</w:t>
            </w:r>
          </w:p>
        </w:tc>
      </w:tr>
      <w:tr>
        <w:trPr>
          <w:trHeight w:val="275"/>
        </w:trPr>
        <w:tc>
          <w:tcPr>
            <w:tcW w:w="4640" w:type="dxa"/>
            <w:vAlign w:val="bottom"/>
          </w:tcPr>
          <w:p>
            <w:pPr>
              <w:spacing w:after="0"/>
              <w:rPr>
                <w:sz w:val="20"/>
                <w:szCs w:val="20"/>
                <w:color w:val="auto"/>
              </w:rPr>
            </w:pPr>
            <w:r>
              <w:rPr>
                <w:rFonts w:ascii="Arial" w:cs="Arial" w:eastAsia="Arial" w:hAnsi="Arial"/>
                <w:sz w:val="22"/>
                <w:szCs w:val="22"/>
                <w:color w:val="auto"/>
              </w:rPr>
              <w:t>Minority interest</w:t>
            </w:r>
          </w:p>
        </w:tc>
        <w:tc>
          <w:tcPr>
            <w:tcW w:w="9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32"/>
              <w:spacing w:after="0"/>
              <w:rPr>
                <w:sz w:val="20"/>
                <w:szCs w:val="20"/>
                <w:color w:val="auto"/>
              </w:rPr>
            </w:pPr>
            <w:r>
              <w:rPr>
                <w:rFonts w:ascii="Arial" w:cs="Arial" w:eastAsia="Arial" w:hAnsi="Arial"/>
                <w:sz w:val="22"/>
                <w:szCs w:val="22"/>
                <w:color w:val="auto"/>
              </w:rPr>
              <w:t>(0.2)</w:t>
            </w:r>
          </w:p>
        </w:tc>
        <w:tc>
          <w:tcPr>
            <w:tcW w:w="940" w:type="dxa"/>
            <w:vAlign w:val="bottom"/>
            <w:gridSpan w:val="2"/>
          </w:tcPr>
          <w:p>
            <w:pPr>
              <w:jc w:val="right"/>
              <w:ind w:right="92"/>
              <w:spacing w:after="0"/>
              <w:rPr>
                <w:sz w:val="20"/>
                <w:szCs w:val="20"/>
                <w:color w:val="auto"/>
              </w:rPr>
            </w:pPr>
            <w:r>
              <w:rPr>
                <w:rFonts w:ascii="Arial" w:cs="Arial" w:eastAsia="Arial" w:hAnsi="Arial"/>
                <w:sz w:val="22"/>
                <w:szCs w:val="22"/>
                <w:color w:val="auto"/>
              </w:rPr>
              <w:t>(0.4)</w:t>
            </w:r>
          </w:p>
        </w:tc>
        <w:tc>
          <w:tcPr>
            <w:tcW w:w="1040" w:type="dxa"/>
            <w:vAlign w:val="bottom"/>
            <w:gridSpan w:val="2"/>
          </w:tcPr>
          <w:p>
            <w:pPr>
              <w:jc w:val="right"/>
              <w:ind w:right="32"/>
              <w:spacing w:after="0"/>
              <w:rPr>
                <w:sz w:val="20"/>
                <w:szCs w:val="20"/>
                <w:color w:val="auto"/>
              </w:rPr>
            </w:pPr>
            <w:r>
              <w:rPr>
                <w:rFonts w:ascii="Arial" w:cs="Arial" w:eastAsia="Arial" w:hAnsi="Arial"/>
                <w:sz w:val="22"/>
                <w:szCs w:val="22"/>
                <w:color w:val="auto"/>
              </w:rPr>
              <w:t>(0.7)</w:t>
            </w:r>
          </w:p>
        </w:tc>
      </w:tr>
      <w:tr>
        <w:trPr>
          <w:trHeight w:val="98"/>
        </w:trPr>
        <w:tc>
          <w:tcPr>
            <w:tcW w:w="464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336699"/>
            </w:tcBorders>
          </w:tcPr>
          <w:p>
            <w:pPr>
              <w:spacing w:after="0"/>
              <w:rPr>
                <w:sz w:val="8"/>
                <w:szCs w:val="8"/>
                <w:color w:val="auto"/>
              </w:rPr>
            </w:pPr>
          </w:p>
        </w:tc>
      </w:tr>
      <w:tr>
        <w:trPr>
          <w:trHeight w:val="368"/>
        </w:trPr>
        <w:tc>
          <w:tcPr>
            <w:tcW w:w="4640" w:type="dxa"/>
            <w:vAlign w:val="bottom"/>
          </w:tcPr>
          <w:p>
            <w:pPr>
              <w:spacing w:after="0"/>
              <w:rPr>
                <w:sz w:val="20"/>
                <w:szCs w:val="20"/>
                <w:color w:val="auto"/>
              </w:rPr>
            </w:pPr>
            <w:r>
              <w:rPr>
                <w:rFonts w:ascii="Arial" w:cs="Arial" w:eastAsia="Arial" w:hAnsi="Arial"/>
                <w:sz w:val="22"/>
                <w:szCs w:val="22"/>
                <w:color w:val="auto"/>
              </w:rPr>
              <w:t>Net income (loss)</w:t>
            </w:r>
          </w:p>
        </w:tc>
        <w:tc>
          <w:tcPr>
            <w:tcW w:w="920" w:type="dxa"/>
            <w:vAlign w:val="bottom"/>
          </w:tcPr>
          <w:p>
            <w:pPr>
              <w:jc w:val="right"/>
              <w:spacing w:after="0"/>
              <w:rPr>
                <w:sz w:val="20"/>
                <w:szCs w:val="20"/>
                <w:color w:val="auto"/>
              </w:rPr>
            </w:pPr>
            <w:r>
              <w:rPr>
                <w:rFonts w:ascii="Arial" w:cs="Arial" w:eastAsia="Arial" w:hAnsi="Arial"/>
                <w:sz w:val="22"/>
                <w:szCs w:val="22"/>
                <w:color w:val="auto"/>
              </w:rPr>
              <w:t>(1.9)%</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12.8%</w:t>
            </w:r>
          </w:p>
        </w:tc>
        <w:tc>
          <w:tcPr>
            <w:tcW w:w="940" w:type="dxa"/>
            <w:vAlign w:val="bottom"/>
            <w:gridSpan w:val="2"/>
          </w:tcPr>
          <w:p>
            <w:pPr>
              <w:jc w:val="right"/>
              <w:spacing w:after="0"/>
              <w:rPr>
                <w:sz w:val="20"/>
                <w:szCs w:val="20"/>
                <w:color w:val="auto"/>
              </w:rPr>
            </w:pPr>
            <w:r>
              <w:rPr>
                <w:rFonts w:ascii="Arial" w:cs="Arial" w:eastAsia="Arial" w:hAnsi="Arial"/>
                <w:sz w:val="22"/>
                <w:szCs w:val="22"/>
                <w:color w:val="auto"/>
              </w:rPr>
              <w:t>(2.5)%</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10.2%</w:t>
            </w:r>
          </w:p>
        </w:tc>
      </w:tr>
      <w:tr>
        <w:trPr>
          <w:trHeight w:val="122"/>
        </w:trPr>
        <w:tc>
          <w:tcPr>
            <w:tcW w:w="464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60"/>
          </w:cols>
          <w:pgMar w:left="240" w:top="118" w:right="299"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18" w:right="299" w:bottom="176" w:gutter="0" w:footer="0" w:header="0"/>
          <w:type w:val="continuous"/>
        </w:sectPr>
      </w:pPr>
    </w:p>
    <w:bookmarkStart w:id="14" w:name="page15"/>
    <w:bookmarkEnd w:id="14"/>
    <w:p>
      <w:pPr>
        <w:ind w:left="260"/>
        <w:spacing w:after="0"/>
        <w:rPr>
          <w:sz w:val="20"/>
          <w:szCs w:val="20"/>
          <w:color w:val="auto"/>
        </w:rPr>
      </w:pPr>
      <w:r>
        <w:rPr>
          <w:rFonts w:ascii="Arial" w:cs="Arial" w:eastAsia="Arial" w:hAnsi="Arial"/>
          <w:sz w:val="19"/>
          <w:szCs w:val="19"/>
          <w:color w:val="auto"/>
        </w:rPr>
        <w:t>All of the following tabular comparisons, unless otherwise indicated, are for the three months ended April 27, 2008 (Q2-08)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April 29, 2007 (Q2-07) and for the six months ended April 27, 2008 (YTD-08) and April 29, 2007 (YTD-07) in millions of dollars: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Net Sales</w:t>
            </w: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59"/>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5"/>
          </w:tcPr>
          <w:p>
            <w:pPr>
              <w:jc w:val="right"/>
              <w:spacing w:after="0"/>
              <w:rPr>
                <w:sz w:val="20"/>
                <w:szCs w:val="20"/>
                <w:color w:val="auto"/>
              </w:rPr>
            </w:pPr>
            <w:r>
              <w:rPr>
                <w:rFonts w:ascii="Arial" w:cs="Arial" w:eastAsia="Arial" w:hAnsi="Arial"/>
                <w:sz w:val="22"/>
                <w:szCs w:val="22"/>
                <w:b w:val="1"/>
                <w:bCs w:val="1"/>
                <w:color w:val="auto"/>
                <w:w w:val="92"/>
              </w:rPr>
              <w:t>Three Months Ended</w:t>
            </w:r>
          </w:p>
        </w:tc>
        <w:tc>
          <w:tcPr>
            <w:tcW w:w="140" w:type="dxa"/>
            <w:vAlign w:val="bottom"/>
          </w:tcPr>
          <w:p>
            <w:pPr>
              <w:spacing w:after="0"/>
              <w:rPr>
                <w:sz w:val="24"/>
                <w:szCs w:val="24"/>
                <w:color w:val="auto"/>
              </w:rPr>
            </w:pPr>
          </w:p>
        </w:tc>
        <w:tc>
          <w:tcPr>
            <w:tcW w:w="2460" w:type="dxa"/>
            <w:vAlign w:val="bottom"/>
            <w:gridSpan w:val="5"/>
          </w:tcPr>
          <w:p>
            <w:pPr>
              <w:jc w:val="right"/>
              <w:ind w:right="292"/>
              <w:spacing w:after="0"/>
              <w:rPr>
                <w:sz w:val="20"/>
                <w:szCs w:val="20"/>
                <w:color w:val="auto"/>
              </w:rPr>
            </w:pPr>
            <w:r>
              <w:rPr>
                <w:rFonts w:ascii="Arial" w:cs="Arial" w:eastAsia="Arial" w:hAnsi="Arial"/>
                <w:sz w:val="22"/>
                <w:szCs w:val="22"/>
                <w:b w:val="1"/>
                <w:bCs w:val="1"/>
                <w:color w:val="auto"/>
              </w:rPr>
              <w:t>Six Months Ended</w:t>
            </w:r>
          </w:p>
        </w:tc>
      </w:tr>
      <w:tr>
        <w:trPr>
          <w:trHeight w:val="112"/>
        </w:trPr>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317"/>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Percent</w:t>
            </w:r>
          </w:p>
        </w:tc>
      </w:tr>
      <w:tr>
        <w:trPr>
          <w:trHeight w:val="281"/>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5"/>
          </w:tcPr>
          <w:p>
            <w:pPr>
              <w:jc w:val="right"/>
              <w:spacing w:after="0"/>
              <w:rPr>
                <w:sz w:val="20"/>
                <w:szCs w:val="20"/>
                <w:color w:val="auto"/>
              </w:rPr>
            </w:pPr>
            <w:r>
              <w:rPr>
                <w:rFonts w:ascii="Arial" w:cs="Arial" w:eastAsia="Arial" w:hAnsi="Arial"/>
                <w:sz w:val="22"/>
                <w:szCs w:val="22"/>
                <w:b w:val="1"/>
                <w:bCs w:val="1"/>
                <w:color w:val="auto"/>
                <w:w w:val="96"/>
              </w:rPr>
              <w:t>Q2-08 Q2-07 Change</w:t>
            </w:r>
          </w:p>
        </w:tc>
        <w:tc>
          <w:tcPr>
            <w:tcW w:w="140" w:type="dxa"/>
            <w:vAlign w:val="bottom"/>
          </w:tcPr>
          <w:p>
            <w:pPr>
              <w:spacing w:after="0"/>
              <w:rPr>
                <w:sz w:val="24"/>
                <w:szCs w:val="24"/>
                <w:color w:val="auto"/>
              </w:rPr>
            </w:pPr>
          </w:p>
        </w:tc>
        <w:tc>
          <w:tcPr>
            <w:tcW w:w="2460" w:type="dxa"/>
            <w:vAlign w:val="bottom"/>
            <w:gridSpan w:val="5"/>
          </w:tcPr>
          <w:p>
            <w:pPr>
              <w:jc w:val="right"/>
              <w:spacing w:after="0"/>
              <w:rPr>
                <w:sz w:val="20"/>
                <w:szCs w:val="20"/>
                <w:color w:val="auto"/>
              </w:rPr>
            </w:pPr>
            <w:r>
              <w:rPr>
                <w:rFonts w:ascii="Arial" w:cs="Arial" w:eastAsia="Arial" w:hAnsi="Arial"/>
                <w:sz w:val="22"/>
                <w:szCs w:val="22"/>
                <w:b w:val="1"/>
                <w:bCs w:val="1"/>
                <w:color w:val="auto"/>
                <w:w w:val="98"/>
              </w:rPr>
              <w:t>YTD-08 YTD-07 Change</w:t>
            </w:r>
          </w:p>
        </w:tc>
      </w:tr>
      <w:tr>
        <w:trPr>
          <w:trHeight w:val="98"/>
        </w:trPr>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580"/>
        </w:trPr>
        <w:tc>
          <w:tcPr>
            <w:tcW w:w="1420" w:type="dxa"/>
            <w:vAlign w:val="bottom"/>
            <w:gridSpan w:val="2"/>
          </w:tcPr>
          <w:p>
            <w:pPr>
              <w:spacing w:after="0"/>
              <w:rPr>
                <w:sz w:val="20"/>
                <w:szCs w:val="20"/>
                <w:color w:val="auto"/>
              </w:rPr>
            </w:pPr>
            <w:r>
              <w:rPr>
                <w:rFonts w:ascii="Arial" w:cs="Arial" w:eastAsia="Arial" w:hAnsi="Arial"/>
                <w:sz w:val="22"/>
                <w:szCs w:val="22"/>
                <w:color w:val="auto"/>
              </w:rPr>
              <w:t>IC</w:t>
            </w:r>
          </w:p>
        </w:tc>
        <w:tc>
          <w:tcPr>
            <w:tcW w:w="620" w:type="dxa"/>
            <w:vAlign w:val="bottom"/>
          </w:tcPr>
          <w:p>
            <w:pPr>
              <w:jc w:val="right"/>
              <w:spacing w:after="0"/>
              <w:rPr>
                <w:sz w:val="20"/>
                <w:szCs w:val="20"/>
                <w:color w:val="auto"/>
              </w:rPr>
            </w:pPr>
            <w:r>
              <w:rPr>
                <w:rFonts w:ascii="Arial" w:cs="Arial" w:eastAsia="Arial" w:hAnsi="Arial"/>
                <w:sz w:val="22"/>
                <w:szCs w:val="22"/>
                <w:color w:val="auto"/>
                <w:w w:val="91"/>
              </w:rPr>
              <w:t>$ 80.0</w:t>
            </w:r>
          </w:p>
        </w:tc>
        <w:tc>
          <w:tcPr>
            <w:tcW w:w="700" w:type="dxa"/>
            <w:vAlign w:val="bottom"/>
            <w:gridSpan w:val="2"/>
          </w:tcPr>
          <w:p>
            <w:pPr>
              <w:jc w:val="right"/>
              <w:ind w:right="40"/>
              <w:spacing w:after="0"/>
              <w:rPr>
                <w:sz w:val="20"/>
                <w:szCs w:val="20"/>
                <w:color w:val="auto"/>
              </w:rPr>
            </w:pPr>
            <w:r>
              <w:rPr>
                <w:rFonts w:ascii="Arial" w:cs="Arial" w:eastAsia="Arial" w:hAnsi="Arial"/>
                <w:sz w:val="22"/>
                <w:szCs w:val="22"/>
                <w:color w:val="auto"/>
              </w:rPr>
              <w:t>$ 88.3</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(9.4)%</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$160.4</w:t>
            </w:r>
          </w:p>
        </w:tc>
        <w:tc>
          <w:tcPr>
            <w:tcW w:w="860" w:type="dxa"/>
            <w:vAlign w:val="bottom"/>
            <w:gridSpan w:val="2"/>
          </w:tcPr>
          <w:p>
            <w:pPr>
              <w:jc w:val="right"/>
              <w:ind w:right="20"/>
              <w:spacing w:after="0"/>
              <w:rPr>
                <w:sz w:val="20"/>
                <w:szCs w:val="20"/>
                <w:color w:val="auto"/>
              </w:rPr>
            </w:pPr>
            <w:r>
              <w:rPr>
                <w:rFonts w:ascii="Arial" w:cs="Arial" w:eastAsia="Arial" w:hAnsi="Arial"/>
                <w:sz w:val="22"/>
                <w:szCs w:val="22"/>
                <w:color w:val="auto"/>
              </w:rPr>
              <w:t>$173.9</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(7.7)%</w:t>
            </w:r>
          </w:p>
        </w:tc>
      </w:tr>
      <w:tr>
        <w:trPr>
          <w:trHeight w:val="275"/>
        </w:trPr>
        <w:tc>
          <w:tcPr>
            <w:tcW w:w="1420" w:type="dxa"/>
            <w:vAlign w:val="bottom"/>
            <w:gridSpan w:val="2"/>
          </w:tcPr>
          <w:p>
            <w:pPr>
              <w:spacing w:after="0"/>
              <w:rPr>
                <w:sz w:val="20"/>
                <w:szCs w:val="20"/>
                <w:color w:val="auto"/>
              </w:rPr>
            </w:pPr>
            <w:r>
              <w:rPr>
                <w:rFonts w:ascii="Arial" w:cs="Arial" w:eastAsia="Arial" w:hAnsi="Arial"/>
                <w:sz w:val="22"/>
                <w:szCs w:val="22"/>
                <w:color w:val="auto"/>
              </w:rPr>
              <w:t>FPD</w:t>
            </w:r>
          </w:p>
        </w:tc>
        <w:tc>
          <w:tcPr>
            <w:tcW w:w="620" w:type="dxa"/>
            <w:vAlign w:val="bottom"/>
          </w:tcPr>
          <w:p>
            <w:pPr>
              <w:jc w:val="right"/>
              <w:spacing w:after="0"/>
              <w:rPr>
                <w:sz w:val="20"/>
                <w:szCs w:val="20"/>
                <w:color w:val="auto"/>
              </w:rPr>
            </w:pPr>
            <w:r>
              <w:rPr>
                <w:rFonts w:ascii="Arial" w:cs="Arial" w:eastAsia="Arial" w:hAnsi="Arial"/>
                <w:sz w:val="22"/>
                <w:szCs w:val="22"/>
                <w:color w:val="auto"/>
              </w:rPr>
              <w:t>30.3</w:t>
            </w:r>
          </w:p>
        </w:tc>
        <w:tc>
          <w:tcPr>
            <w:tcW w:w="700" w:type="dxa"/>
            <w:vAlign w:val="bottom"/>
            <w:gridSpan w:val="2"/>
          </w:tcPr>
          <w:p>
            <w:pPr>
              <w:jc w:val="right"/>
              <w:ind w:right="40"/>
              <w:spacing w:after="0"/>
              <w:rPr>
                <w:sz w:val="20"/>
                <w:szCs w:val="20"/>
                <w:color w:val="auto"/>
              </w:rPr>
            </w:pPr>
            <w:r>
              <w:rPr>
                <w:rFonts w:ascii="Arial" w:cs="Arial" w:eastAsia="Arial" w:hAnsi="Arial"/>
                <w:sz w:val="22"/>
                <w:szCs w:val="22"/>
                <w:color w:val="auto"/>
              </w:rPr>
              <w:t>21.3</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42.1%</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53.1</w:t>
            </w:r>
          </w:p>
        </w:tc>
        <w:tc>
          <w:tcPr>
            <w:tcW w:w="860" w:type="dxa"/>
            <w:vAlign w:val="bottom"/>
            <w:gridSpan w:val="2"/>
          </w:tcPr>
          <w:p>
            <w:pPr>
              <w:jc w:val="right"/>
              <w:ind w:right="20"/>
              <w:spacing w:after="0"/>
              <w:rPr>
                <w:sz w:val="20"/>
                <w:szCs w:val="20"/>
                <w:color w:val="auto"/>
              </w:rPr>
            </w:pPr>
            <w:r>
              <w:rPr>
                <w:rFonts w:ascii="Arial" w:cs="Arial" w:eastAsia="Arial" w:hAnsi="Arial"/>
                <w:sz w:val="22"/>
                <w:szCs w:val="22"/>
                <w:color w:val="auto"/>
              </w:rPr>
              <w:t>41.7</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27.3%</w:t>
            </w:r>
          </w:p>
        </w:tc>
      </w:tr>
      <w:tr>
        <w:trPr>
          <w:trHeight w:val="98"/>
        </w:trPr>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368"/>
        </w:trPr>
        <w:tc>
          <w:tcPr>
            <w:tcW w:w="1420" w:type="dxa"/>
            <w:vAlign w:val="bottom"/>
            <w:gridSpan w:val="2"/>
          </w:tcPr>
          <w:p>
            <w:pPr>
              <w:spacing w:after="0"/>
              <w:rPr>
                <w:sz w:val="20"/>
                <w:szCs w:val="20"/>
                <w:color w:val="auto"/>
              </w:rPr>
            </w:pPr>
            <w:r>
              <w:rPr>
                <w:rFonts w:ascii="Arial" w:cs="Arial" w:eastAsia="Arial" w:hAnsi="Arial"/>
                <w:sz w:val="22"/>
                <w:szCs w:val="22"/>
                <w:color w:val="auto"/>
                <w:w w:val="97"/>
              </w:rPr>
              <w:t>Total net sales</w:t>
            </w:r>
          </w:p>
        </w:tc>
        <w:tc>
          <w:tcPr>
            <w:tcW w:w="620" w:type="dxa"/>
            <w:vAlign w:val="bottom"/>
          </w:tcPr>
          <w:p>
            <w:pPr>
              <w:jc w:val="right"/>
              <w:spacing w:after="0"/>
              <w:rPr>
                <w:sz w:val="20"/>
                <w:szCs w:val="20"/>
                <w:color w:val="auto"/>
              </w:rPr>
            </w:pPr>
            <w:r>
              <w:rPr>
                <w:rFonts w:ascii="Arial" w:cs="Arial" w:eastAsia="Arial" w:hAnsi="Arial"/>
                <w:sz w:val="22"/>
                <w:szCs w:val="22"/>
                <w:color w:val="auto"/>
                <w:w w:val="83"/>
              </w:rPr>
              <w:t>$110.3</w:t>
            </w:r>
          </w:p>
        </w:tc>
        <w:tc>
          <w:tcPr>
            <w:tcW w:w="700" w:type="dxa"/>
            <w:vAlign w:val="bottom"/>
            <w:gridSpan w:val="2"/>
          </w:tcPr>
          <w:p>
            <w:pPr>
              <w:jc w:val="right"/>
              <w:ind w:right="40"/>
              <w:spacing w:after="0"/>
              <w:rPr>
                <w:sz w:val="20"/>
                <w:szCs w:val="20"/>
                <w:color w:val="auto"/>
              </w:rPr>
            </w:pPr>
            <w:r>
              <w:rPr>
                <w:rFonts w:ascii="Arial" w:cs="Arial" w:eastAsia="Arial" w:hAnsi="Arial"/>
                <w:sz w:val="22"/>
                <w:szCs w:val="22"/>
                <w:color w:val="auto"/>
                <w:w w:val="95"/>
              </w:rPr>
              <w:t>$109.6</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0.6%</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$213.5</w:t>
            </w:r>
          </w:p>
        </w:tc>
        <w:tc>
          <w:tcPr>
            <w:tcW w:w="860" w:type="dxa"/>
            <w:vAlign w:val="bottom"/>
            <w:gridSpan w:val="2"/>
          </w:tcPr>
          <w:p>
            <w:pPr>
              <w:jc w:val="right"/>
              <w:ind w:right="20"/>
              <w:spacing w:after="0"/>
              <w:rPr>
                <w:sz w:val="20"/>
                <w:szCs w:val="20"/>
                <w:color w:val="auto"/>
              </w:rPr>
            </w:pPr>
            <w:r>
              <w:rPr>
                <w:rFonts w:ascii="Arial" w:cs="Arial" w:eastAsia="Arial" w:hAnsi="Arial"/>
                <w:sz w:val="22"/>
                <w:szCs w:val="22"/>
                <w:color w:val="auto"/>
              </w:rPr>
              <w:t>$215.6</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(1.0)%</w:t>
            </w:r>
          </w:p>
        </w:tc>
      </w:tr>
      <w:tr>
        <w:trPr>
          <w:trHeight w:val="122"/>
        </w:trPr>
        <w:tc>
          <w:tcPr>
            <w:tcW w:w="1400" w:type="dxa"/>
            <w:vAlign w:val="bottom"/>
          </w:tcPr>
          <w:p>
            <w:pPr>
              <w:spacing w:after="0"/>
              <w:rPr>
                <w:sz w:val="10"/>
                <w:szCs w:val="10"/>
                <w:color w:val="auto"/>
              </w:rPr>
            </w:pPr>
          </w:p>
        </w:tc>
        <w:tc>
          <w:tcPr>
            <w:tcW w:w="20" w:type="dxa"/>
            <w:vAlign w:val="bottom"/>
            <w:tcBorders>
              <w:bottom w:val="single" w:sz="8" w:color="336699"/>
            </w:tcBorders>
          </w:tcPr>
          <w:p>
            <w:pPr>
              <w:spacing w:after="0"/>
              <w:rPr>
                <w:sz w:val="10"/>
                <w:szCs w:val="10"/>
                <w:color w:val="auto"/>
              </w:rPr>
            </w:pPr>
          </w:p>
        </w:tc>
        <w:tc>
          <w:tcPr>
            <w:tcW w:w="62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1280795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1341120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1786890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Net sales for Q2-08 increased to $110.3 million as compared to $109.6 million for Q2-07. The increase is related to increased sales of FPD photomasks of $9.0 million, primarily associated with increased unit sales of high-end FPD photomasks. Sales of IC photomasks declined approximately $8.3 million as a result of a decline in average selling prices ("ASPs"), principally from mainstream products. High-end photomask applications, which typically have higher ASPs, include mask sets for FPD products using G6 and above technologies and IC products using 90 nanometer and below technologies. By geographic area, net sales in Q2-08 as compared to Q2-07 increased by $2.2 million or 3.5% in Asia, decreased by $0.6 million or 2.2% in North America, and decreased by $0.9 million or 4.9% in Europe.As a percent of total sales in Q2-08, net sales were 60% in Asia, 24% in North America, and 16% in Europe; and net sales in Q2-07 in Asia were 58%, North America 24%, and Europe 18%.</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For YTD-08, net sales decreased 1.0% or $2.1 million, primarily related to reduced sales of IC photomasks of approximately</w:t>
      </w:r>
    </w:p>
    <w:p>
      <w:pPr>
        <w:spacing w:after="0" w:line="43"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$13.5 million as a result of decreased ASPs, principally from mainstream products. The decrease was mitigated, to some extent, by an increase of $11.4 million in net sales of FPD photomasks, principally high-end. The Company's quarterly revenues can be affected by the seasonal purchasing of its customers.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b w:val="1"/>
                <w:bCs w:val="1"/>
                <w:i w:val="1"/>
                <w:iCs w:val="1"/>
                <w:color w:val="auto"/>
              </w:rPr>
              <w:t>Gross Margin</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59"/>
        </w:trPr>
        <w:tc>
          <w:tcPr>
            <w:tcW w:w="220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Arial" w:cs="Arial" w:eastAsia="Arial" w:hAnsi="Arial"/>
                <w:sz w:val="22"/>
                <w:szCs w:val="22"/>
                <w:b w:val="1"/>
                <w:bCs w:val="1"/>
                <w:color w:val="auto"/>
                <w:w w:val="90"/>
              </w:rPr>
              <w:t>Three Months Ended</w:t>
            </w:r>
          </w:p>
        </w:tc>
        <w:tc>
          <w:tcPr>
            <w:tcW w:w="260" w:type="dxa"/>
            <w:vAlign w:val="bottom"/>
          </w:tcPr>
          <w:p>
            <w:pPr>
              <w:spacing w:after="0"/>
              <w:rPr>
                <w:sz w:val="24"/>
                <w:szCs w:val="24"/>
                <w:color w:val="auto"/>
              </w:rPr>
            </w:pPr>
          </w:p>
        </w:tc>
        <w:tc>
          <w:tcPr>
            <w:tcW w:w="2780" w:type="dxa"/>
            <w:vAlign w:val="bottom"/>
            <w:gridSpan w:val="5"/>
          </w:tcPr>
          <w:p>
            <w:pPr>
              <w:jc w:val="center"/>
              <w:spacing w:after="0"/>
              <w:rPr>
                <w:sz w:val="20"/>
                <w:szCs w:val="20"/>
                <w:color w:val="auto"/>
              </w:rPr>
            </w:pPr>
            <w:r>
              <w:rPr>
                <w:rFonts w:ascii="Arial" w:cs="Arial" w:eastAsia="Arial" w:hAnsi="Arial"/>
                <w:sz w:val="22"/>
                <w:szCs w:val="22"/>
                <w:b w:val="1"/>
                <w:bCs w:val="1"/>
                <w:color w:val="auto"/>
                <w:w w:val="89"/>
              </w:rPr>
              <w:t>Six Months Ended</w:t>
            </w:r>
          </w:p>
        </w:tc>
      </w:tr>
      <w:tr>
        <w:trPr>
          <w:trHeight w:val="98"/>
        </w:trPr>
        <w:tc>
          <w:tcPr>
            <w:tcW w:w="2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331"/>
        </w:trPr>
        <w:tc>
          <w:tcPr>
            <w:tcW w:w="2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Percent</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Percent</w:t>
            </w:r>
          </w:p>
        </w:tc>
      </w:tr>
      <w:tr>
        <w:trPr>
          <w:trHeight w:val="281"/>
        </w:trPr>
        <w:tc>
          <w:tcPr>
            <w:tcW w:w="2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2"/>
                <w:szCs w:val="22"/>
                <w:b w:val="1"/>
                <w:bCs w:val="1"/>
                <w:color w:val="auto"/>
                <w:w w:val="98"/>
              </w:rPr>
              <w:t>Q2-08</w:t>
            </w: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22"/>
                <w:szCs w:val="22"/>
                <w:b w:val="1"/>
                <w:bCs w:val="1"/>
                <w:color w:val="auto"/>
                <w:w w:val="94"/>
              </w:rPr>
              <w:t>Q2-07</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Change</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b w:val="1"/>
                <w:bCs w:val="1"/>
                <w:color w:val="auto"/>
                <w:w w:val="94"/>
              </w:rPr>
              <w:t>YTD-08</w:t>
            </w:r>
          </w:p>
        </w:tc>
        <w:tc>
          <w:tcPr>
            <w:tcW w:w="2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22"/>
                <w:szCs w:val="22"/>
                <w:b w:val="1"/>
                <w:bCs w:val="1"/>
                <w:color w:val="auto"/>
                <w:w w:val="97"/>
              </w:rPr>
              <w:t>YTD-07</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6"/>
              </w:rPr>
              <w:t>Change</w:t>
            </w:r>
          </w:p>
        </w:tc>
      </w:tr>
      <w:tr>
        <w:trPr>
          <w:trHeight w:val="98"/>
        </w:trPr>
        <w:tc>
          <w:tcPr>
            <w:tcW w:w="2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580"/>
        </w:trPr>
        <w:tc>
          <w:tcPr>
            <w:tcW w:w="2200" w:type="dxa"/>
            <w:vAlign w:val="bottom"/>
          </w:tcPr>
          <w:p>
            <w:pPr>
              <w:spacing w:after="0"/>
              <w:rPr>
                <w:sz w:val="20"/>
                <w:szCs w:val="20"/>
                <w:color w:val="auto"/>
              </w:rPr>
            </w:pPr>
            <w:r>
              <w:rPr>
                <w:rFonts w:ascii="Arial" w:cs="Arial" w:eastAsia="Arial" w:hAnsi="Arial"/>
                <w:sz w:val="22"/>
                <w:szCs w:val="22"/>
                <w:color w:val="auto"/>
              </w:rPr>
              <w:t>Gross margin</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$20.3</w:t>
            </w:r>
          </w:p>
        </w:tc>
        <w:tc>
          <w:tcPr>
            <w:tcW w:w="920" w:type="dxa"/>
            <w:vAlign w:val="bottom"/>
            <w:gridSpan w:val="2"/>
          </w:tcPr>
          <w:p>
            <w:pPr>
              <w:jc w:val="right"/>
              <w:ind w:right="72"/>
              <w:spacing w:after="0"/>
              <w:rPr>
                <w:sz w:val="20"/>
                <w:szCs w:val="20"/>
                <w:color w:val="auto"/>
              </w:rPr>
            </w:pPr>
            <w:r>
              <w:rPr>
                <w:rFonts w:ascii="Arial" w:cs="Arial" w:eastAsia="Arial" w:hAnsi="Arial"/>
                <w:sz w:val="22"/>
                <w:szCs w:val="22"/>
                <w:color w:val="auto"/>
              </w:rPr>
              <w:t>$26.2</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(22.5)%</w:t>
            </w:r>
          </w:p>
        </w:tc>
        <w:tc>
          <w:tcPr>
            <w:tcW w:w="1040" w:type="dxa"/>
            <w:vAlign w:val="bottom"/>
            <w:gridSpan w:val="2"/>
          </w:tcPr>
          <w:p>
            <w:pPr>
              <w:jc w:val="right"/>
              <w:ind w:right="92"/>
              <w:spacing w:after="0"/>
              <w:rPr>
                <w:sz w:val="20"/>
                <w:szCs w:val="20"/>
                <w:color w:val="auto"/>
              </w:rPr>
            </w:pPr>
            <w:r>
              <w:rPr>
                <w:rFonts w:ascii="Arial" w:cs="Arial" w:eastAsia="Arial" w:hAnsi="Arial"/>
                <w:sz w:val="22"/>
                <w:szCs w:val="22"/>
                <w:color w:val="auto"/>
              </w:rPr>
              <w:t>$40.9</w:t>
            </w:r>
          </w:p>
        </w:tc>
        <w:tc>
          <w:tcPr>
            <w:tcW w:w="1020" w:type="dxa"/>
            <w:vAlign w:val="bottom"/>
            <w:gridSpan w:val="2"/>
          </w:tcPr>
          <w:p>
            <w:pPr>
              <w:jc w:val="center"/>
              <w:ind w:left="52"/>
              <w:spacing w:after="0"/>
              <w:rPr>
                <w:sz w:val="20"/>
                <w:szCs w:val="20"/>
                <w:color w:val="auto"/>
              </w:rPr>
            </w:pPr>
            <w:r>
              <w:rPr>
                <w:rFonts w:ascii="Arial" w:cs="Arial" w:eastAsia="Arial" w:hAnsi="Arial"/>
                <w:sz w:val="22"/>
                <w:szCs w:val="22"/>
                <w:color w:val="auto"/>
                <w:w w:val="90"/>
              </w:rPr>
              <w:t>$55.9</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(26.8)%</w:t>
            </w:r>
          </w:p>
        </w:tc>
      </w:tr>
      <w:tr>
        <w:trPr>
          <w:trHeight w:val="275"/>
        </w:trPr>
        <w:tc>
          <w:tcPr>
            <w:tcW w:w="2200" w:type="dxa"/>
            <w:vAlign w:val="bottom"/>
          </w:tcPr>
          <w:p>
            <w:pPr>
              <w:spacing w:after="0"/>
              <w:rPr>
                <w:sz w:val="20"/>
                <w:szCs w:val="20"/>
                <w:color w:val="auto"/>
              </w:rPr>
            </w:pPr>
            <w:r>
              <w:rPr>
                <w:rFonts w:ascii="Arial" w:cs="Arial" w:eastAsia="Arial" w:hAnsi="Arial"/>
                <w:sz w:val="22"/>
                <w:szCs w:val="22"/>
                <w:color w:val="auto"/>
                <w:w w:val="94"/>
              </w:rPr>
              <w:t>Percentage of net sales</w:t>
            </w:r>
          </w:p>
        </w:tc>
        <w:tc>
          <w:tcPr>
            <w:tcW w:w="680" w:type="dxa"/>
            <w:vAlign w:val="bottom"/>
          </w:tcPr>
          <w:p>
            <w:pPr>
              <w:jc w:val="right"/>
              <w:spacing w:after="0"/>
              <w:rPr>
                <w:sz w:val="20"/>
                <w:szCs w:val="20"/>
                <w:color w:val="auto"/>
              </w:rPr>
            </w:pPr>
            <w:r>
              <w:rPr>
                <w:rFonts w:ascii="Arial" w:cs="Arial" w:eastAsia="Arial" w:hAnsi="Arial"/>
                <w:sz w:val="22"/>
                <w:szCs w:val="22"/>
                <w:color w:val="auto"/>
              </w:rPr>
              <w:t>18.4%</w:t>
            </w:r>
          </w:p>
        </w:tc>
        <w:tc>
          <w:tcPr>
            <w:tcW w:w="920" w:type="dxa"/>
            <w:vAlign w:val="bottom"/>
            <w:gridSpan w:val="2"/>
          </w:tcPr>
          <w:p>
            <w:pPr>
              <w:jc w:val="center"/>
              <w:ind w:left="212"/>
              <w:spacing w:after="0"/>
              <w:rPr>
                <w:sz w:val="20"/>
                <w:szCs w:val="20"/>
                <w:color w:val="auto"/>
              </w:rPr>
            </w:pPr>
            <w:r>
              <w:rPr>
                <w:rFonts w:ascii="Arial" w:cs="Arial" w:eastAsia="Arial" w:hAnsi="Arial"/>
                <w:sz w:val="22"/>
                <w:szCs w:val="22"/>
                <w:color w:val="auto"/>
                <w:w w:val="89"/>
              </w:rPr>
              <w:t>23.9%</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19.1%</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25.9%</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270"/>
        <w:spacing w:after="0" w:line="246" w:lineRule="auto"/>
        <w:rPr>
          <w:sz w:val="20"/>
          <w:szCs w:val="20"/>
          <w:color w:val="auto"/>
        </w:rPr>
      </w:pPr>
      <w:r>
        <w:rPr>
          <w:rFonts w:ascii="Arial" w:cs="Arial" w:eastAsia="Arial" w:hAnsi="Arial"/>
          <w:sz w:val="21"/>
          <w:szCs w:val="21"/>
          <w:color w:val="auto"/>
        </w:rPr>
        <w:t>Gross margin decreased to 18.4% in Q2-08 from 23.9% in Q2-07 primarily due to decreased IC ASPs and as a result of the Company's expanded manufacturing base, including manufacturing costs associated with the U.S. NanoFab, which commenced operations during Q2-08. Gross margin decreased to 19.1% in YTD-08 from 25.9% in YTD-07 primarily due to decreased IC ASPs and the Company's aforementioned increased manufacturing base. The Company operates in a high fixed cost environment and to the extent that the Company's revenues and utilization increase or decrease, gross margin will generally be positively or negatively impacted. Additionally, the gross margin percentage throughout the remainder of fiscal 2008 could be negatively impacted by increased depreciation expense and other costs associated with the Company's increased fixed cost manufacturing base, primarily at the U.S. NanoFab.</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780" w:type="dxa"/>
            <w:vAlign w:val="bottom"/>
            <w:gridSpan w:val="6"/>
          </w:tcPr>
          <w:p>
            <w:pPr>
              <w:jc w:val="right"/>
              <w:ind w:right="572"/>
              <w:spacing w:after="0"/>
              <w:rPr>
                <w:sz w:val="20"/>
                <w:szCs w:val="20"/>
                <w:color w:val="auto"/>
              </w:rPr>
            </w:pPr>
            <w:r>
              <w:rPr>
                <w:rFonts w:ascii="Arial" w:cs="Arial" w:eastAsia="Arial" w:hAnsi="Arial"/>
                <w:sz w:val="22"/>
                <w:szCs w:val="22"/>
                <w:b w:val="1"/>
                <w:bCs w:val="1"/>
                <w:i w:val="1"/>
                <w:iCs w:val="1"/>
                <w:color w:val="auto"/>
                <w:w w:val="85"/>
              </w:rPr>
              <w:t>Selling, General and Administrative Expenses</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59"/>
        </w:trPr>
        <w:tc>
          <w:tcPr>
            <w:tcW w:w="2420" w:type="dxa"/>
            <w:vAlign w:val="bottom"/>
          </w:tcPr>
          <w:p>
            <w:pPr>
              <w:spacing w:after="0"/>
              <w:rPr>
                <w:sz w:val="24"/>
                <w:szCs w:val="24"/>
                <w:color w:val="auto"/>
              </w:rPr>
            </w:pPr>
          </w:p>
        </w:tc>
        <w:tc>
          <w:tcPr>
            <w:tcW w:w="2360" w:type="dxa"/>
            <w:vAlign w:val="bottom"/>
            <w:gridSpan w:val="5"/>
          </w:tcPr>
          <w:p>
            <w:pPr>
              <w:jc w:val="right"/>
              <w:ind w:right="112"/>
              <w:spacing w:after="0"/>
              <w:rPr>
                <w:sz w:val="20"/>
                <w:szCs w:val="20"/>
                <w:color w:val="auto"/>
              </w:rPr>
            </w:pPr>
            <w:r>
              <w:rPr>
                <w:rFonts w:ascii="Arial" w:cs="Arial" w:eastAsia="Arial" w:hAnsi="Arial"/>
                <w:sz w:val="22"/>
                <w:szCs w:val="22"/>
                <w:b w:val="1"/>
                <w:bCs w:val="1"/>
                <w:color w:val="auto"/>
                <w:w w:val="97"/>
              </w:rPr>
              <w:t>Three Months Ended</w:t>
            </w:r>
          </w:p>
        </w:tc>
        <w:tc>
          <w:tcPr>
            <w:tcW w:w="300" w:type="dxa"/>
            <w:vAlign w:val="bottom"/>
          </w:tcPr>
          <w:p>
            <w:pPr>
              <w:spacing w:after="0"/>
              <w:rPr>
                <w:sz w:val="24"/>
                <w:szCs w:val="24"/>
                <w:color w:val="auto"/>
              </w:rPr>
            </w:pPr>
          </w:p>
        </w:tc>
        <w:tc>
          <w:tcPr>
            <w:tcW w:w="2680" w:type="dxa"/>
            <w:vAlign w:val="bottom"/>
            <w:gridSpan w:val="5"/>
          </w:tcPr>
          <w:p>
            <w:pPr>
              <w:jc w:val="right"/>
              <w:ind w:right="392"/>
              <w:spacing w:after="0"/>
              <w:rPr>
                <w:sz w:val="20"/>
                <w:szCs w:val="20"/>
                <w:color w:val="auto"/>
              </w:rPr>
            </w:pPr>
            <w:r>
              <w:rPr>
                <w:rFonts w:ascii="Arial" w:cs="Arial" w:eastAsia="Arial" w:hAnsi="Arial"/>
                <w:sz w:val="22"/>
                <w:szCs w:val="22"/>
                <w:b w:val="1"/>
                <w:bCs w:val="1"/>
                <w:color w:val="auto"/>
              </w:rPr>
              <w:t>Six Months Ended</w:t>
            </w:r>
          </w:p>
        </w:tc>
      </w:tr>
      <w:tr>
        <w:trPr>
          <w:trHeight w:val="98"/>
        </w:trPr>
        <w:tc>
          <w:tcPr>
            <w:tcW w:w="2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331"/>
        </w:trPr>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r>
      <w:tr>
        <w:trPr>
          <w:trHeight w:val="281"/>
        </w:trPr>
        <w:tc>
          <w:tcPr>
            <w:tcW w:w="2420" w:type="dxa"/>
            <w:vAlign w:val="bottom"/>
          </w:tcPr>
          <w:p>
            <w:pPr>
              <w:spacing w:after="0"/>
              <w:rPr>
                <w:sz w:val="24"/>
                <w:szCs w:val="24"/>
                <w:color w:val="auto"/>
              </w:rPr>
            </w:pPr>
          </w:p>
        </w:tc>
        <w:tc>
          <w:tcPr>
            <w:tcW w:w="2360" w:type="dxa"/>
            <w:vAlign w:val="bottom"/>
            <w:gridSpan w:val="5"/>
          </w:tcPr>
          <w:p>
            <w:pPr>
              <w:jc w:val="right"/>
              <w:spacing w:after="0"/>
              <w:rPr>
                <w:sz w:val="20"/>
                <w:szCs w:val="20"/>
                <w:color w:val="auto"/>
              </w:rPr>
            </w:pPr>
            <w:r>
              <w:rPr>
                <w:rFonts w:ascii="Arial" w:cs="Arial" w:eastAsia="Arial" w:hAnsi="Arial"/>
                <w:sz w:val="22"/>
                <w:szCs w:val="22"/>
                <w:b w:val="1"/>
                <w:bCs w:val="1"/>
                <w:color w:val="auto"/>
                <w:w w:val="98"/>
              </w:rPr>
              <w:t>Q2-08   Q2-07  Change</w:t>
            </w:r>
          </w:p>
        </w:tc>
        <w:tc>
          <w:tcPr>
            <w:tcW w:w="300" w:type="dxa"/>
            <w:vAlign w:val="bottom"/>
          </w:tcPr>
          <w:p>
            <w:pPr>
              <w:spacing w:after="0"/>
              <w:rPr>
                <w:sz w:val="24"/>
                <w:szCs w:val="24"/>
                <w:color w:val="auto"/>
              </w:rPr>
            </w:pPr>
          </w:p>
        </w:tc>
        <w:tc>
          <w:tcPr>
            <w:tcW w:w="2680" w:type="dxa"/>
            <w:vAlign w:val="bottom"/>
            <w:gridSpan w:val="5"/>
          </w:tcPr>
          <w:p>
            <w:pPr>
              <w:jc w:val="right"/>
              <w:spacing w:after="0"/>
              <w:rPr>
                <w:sz w:val="20"/>
                <w:szCs w:val="20"/>
                <w:color w:val="auto"/>
              </w:rPr>
            </w:pPr>
            <w:r>
              <w:rPr>
                <w:rFonts w:ascii="Arial" w:cs="Arial" w:eastAsia="Arial" w:hAnsi="Arial"/>
                <w:sz w:val="22"/>
                <w:szCs w:val="22"/>
                <w:b w:val="1"/>
                <w:bCs w:val="1"/>
                <w:color w:val="auto"/>
              </w:rPr>
              <w:t>YTD-08  YTD-07  Change</w:t>
            </w:r>
          </w:p>
        </w:tc>
      </w:tr>
      <w:tr>
        <w:trPr>
          <w:trHeight w:val="98"/>
        </w:trPr>
        <w:tc>
          <w:tcPr>
            <w:tcW w:w="24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577"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0"/>
                <w:szCs w:val="20"/>
                <w:color w:val="auto"/>
              </w:rPr>
            </w:pPr>
            <w:r>
              <w:rPr>
                <w:rFonts w:ascii="Arial" w:cs="Arial" w:eastAsia="Arial" w:hAnsi="Arial"/>
                <w:sz w:val="22"/>
                <w:szCs w:val="22"/>
                <w:color w:val="auto"/>
              </w:rPr>
              <w:t>Selling, general and</w:t>
            </w:r>
          </w:p>
        </w:tc>
        <w:tc>
          <w:tcPr>
            <w:tcW w:w="1740" w:type="dxa"/>
            <w:vAlign w:val="bottom"/>
          </w:tcPr>
          <w:p>
            <w:pPr>
              <w:jc w:val="right"/>
              <w:ind w:right="172"/>
              <w:spacing w:after="0"/>
              <w:rPr>
                <w:sz w:val="20"/>
                <w:szCs w:val="20"/>
                <w:color w:val="auto"/>
              </w:rPr>
            </w:pPr>
            <w:r>
              <w:rPr>
                <w:rFonts w:ascii="Arial" w:cs="Arial" w:eastAsia="Arial" w:hAnsi="Arial"/>
                <w:sz w:val="22"/>
                <w:szCs w:val="22"/>
                <w:color w:val="auto"/>
              </w:rPr>
              <w:t>$14.4</w:t>
            </w: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40" w:type="dxa"/>
            <w:vAlign w:val="bottom"/>
          </w:tcPr>
          <w:p>
            <w:pPr>
              <w:jc w:val="right"/>
              <w:ind w:right="992"/>
              <w:spacing w:after="0"/>
              <w:rPr>
                <w:sz w:val="20"/>
                <w:szCs w:val="20"/>
                <w:color w:val="auto"/>
              </w:rPr>
            </w:pPr>
            <w:r>
              <w:rPr>
                <w:rFonts w:ascii="Arial" w:cs="Arial" w:eastAsia="Arial" w:hAnsi="Arial"/>
                <w:sz w:val="22"/>
                <w:szCs w:val="22"/>
                <w:color w:val="auto"/>
              </w:rPr>
              <w:t>$30.9</w:t>
            </w:r>
          </w:p>
        </w:tc>
      </w:tr>
      <w:tr>
        <w:trPr>
          <w:trHeight w:val="243"/>
        </w:trPr>
        <w:tc>
          <w:tcPr>
            <w:tcW w:w="2300" w:type="dxa"/>
            <w:vAlign w:val="bottom"/>
          </w:tcPr>
          <w:p>
            <w:pPr>
              <w:ind w:left="120"/>
              <w:spacing w:after="0" w:line="243" w:lineRule="exact"/>
              <w:rPr>
                <w:sz w:val="20"/>
                <w:szCs w:val="20"/>
                <w:color w:val="auto"/>
              </w:rPr>
            </w:pPr>
            <w:r>
              <w:rPr>
                <w:rFonts w:ascii="Arial" w:cs="Arial" w:eastAsia="Arial" w:hAnsi="Arial"/>
                <w:sz w:val="22"/>
                <w:szCs w:val="22"/>
                <w:color w:val="auto"/>
                <w:w w:val="91"/>
              </w:rPr>
              <w:t>administrative expenses</w:t>
            </w:r>
          </w:p>
        </w:tc>
        <w:tc>
          <w:tcPr>
            <w:tcW w:w="1740" w:type="dxa"/>
            <w:vAlign w:val="bottom"/>
          </w:tcPr>
          <w:p>
            <w:pPr>
              <w:jc w:val="right"/>
              <w:ind w:right="1032"/>
              <w:spacing w:after="0" w:line="243" w:lineRule="exact"/>
              <w:rPr>
                <w:sz w:val="20"/>
                <w:szCs w:val="20"/>
                <w:color w:val="auto"/>
              </w:rPr>
            </w:pPr>
            <w:r>
              <w:rPr>
                <w:rFonts w:ascii="Arial" w:cs="Arial" w:eastAsia="Arial" w:hAnsi="Arial"/>
                <w:sz w:val="22"/>
                <w:szCs w:val="22"/>
                <w:color w:val="auto"/>
              </w:rPr>
              <w:t>$13.6</w:t>
            </w:r>
          </w:p>
        </w:tc>
        <w:tc>
          <w:tcPr>
            <w:tcW w:w="92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(6.0)%</w:t>
            </w:r>
          </w:p>
        </w:tc>
        <w:tc>
          <w:tcPr>
            <w:tcW w:w="1040" w:type="dxa"/>
            <w:vAlign w:val="bottom"/>
          </w:tcPr>
          <w:p>
            <w:pPr>
              <w:jc w:val="right"/>
              <w:ind w:right="232"/>
              <w:spacing w:after="0" w:line="243" w:lineRule="exact"/>
              <w:rPr>
                <w:sz w:val="20"/>
                <w:szCs w:val="20"/>
                <w:color w:val="auto"/>
              </w:rPr>
            </w:pPr>
            <w:r>
              <w:rPr>
                <w:rFonts w:ascii="Arial" w:cs="Arial" w:eastAsia="Arial" w:hAnsi="Arial"/>
                <w:sz w:val="22"/>
                <w:szCs w:val="22"/>
                <w:color w:val="auto"/>
              </w:rPr>
              <w:t>$29.9</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75"/>
        </w:trPr>
        <w:tc>
          <w:tcPr>
            <w:tcW w:w="2300" w:type="dxa"/>
            <w:vAlign w:val="bottom"/>
          </w:tcPr>
          <w:p>
            <w:pPr>
              <w:spacing w:after="0"/>
              <w:rPr>
                <w:sz w:val="20"/>
                <w:szCs w:val="20"/>
                <w:color w:val="auto"/>
              </w:rPr>
            </w:pPr>
            <w:r>
              <w:rPr>
                <w:rFonts w:ascii="Arial" w:cs="Arial" w:eastAsia="Arial" w:hAnsi="Arial"/>
                <w:sz w:val="22"/>
                <w:szCs w:val="22"/>
                <w:color w:val="auto"/>
                <w:w w:val="98"/>
              </w:rPr>
              <w:t>Percentage of net sales</w:t>
            </w:r>
          </w:p>
        </w:tc>
        <w:tc>
          <w:tcPr>
            <w:tcW w:w="1740" w:type="dxa"/>
            <w:vAlign w:val="bottom"/>
          </w:tcPr>
          <w:p>
            <w:pPr>
              <w:jc w:val="right"/>
              <w:ind w:right="12"/>
              <w:spacing w:after="0"/>
              <w:rPr>
                <w:sz w:val="20"/>
                <w:szCs w:val="20"/>
                <w:color w:val="auto"/>
              </w:rPr>
            </w:pPr>
            <w:r>
              <w:rPr>
                <w:rFonts w:ascii="Arial" w:cs="Arial" w:eastAsia="Arial" w:hAnsi="Arial"/>
                <w:sz w:val="22"/>
                <w:szCs w:val="22"/>
                <w:color w:val="auto"/>
              </w:rPr>
              <w:t>12.3%   13.2%</w:t>
            </w:r>
          </w:p>
        </w:tc>
        <w:tc>
          <w:tcPr>
            <w:tcW w:w="92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14.0%</w:t>
            </w:r>
          </w:p>
        </w:tc>
        <w:tc>
          <w:tcPr>
            <w:tcW w:w="1740" w:type="dxa"/>
            <w:vAlign w:val="bottom"/>
          </w:tcPr>
          <w:p>
            <w:pPr>
              <w:jc w:val="right"/>
              <w:ind w:right="832"/>
              <w:spacing w:after="0"/>
              <w:rPr>
                <w:sz w:val="20"/>
                <w:szCs w:val="20"/>
                <w:color w:val="auto"/>
              </w:rPr>
            </w:pPr>
            <w:r>
              <w:rPr>
                <w:rFonts w:ascii="Arial" w:cs="Arial" w:eastAsia="Arial" w:hAnsi="Arial"/>
                <w:sz w:val="22"/>
                <w:szCs w:val="22"/>
                <w:color w:val="auto"/>
              </w:rPr>
              <w:t>14.3%</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60" w:firstLine="324"/>
        <w:spacing w:after="0" w:line="297" w:lineRule="auto"/>
        <w:rPr>
          <w:sz w:val="20"/>
          <w:szCs w:val="20"/>
          <w:color w:val="auto"/>
        </w:rPr>
      </w:pPr>
      <w:r>
        <w:rPr>
          <w:rFonts w:ascii="Arial" w:cs="Arial" w:eastAsia="Arial" w:hAnsi="Arial"/>
          <w:sz w:val="19"/>
          <w:szCs w:val="19"/>
          <w:color w:val="auto"/>
        </w:rPr>
        <w:t>Selling, general and administrative expenses decreased $0.8 million to $13.6 million in Q2-08, compared with $14.4 million in Q2-07. Selling, general, and administrative expenses were $29.9 million and $30.9 million in YTD-08 and YTD-07, respectively. These decreases were primarily a result of reduced salaries and related benefits as a result of cost reduction programs.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Research and Development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60" w:type="dxa"/>
            <w:vAlign w:val="bottom"/>
          </w:tcPr>
          <w:p>
            <w:pPr>
              <w:spacing w:after="0"/>
              <w:rPr>
                <w:sz w:val="24"/>
                <w:szCs w:val="24"/>
                <w:color w:val="auto"/>
              </w:rPr>
            </w:pPr>
          </w:p>
        </w:tc>
        <w:tc>
          <w:tcPr>
            <w:tcW w:w="2420" w:type="dxa"/>
            <w:vAlign w:val="bottom"/>
            <w:gridSpan w:val="5"/>
          </w:tcPr>
          <w:p>
            <w:pPr>
              <w:jc w:val="right"/>
              <w:ind w:right="132"/>
              <w:spacing w:after="0"/>
              <w:rPr>
                <w:sz w:val="20"/>
                <w:szCs w:val="20"/>
                <w:color w:val="auto"/>
              </w:rPr>
            </w:pPr>
            <w:r>
              <w:rPr>
                <w:rFonts w:ascii="Arial" w:cs="Arial" w:eastAsia="Arial" w:hAnsi="Arial"/>
                <w:sz w:val="22"/>
                <w:szCs w:val="22"/>
                <w:b w:val="1"/>
                <w:bCs w:val="1"/>
                <w:color w:val="auto"/>
                <w:w w:val="99"/>
              </w:rPr>
              <w:t>Three Months Ended</w:t>
            </w:r>
          </w:p>
        </w:tc>
        <w:tc>
          <w:tcPr>
            <w:tcW w:w="240" w:type="dxa"/>
            <w:vAlign w:val="bottom"/>
          </w:tcPr>
          <w:p>
            <w:pPr>
              <w:spacing w:after="0"/>
              <w:rPr>
                <w:sz w:val="24"/>
                <w:szCs w:val="24"/>
                <w:color w:val="auto"/>
              </w:rPr>
            </w:pPr>
          </w:p>
        </w:tc>
        <w:tc>
          <w:tcPr>
            <w:tcW w:w="2800" w:type="dxa"/>
            <w:vAlign w:val="bottom"/>
            <w:gridSpan w:val="5"/>
          </w:tcPr>
          <w:p>
            <w:pPr>
              <w:jc w:val="right"/>
              <w:ind w:right="452"/>
              <w:spacing w:after="0"/>
              <w:rPr>
                <w:sz w:val="20"/>
                <w:szCs w:val="20"/>
                <w:color w:val="auto"/>
              </w:rPr>
            </w:pPr>
            <w:r>
              <w:rPr>
                <w:rFonts w:ascii="Arial" w:cs="Arial" w:eastAsia="Arial" w:hAnsi="Arial"/>
                <w:sz w:val="22"/>
                <w:szCs w:val="22"/>
                <w:b w:val="1"/>
                <w:bCs w:val="1"/>
                <w:color w:val="auto"/>
              </w:rPr>
              <w:t>Six Months Ended</w:t>
            </w:r>
          </w:p>
        </w:tc>
      </w:tr>
      <w:tr>
        <w:trPr>
          <w:trHeight w:val="98"/>
        </w:trPr>
        <w:tc>
          <w:tcPr>
            <w:tcW w:w="2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331"/>
        </w:trPr>
        <w:tc>
          <w:tcPr>
            <w:tcW w:w="2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Percent</w:t>
            </w:r>
          </w:p>
        </w:tc>
      </w:tr>
      <w:tr>
        <w:trPr>
          <w:trHeight w:val="281"/>
        </w:trPr>
        <w:tc>
          <w:tcPr>
            <w:tcW w:w="25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2"/>
                <w:szCs w:val="22"/>
                <w:b w:val="1"/>
                <w:bCs w:val="1"/>
                <w:color w:val="auto"/>
                <w:w w:val="88"/>
              </w:rPr>
              <w:t>Q2-08</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2"/>
                <w:szCs w:val="22"/>
                <w:b w:val="1"/>
                <w:bCs w:val="1"/>
                <w:color w:val="auto"/>
                <w:w w:val="88"/>
              </w:rPr>
              <w:t>Q2-07</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Change</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2"/>
                <w:szCs w:val="22"/>
                <w:b w:val="1"/>
                <w:bCs w:val="1"/>
                <w:color w:val="auto"/>
                <w:w w:val="97"/>
              </w:rPr>
              <w:t>YTD-08</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b w:val="1"/>
                <w:bCs w:val="1"/>
                <w:color w:val="auto"/>
                <w:w w:val="97"/>
              </w:rPr>
              <w:t>YTD-07</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w w:val="84"/>
              </w:rPr>
              <w:t>Change</w:t>
            </w:r>
          </w:p>
        </w:tc>
      </w:tr>
      <w:tr>
        <w:trPr>
          <w:trHeight w:val="98"/>
        </w:trPr>
        <w:tc>
          <w:tcPr>
            <w:tcW w:w="25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580"/>
        </w:trPr>
        <w:tc>
          <w:tcPr>
            <w:tcW w:w="2560" w:type="dxa"/>
            <w:vAlign w:val="bottom"/>
          </w:tcPr>
          <w:p>
            <w:pPr>
              <w:spacing w:after="0"/>
              <w:rPr>
                <w:sz w:val="20"/>
                <w:szCs w:val="20"/>
                <w:color w:val="auto"/>
              </w:rPr>
            </w:pPr>
            <w:r>
              <w:rPr>
                <w:rFonts w:ascii="Arial" w:cs="Arial" w:eastAsia="Arial" w:hAnsi="Arial"/>
                <w:sz w:val="22"/>
                <w:szCs w:val="22"/>
                <w:color w:val="auto"/>
                <w:w w:val="94"/>
              </w:rPr>
              <w:t>Research and development</w:t>
            </w:r>
          </w:p>
        </w:tc>
        <w:tc>
          <w:tcPr>
            <w:tcW w:w="600" w:type="dxa"/>
            <w:vAlign w:val="bottom"/>
          </w:tcPr>
          <w:p>
            <w:pPr>
              <w:jc w:val="right"/>
              <w:ind w:right="92"/>
              <w:spacing w:after="0"/>
              <w:rPr>
                <w:sz w:val="20"/>
                <w:szCs w:val="20"/>
                <w:color w:val="auto"/>
              </w:rPr>
            </w:pPr>
            <w:r>
              <w:rPr>
                <w:rFonts w:ascii="Arial" w:cs="Arial" w:eastAsia="Arial" w:hAnsi="Arial"/>
                <w:sz w:val="22"/>
                <w:szCs w:val="22"/>
                <w:color w:val="auto"/>
                <w:w w:val="88"/>
              </w:rPr>
              <w:t>$4.6</w:t>
            </w:r>
          </w:p>
        </w:tc>
        <w:tc>
          <w:tcPr>
            <w:tcW w:w="840" w:type="dxa"/>
            <w:vAlign w:val="bottom"/>
            <w:gridSpan w:val="2"/>
          </w:tcPr>
          <w:p>
            <w:pPr>
              <w:jc w:val="right"/>
              <w:ind w:right="92"/>
              <w:spacing w:after="0"/>
              <w:rPr>
                <w:sz w:val="20"/>
                <w:szCs w:val="20"/>
                <w:color w:val="auto"/>
              </w:rPr>
            </w:pPr>
            <w:r>
              <w:rPr>
                <w:rFonts w:ascii="Arial" w:cs="Arial" w:eastAsia="Arial" w:hAnsi="Arial"/>
                <w:sz w:val="22"/>
                <w:szCs w:val="22"/>
                <w:color w:val="auto"/>
              </w:rPr>
              <w:t>$4.3</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6.7%</w:t>
            </w:r>
          </w:p>
        </w:tc>
        <w:tc>
          <w:tcPr>
            <w:tcW w:w="1020" w:type="dxa"/>
            <w:vAlign w:val="bottom"/>
            <w:gridSpan w:val="2"/>
          </w:tcPr>
          <w:p>
            <w:pPr>
              <w:jc w:val="right"/>
              <w:ind w:right="72"/>
              <w:spacing w:after="0"/>
              <w:rPr>
                <w:sz w:val="20"/>
                <w:szCs w:val="20"/>
                <w:color w:val="auto"/>
              </w:rPr>
            </w:pPr>
            <w:r>
              <w:rPr>
                <w:rFonts w:ascii="Arial" w:cs="Arial" w:eastAsia="Arial" w:hAnsi="Arial"/>
                <w:sz w:val="22"/>
                <w:szCs w:val="22"/>
                <w:color w:val="auto"/>
              </w:rPr>
              <w:t>$8.9</w:t>
            </w:r>
          </w:p>
        </w:tc>
        <w:tc>
          <w:tcPr>
            <w:tcW w:w="1040" w:type="dxa"/>
            <w:vAlign w:val="bottom"/>
            <w:gridSpan w:val="2"/>
          </w:tcPr>
          <w:p>
            <w:pPr>
              <w:jc w:val="right"/>
              <w:ind w:right="92"/>
              <w:spacing w:after="0"/>
              <w:rPr>
                <w:sz w:val="20"/>
                <w:szCs w:val="20"/>
                <w:color w:val="auto"/>
              </w:rPr>
            </w:pPr>
            <w:r>
              <w:rPr>
                <w:rFonts w:ascii="Arial" w:cs="Arial" w:eastAsia="Arial" w:hAnsi="Arial"/>
                <w:sz w:val="22"/>
                <w:szCs w:val="22"/>
                <w:color w:val="auto"/>
              </w:rPr>
              <w:t>$9.0</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275"/>
        </w:trPr>
        <w:tc>
          <w:tcPr>
            <w:tcW w:w="2560" w:type="dxa"/>
            <w:vAlign w:val="bottom"/>
          </w:tcPr>
          <w:p>
            <w:pPr>
              <w:spacing w:after="0"/>
              <w:rPr>
                <w:sz w:val="20"/>
                <w:szCs w:val="20"/>
                <w:color w:val="auto"/>
              </w:rPr>
            </w:pPr>
            <w:r>
              <w:rPr>
                <w:rFonts w:ascii="Arial" w:cs="Arial" w:eastAsia="Arial" w:hAnsi="Arial"/>
                <w:sz w:val="22"/>
                <w:szCs w:val="22"/>
                <w:color w:val="auto"/>
              </w:rPr>
              <w:t>Percentage of net sales</w:t>
            </w:r>
          </w:p>
        </w:tc>
        <w:tc>
          <w:tcPr>
            <w:tcW w:w="600" w:type="dxa"/>
            <w:vAlign w:val="bottom"/>
          </w:tcPr>
          <w:p>
            <w:pPr>
              <w:jc w:val="right"/>
              <w:spacing w:after="0"/>
              <w:rPr>
                <w:sz w:val="20"/>
                <w:szCs w:val="20"/>
                <w:color w:val="auto"/>
              </w:rPr>
            </w:pPr>
            <w:r>
              <w:rPr>
                <w:rFonts w:ascii="Arial" w:cs="Arial" w:eastAsia="Arial" w:hAnsi="Arial"/>
                <w:sz w:val="22"/>
                <w:szCs w:val="22"/>
                <w:color w:val="auto"/>
              </w:rPr>
              <w:t>4.2%</w:t>
            </w:r>
          </w:p>
        </w:tc>
        <w:tc>
          <w:tcPr>
            <w:tcW w:w="840" w:type="dxa"/>
            <w:vAlign w:val="bottom"/>
            <w:gridSpan w:val="2"/>
          </w:tcPr>
          <w:p>
            <w:pPr>
              <w:jc w:val="right"/>
              <w:spacing w:after="0"/>
              <w:rPr>
                <w:sz w:val="20"/>
                <w:szCs w:val="20"/>
                <w:color w:val="auto"/>
              </w:rPr>
            </w:pPr>
            <w:r>
              <w:rPr>
                <w:rFonts w:ascii="Arial" w:cs="Arial" w:eastAsia="Arial" w:hAnsi="Arial"/>
                <w:sz w:val="22"/>
                <w:szCs w:val="22"/>
                <w:color w:val="auto"/>
              </w:rPr>
              <w:t>3.9%</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4.1%</w:t>
            </w:r>
          </w:p>
        </w:tc>
        <w:tc>
          <w:tcPr>
            <w:tcW w:w="1040" w:type="dxa"/>
            <w:vAlign w:val="bottom"/>
            <w:gridSpan w:val="2"/>
          </w:tcPr>
          <w:p>
            <w:pPr>
              <w:jc w:val="right"/>
              <w:spacing w:after="0"/>
              <w:rPr>
                <w:sz w:val="20"/>
                <w:szCs w:val="20"/>
                <w:color w:val="auto"/>
              </w:rPr>
            </w:pPr>
            <w:r>
              <w:rPr>
                <w:rFonts w:ascii="Arial" w:cs="Arial" w:eastAsia="Arial" w:hAnsi="Arial"/>
                <w:sz w:val="22"/>
                <w:szCs w:val="22"/>
                <w:color w:val="auto"/>
              </w:rPr>
              <w:t>4.2%</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270"/>
        <w:spacing w:after="0" w:line="287" w:lineRule="auto"/>
        <w:rPr>
          <w:sz w:val="20"/>
          <w:szCs w:val="20"/>
          <w:color w:val="auto"/>
        </w:rPr>
      </w:pPr>
      <w:r>
        <w:rPr>
          <w:rFonts w:ascii="Arial" w:cs="Arial" w:eastAsia="Arial" w:hAnsi="Arial"/>
          <w:sz w:val="19"/>
          <w:szCs w:val="19"/>
          <w:color w:val="auto"/>
        </w:rPr>
        <w:t>Research and development expenses consist primarily of global development efforts relating to high-end process technologies for advanced sub-wavelength reticle solutions for IC and FPD technologies. Research and development expenses increased by $0.3 million to $4.6 million in Q2-08, as compared to $4.3 million in Q2-07. On a YTD basis, research and development expenses decreased $0.1 million to $8.9 million in YTD-08, as compared to $9.0 million in YTD-07.</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Gain on Sale of Facility</w:t>
      </w:r>
    </w:p>
    <w:p>
      <w:pPr>
        <w:spacing w:after="0" w:line="206"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color w:val="auto"/>
        </w:rPr>
        <w:t>In January 2007, the Company sold its Austin, Texas, manufacturing and research and development facility for proceeds of $5.0 million and realized a gain of $2.3 million, which was recorded in operating income in Q1-07.</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Income (expense), net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58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w w:val="89"/>
              </w:rPr>
              <w:t>Three Months Ended</w:t>
            </w:r>
          </w:p>
        </w:tc>
        <w:tc>
          <w:tcPr>
            <w:tcW w:w="280" w:type="dxa"/>
            <w:vAlign w:val="bottom"/>
          </w:tcPr>
          <w:p>
            <w:pPr>
              <w:spacing w:after="0"/>
              <w:rPr>
                <w:sz w:val="24"/>
                <w:szCs w:val="24"/>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22"/>
                <w:szCs w:val="22"/>
                <w:b w:val="1"/>
                <w:bCs w:val="1"/>
                <w:color w:val="auto"/>
                <w:w w:val="89"/>
              </w:rPr>
              <w:t>Six Months Ended</w:t>
            </w:r>
          </w:p>
        </w:tc>
      </w:tr>
      <w:tr>
        <w:trPr>
          <w:trHeight w:val="98"/>
        </w:trPr>
        <w:tc>
          <w:tcPr>
            <w:tcW w:w="25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368"/>
        </w:trPr>
        <w:tc>
          <w:tcPr>
            <w:tcW w:w="258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Arial" w:cs="Arial" w:eastAsia="Arial" w:hAnsi="Arial"/>
                <w:sz w:val="22"/>
                <w:szCs w:val="22"/>
                <w:b w:val="1"/>
                <w:bCs w:val="1"/>
                <w:color w:val="auto"/>
              </w:rPr>
              <w:t>Q2-08</w:t>
            </w:r>
          </w:p>
        </w:tc>
        <w:tc>
          <w:tcPr>
            <w:tcW w:w="12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22"/>
                <w:szCs w:val="22"/>
                <w:b w:val="1"/>
                <w:bCs w:val="1"/>
                <w:color w:val="auto"/>
              </w:rPr>
              <w:t>Q2-07</w:t>
            </w:r>
          </w:p>
        </w:tc>
        <w:tc>
          <w:tcPr>
            <w:tcW w:w="280" w:type="dxa"/>
            <w:vAlign w:val="bottom"/>
          </w:tcPr>
          <w:p>
            <w:pPr>
              <w:spacing w:after="0"/>
              <w:rPr>
                <w:sz w:val="24"/>
                <w:szCs w:val="24"/>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22"/>
                <w:szCs w:val="22"/>
                <w:b w:val="1"/>
                <w:bCs w:val="1"/>
                <w:color w:val="auto"/>
              </w:rPr>
              <w:t>YTD-08  YTD-07</w:t>
            </w:r>
          </w:p>
        </w:tc>
      </w:tr>
      <w:tr>
        <w:trPr>
          <w:trHeight w:val="98"/>
        </w:trPr>
        <w:tc>
          <w:tcPr>
            <w:tcW w:w="25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580"/>
        </w:trPr>
        <w:tc>
          <w:tcPr>
            <w:tcW w:w="2580" w:type="dxa"/>
            <w:vAlign w:val="bottom"/>
          </w:tcPr>
          <w:p>
            <w:pPr>
              <w:spacing w:after="0"/>
              <w:rPr>
                <w:sz w:val="20"/>
                <w:szCs w:val="20"/>
                <w:color w:val="auto"/>
              </w:rPr>
            </w:pPr>
            <w:r>
              <w:rPr>
                <w:rFonts w:ascii="Arial" w:cs="Arial" w:eastAsia="Arial" w:hAnsi="Arial"/>
                <w:sz w:val="22"/>
                <w:szCs w:val="22"/>
                <w:color w:val="auto"/>
              </w:rPr>
              <w:t>Interest expense</w:t>
            </w:r>
          </w:p>
        </w:tc>
        <w:tc>
          <w:tcPr>
            <w:tcW w:w="920" w:type="dxa"/>
            <w:vAlign w:val="bottom"/>
          </w:tcPr>
          <w:p>
            <w:pPr>
              <w:jc w:val="right"/>
              <w:spacing w:after="0"/>
              <w:rPr>
                <w:sz w:val="20"/>
                <w:szCs w:val="20"/>
                <w:color w:val="auto"/>
              </w:rPr>
            </w:pPr>
            <w:r>
              <w:rPr>
                <w:rFonts w:ascii="Arial" w:cs="Arial" w:eastAsia="Arial" w:hAnsi="Arial"/>
                <w:sz w:val="22"/>
                <w:szCs w:val="22"/>
                <w:color w:val="auto"/>
              </w:rPr>
              <w:t>$(2.8)</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$(0.9)</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$(5.0)</w:t>
            </w:r>
          </w:p>
        </w:tc>
        <w:tc>
          <w:tcPr>
            <w:tcW w:w="920" w:type="dxa"/>
            <w:vAlign w:val="bottom"/>
            <w:gridSpan w:val="2"/>
          </w:tcPr>
          <w:p>
            <w:pPr>
              <w:jc w:val="right"/>
              <w:ind w:right="40"/>
              <w:spacing w:after="0"/>
              <w:rPr>
                <w:sz w:val="20"/>
                <w:szCs w:val="20"/>
                <w:color w:val="auto"/>
              </w:rPr>
            </w:pPr>
            <w:r>
              <w:rPr>
                <w:rFonts w:ascii="Arial" w:cs="Arial" w:eastAsia="Arial" w:hAnsi="Arial"/>
                <w:sz w:val="22"/>
                <w:szCs w:val="22"/>
                <w:color w:val="auto"/>
              </w:rPr>
              <w:t>$(3.0)</w:t>
            </w:r>
          </w:p>
        </w:tc>
      </w:tr>
      <w:tr>
        <w:trPr>
          <w:trHeight w:val="243"/>
        </w:trPr>
        <w:tc>
          <w:tcPr>
            <w:tcW w:w="2580" w:type="dxa"/>
            <w:vAlign w:val="bottom"/>
          </w:tcPr>
          <w:p>
            <w:pPr>
              <w:spacing w:after="0" w:line="243" w:lineRule="exact"/>
              <w:rPr>
                <w:sz w:val="20"/>
                <w:szCs w:val="20"/>
                <w:color w:val="auto"/>
              </w:rPr>
            </w:pPr>
            <w:r>
              <w:rPr>
                <w:rFonts w:ascii="Arial" w:cs="Arial" w:eastAsia="Arial" w:hAnsi="Arial"/>
                <w:sz w:val="22"/>
                <w:szCs w:val="22"/>
                <w:color w:val="auto"/>
              </w:rPr>
              <w:t>Investment and other</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5"/>
        </w:trPr>
        <w:tc>
          <w:tcPr>
            <w:tcW w:w="2580" w:type="dxa"/>
            <w:vAlign w:val="bottom"/>
          </w:tcPr>
          <w:p>
            <w:pPr>
              <w:ind w:left="120"/>
              <w:spacing w:after="0"/>
              <w:rPr>
                <w:sz w:val="20"/>
                <w:szCs w:val="20"/>
                <w:color w:val="auto"/>
              </w:rPr>
            </w:pPr>
            <w:r>
              <w:rPr>
                <w:rFonts w:ascii="Arial" w:cs="Arial" w:eastAsia="Arial" w:hAnsi="Arial"/>
                <w:sz w:val="22"/>
                <w:szCs w:val="22"/>
                <w:color w:val="auto"/>
              </w:rPr>
              <w:t>income (expense), net</w:t>
            </w:r>
          </w:p>
        </w:tc>
        <w:tc>
          <w:tcPr>
            <w:tcW w:w="920" w:type="dxa"/>
            <w:vAlign w:val="bottom"/>
          </w:tcPr>
          <w:p>
            <w:pPr>
              <w:jc w:val="right"/>
              <w:spacing w:after="0"/>
              <w:rPr>
                <w:sz w:val="20"/>
                <w:szCs w:val="20"/>
                <w:color w:val="auto"/>
              </w:rPr>
            </w:pPr>
            <w:r>
              <w:rPr>
                <w:rFonts w:ascii="Arial" w:cs="Arial" w:eastAsia="Arial" w:hAnsi="Arial"/>
                <w:sz w:val="22"/>
                <w:szCs w:val="22"/>
                <w:color w:val="auto"/>
              </w:rPr>
              <w:t>(0.4)</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1.3</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1.2</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rPr>
              <w:t>3.1</w:t>
            </w:r>
          </w:p>
        </w:tc>
      </w:tr>
      <w:tr>
        <w:trPr>
          <w:trHeight w:val="98"/>
        </w:trPr>
        <w:tc>
          <w:tcPr>
            <w:tcW w:w="2580" w:type="dxa"/>
            <w:vAlign w:val="bottom"/>
          </w:tcPr>
          <w:p>
            <w:pPr>
              <w:spacing w:after="0"/>
              <w:rPr>
                <w:sz w:val="8"/>
                <w:szCs w:val="8"/>
                <w:color w:val="auto"/>
              </w:rPr>
            </w:pPr>
          </w:p>
        </w:tc>
        <w:tc>
          <w:tcPr>
            <w:tcW w:w="920" w:type="dxa"/>
            <w:vAlign w:val="bottom"/>
            <w:tcBorders>
              <w:bottom w:val="single" w:sz="8" w:color="336699"/>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336699"/>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336699"/>
            </w:tcBorders>
          </w:tcPr>
          <w:p>
            <w:pPr>
              <w:spacing w:after="0"/>
              <w:rPr>
                <w:sz w:val="8"/>
                <w:szCs w:val="8"/>
                <w:color w:val="auto"/>
              </w:rPr>
            </w:pPr>
          </w:p>
        </w:tc>
      </w:tr>
      <w:tr>
        <w:trPr>
          <w:trHeight w:val="368"/>
        </w:trPr>
        <w:tc>
          <w:tcPr>
            <w:tcW w:w="2580" w:type="dxa"/>
            <w:vAlign w:val="bottom"/>
          </w:tcPr>
          <w:p>
            <w:pPr>
              <w:spacing w:after="0"/>
              <w:rPr>
                <w:sz w:val="20"/>
                <w:szCs w:val="20"/>
                <w:color w:val="auto"/>
              </w:rPr>
            </w:pPr>
            <w:r>
              <w:rPr>
                <w:rFonts w:ascii="Arial" w:cs="Arial" w:eastAsia="Arial" w:hAnsi="Arial"/>
                <w:sz w:val="22"/>
                <w:szCs w:val="22"/>
                <w:color w:val="auto"/>
                <w:w w:val="91"/>
              </w:rPr>
              <w:t>Other income (expense), net</w:t>
            </w:r>
          </w:p>
        </w:tc>
        <w:tc>
          <w:tcPr>
            <w:tcW w:w="920" w:type="dxa"/>
            <w:vAlign w:val="bottom"/>
          </w:tcPr>
          <w:p>
            <w:pPr>
              <w:jc w:val="right"/>
              <w:spacing w:after="0"/>
              <w:rPr>
                <w:sz w:val="20"/>
                <w:szCs w:val="20"/>
                <w:color w:val="auto"/>
              </w:rPr>
            </w:pPr>
            <w:r>
              <w:rPr>
                <w:rFonts w:ascii="Arial" w:cs="Arial" w:eastAsia="Arial" w:hAnsi="Arial"/>
                <w:sz w:val="22"/>
                <w:szCs w:val="22"/>
                <w:color w:val="auto"/>
              </w:rPr>
              <w:t>$(3.2)</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$ 0.4</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$(3.8)</w:t>
            </w:r>
          </w:p>
        </w:tc>
        <w:tc>
          <w:tcPr>
            <w:tcW w:w="920" w:type="dxa"/>
            <w:vAlign w:val="bottom"/>
            <w:gridSpan w:val="2"/>
          </w:tcPr>
          <w:p>
            <w:pPr>
              <w:jc w:val="right"/>
              <w:ind w:right="80"/>
              <w:spacing w:after="0"/>
              <w:rPr>
                <w:sz w:val="20"/>
                <w:szCs w:val="20"/>
                <w:color w:val="auto"/>
              </w:rPr>
            </w:pPr>
            <w:r>
              <w:rPr>
                <w:rFonts w:ascii="Arial" w:cs="Arial" w:eastAsia="Arial" w:hAnsi="Arial"/>
                <w:sz w:val="22"/>
                <w:szCs w:val="22"/>
                <w:color w:val="auto"/>
              </w:rPr>
              <w:t>$ 0.1</w:t>
            </w:r>
          </w:p>
        </w:tc>
      </w:tr>
      <w:tr>
        <w:trPr>
          <w:trHeight w:val="122"/>
        </w:trPr>
        <w:tc>
          <w:tcPr>
            <w:tcW w:w="2580" w:type="dxa"/>
            <w:vAlign w:val="bottom"/>
          </w:tcPr>
          <w:p>
            <w:pPr>
              <w:spacing w:after="0"/>
              <w:rPr>
                <w:sz w:val="10"/>
                <w:szCs w:val="10"/>
                <w:color w:val="auto"/>
              </w:rPr>
            </w:pPr>
          </w:p>
        </w:tc>
        <w:tc>
          <w:tcPr>
            <w:tcW w:w="920" w:type="dxa"/>
            <w:vAlign w:val="bottom"/>
            <w:tcBorders>
              <w:bottom w:val="single" w:sz="8" w:color="336699"/>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336699"/>
            </w:tcBorders>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bottom w:val="single" w:sz="8" w:color="336699"/>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1632585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80" w:firstLine="270"/>
        <w:spacing w:after="0" w:line="236" w:lineRule="auto"/>
        <w:rPr>
          <w:sz w:val="20"/>
          <w:szCs w:val="20"/>
          <w:color w:val="auto"/>
        </w:rPr>
      </w:pPr>
      <w:r>
        <w:rPr>
          <w:rFonts w:ascii="Arial" w:cs="Arial" w:eastAsia="Arial" w:hAnsi="Arial"/>
          <w:sz w:val="22"/>
          <w:szCs w:val="22"/>
          <w:color w:val="auto"/>
        </w:rPr>
        <w:t>Interest expense in Q2-08 and YTD-08 increased as compared to the same periods in the prior year, primarily as a result of the Company's increased debt levels year-over-year. Investment and other income (expense), net, for Q2-08 decreased as compared to Q2-07 mainly due to higher foreign currency exchange losses. Investment and other income (expense), net, for YTD-08 decreased as compared to YTD-07 as a result of decreased investment income associated with reduced cash and short-term investment balances.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b w:val="1"/>
                <w:bCs w:val="1"/>
                <w:i w:val="1"/>
                <w:iCs w:val="1"/>
                <w:color w:val="auto"/>
                <w:w w:val="95"/>
              </w:rPr>
              <w:t>Provision for Income Taxes</w:t>
            </w: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459"/>
        </w:trPr>
        <w:tc>
          <w:tcPr>
            <w:tcW w:w="276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22"/>
                <w:szCs w:val="22"/>
                <w:b w:val="1"/>
                <w:bCs w:val="1"/>
                <w:color w:val="auto"/>
                <w:w w:val="90"/>
              </w:rPr>
              <w:t>Three Months Ended</w:t>
            </w:r>
          </w:p>
        </w:tc>
        <w:tc>
          <w:tcPr>
            <w:tcW w:w="300" w:type="dxa"/>
            <w:vAlign w:val="bottom"/>
          </w:tcPr>
          <w:p>
            <w:pPr>
              <w:spacing w:after="0"/>
              <w:rPr>
                <w:sz w:val="24"/>
                <w:szCs w:val="24"/>
                <w:color w:val="auto"/>
              </w:rPr>
            </w:pPr>
          </w:p>
        </w:tc>
        <w:tc>
          <w:tcPr>
            <w:tcW w:w="1740" w:type="dxa"/>
            <w:vAlign w:val="bottom"/>
            <w:gridSpan w:val="3"/>
          </w:tcPr>
          <w:p>
            <w:pPr>
              <w:jc w:val="right"/>
              <w:ind w:right="40"/>
              <w:spacing w:after="0"/>
              <w:rPr>
                <w:sz w:val="20"/>
                <w:szCs w:val="20"/>
                <w:color w:val="auto"/>
              </w:rPr>
            </w:pPr>
            <w:r>
              <w:rPr>
                <w:rFonts w:ascii="Arial" w:cs="Arial" w:eastAsia="Arial" w:hAnsi="Arial"/>
                <w:sz w:val="22"/>
                <w:szCs w:val="22"/>
                <w:b w:val="1"/>
                <w:bCs w:val="1"/>
                <w:color w:val="auto"/>
                <w:w w:val="88"/>
              </w:rPr>
              <w:t>Six Months Ended</w:t>
            </w:r>
          </w:p>
        </w:tc>
      </w:tr>
      <w:tr>
        <w:trPr>
          <w:trHeight w:val="98"/>
        </w:trPr>
        <w:tc>
          <w:tcPr>
            <w:tcW w:w="27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368"/>
        </w:trPr>
        <w:tc>
          <w:tcPr>
            <w:tcW w:w="2760" w:type="dxa"/>
            <w:vAlign w:val="bottom"/>
          </w:tcPr>
          <w:p>
            <w:pPr>
              <w:spacing w:after="0"/>
              <w:rPr>
                <w:sz w:val="24"/>
                <w:szCs w:val="24"/>
                <w:color w:val="auto"/>
              </w:rPr>
            </w:pPr>
          </w:p>
        </w:tc>
        <w:tc>
          <w:tcPr>
            <w:tcW w:w="920" w:type="dxa"/>
            <w:vAlign w:val="bottom"/>
          </w:tcPr>
          <w:p>
            <w:pPr>
              <w:jc w:val="right"/>
              <w:ind w:right="72"/>
              <w:spacing w:after="0"/>
              <w:rPr>
                <w:sz w:val="20"/>
                <w:szCs w:val="20"/>
                <w:color w:val="auto"/>
              </w:rPr>
            </w:pPr>
            <w:r>
              <w:rPr>
                <w:rFonts w:ascii="Arial" w:cs="Arial" w:eastAsia="Arial" w:hAnsi="Arial"/>
                <w:sz w:val="22"/>
                <w:szCs w:val="22"/>
                <w:b w:val="1"/>
                <w:bCs w:val="1"/>
                <w:color w:val="auto"/>
              </w:rPr>
              <w:t>Q2-08</w:t>
            </w:r>
          </w:p>
        </w:tc>
        <w:tc>
          <w:tcPr>
            <w:tcW w:w="1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22"/>
                <w:szCs w:val="22"/>
                <w:b w:val="1"/>
                <w:bCs w:val="1"/>
                <w:color w:val="auto"/>
              </w:rPr>
              <w:t>Q2-07</w:t>
            </w:r>
          </w:p>
        </w:tc>
        <w:tc>
          <w:tcPr>
            <w:tcW w:w="300" w:type="dxa"/>
            <w:vAlign w:val="bottom"/>
          </w:tcPr>
          <w:p>
            <w:pPr>
              <w:spacing w:after="0"/>
              <w:rPr>
                <w:sz w:val="24"/>
                <w:szCs w:val="24"/>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22"/>
                <w:szCs w:val="22"/>
                <w:b w:val="1"/>
                <w:bCs w:val="1"/>
                <w:color w:val="auto"/>
              </w:rPr>
              <w:t>YTD-08  YTD-07</w:t>
            </w:r>
          </w:p>
        </w:tc>
      </w:tr>
      <w:tr>
        <w:trPr>
          <w:trHeight w:val="98"/>
        </w:trPr>
        <w:tc>
          <w:tcPr>
            <w:tcW w:w="27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611"/>
        </w:trPr>
        <w:tc>
          <w:tcPr>
            <w:tcW w:w="2760" w:type="dxa"/>
            <w:vAlign w:val="bottom"/>
          </w:tcPr>
          <w:p>
            <w:pPr>
              <w:spacing w:after="0"/>
              <w:rPr>
                <w:sz w:val="20"/>
                <w:szCs w:val="20"/>
                <w:color w:val="auto"/>
              </w:rPr>
            </w:pPr>
            <w:r>
              <w:rPr>
                <w:rFonts w:ascii="Arial" w:cs="Arial" w:eastAsia="Arial" w:hAnsi="Arial"/>
                <w:sz w:val="22"/>
                <w:szCs w:val="22"/>
                <w:color w:val="auto"/>
                <w:w w:val="94"/>
              </w:rPr>
              <w:t>Income tax benefit (provision)</w:t>
            </w:r>
          </w:p>
        </w:tc>
        <w:tc>
          <w:tcPr>
            <w:tcW w:w="920" w:type="dxa"/>
            <w:vAlign w:val="bottom"/>
          </w:tcPr>
          <w:p>
            <w:pPr>
              <w:jc w:val="right"/>
              <w:spacing w:after="0"/>
              <w:rPr>
                <w:sz w:val="20"/>
                <w:szCs w:val="20"/>
                <w:color w:val="auto"/>
              </w:rPr>
            </w:pPr>
            <w:r>
              <w:rPr>
                <w:rFonts w:ascii="Arial" w:cs="Arial" w:eastAsia="Arial" w:hAnsi="Arial"/>
                <w:sz w:val="22"/>
                <w:szCs w:val="22"/>
                <w:color w:val="auto"/>
              </w:rPr>
              <w:t>$(0.9)</w:t>
            </w:r>
          </w:p>
        </w:tc>
        <w:tc>
          <w:tcPr>
            <w:tcW w:w="1080" w:type="dxa"/>
            <w:vAlign w:val="bottom"/>
            <w:gridSpan w:val="2"/>
          </w:tcPr>
          <w:p>
            <w:pPr>
              <w:jc w:val="right"/>
              <w:spacing w:after="0"/>
              <w:rPr>
                <w:sz w:val="20"/>
                <w:szCs w:val="20"/>
                <w:color w:val="auto"/>
              </w:rPr>
            </w:pPr>
            <w:r>
              <w:rPr>
                <w:rFonts w:ascii="Arial" w:cs="Arial" w:eastAsia="Arial" w:hAnsi="Arial"/>
                <w:sz w:val="22"/>
                <w:szCs w:val="22"/>
                <w:color w:val="auto"/>
              </w:rPr>
              <w:t>$6.4</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$(2.8)</w:t>
            </w:r>
          </w:p>
        </w:tc>
        <w:tc>
          <w:tcPr>
            <w:tcW w:w="920" w:type="dxa"/>
            <w:vAlign w:val="bottom"/>
            <w:gridSpan w:val="2"/>
          </w:tcPr>
          <w:p>
            <w:pPr>
              <w:jc w:val="right"/>
              <w:ind w:right="20"/>
              <w:spacing w:after="0"/>
              <w:rPr>
                <w:sz w:val="20"/>
                <w:szCs w:val="20"/>
                <w:color w:val="auto"/>
              </w:rPr>
            </w:pPr>
            <w:r>
              <w:rPr>
                <w:rFonts w:ascii="Arial" w:cs="Arial" w:eastAsia="Arial" w:hAnsi="Arial"/>
                <w:sz w:val="22"/>
                <w:szCs w:val="22"/>
                <w:color w:val="auto"/>
              </w:rPr>
              <w:t>$5.1</w:t>
            </w:r>
          </w:p>
        </w:tc>
      </w:tr>
    </w:tbl>
    <w:p>
      <w:pPr>
        <w:sectPr>
          <w:pgSz w:w="11900" w:h="16838" w:orient="portrait"/>
          <w:cols w:equalWidth="0" w:num="1">
            <w:col w:w="11360"/>
          </w:cols>
          <w:pgMar w:left="240" w:top="108" w:right="299" w:bottom="12" w:gutter="0" w:footer="0" w:header="0"/>
        </w:sectPr>
      </w:pPr>
    </w:p>
    <w:bookmarkStart w:id="16" w:name="page17"/>
    <w:bookmarkEnd w:id="16"/>
    <w:p>
      <w:pPr>
        <w:ind w:right="180" w:firstLine="266"/>
        <w:spacing w:after="0" w:line="248" w:lineRule="auto"/>
        <w:rPr>
          <w:sz w:val="20"/>
          <w:szCs w:val="20"/>
          <w:color w:val="auto"/>
        </w:rPr>
      </w:pPr>
      <w:r>
        <w:rPr>
          <w:rFonts w:ascii="Arial" w:cs="Arial" w:eastAsia="Arial" w:hAnsi="Arial"/>
          <w:sz w:val="21"/>
          <w:szCs w:val="21"/>
          <w:color w:val="auto"/>
        </w:rPr>
        <w:t>The effective tax rates in Q2-08 and YTD-08 differ from the amounts computed by applying the U.S. statutory rate of 35% to the income before taxes primarily because income tax provisions in jurisdictions where the Company generated income were, due to valuation allowances, not significantly offset by income tax benefits in jurisdictions where the Company incurred losses. The effective tax rates in Q2-07 and YTD-07 differ from the amounts computed by applying the U.S. statutory rate of 35% to income before taxes primarily due to the benefit recorded for the resolution and settlement of U.S. and foreign tax matters that were associated with uncertain tax positions in prior years.</w:t>
      </w:r>
    </w:p>
    <w:p>
      <w:pPr>
        <w:spacing w:after="0" w:line="178" w:lineRule="exact"/>
        <w:rPr>
          <w:sz w:val="20"/>
          <w:szCs w:val="20"/>
          <w:color w:val="auto"/>
        </w:rPr>
      </w:pPr>
    </w:p>
    <w:p>
      <w:pPr>
        <w:ind w:right="20" w:firstLine="266"/>
        <w:spacing w:after="0" w:line="235" w:lineRule="auto"/>
        <w:rPr>
          <w:sz w:val="20"/>
          <w:szCs w:val="20"/>
          <w:color w:val="auto"/>
        </w:rPr>
      </w:pPr>
      <w:r>
        <w:rPr>
          <w:rFonts w:ascii="Arial" w:cs="Arial" w:eastAsia="Arial" w:hAnsi="Arial"/>
          <w:sz w:val="22"/>
          <w:szCs w:val="22"/>
          <w:color w:val="auto"/>
        </w:rPr>
        <w:t>The Company's operations have followed the migration of semiconductor industry fabrication to Asia, where the Company operates in countries where it is accorded favorable tax treatment. PKLT, the Company's FPD manufacturing facility in Taiwan, is accorded a tax holiday, which is expected to expire in 2012. In addition, the Company has been accorded a tax holiday in China which is expected to expire in 2011. These tax holidays had no dollar or per share effect in the three and six months ended April 27, 2008 and April 29, 2007. In Korea and Taiwan, various investment tax credits have been utilized to reduce the Company's effective income tax rate.</w:t>
      </w:r>
    </w:p>
    <w:p>
      <w:pPr>
        <w:spacing w:after="0" w:line="188" w:lineRule="exact"/>
        <w:rPr>
          <w:sz w:val="20"/>
          <w:szCs w:val="20"/>
          <w:color w:val="auto"/>
        </w:rPr>
      </w:pPr>
    </w:p>
    <w:p>
      <w:pPr>
        <w:ind w:right="60" w:firstLine="270"/>
        <w:spacing w:after="0" w:line="244" w:lineRule="auto"/>
        <w:rPr>
          <w:sz w:val="20"/>
          <w:szCs w:val="20"/>
          <w:color w:val="auto"/>
        </w:rPr>
      </w:pPr>
      <w:r>
        <w:rPr>
          <w:rFonts w:ascii="Arial" w:cs="Arial" w:eastAsia="Arial" w:hAnsi="Arial"/>
          <w:sz w:val="21"/>
          <w:szCs w:val="21"/>
          <w:color w:val="auto"/>
        </w:rPr>
        <w:t>In June 2006, the FASB issued FASB Interpretation Number 48 ("FIN 48"), "Accounting for Uncertainty in Income Taxes - an Interpretation of FASB Statement No. 109." The interpretation contains a two step approach to recognizing and measuring uncertain tax positions accounted for in accordance with SFAS No. 109.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as of the beginning of its 2008 fiscal year. Prior to adoption, the Company's pre-existing policy was to establish reserves, including interest and penalties, for uncertain tax positions that reflected the probable outcome of known tax contingencies. As of the date of adoption of FIN 48, the Company has elected to recognize interest, and penalties if applicable, related to uncertain tax positions in the income tax provision in its condensed consolidated statements of operations. As compared to the Company's historical approach, the application of FIN 48 resulted in a net increase to accrued income taxes payable of approximately $1.0 million (including interest and penalties of approximately $0.2 million), and a decrease to retained earnings of the same amount. There were no significant changes to the liability for uncertain tax positions (or accrued interest and penalties) during the six months ended April 27, 2008.</w:t>
      </w:r>
    </w:p>
    <w:p>
      <w:pPr>
        <w:spacing w:after="0" w:line="182" w:lineRule="exact"/>
        <w:rPr>
          <w:sz w:val="20"/>
          <w:szCs w:val="20"/>
          <w:color w:val="auto"/>
        </w:rPr>
      </w:pPr>
    </w:p>
    <w:p>
      <w:pPr>
        <w:ind w:firstLine="258"/>
        <w:spacing w:after="0"/>
        <w:rPr>
          <w:sz w:val="20"/>
          <w:szCs w:val="20"/>
          <w:color w:val="auto"/>
        </w:rPr>
      </w:pPr>
      <w:r>
        <w:rPr>
          <w:rFonts w:ascii="Arial" w:cs="Arial" w:eastAsia="Arial" w:hAnsi="Arial"/>
          <w:sz w:val="22"/>
          <w:szCs w:val="22"/>
          <w:color w:val="auto"/>
        </w:rPr>
        <w:t>As of the date of adoption of FIN 48 the gross unrecognized tax benefits for income taxes associated with uncertain tax positions totaled approximately $3.5 million. If recognized, the benefits would favorably affect the Company’s effective rate in future periods.</w:t>
      </w:r>
    </w:p>
    <w:p>
      <w:pPr>
        <w:spacing w:after="0" w:line="186" w:lineRule="exact"/>
        <w:rPr>
          <w:sz w:val="20"/>
          <w:szCs w:val="20"/>
          <w:color w:val="auto"/>
        </w:rPr>
      </w:pPr>
    </w:p>
    <w:p>
      <w:pPr>
        <w:ind w:right="160" w:firstLine="270"/>
        <w:spacing w:after="0" w:line="238" w:lineRule="auto"/>
        <w:rPr>
          <w:sz w:val="20"/>
          <w:szCs w:val="20"/>
          <w:color w:val="auto"/>
        </w:rPr>
      </w:pPr>
      <w:r>
        <w:rPr>
          <w:rFonts w:ascii="Arial" w:cs="Arial" w:eastAsia="Arial" w:hAnsi="Arial"/>
          <w:sz w:val="22"/>
          <w:szCs w:val="22"/>
          <w:color w:val="auto"/>
        </w:rPr>
        <w:t>It is possible that material changes to the gross unrecognized tax benefits may be required during fiscal year 2008. These changes relate to possible settlements in the U.K. and Germany during fiscal year 2008. Though the Company expects these items may result in a net reduction of its unrecognized tax benefits, an estimate of the expected reduction and related income tax benefit cannot be made at this time.</w:t>
      </w:r>
    </w:p>
    <w:p>
      <w:pPr>
        <w:spacing w:after="0" w:line="185" w:lineRule="exact"/>
        <w:rPr>
          <w:sz w:val="20"/>
          <w:szCs w:val="20"/>
          <w:color w:val="auto"/>
        </w:rPr>
      </w:pPr>
    </w:p>
    <w:p>
      <w:pPr>
        <w:ind w:right="60" w:firstLine="270"/>
        <w:spacing w:after="0" w:line="251" w:lineRule="auto"/>
        <w:rPr>
          <w:sz w:val="20"/>
          <w:szCs w:val="20"/>
          <w:color w:val="auto"/>
        </w:rPr>
      </w:pPr>
      <w:r>
        <w:rPr>
          <w:rFonts w:ascii="Arial" w:cs="Arial" w:eastAsia="Arial" w:hAnsi="Arial"/>
          <w:sz w:val="22"/>
          <w:szCs w:val="22"/>
          <w:color w:val="auto"/>
        </w:rPr>
        <w:t>Currently, the statutes of limitations remain open subsequent to and including 2003 in the U.S. and Korea, 2002 in the U.K., and 2001 in Germany.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Minority Interest in Consolidated Subsidiaries</w:t>
      </w:r>
    </w:p>
    <w:p>
      <w:pPr>
        <w:spacing w:after="0" w:line="206" w:lineRule="exact"/>
        <w:rPr>
          <w:sz w:val="20"/>
          <w:szCs w:val="20"/>
          <w:color w:val="auto"/>
        </w:rPr>
      </w:pPr>
    </w:p>
    <w:p>
      <w:pPr>
        <w:ind w:right="20" w:firstLine="270"/>
        <w:spacing w:after="0" w:line="238" w:lineRule="auto"/>
        <w:rPr>
          <w:sz w:val="20"/>
          <w:szCs w:val="20"/>
          <w:color w:val="auto"/>
        </w:rPr>
      </w:pPr>
      <w:r>
        <w:rPr>
          <w:rFonts w:ascii="Arial" w:cs="Arial" w:eastAsia="Arial" w:hAnsi="Arial"/>
          <w:sz w:val="22"/>
          <w:szCs w:val="22"/>
          <w:color w:val="auto"/>
        </w:rPr>
        <w:t>Minority interest decreased $0.2 million to $0.0 million in Q2-08 as compared to Q2-07 due to decreased net income at the Company's non-wholly owned subsidiary in Taiwan. The Company's ownership in its subsidiary in Taiwan was approximately 58% at April 27, 2008 and October 28, 2007, and its ownership in its subsidiary in Korea was approximately 99.7% at April 27, 2008 and October 28, 2007.</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120" w:firstLine="266"/>
        <w:spacing w:after="0" w:line="244" w:lineRule="auto"/>
        <w:rPr>
          <w:sz w:val="20"/>
          <w:szCs w:val="20"/>
          <w:color w:val="auto"/>
        </w:rPr>
      </w:pPr>
      <w:r>
        <w:rPr>
          <w:rFonts w:ascii="Arial" w:cs="Arial" w:eastAsia="Arial" w:hAnsi="Arial"/>
          <w:sz w:val="21"/>
          <w:szCs w:val="21"/>
          <w:color w:val="auto"/>
        </w:rPr>
        <w:t>The Company's working capital decreased $54.3 million to $42.3 million at April 27, 2008, as compared to $96.6 million at October 28, 2007, primarily related to payments for capital expenditures, and an increase in the current portion of long-term borrowings related to the U.S. Nanofab capital lease agreement which commenced during Q1-08. Cash, cash equivalents, and short-term investments decreased to $69.6 million at April 27, 2008 as compared to $151.7 million at October 28, 2007, primarily due to payments for capital expenditures and convertible subordinated notes. Accounts receivable increased from $68.3 million at October 28, 2007 to $79.0 million at April 27, 2008, primarily due to increased net sales in Q2-08 as compared to Q4-07. Cash provided by operating activities was $35.1 million for the six months ended April 27, 2008, as compared to $71.5 for the same period last year, primarily due to the Company incurring a net loss of $5.4 million for the six months ended April 27, 2008, as compared to net income of $21.9 million in the same prior year period. Cash used in investing activities for the six months ended April 27, 2008 was $77.4 million, which was comprised primarily of capital expenditure payments of $78.1 million. Cash used in financing activities of $37.3 million for the six months ended April 27, 2008 was primarily comprised of $169.0 million repayments of long-term borrowings (primarily relating to the Company's redemption of its $150.0 million convertible subordinated notes) offset by $132.1 million in proceeds from long-term borrowings, primarily related to the Company's revolving credit facility.</w:t>
      </w:r>
    </w:p>
    <w:p>
      <w:pPr>
        <w:sectPr>
          <w:pgSz w:w="11900" w:h="16838" w:orient="portrait"/>
          <w:cols w:equalWidth="0" w:num="1">
            <w:col w:w="11420"/>
          </w:cols>
          <w:pgMar w:left="240" w:top="118" w:right="239" w:bottom="0" w:gutter="0" w:footer="0" w:header="0"/>
        </w:sectPr>
      </w:pPr>
    </w:p>
    <w:bookmarkStart w:id="17" w:name="page18"/>
    <w:bookmarkEnd w:id="17"/>
    <w:p>
      <w:pPr>
        <w:ind w:firstLine="258"/>
        <w:spacing w:after="0" w:line="248" w:lineRule="auto"/>
        <w:rPr>
          <w:sz w:val="20"/>
          <w:szCs w:val="20"/>
          <w:color w:val="auto"/>
        </w:rPr>
      </w:pPr>
      <w:r>
        <w:rPr>
          <w:rFonts w:ascii="Arial" w:cs="Arial" w:eastAsia="Arial" w:hAnsi="Arial"/>
          <w:sz w:val="21"/>
          <w:szCs w:val="21"/>
          <w:color w:val="auto"/>
        </w:rPr>
        <w:t>At April 27, 2008, the Company had capital commitments outstanding of approximately $22 million. Photronics believes that its currently available resources, together with its capacity for growth, and its access to other debt and equity financing sources, will be sufficient to satisfy its currently planned capital expenditures, as well as its anticipated working capital requirements for the remainder of its 2008 fiscal year. However, the Company cannot assure that additional sources of financing would be available to the Company on commercially favorable terms should the Company's capital requirements exceed cash available from operations, existing cash, and short-term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Requirements</w:t>
      </w:r>
    </w:p>
    <w:p>
      <w:pPr>
        <w:spacing w:after="0" w:line="212" w:lineRule="exact"/>
        <w:rPr>
          <w:sz w:val="20"/>
          <w:szCs w:val="20"/>
          <w:color w:val="auto"/>
        </w:rPr>
      </w:pPr>
    </w:p>
    <w:p>
      <w:pPr>
        <w:ind w:right="220" w:firstLine="266"/>
        <w:spacing w:after="0" w:line="245" w:lineRule="auto"/>
        <w:rPr>
          <w:sz w:val="20"/>
          <w:szCs w:val="20"/>
          <w:color w:val="auto"/>
        </w:rPr>
      </w:pPr>
      <w:r>
        <w:rPr>
          <w:rFonts w:ascii="Arial" w:cs="Arial" w:eastAsia="Arial" w:hAnsi="Arial"/>
          <w:sz w:val="21"/>
          <w:szCs w:val="21"/>
          <w:color w:val="auto"/>
        </w:rPr>
        <w:t>The Company's cash requirements for the balance of fiscal 2008 will be primarily to fund operations, including spending on capital expenditures and capital lease obligations, as well as any cash acquisitions that it may undertake. On April 25, 2008, the Company's credit facility was amended, including a provision that the Company enter into an agreement evidencing permanent long-term capital of at least $75.0 million by November 2, 2008. The Company expects that cash, cash equivalents, short-term investments, cash generated from operations, along with access to other debt and equity financing sources, should be sufficient to meet its cash requirements for the next 12 months.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capital requirements exceed cash available from operations, cash available under its credit facility, existing cash, and short-term investments.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w:t>
      </w:r>
    </w:p>
    <w:p>
      <w:pPr>
        <w:spacing w:after="0" w:line="212" w:lineRule="exact"/>
        <w:rPr>
          <w:sz w:val="20"/>
          <w:szCs w:val="20"/>
          <w:color w:val="auto"/>
        </w:rPr>
      </w:pPr>
    </w:p>
    <w:p>
      <w:pPr>
        <w:ind w:right="80" w:firstLine="266"/>
        <w:spacing w:after="0" w:line="249" w:lineRule="auto"/>
        <w:rPr>
          <w:sz w:val="20"/>
          <w:szCs w:val="20"/>
          <w:color w:val="auto"/>
        </w:rPr>
      </w:pPr>
      <w:r>
        <w:rPr>
          <w:rFonts w:ascii="Arial" w:cs="Arial" w:eastAsia="Arial" w:hAnsi="Arial"/>
          <w:sz w:val="21"/>
          <w:szCs w:val="21"/>
          <w:color w:val="auto"/>
        </w:rPr>
        <w:t>Total stock-based compensation expense for the three and six months ended April 27, 2008 was $0.7 million and $1.2 million, respectively, as compared to $0.7 million and $1.5 million, respectively, for the comparable prior year periods, substantially all of which is in selling, general and administrative expenses. No compensation cost was capitalized as part of inventory, and no income tax benefit has been recorded. As of April 27, 2008 total unrecognized compensation cost of $7.5 million is expected to be recognized over a weighted average amortization period of 3.8 years.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ind w:right="140" w:firstLine="258"/>
        <w:spacing w:after="0" w:line="282" w:lineRule="auto"/>
        <w:rPr>
          <w:sz w:val="20"/>
          <w:szCs w:val="20"/>
          <w:color w:val="auto"/>
        </w:rPr>
      </w:pPr>
      <w:r>
        <w:rPr>
          <w:rFonts w:ascii="Arial" w:cs="Arial" w:eastAsia="Arial" w:hAnsi="Arial"/>
          <w:sz w:val="19"/>
          <w:szCs w:val="19"/>
          <w:color w:val="auto"/>
        </w:rPr>
        <w:t>A majority of the Company's revenue growth has come from, and is expected to continue to come from, the Asian region, as customers increase their use of manufacturing foundries located outside of North America and Europe. Additional revenue growth is also anticipated from North America and Europe as a result of utilizing technology licensed under the Company's technology license with Micron Technology, Inc. The Company's Korean and Taiwanese operations are non-wholly owned subsidiaries. Therefore, a portion of earnings generated at each of these locations is allocated to the minority shareholders.</w:t>
      </w:r>
    </w:p>
    <w:p>
      <w:pPr>
        <w:spacing w:after="0" w:line="148" w:lineRule="exact"/>
        <w:rPr>
          <w:sz w:val="20"/>
          <w:szCs w:val="20"/>
          <w:color w:val="auto"/>
        </w:rPr>
      </w:pPr>
    </w:p>
    <w:p>
      <w:pPr>
        <w:ind w:right="500" w:firstLine="266"/>
        <w:spacing w:after="0" w:line="328" w:lineRule="auto"/>
        <w:rPr>
          <w:sz w:val="20"/>
          <w:szCs w:val="20"/>
          <w:color w:val="auto"/>
        </w:rPr>
      </w:pPr>
      <w:r>
        <w:rPr>
          <w:rFonts w:ascii="Arial" w:cs="Arial" w:eastAsia="Arial" w:hAnsi="Arial"/>
          <w:sz w:val="19"/>
          <w:szCs w:val="19"/>
          <w:color w:val="auto"/>
        </w:rPr>
        <w:t>The Company continues to assess its global manufacturing strategy and monitor its market capitalization, sales volume and related cash flows from operations. This ongoing assessment could result in future facilities closures, asset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redeployments, impairments of goodwill and other intangible and long-lived assets, workforce reductions, asset impairments or the addition of increased manufacturing facilities, all of which would be based on market conditions and customer requirements.</w:t>
      </w:r>
    </w:p>
    <w:p>
      <w:pPr>
        <w:spacing w:after="0" w:line="105" w:lineRule="exact"/>
        <w:rPr>
          <w:sz w:val="20"/>
          <w:szCs w:val="20"/>
          <w:color w:val="auto"/>
        </w:rPr>
      </w:pPr>
    </w:p>
    <w:p>
      <w:pPr>
        <w:ind w:right="40" w:firstLine="266"/>
        <w:spacing w:after="0"/>
        <w:rPr>
          <w:sz w:val="20"/>
          <w:szCs w:val="20"/>
          <w:color w:val="auto"/>
        </w:rPr>
      </w:pPr>
      <w:r>
        <w:rPr>
          <w:rFonts w:ascii="Arial" w:cs="Arial" w:eastAsia="Arial" w:hAnsi="Arial"/>
          <w:sz w:val="22"/>
          <w:szCs w:val="22"/>
          <w:color w:val="auto"/>
        </w:rPr>
        <w:t>The Company's future results of operations and the other forward-looking statements contained in this filing involve a number of risks and uncertainties. Various factors that have been discussed and a number of other factors could cause actual results to differ materially from the Company's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Application of Critical Accounting Policies</w:t>
      </w:r>
    </w:p>
    <w:p>
      <w:pPr>
        <w:spacing w:after="0" w:line="212" w:lineRule="exact"/>
        <w:rPr>
          <w:sz w:val="20"/>
          <w:szCs w:val="20"/>
          <w:color w:val="auto"/>
        </w:rPr>
      </w:pPr>
    </w:p>
    <w:p>
      <w:pPr>
        <w:ind w:right="40" w:firstLine="266"/>
        <w:spacing w:after="0" w:line="238" w:lineRule="auto"/>
        <w:rPr>
          <w:sz w:val="20"/>
          <w:szCs w:val="20"/>
          <w:color w:val="auto"/>
        </w:rPr>
      </w:pPr>
      <w:r>
        <w:rPr>
          <w:rFonts w:ascii="Arial" w:cs="Arial" w:eastAsia="Arial" w:hAnsi="Arial"/>
          <w:sz w:val="22"/>
          <w:szCs w:val="22"/>
          <w:color w:val="auto"/>
        </w:rPr>
        <w:t>The Company's condensed consolidated financial statements are based on the selection and application of significant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Estimates and Assumptions</w:t>
      </w:r>
    </w:p>
    <w:p>
      <w:pPr>
        <w:spacing w:after="0" w:line="206" w:lineRule="exact"/>
        <w:rPr>
          <w:sz w:val="20"/>
          <w:szCs w:val="20"/>
          <w:color w:val="auto"/>
        </w:rPr>
      </w:pPr>
    </w:p>
    <w:p>
      <w:pPr>
        <w:jc w:val="both"/>
        <w:ind w:right="400" w:firstLine="266"/>
        <w:spacing w:after="0" w:line="273" w:lineRule="auto"/>
        <w:rPr>
          <w:sz w:val="20"/>
          <w:szCs w:val="20"/>
          <w:color w:val="auto"/>
        </w:rPr>
      </w:pPr>
      <w:r>
        <w:rPr>
          <w:rFonts w:ascii="Arial" w:cs="Arial" w:eastAsia="Arial" w:hAnsi="Arial"/>
          <w:sz w:val="19"/>
          <w:szCs w:val="19"/>
          <w:color w:val="auto"/>
        </w:rPr>
        <w:t>The preparation of financial statements in conformity with accounting principles generally accepted in the United States of America requires management to make estimates and assumptions that affect amounts reported in them. Management bases its estimates on historical experience and on various other assumptions that are believed to be reasonable under the circumstances.</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Significant accounting estimates include management's review of long-lived assets and goodwill for potential impairment, income tax provision, allowance for uncollectible accounts receivable, inventory valuation allowances and restructuring reserves. The Company's estimates are based on the facts and circumstances available at the time; different reasonable estimates could have been used in the current period, and changes in the accounting estimates used are likely to occur from period to period, which may have a material impact on the presentation of the Company's financial condition and results of operations. Actual results reported by the</w:t>
      </w:r>
    </w:p>
    <w:p>
      <w:pPr>
        <w:sectPr>
          <w:pgSz w:w="11900" w:h="16838" w:orient="portrait"/>
          <w:cols w:equalWidth="0" w:num="1">
            <w:col w:w="11420"/>
          </w:cols>
          <w:pgMar w:left="240" w:top="118" w:right="239" w:bottom="0" w:gutter="0" w:footer="0" w:header="0"/>
        </w:sectPr>
      </w:pPr>
    </w:p>
    <w:bookmarkStart w:id="18" w:name="page19"/>
    <w:bookmarkEnd w:id="18"/>
    <w:p>
      <w:pPr>
        <w:ind w:right="80"/>
        <w:spacing w:after="0" w:line="251" w:lineRule="auto"/>
        <w:rPr>
          <w:sz w:val="20"/>
          <w:szCs w:val="20"/>
          <w:color w:val="auto"/>
        </w:rPr>
      </w:pPr>
      <w:r>
        <w:rPr>
          <w:rFonts w:ascii="Arial" w:cs="Arial" w:eastAsia="Arial" w:hAnsi="Arial"/>
          <w:sz w:val="22"/>
          <w:szCs w:val="22"/>
          <w:color w:val="auto"/>
        </w:rPr>
        <w:t>Company may differ from such estimates. The Company reviews these estimates periodically and reflects the effect of revisions in the period that they are determined.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Derivative Instruments and Hedging Activities</w:t>
      </w:r>
    </w:p>
    <w:p>
      <w:pPr>
        <w:spacing w:after="0" w:line="206" w:lineRule="exact"/>
        <w:rPr>
          <w:sz w:val="20"/>
          <w:szCs w:val="20"/>
          <w:color w:val="auto"/>
        </w:rPr>
      </w:pPr>
    </w:p>
    <w:p>
      <w:pPr>
        <w:ind w:right="100" w:firstLine="266"/>
        <w:spacing w:after="0" w:line="273" w:lineRule="auto"/>
        <w:rPr>
          <w:sz w:val="20"/>
          <w:szCs w:val="20"/>
          <w:color w:val="auto"/>
        </w:rPr>
      </w:pPr>
      <w:r>
        <w:rPr>
          <w:rFonts w:ascii="Arial" w:cs="Arial" w:eastAsia="Arial" w:hAnsi="Arial"/>
          <w:sz w:val="19"/>
          <w:szCs w:val="19"/>
          <w:color w:val="auto"/>
        </w:rPr>
        <w:t>The Company records derivatives in the condensed consolidated balance sheet as assets or liabilities, measured at fair value. Gains or losses resulting from changes in the values of those derivatives are reported in the condensed consolidated statements of income or as accumulated other comprehensive income, a separate component of shareholders' equity, depending on the use of the derivatives and whether they qualify for hedge accounting. Among other criteria, in order to qualify for hedge accounting, the derivative must be a hedge for an interest rate, price, foreign currency exchange rate, or credit risk; expected to be highly effective at the inception of the hedge and be highly effective in achieving offsetting changes in the fair value or cash flows of the hedged items during the term of the hedge, and formally documented at the inception of the hedge. The Company uses judgment in assessing the fair value of derivatives and related financial instruments, including assumptions utilized in derivative fair value models in areas such as projected interest rates and changes in the Company's stock price during the contract term. The Company manages a portion of its foreign currency exchange and interest rate risks through these derivative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Property, Plant and Equipment</w:t>
      </w:r>
    </w:p>
    <w:p>
      <w:pPr>
        <w:spacing w:after="0" w:line="206" w:lineRule="exact"/>
        <w:rPr>
          <w:sz w:val="20"/>
          <w:szCs w:val="20"/>
          <w:color w:val="auto"/>
        </w:rPr>
      </w:pPr>
    </w:p>
    <w:p>
      <w:pPr>
        <w:ind w:right="180" w:firstLine="270"/>
        <w:spacing w:after="0" w:line="287" w:lineRule="auto"/>
        <w:rPr>
          <w:sz w:val="20"/>
          <w:szCs w:val="20"/>
          <w:color w:val="auto"/>
        </w:rPr>
      </w:pPr>
      <w:r>
        <w:rPr>
          <w:rFonts w:ascii="Arial" w:cs="Arial" w:eastAsia="Arial" w:hAnsi="Arial"/>
          <w:sz w:val="19"/>
          <w:szCs w:val="19"/>
          <w:color w:val="auto"/>
        </w:rPr>
        <w:t>Property, plant and equipment are stated at cost less accumulated depreciation and amortization. Repairs and maintenance, as well as renewals and replacements of a routine nature are charged to operations as incurred, while those which improve or extend the lives of existing assets are capitalized. Upon sale or other disposition, the cost of the asset and accumulated depreciation are removed from the accounts, and any resulting gain or loss is reflected in operations.</w:t>
      </w:r>
    </w:p>
    <w:p>
      <w:pPr>
        <w:spacing w:after="0" w:line="143" w:lineRule="exact"/>
        <w:rPr>
          <w:sz w:val="20"/>
          <w:szCs w:val="20"/>
          <w:color w:val="auto"/>
        </w:rPr>
      </w:pPr>
    </w:p>
    <w:p>
      <w:pPr>
        <w:ind w:right="220" w:firstLine="270"/>
        <w:spacing w:after="0" w:line="246" w:lineRule="auto"/>
        <w:rPr>
          <w:sz w:val="20"/>
          <w:szCs w:val="20"/>
          <w:color w:val="auto"/>
        </w:rPr>
      </w:pPr>
      <w:r>
        <w:rPr>
          <w:rFonts w:ascii="Arial" w:cs="Arial" w:eastAsia="Arial" w:hAnsi="Arial"/>
          <w:sz w:val="21"/>
          <w:szCs w:val="21"/>
          <w:color w:val="auto"/>
        </w:rPr>
        <w:t>Depreciation and amortization are computed on the straight 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 technological obsolescence, or other change in circumstances indicate that their carrying amount may not be recoverable. Actual fair values may differ from estimated fair values.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Goodwill and Other Intangible Assets</w:t>
      </w:r>
    </w:p>
    <w:p>
      <w:pPr>
        <w:spacing w:after="0" w:line="206" w:lineRule="exact"/>
        <w:rPr>
          <w:sz w:val="20"/>
          <w:szCs w:val="20"/>
          <w:color w:val="auto"/>
        </w:rPr>
      </w:pPr>
    </w:p>
    <w:p>
      <w:pPr>
        <w:ind w:right="20" w:firstLine="270"/>
        <w:spacing w:after="0" w:line="279" w:lineRule="auto"/>
        <w:rPr>
          <w:sz w:val="20"/>
          <w:szCs w:val="20"/>
          <w:color w:val="auto"/>
        </w:rPr>
      </w:pPr>
      <w:r>
        <w:rPr>
          <w:rFonts w:ascii="Arial" w:cs="Arial" w:eastAsia="Arial" w:hAnsi="Arial"/>
          <w:sz w:val="19"/>
          <w:szCs w:val="19"/>
          <w:color w:val="auto"/>
        </w:rPr>
        <w:t>Intangible assets consist primarily of goodwill and other acquisition-related intangibles, and a technology license agreement and a supply agreement. These assets are stated at fair value as of the date acquired less accumulated amortization. Amortization is calculated on a straight-line basis or another method that more fairly represents the utilization of the assets. The future economic benefit of the carrying value of intangible assets is reviewed annually and the Company uses judgment whenever events or changes in circumstances indicate the carrying value of an intangible asset may not be recoverable based on discounted cash flows or market factors and an impairment loss would be recorded in the period so determined.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Impairment of Long-Lived Assets</w:t>
      </w:r>
    </w:p>
    <w:p>
      <w:pPr>
        <w:spacing w:after="0" w:line="206" w:lineRule="exact"/>
        <w:rPr>
          <w:sz w:val="20"/>
          <w:szCs w:val="20"/>
          <w:color w:val="auto"/>
        </w:rPr>
      </w:pPr>
    </w:p>
    <w:p>
      <w:pPr>
        <w:ind w:right="40" w:firstLine="270"/>
        <w:spacing w:after="0" w:line="279" w:lineRule="auto"/>
        <w:rPr>
          <w:sz w:val="20"/>
          <w:szCs w:val="20"/>
          <w:color w:val="auto"/>
        </w:rPr>
      </w:pPr>
      <w:r>
        <w:rPr>
          <w:rFonts w:ascii="Arial" w:cs="Arial" w:eastAsia="Arial" w:hAnsi="Arial"/>
          <w:sz w:val="19"/>
          <w:szCs w:val="19"/>
          <w:color w:val="auto"/>
        </w:rPr>
        <w:t>Long-lived assets and certain identifiable assets to be held and used are reviewed for impairment whenever events or changes in circumstances indicate that the carrying amount of such assets may not be recoverable. Determination of recoverability is based on the Company's judgment and estimate of undiscounted future cash flows resulting from the use of the asset and its eventual disposition. Measurement of an impairment loss for long-lived assets and certain identifiable intangible assets that management expects to hold and use is based on the fair value of the asset. Long-lived assets and certain identifiable intangible assets to be disposed of are reported at the lower of carrying amount or fair value less costs of disposition.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Investment in Joint Venture</w:t>
      </w:r>
    </w:p>
    <w:p>
      <w:pPr>
        <w:spacing w:after="0" w:line="206" w:lineRule="exact"/>
        <w:rPr>
          <w:sz w:val="20"/>
          <w:szCs w:val="20"/>
          <w:color w:val="auto"/>
        </w:rPr>
      </w:pPr>
    </w:p>
    <w:p>
      <w:pPr>
        <w:ind w:firstLine="270"/>
        <w:spacing w:after="0" w:line="246" w:lineRule="auto"/>
        <w:rPr>
          <w:sz w:val="20"/>
          <w:szCs w:val="20"/>
          <w:color w:val="auto"/>
        </w:rPr>
      </w:pPr>
      <w:r>
        <w:rPr>
          <w:rFonts w:ascii="Arial" w:cs="Arial" w:eastAsia="Arial" w:hAnsi="Arial"/>
          <w:sz w:val="21"/>
          <w:szCs w:val="21"/>
          <w:color w:val="auto"/>
        </w:rPr>
        <w:t>Investments in joint ventures over which the Company has the ability to exercise significant influence and that, in general, are at least 20 percent owned are stated at cost plus equity in undistributed net income (loss) of the joint venture. These investments are evaluated for impairment in accordance with the requirements of Accounting Principles Board Opinion No. 18, "The Equity Method of Accounting for Investments in Common Stock." An impairment loss would be recorded whenever a decline in the value of an equity investment below its carrying amount is determined to be other than temporary. In judging "other than temporary," the Company would consider the length of time and extent to which the fair value of the investment has been less than the carrying amount of the investment, the near-term and longer-term operating and financial prospects of the investee, and its longer-term intent of retaining the investment in the investee.</w:t>
      </w:r>
    </w:p>
    <w:p>
      <w:pPr>
        <w:sectPr>
          <w:pgSz w:w="11900" w:h="16838" w:orient="portrait"/>
          <w:cols w:equalWidth="0" w:num="1">
            <w:col w:w="11380"/>
          </w:cols>
          <w:pgMar w:left="240" w:top="118" w:right="279" w:bottom="282"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ectPr>
          <w:pgSz w:w="11900" w:h="16838" w:orient="portrait"/>
          <w:cols w:equalWidth="0" w:num="1">
            <w:col w:w="11380"/>
          </w:cols>
          <w:pgMar w:left="240" w:top="118" w:right="279" w:bottom="282" w:gutter="0" w:footer="0" w:header="0"/>
          <w:type w:val="continuous"/>
        </w:sectPr>
      </w:pPr>
    </w:p>
    <w:bookmarkStart w:id="19" w:name="page20"/>
    <w:bookmarkEnd w:id="19"/>
    <w:p>
      <w:pPr>
        <w:ind w:right="60" w:firstLine="266"/>
        <w:spacing w:after="0" w:line="235" w:lineRule="auto"/>
        <w:rPr>
          <w:sz w:val="20"/>
          <w:szCs w:val="20"/>
          <w:color w:val="auto"/>
        </w:rPr>
      </w:pPr>
      <w:r>
        <w:rPr>
          <w:rFonts w:ascii="Arial" w:cs="Arial" w:eastAsia="Arial" w:hAnsi="Arial"/>
          <w:sz w:val="22"/>
          <w:szCs w:val="22"/>
          <w:color w:val="auto"/>
        </w:rPr>
        <w:t>The income tax provision (benefit) is computed on the basis of the various tax jurisdictions' financial statements income or loss before income taxes. Deferred income taxes reflect the tax effects of differences between the carrying amounts of assets and liabilities for financial reporting purposes and the amounts used for income tax purposes. The Company uses judgment and assumptions to determine if valuation allowances for deferred income tax assets are required if realization is not likely by considering future market growth, forecasted operations, future taxable income, and the mix of earnings in the tax jurisdictions in which it operates.</w:t>
      </w:r>
    </w:p>
    <w:p>
      <w:pPr>
        <w:spacing w:after="0" w:line="189" w:lineRule="exact"/>
        <w:rPr>
          <w:sz w:val="20"/>
          <w:szCs w:val="20"/>
          <w:color w:val="auto"/>
        </w:rPr>
      </w:pPr>
    </w:p>
    <w:p>
      <w:pPr>
        <w:ind w:firstLine="266"/>
        <w:spacing w:after="0" w:line="277" w:lineRule="auto"/>
        <w:rPr>
          <w:sz w:val="20"/>
          <w:szCs w:val="20"/>
          <w:color w:val="auto"/>
        </w:rPr>
      </w:pPr>
      <w:r>
        <w:rPr>
          <w:rFonts w:ascii="Arial" w:cs="Arial" w:eastAsia="Arial" w:hAnsi="Arial"/>
          <w:sz w:val="19"/>
          <w:szCs w:val="19"/>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recoverability of deferred income tax assets from future taxable income and establishes valuation allowances if recovery is deemed not likely. Accordingly, the income tax provision in the consolidated statements of operations is impacted by changes in the valuation allowance. Significant management estimates and judgment are required in determining any valuation allowance recorded against net deferred tax assets.</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 Recognition</w:t>
      </w:r>
    </w:p>
    <w:p>
      <w:pPr>
        <w:spacing w:after="0" w:line="206" w:lineRule="exact"/>
        <w:rPr>
          <w:sz w:val="20"/>
          <w:szCs w:val="20"/>
          <w:color w:val="auto"/>
        </w:rPr>
      </w:pPr>
    </w:p>
    <w:p>
      <w:pPr>
        <w:ind w:right="140" w:firstLine="266"/>
        <w:spacing w:after="0"/>
        <w:rPr>
          <w:sz w:val="20"/>
          <w:szCs w:val="20"/>
          <w:color w:val="auto"/>
        </w:rPr>
      </w:pPr>
      <w:r>
        <w:rPr>
          <w:rFonts w:ascii="Arial" w:cs="Arial" w:eastAsia="Arial" w:hAnsi="Arial"/>
          <w:sz w:val="22"/>
          <w:szCs w:val="22"/>
          <w:color w:val="auto"/>
        </w:rPr>
        <w:t>The Company recognizes revenue when both title and risk of loss transfer to the customer. The Company makes estimates and assumptions and uses judgment relating to discounts and estimates for product returns and warranties which are accrued and recognized at the time of sale.</w:t>
      </w:r>
    </w:p>
    <w:p>
      <w:pPr>
        <w:spacing w:after="0" w:line="186" w:lineRule="exact"/>
        <w:rPr>
          <w:sz w:val="20"/>
          <w:szCs w:val="20"/>
          <w:color w:val="auto"/>
        </w:rPr>
      </w:pPr>
    </w:p>
    <w:p>
      <w:pPr>
        <w:ind w:right="120" w:firstLine="270"/>
        <w:spacing w:after="0" w:line="251" w:lineRule="auto"/>
        <w:rPr>
          <w:sz w:val="20"/>
          <w:szCs w:val="20"/>
          <w:color w:val="auto"/>
        </w:rPr>
      </w:pPr>
      <w:r>
        <w:rPr>
          <w:rFonts w:ascii="Arial" w:cs="Arial" w:eastAsia="Arial" w:hAnsi="Arial"/>
          <w:sz w:val="22"/>
          <w:szCs w:val="22"/>
          <w:u w:val="single" w:color="auto"/>
          <w:color w:val="auto"/>
        </w:rPr>
        <w:t>Discounts</w:t>
      </w:r>
      <w:r>
        <w:rPr>
          <w:rFonts w:ascii="Arial" w:cs="Arial" w:eastAsia="Arial" w:hAnsi="Arial"/>
          <w:sz w:val="22"/>
          <w:szCs w:val="22"/>
          <w:color w:val="auto"/>
        </w:rPr>
        <w:t xml:space="preserve"> - Sales discounts are negotiated with customers prior to billing and at the time of billing, sales invoices are prepared net of negotiated sales discounts.</w:t>
      </w:r>
    </w:p>
    <w:p>
      <w:pPr>
        <w:spacing w:after="0" w:line="173" w:lineRule="exact"/>
        <w:rPr>
          <w:sz w:val="20"/>
          <w:szCs w:val="20"/>
          <w:color w:val="auto"/>
        </w:rPr>
      </w:pPr>
    </w:p>
    <w:p>
      <w:pPr>
        <w:ind w:right="200" w:firstLine="270"/>
        <w:spacing w:after="0" w:line="251" w:lineRule="auto"/>
        <w:rPr>
          <w:sz w:val="20"/>
          <w:szCs w:val="20"/>
          <w:color w:val="auto"/>
        </w:rPr>
      </w:pPr>
      <w:r>
        <w:rPr>
          <w:rFonts w:ascii="Arial" w:cs="Arial" w:eastAsia="Arial" w:hAnsi="Arial"/>
          <w:sz w:val="22"/>
          <w:szCs w:val="22"/>
          <w:u w:val="single" w:color="auto"/>
          <w:color w:val="auto"/>
        </w:rPr>
        <w:t>Product Returns</w:t>
      </w:r>
      <w:r>
        <w:rPr>
          <w:rFonts w:ascii="Arial" w:cs="Arial" w:eastAsia="Arial" w:hAnsi="Arial"/>
          <w:sz w:val="22"/>
          <w:szCs w:val="22"/>
          <w:color w:val="auto"/>
        </w:rPr>
        <w:t xml:space="preserve"> - Customer returns have historically been insignificant. However, the Company does record a liability for the insignificant amount of estimated sales returns based upon historical experience.</w:t>
      </w:r>
    </w:p>
    <w:p>
      <w:pPr>
        <w:spacing w:after="0" w:line="173" w:lineRule="exact"/>
        <w:rPr>
          <w:sz w:val="20"/>
          <w:szCs w:val="20"/>
          <w:color w:val="auto"/>
        </w:rPr>
      </w:pPr>
    </w:p>
    <w:p>
      <w:pPr>
        <w:ind w:firstLine="270"/>
        <w:spacing w:after="0" w:line="236" w:lineRule="auto"/>
        <w:rPr>
          <w:sz w:val="20"/>
          <w:szCs w:val="20"/>
          <w:color w:val="auto"/>
        </w:rPr>
      </w:pPr>
      <w:r>
        <w:rPr>
          <w:rFonts w:ascii="Arial" w:cs="Arial" w:eastAsia="Arial" w:hAnsi="Arial"/>
          <w:sz w:val="22"/>
          <w:szCs w:val="22"/>
          <w:u w:val="single" w:color="auto"/>
          <w:color w:val="auto"/>
        </w:rPr>
        <w:t>Warranties and Other Post Shipment Obligations</w:t>
      </w:r>
      <w:r>
        <w:rPr>
          <w:rFonts w:ascii="Arial" w:cs="Arial" w:eastAsia="Arial" w:hAnsi="Arial"/>
          <w:sz w:val="22"/>
          <w:szCs w:val="22"/>
          <w:color w:val="auto"/>
        </w:rPr>
        <w:t xml:space="preserve"> - For a 30-day period, the Company warrants that items sold will conform to customer specification. However, the Company's liability is limited to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w:t>
      </w:r>
    </w:p>
    <w:p>
      <w:pPr>
        <w:spacing w:after="0" w:line="188" w:lineRule="exact"/>
        <w:rPr>
          <w:sz w:val="20"/>
          <w:szCs w:val="20"/>
          <w:color w:val="auto"/>
        </w:rPr>
      </w:pPr>
    </w:p>
    <w:p>
      <w:pPr>
        <w:ind w:firstLine="270"/>
        <w:spacing w:after="0" w:line="251" w:lineRule="auto"/>
        <w:rPr>
          <w:sz w:val="20"/>
          <w:szCs w:val="20"/>
          <w:color w:val="auto"/>
        </w:rPr>
      </w:pPr>
      <w:r>
        <w:rPr>
          <w:rFonts w:ascii="Arial" w:cs="Arial" w:eastAsia="Arial" w:hAnsi="Arial"/>
          <w:sz w:val="22"/>
          <w:szCs w:val="22"/>
          <w:u w:val="single" w:color="auto"/>
          <w:color w:val="auto"/>
        </w:rPr>
        <w:t>Sales Taxes</w:t>
      </w:r>
      <w:r>
        <w:rPr>
          <w:rFonts w:ascii="Arial" w:cs="Arial" w:eastAsia="Arial" w:hAnsi="Arial"/>
          <w:sz w:val="22"/>
          <w:szCs w:val="22"/>
          <w:color w:val="auto"/>
        </w:rPr>
        <w:t xml:space="preserve"> - The Company presents it revenues in the consolidated statements of operations net of sales taxes, if any (excluded from revenues).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New Accounting Standards</w:t>
      </w:r>
    </w:p>
    <w:p>
      <w:pPr>
        <w:spacing w:after="0" w:line="212" w:lineRule="exact"/>
        <w:rPr>
          <w:sz w:val="20"/>
          <w:szCs w:val="20"/>
          <w:color w:val="auto"/>
        </w:rPr>
      </w:pPr>
    </w:p>
    <w:p>
      <w:pPr>
        <w:ind w:right="300" w:firstLine="270"/>
        <w:spacing w:after="0" w:line="277" w:lineRule="auto"/>
        <w:rPr>
          <w:sz w:val="20"/>
          <w:szCs w:val="20"/>
          <w:color w:val="auto"/>
        </w:rPr>
      </w:pPr>
      <w:r>
        <w:rPr>
          <w:rFonts w:ascii="Arial" w:cs="Arial" w:eastAsia="Arial" w:hAnsi="Arial"/>
          <w:sz w:val="19"/>
          <w:szCs w:val="19"/>
          <w:color w:val="auto"/>
        </w:rPr>
        <w:t>In May 2008, The Financial Accounting Standards Board ("FASB") issued Statement of Financial Accounting Standards ("SFAS") No. 162, "The Hierarchy of Generally Accepted Accounting Principles." SFAS No. 162 identifies the sources of accounting principles and the framework for selecting the principles to be used in the preparation of financial statements of nongovernmental entities that are presented in conformity with generally accepted accounting principles. SFAS No. 162 will be effective 60 days following the Security and Exchange Commission's approval of the Public Company Accounting Oversight Board's amendments to AU Section 411, "The Meaning of Present Fairly in Conformity With Generally Accepted Accounting Principles." The Company is evaluating the impact, if any, SFAS No. 162 will have on its consolidated financial statements.</w:t>
      </w:r>
    </w:p>
    <w:p>
      <w:pPr>
        <w:spacing w:after="0" w:line="153" w:lineRule="exact"/>
        <w:rPr>
          <w:sz w:val="20"/>
          <w:szCs w:val="20"/>
          <w:color w:val="auto"/>
        </w:rPr>
      </w:pPr>
    </w:p>
    <w:p>
      <w:pPr>
        <w:ind w:right="80" w:firstLine="270"/>
        <w:spacing w:after="0" w:line="277" w:lineRule="auto"/>
        <w:rPr>
          <w:sz w:val="20"/>
          <w:szCs w:val="20"/>
          <w:color w:val="auto"/>
        </w:rPr>
      </w:pPr>
      <w:r>
        <w:rPr>
          <w:rFonts w:ascii="Arial" w:cs="Arial" w:eastAsia="Arial" w:hAnsi="Arial"/>
          <w:sz w:val="19"/>
          <w:szCs w:val="19"/>
          <w:color w:val="auto"/>
        </w:rPr>
        <w:t>In March 2008, the FASB issued SFAS No. 161, "Disclosures about Derivative Instruments and Hedging Activities - an amendment of FASB No. 133." SFAS No. 161 changes the disclosure requirements for derivative instruments and hedging activities by requiring entities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SFAS No. 161 is effective for financial statements issued for fiscal years beginning after November 15, 2008 and interim periods within those fiscal years. The Company is evaluating the impact, if any, SFAS No. 161 will have on its consolidated financial statements.</w:t>
      </w:r>
    </w:p>
    <w:p>
      <w:pPr>
        <w:spacing w:after="0" w:line="153" w:lineRule="exact"/>
        <w:rPr>
          <w:sz w:val="20"/>
          <w:szCs w:val="20"/>
          <w:color w:val="auto"/>
        </w:rPr>
      </w:pPr>
    </w:p>
    <w:p>
      <w:pPr>
        <w:ind w:right="580" w:firstLine="324"/>
        <w:spacing w:after="0" w:line="282" w:lineRule="auto"/>
        <w:rPr>
          <w:sz w:val="20"/>
          <w:szCs w:val="20"/>
          <w:color w:val="auto"/>
        </w:rPr>
      </w:pPr>
      <w:r>
        <w:rPr>
          <w:rFonts w:ascii="Arial" w:cs="Arial" w:eastAsia="Arial" w:hAnsi="Arial"/>
          <w:sz w:val="19"/>
          <w:szCs w:val="19"/>
          <w:color w:val="auto"/>
        </w:rPr>
        <w:t>In December 2007, the FASB issued SFAS No. 160, "Noncontrolling Interests in Consolidated Financial Statements - an amendment of Accounting Research Bulletin No. 51." SFAS No. 160 establishes accounting and reporting standards for the noncontrolling interest in a subsidiary and for the deconsolidation of a subsidiary. SFAS No. 160 is effective for financial statements issued for fiscal years beginning after December 15, 2008, and interim statements within those fiscal years. The Company is currently evaluating the impact SFAS No. 160 will have on its consolidated financial statements.</w:t>
      </w:r>
    </w:p>
    <w:p>
      <w:pPr>
        <w:spacing w:after="0" w:line="148" w:lineRule="exact"/>
        <w:rPr>
          <w:sz w:val="20"/>
          <w:szCs w:val="20"/>
          <w:color w:val="auto"/>
        </w:rPr>
      </w:pPr>
    </w:p>
    <w:p>
      <w:pPr>
        <w:ind w:firstLine="270"/>
        <w:spacing w:after="0" w:line="287" w:lineRule="auto"/>
        <w:rPr>
          <w:sz w:val="20"/>
          <w:szCs w:val="20"/>
          <w:color w:val="auto"/>
        </w:rPr>
      </w:pPr>
      <w:r>
        <w:rPr>
          <w:rFonts w:ascii="Arial" w:cs="Arial" w:eastAsia="Arial" w:hAnsi="Arial"/>
          <w:sz w:val="19"/>
          <w:szCs w:val="19"/>
          <w:color w:val="auto"/>
        </w:rPr>
        <w:t>In December 2007, the FASB issued SFAS No. 141R, "Business Combinations." SFAS No.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w:t>
      </w:r>
    </w:p>
    <w:p>
      <w:pPr>
        <w:sectPr>
          <w:pgSz w:w="11900" w:h="16838" w:orient="portrait"/>
          <w:cols w:equalWidth="0" w:num="1">
            <w:col w:w="11340"/>
          </w:cols>
          <w:pgMar w:left="240" w:top="118" w:right="319" w:bottom="0" w:gutter="0" w:footer="0" w:header="0"/>
        </w:sectPr>
      </w:pPr>
    </w:p>
    <w:bookmarkStart w:id="20" w:name="page21"/>
    <w:bookmarkEnd w:id="20"/>
    <w:p>
      <w:pPr>
        <w:spacing w:after="0" w:line="298" w:lineRule="auto"/>
        <w:rPr>
          <w:sz w:val="20"/>
          <w:szCs w:val="20"/>
          <w:color w:val="auto"/>
        </w:rPr>
      </w:pPr>
      <w:r>
        <w:rPr>
          <w:rFonts w:ascii="Arial" w:cs="Arial" w:eastAsia="Arial" w:hAnsi="Arial"/>
          <w:sz w:val="19"/>
          <w:szCs w:val="19"/>
          <w:color w:val="auto"/>
        </w:rPr>
        <w:t>financial statement to evaluate the nature and financial effects of the business combination. SFAS No. 141R applies prospectively to business combinations for which the acquisition date is on or after the beginning of the first annual reporting period beginning on or after December 15, 2008, and, therefore will not impact the Company's consolidated financial statements upon adoption.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0" w:firstLine="324"/>
        <w:spacing w:after="0" w:line="236" w:lineRule="auto"/>
        <w:rPr>
          <w:sz w:val="20"/>
          <w:szCs w:val="20"/>
          <w:color w:val="auto"/>
        </w:rPr>
      </w:pPr>
      <w:r>
        <w:rPr>
          <w:rFonts w:ascii="Arial" w:cs="Arial" w:eastAsia="Arial" w:hAnsi="Arial"/>
          <w:sz w:val="22"/>
          <w:szCs w:val="22"/>
          <w:color w:val="auto"/>
        </w:rPr>
        <w:t>In February 2007, the FASB issued SFAS No. 159, "The Fair Value Option for Financial Assets and Financial Liabilities-Including an Amendment of FASB Statement No. 115." SFAS No. 159 permits entities to choose to measure many financial instruments and certain other items at fair value, and is effective as of the beginning of an entity's first fiscal year that begins after November 15, 2007. The Company is currently evaluating the impact that the adoption of SFAS No. 159 will have on its consolidated financial statements.</w:t>
      </w:r>
    </w:p>
    <w:p>
      <w:pPr>
        <w:spacing w:after="0" w:line="188" w:lineRule="exact"/>
        <w:rPr>
          <w:sz w:val="20"/>
          <w:szCs w:val="20"/>
          <w:color w:val="auto"/>
        </w:rPr>
      </w:pPr>
    </w:p>
    <w:p>
      <w:pPr>
        <w:ind w:right="100" w:firstLine="270"/>
        <w:spacing w:after="0" w:line="271" w:lineRule="auto"/>
        <w:rPr>
          <w:sz w:val="20"/>
          <w:szCs w:val="20"/>
          <w:color w:val="auto"/>
        </w:rPr>
      </w:pPr>
      <w:r>
        <w:rPr>
          <w:rFonts w:ascii="Arial" w:cs="Arial" w:eastAsia="Arial" w:hAnsi="Arial"/>
          <w:sz w:val="19"/>
          <w:szCs w:val="19"/>
          <w:color w:val="auto"/>
        </w:rPr>
        <w:t>In September 2006, the FASB issued SFAS No. 157, “Fair Value Measurements” which provides a consistent definition of fair value which focuses on exit price and prioritizes, within a measurement of fair value, the use of market-based inputs over entity-specific inputs. SFAS No. 157 requires expanded disclosures about fair value measurements and establishes a three-level hierarchy for fair value measurements based on the transparency of inputs to the valuation of an asset or liability as of the measurement date. The standard also requires that a company use its own nonperformance risk when measuring liabilities carried at fair value, including derivatives. In February 2008, the FASB approved a FASB Staff Position ("FSP") that permits companies to partially defer the effective date of SFAS No. 157 for one year for nonfinancial assets and nonfinancial liabilities that are recognized or disclosed at fair value in the financial statements on a nonrecurring basis. The FSP did not permit companies to defer recognition and disclosure requirements for financial assets and financial liabilities or for nonfinancial assets and nonfinancial liabilities that are remeasured at least annually. SFAS No. 157 is effective for financial assets and financial liabilities and for nonfinancial assets and nonfinancial liabilities that are remeasured at least annually for financial statements issued for fiscal years beginning after November 15, 2007 and interim periods within those fiscal years. The provisions of SFAS No. 157 will be applied prospectively. The Company intends to defer adoption of SFAS No. 157 for one year for nonfinancial assets and nonfinancial liabilities that are recognized or disclosed at fair value in the financial statements on a nonrecurring basis. The Company is currently evaluating the effects, if any, that SFAS No. 157 may have on its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2" w:lineRule="exact"/>
        <w:rPr>
          <w:sz w:val="20"/>
          <w:szCs w:val="20"/>
          <w:color w:val="auto"/>
        </w:rPr>
      </w:pPr>
    </w:p>
    <w:p>
      <w:pPr>
        <w:ind w:right="80" w:firstLine="266"/>
        <w:spacing w:after="0" w:line="273" w:lineRule="auto"/>
        <w:rPr>
          <w:sz w:val="20"/>
          <w:szCs w:val="20"/>
          <w:color w:val="auto"/>
        </w:rPr>
      </w:pPr>
      <w:r>
        <w:rPr>
          <w:rFonts w:ascii="Arial" w:cs="Arial" w:eastAsia="Arial" w:hAnsi="Arial"/>
          <w:sz w:val="19"/>
          <w:szCs w:val="19"/>
          <w:color w:val="auto"/>
        </w:rPr>
        <w:t>The Company records derivatives on the balance sheet as assets or liabilities, measured at fair value. The Company does not engage in derivative instruments for speculative purposes. Gains or losses resulting from changes in the values of those derivatives are reported in the condensed consolidated statement of income,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relating to the variability of future cash flows caused by movements in foreign currency exchange and interest rates. The Company documents its risk management strategy and hedge effectiveness at the inception of, and during the term of each hedge.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Exchange Rate Risk</w:t>
      </w:r>
    </w:p>
    <w:p>
      <w:pPr>
        <w:spacing w:after="0" w:line="212" w:lineRule="exact"/>
        <w:rPr>
          <w:sz w:val="20"/>
          <w:szCs w:val="20"/>
          <w:color w:val="auto"/>
        </w:rPr>
      </w:pPr>
    </w:p>
    <w:p>
      <w:pPr>
        <w:ind w:right="100" w:firstLine="266"/>
        <w:spacing w:after="0" w:line="236" w:lineRule="auto"/>
        <w:rPr>
          <w:sz w:val="20"/>
          <w:szCs w:val="20"/>
          <w:color w:val="auto"/>
        </w:rPr>
      </w:pPr>
      <w:r>
        <w:rPr>
          <w:rFonts w:ascii="Arial" w:cs="Arial" w:eastAsia="Arial" w:hAnsi="Arial"/>
          <w:sz w:val="22"/>
          <w:szCs w:val="22"/>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and retained earnings. The functional currencies of the Company's Asian subsidiaries are the Korean won, New Taiwan dollar, Chinese renminbi and Singapore dollar. The functional currencies of the Company's European subsidiaries are the British pound and the euro.</w:t>
      </w:r>
    </w:p>
    <w:p>
      <w:pPr>
        <w:spacing w:after="0" w:line="188" w:lineRule="exact"/>
        <w:rPr>
          <w:sz w:val="20"/>
          <w:szCs w:val="20"/>
          <w:color w:val="auto"/>
        </w:rPr>
      </w:pPr>
    </w:p>
    <w:p>
      <w:pPr>
        <w:ind w:right="100" w:firstLine="266"/>
        <w:spacing w:after="0" w:line="247" w:lineRule="auto"/>
        <w:rPr>
          <w:sz w:val="20"/>
          <w:szCs w:val="20"/>
          <w:color w:val="auto"/>
        </w:rPr>
      </w:pPr>
      <w:r>
        <w:rPr>
          <w:rFonts w:ascii="Arial" w:cs="Arial" w:eastAsia="Arial" w:hAnsi="Arial"/>
          <w:sz w:val="21"/>
          <w:szCs w:val="21"/>
          <w:color w:val="auto"/>
        </w:rPr>
        <w:t>The Company attempts to minimize its risk to foreign currency transaction losses by producing its products in the same country in which the products are sold and thereby generating revenues and incurring expenses in the same currency and by managing its working capital. In some instances, the Company may sell or purchase products in a currency other than the functional currency of the country where it was produced. To date, the Company has not experienced a significant foreign exchange loss on these transactions. However, there can be no assurance that this approach will be successful, especially in the event of a significant adverse movement in the value of any foreign currencies against the U.S. dollar. The Company does not engage in purchasing forward exchange contracts for speculative purposes.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firstLine="266"/>
        <w:spacing w:after="0" w:line="297" w:lineRule="auto"/>
        <w:rPr>
          <w:sz w:val="20"/>
          <w:szCs w:val="20"/>
          <w:color w:val="auto"/>
        </w:rPr>
      </w:pPr>
      <w:r>
        <w:rPr>
          <w:rFonts w:ascii="Arial" w:cs="Arial" w:eastAsia="Arial" w:hAnsi="Arial"/>
          <w:sz w:val="19"/>
          <w:szCs w:val="19"/>
          <w:color w:val="auto"/>
        </w:rPr>
        <w:t>The Company's primary net foreign currency exposures as of April 27, 2008 included the Korean won, the Singapore dollar, the New Taiwan dollar, the Chinese renminbi, the British pound and the euro. As of April 27, 2008, a 10% adverse movement in the value of these currencies against the U.S. dollar would have resulted in a net unrealized pre-tax loss of $4.5 million. The Company</w:t>
      </w:r>
    </w:p>
    <w:p>
      <w:pPr>
        <w:sectPr>
          <w:pgSz w:w="11900" w:h="16838" w:orient="portrait"/>
          <w:cols w:equalWidth="0" w:num="1">
            <w:col w:w="11420"/>
          </w:cols>
          <w:pgMar w:left="240" w:top="118" w:right="239" w:bottom="0" w:gutter="0" w:footer="0" w:header="0"/>
        </w:sectPr>
      </w:pPr>
    </w:p>
    <w:bookmarkStart w:id="21" w:name="page22"/>
    <w:bookmarkEnd w:id="21"/>
    <w:p>
      <w:pPr>
        <w:spacing w:after="0" w:line="65"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does not believe that a 10% change in the exchange rates of other non-U.S. dollar currencies would have a material effect on its consolidated financial position, results of operations, or cash flows.</w:t>
      </w:r>
    </w:p>
    <w:p>
      <w:pPr>
        <w:spacing w:after="0" w:line="174" w:lineRule="exact"/>
        <w:rPr>
          <w:sz w:val="20"/>
          <w:szCs w:val="20"/>
          <w:color w:val="auto"/>
        </w:rPr>
      </w:pPr>
    </w:p>
    <w:p>
      <w:pPr>
        <w:jc w:val="both"/>
        <w:ind w:right="160" w:firstLine="270"/>
        <w:spacing w:after="0" w:line="249" w:lineRule="auto"/>
        <w:rPr>
          <w:sz w:val="20"/>
          <w:szCs w:val="20"/>
          <w:color w:val="auto"/>
        </w:rPr>
      </w:pPr>
      <w:r>
        <w:rPr>
          <w:rFonts w:ascii="Arial" w:cs="Arial" w:eastAsia="Arial" w:hAnsi="Arial"/>
          <w:sz w:val="21"/>
          <w:szCs w:val="21"/>
          <w:color w:val="auto"/>
        </w:rPr>
        <w:t>In April, 2006, the Company's Korean subsidiary entered into a foreign currency rate swap contract which, under the terms of the contract, effectively converted a $50 million interest bearing intercompany loan denominated in U.S. dollars to Korean won. During the three and six month periods ended April 27, 2008, $25.0 million and $45.0 million, respectively, of the intercompany loans were repaid, which reduced the intercompany loan and related swap balance to $5.0 million at April 27, 2008. This contract expires in November 2008, the due date of the intercompany loan.</w:t>
      </w:r>
    </w:p>
    <w:p>
      <w:pPr>
        <w:spacing w:after="0" w:line="179" w:lineRule="exact"/>
        <w:rPr>
          <w:sz w:val="20"/>
          <w:szCs w:val="20"/>
          <w:color w:val="auto"/>
        </w:rPr>
      </w:pPr>
    </w:p>
    <w:p>
      <w:pPr>
        <w:ind w:firstLine="270"/>
        <w:spacing w:after="0" w:line="275" w:lineRule="auto"/>
        <w:rPr>
          <w:sz w:val="20"/>
          <w:szCs w:val="20"/>
          <w:color w:val="auto"/>
        </w:rPr>
      </w:pPr>
      <w:r>
        <w:rPr>
          <w:rFonts w:ascii="Arial" w:cs="Arial" w:eastAsia="Arial" w:hAnsi="Arial"/>
          <w:sz w:val="19"/>
          <w:szCs w:val="19"/>
          <w:color w:val="auto"/>
        </w:rPr>
        <w:t>In accordance with SFAS No. 133, "Accounting for Derivatives and Hedging Activities," hedges related to anticipated transactions are designated and documented at their inception as cash flow hedges and are evaluated for effectiveness. In September, 2006, the Company entered into forward contracts to convert the fixed yen purchase price of certain equipment into fixed U.S. dollar amounts, which were designated as cash flow hedges. The Company records these derivative instruments in either current assets, noncurrent assets, or accrued liabilities, depending on their net position, at fair value regardless of the purpose or intent for holding the instrument. Changes in the fair value of derivative financial instruments are recognized in earnings for the ineffective portion of hedges or in shareholders equity as a component of accumulated other comprehensive income or loss for the effective portion. As of April 27, 2008, all of the Company's forward contracts were settled.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Risk</w:t>
      </w:r>
    </w:p>
    <w:p>
      <w:pPr>
        <w:spacing w:after="0" w:line="212" w:lineRule="exact"/>
        <w:rPr>
          <w:sz w:val="20"/>
          <w:szCs w:val="20"/>
          <w:color w:val="auto"/>
        </w:rPr>
      </w:pPr>
    </w:p>
    <w:p>
      <w:pPr>
        <w:ind w:right="20" w:firstLine="266"/>
        <w:spacing w:after="0" w:line="236" w:lineRule="auto"/>
        <w:rPr>
          <w:sz w:val="20"/>
          <w:szCs w:val="20"/>
          <w:color w:val="auto"/>
        </w:rPr>
      </w:pPr>
      <w:r>
        <w:rPr>
          <w:rFonts w:ascii="Arial" w:cs="Arial" w:eastAsia="Arial" w:hAnsi="Arial"/>
          <w:sz w:val="22"/>
          <w:szCs w:val="22"/>
          <w:color w:val="auto"/>
        </w:rPr>
        <w:t>The majority of the Company's borrowings at April 27, 2008 were in the form of its variable rate revolving credit facility and its capital lease obligation for the U.S. Nanofab, which bears interest at a fixed rate of 8%. At April 27, 2008, the Company had approximately $80 million in net variable rate financial instrument liabilities which were sensitive to interest rate risk. A 10% change in interest rates would not have a material effect on the Company's consolidated financial position, results of operations,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12" w:lineRule="exact"/>
        <w:rPr>
          <w:sz w:val="20"/>
          <w:szCs w:val="20"/>
          <w:color w:val="auto"/>
        </w:rPr>
      </w:pPr>
    </w:p>
    <w:p>
      <w:pPr>
        <w:ind w:firstLine="258"/>
        <w:spacing w:after="0" w:line="246" w:lineRule="auto"/>
        <w:rPr>
          <w:sz w:val="20"/>
          <w:szCs w:val="20"/>
          <w:color w:val="auto"/>
        </w:rPr>
      </w:pPr>
      <w:r>
        <w:rPr>
          <w:rFonts w:ascii="Arial" w:cs="Arial" w:eastAsia="Arial" w:hAnsi="Arial"/>
          <w:sz w:val="21"/>
          <w:szCs w:val="21"/>
          <w:color w:val="auto"/>
        </w:rPr>
        <w:t>An evaluation was carried out under the supervision and with the participation of the Company's management, including our Chief Executive Officer and Chief Financial Officer, of the effectiveness of the design and operation of the Company's disclosure controls and procedures (as defined in Rule 13a-15(e) and 15d-15(e) under the Securities Act of 1934) as of April 27, 2008, the end of the period covered by this report. Based upon that evaluation, the Company's Chief Executive Officer and Chief Financial Officer have concluded that, as of April 27, 2008, the end of the period covered by this report, the Company's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12" w:lineRule="exact"/>
        <w:rPr>
          <w:sz w:val="20"/>
          <w:szCs w:val="20"/>
          <w:color w:val="auto"/>
        </w:rPr>
      </w:pPr>
    </w:p>
    <w:p>
      <w:pPr>
        <w:ind w:right="220" w:firstLine="266"/>
        <w:spacing w:after="0"/>
        <w:rPr>
          <w:sz w:val="20"/>
          <w:szCs w:val="20"/>
          <w:color w:val="auto"/>
        </w:rPr>
      </w:pPr>
      <w:r>
        <w:rPr>
          <w:rFonts w:ascii="Arial" w:cs="Arial" w:eastAsia="Arial" w:hAnsi="Arial"/>
          <w:sz w:val="22"/>
          <w:szCs w:val="22"/>
          <w:color w:val="auto"/>
        </w:rPr>
        <w:t>There was no change in the Company's internal control over financial reporting during the Company's second quarter of fiscal 2008 that has materially affected, or is reasonably likely to materially affect, the Company's internal control over financial reporting.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RISKS RELATING TO THE COMPANY'S BUSINESS</w:t>
      </w:r>
    </w:p>
    <w:p>
      <w:pPr>
        <w:spacing w:after="0" w:line="212" w:lineRule="exact"/>
        <w:rPr>
          <w:sz w:val="20"/>
          <w:szCs w:val="20"/>
          <w:color w:val="auto"/>
        </w:rPr>
      </w:pPr>
    </w:p>
    <w:p>
      <w:pPr>
        <w:ind w:right="900" w:firstLine="266"/>
        <w:spacing w:after="0" w:line="251" w:lineRule="auto"/>
        <w:rPr>
          <w:sz w:val="20"/>
          <w:szCs w:val="20"/>
          <w:color w:val="auto"/>
        </w:rPr>
      </w:pPr>
      <w:r>
        <w:rPr>
          <w:rFonts w:ascii="Arial" w:cs="Arial" w:eastAsia="Arial" w:hAnsi="Arial"/>
          <w:sz w:val="22"/>
          <w:szCs w:val="22"/>
          <w:color w:val="auto"/>
        </w:rPr>
        <w:t>There have been no material changes to risks relating to the Company's business as disclosed in Part 1, Item 1A of the Company's Form 10-K for the year ended October 28, 2007</w:t>
      </w:r>
      <w:r>
        <w:rPr>
          <w:rFonts w:ascii="Arial" w:cs="Arial" w:eastAsia="Arial" w:hAnsi="Arial"/>
          <w:sz w:val="22"/>
          <w:szCs w:val="22"/>
          <w:b w:val="1"/>
          <w:bCs w:val="1"/>
          <w:color w:val="auto"/>
        </w:rPr>
        <w:t>.</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SUBMISSION OF MATTERS TO A VOTE OF SECURITY HOLDERS</w:t>
      </w:r>
    </w:p>
    <w:p>
      <w:pPr>
        <w:spacing w:after="0" w:line="239" w:lineRule="exact"/>
        <w:rPr>
          <w:sz w:val="20"/>
          <w:szCs w:val="20"/>
          <w:color w:val="auto"/>
        </w:rPr>
      </w:pPr>
    </w:p>
    <w:p>
      <w:pPr>
        <w:ind w:left="1300" w:right="2680" w:hanging="441"/>
        <w:spacing w:after="0" w:line="274" w:lineRule="auto"/>
        <w:tabs>
          <w:tab w:leader="none" w:pos="130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matters set forth in this Item 4 were submitted to a vote of security holders of the Company at an Annual Meeting of Shareholders held on April 1, 2008.</w:t>
      </w:r>
    </w:p>
    <w:p>
      <w:pPr>
        <w:spacing w:after="0" w:line="177" w:lineRule="exact"/>
        <w:rPr>
          <w:rFonts w:ascii="Arial" w:cs="Arial" w:eastAsia="Arial" w:hAnsi="Arial"/>
          <w:sz w:val="21"/>
          <w:szCs w:val="21"/>
          <w:color w:val="auto"/>
        </w:rPr>
      </w:pPr>
    </w:p>
    <w:p>
      <w:pPr>
        <w:ind w:left="1300" w:right="2640" w:hanging="428"/>
        <w:spacing w:after="0"/>
        <w:tabs>
          <w:tab w:leader="none" w:pos="1300" w:val="left"/>
        </w:tabs>
        <w:numPr>
          <w:ilvl w:val="1"/>
          <w:numId w:val="3"/>
        </w:numPr>
        <w:rPr>
          <w:rFonts w:ascii="Arial" w:cs="Arial" w:eastAsia="Arial" w:hAnsi="Arial"/>
          <w:sz w:val="22"/>
          <w:szCs w:val="22"/>
          <w:color w:val="auto"/>
        </w:rPr>
      </w:pPr>
      <w:r>
        <w:rPr>
          <w:rFonts w:ascii="Arial" w:cs="Arial" w:eastAsia="Arial" w:hAnsi="Arial"/>
          <w:sz w:val="22"/>
          <w:szCs w:val="22"/>
          <w:color w:val="auto"/>
        </w:rPr>
        <w:t>The following directors, constituting the entire Board of Directors, were elected at the Annual Meeting of Shareholders held on April 1, 2008. Also indicated are the affirmative and authority withheld votes for each 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260"/>
        <w:spacing w:after="0"/>
        <w:rPr>
          <w:sz w:val="20"/>
          <w:szCs w:val="20"/>
          <w:color w:val="auto"/>
        </w:rPr>
      </w:pPr>
      <w:r>
        <w:rPr>
          <w:rFonts w:ascii="Arial" w:cs="Arial" w:eastAsia="Arial" w:hAnsi="Arial"/>
          <w:sz w:val="22"/>
          <w:szCs w:val="22"/>
          <w:b w:val="1"/>
          <w:bCs w:val="1"/>
          <w:color w:val="auto"/>
        </w:rPr>
        <w:t>Authority</w:t>
      </w:r>
    </w:p>
    <w:p>
      <w:pPr>
        <w:spacing w:after="0" w:line="14" w:lineRule="exact"/>
        <w:rPr>
          <w:sz w:val="20"/>
          <w:szCs w:val="20"/>
          <w:color w:val="auto"/>
        </w:rPr>
      </w:pPr>
    </w:p>
    <w:p>
      <w:pPr>
        <w:ind w:left="6320"/>
        <w:spacing w:after="0"/>
        <w:tabs>
          <w:tab w:leader="none" w:pos="7260" w:val="left"/>
        </w:tabs>
        <w:rPr>
          <w:sz w:val="20"/>
          <w:szCs w:val="20"/>
          <w:color w:val="auto"/>
        </w:rPr>
      </w:pPr>
      <w:r>
        <w:rPr>
          <w:rFonts w:ascii="Arial" w:cs="Arial" w:eastAsia="Arial" w:hAnsi="Arial"/>
          <w:sz w:val="22"/>
          <w:szCs w:val="22"/>
          <w:b w:val="1"/>
          <w:bCs w:val="1"/>
          <w:color w:val="auto"/>
        </w:rPr>
        <w:t>For</w:t>
      </w:r>
      <w:r>
        <w:rPr>
          <w:sz w:val="20"/>
          <w:szCs w:val="20"/>
          <w:color w:val="auto"/>
        </w:rPr>
        <w:tab/>
      </w:r>
      <w:r>
        <w:rPr>
          <w:rFonts w:ascii="Arial" w:cs="Arial" w:eastAsia="Arial" w:hAnsi="Arial"/>
          <w:sz w:val="22"/>
          <w:szCs w:val="22"/>
          <w:b w:val="1"/>
          <w:bCs w:val="1"/>
          <w:color w:val="auto"/>
        </w:rPr>
        <w:t>Withheld</w:t>
      </w:r>
    </w:p>
    <w:p>
      <w:pPr>
        <w:sectPr>
          <w:pgSz w:w="11900" w:h="16904" w:orient="portrait"/>
          <w:cols w:equalWidth="0" w:num="1">
            <w:col w:w="11380"/>
          </w:cols>
          <w:pgMar w:left="240" w:top="118" w:right="279" w:bottom="0" w:gutter="0" w:footer="0" w:header="0"/>
        </w:sectPr>
      </w:pPr>
    </w:p>
    <w:bookmarkStart w:id="22" w:name="page23"/>
    <w:bookmarkEnd w:id="22"/>
    <w:tbl>
      <w:tblPr>
        <w:tblLayout w:type="fixed"/>
        <w:tblInd w:w="3160" w:type="dxa"/>
        <w:tblCellMar>
          <w:top w:w="0" w:type="dxa"/>
          <w:left w:w="0" w:type="dxa"/>
          <w:bottom w:w="0" w:type="dxa"/>
          <w:right w:w="0" w:type="dxa"/>
        </w:tblCellMar>
      </w:tblPr>
      <w:tr>
        <w:trPr>
          <w:trHeight w:val="253"/>
        </w:trPr>
        <w:tc>
          <w:tcPr>
            <w:tcW w:w="2640" w:type="dxa"/>
            <w:vAlign w:val="bottom"/>
          </w:tcPr>
          <w:p>
            <w:pPr>
              <w:spacing w:after="0"/>
              <w:rPr>
                <w:sz w:val="20"/>
                <w:szCs w:val="20"/>
                <w:color w:val="auto"/>
              </w:rPr>
            </w:pPr>
            <w:r>
              <w:rPr>
                <w:rFonts w:ascii="Arial" w:cs="Arial" w:eastAsia="Arial" w:hAnsi="Arial"/>
                <w:sz w:val="22"/>
                <w:szCs w:val="22"/>
                <w:color w:val="auto"/>
              </w:rPr>
              <w:t>Walter M. Fiederowicz</w:t>
            </w:r>
          </w:p>
        </w:tc>
        <w:tc>
          <w:tcPr>
            <w:tcW w:w="1420" w:type="dxa"/>
            <w:vAlign w:val="bottom"/>
          </w:tcPr>
          <w:p>
            <w:pPr>
              <w:jc w:val="right"/>
              <w:ind w:right="52"/>
              <w:spacing w:after="0"/>
              <w:rPr>
                <w:sz w:val="20"/>
                <w:szCs w:val="20"/>
                <w:color w:val="auto"/>
              </w:rPr>
            </w:pPr>
            <w:r>
              <w:rPr>
                <w:rFonts w:ascii="Arial" w:cs="Arial" w:eastAsia="Arial" w:hAnsi="Arial"/>
                <w:sz w:val="22"/>
                <w:szCs w:val="22"/>
                <w:color w:val="auto"/>
              </w:rPr>
              <w:t>38,204,132</w:t>
            </w:r>
          </w:p>
        </w:tc>
        <w:tc>
          <w:tcPr>
            <w:tcW w:w="1040" w:type="dxa"/>
            <w:vAlign w:val="bottom"/>
          </w:tcPr>
          <w:p>
            <w:pPr>
              <w:jc w:val="right"/>
              <w:spacing w:after="0"/>
              <w:rPr>
                <w:sz w:val="20"/>
                <w:szCs w:val="20"/>
                <w:color w:val="auto"/>
              </w:rPr>
            </w:pPr>
            <w:r>
              <w:rPr>
                <w:rFonts w:ascii="Arial" w:cs="Arial" w:eastAsia="Arial" w:hAnsi="Arial"/>
                <w:sz w:val="22"/>
                <w:szCs w:val="22"/>
                <w:color w:val="auto"/>
              </w:rPr>
              <w:t>978,000</w:t>
            </w:r>
          </w:p>
        </w:tc>
      </w:tr>
      <w:tr>
        <w:trPr>
          <w:trHeight w:val="243"/>
        </w:trPr>
        <w:tc>
          <w:tcPr>
            <w:tcW w:w="2640" w:type="dxa"/>
            <w:vAlign w:val="bottom"/>
          </w:tcPr>
          <w:p>
            <w:pPr>
              <w:spacing w:after="0" w:line="243" w:lineRule="exact"/>
              <w:rPr>
                <w:sz w:val="20"/>
                <w:szCs w:val="20"/>
                <w:color w:val="auto"/>
              </w:rPr>
            </w:pPr>
            <w:r>
              <w:rPr>
                <w:rFonts w:ascii="Arial" w:cs="Arial" w:eastAsia="Arial" w:hAnsi="Arial"/>
                <w:sz w:val="22"/>
                <w:szCs w:val="22"/>
                <w:color w:val="auto"/>
              </w:rPr>
              <w:t>Joseph A. Fiorita, Jr.</w:t>
            </w:r>
          </w:p>
        </w:tc>
        <w:tc>
          <w:tcPr>
            <w:tcW w:w="14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37,657,715</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1,524,417</w:t>
            </w:r>
          </w:p>
        </w:tc>
      </w:tr>
      <w:tr>
        <w:trPr>
          <w:trHeight w:val="243"/>
        </w:trPr>
        <w:tc>
          <w:tcPr>
            <w:tcW w:w="2640" w:type="dxa"/>
            <w:vAlign w:val="bottom"/>
          </w:tcPr>
          <w:p>
            <w:pPr>
              <w:spacing w:after="0" w:line="243" w:lineRule="exact"/>
              <w:rPr>
                <w:sz w:val="20"/>
                <w:szCs w:val="20"/>
                <w:color w:val="auto"/>
              </w:rPr>
            </w:pPr>
            <w:r>
              <w:rPr>
                <w:rFonts w:ascii="Arial" w:cs="Arial" w:eastAsia="Arial" w:hAnsi="Arial"/>
                <w:sz w:val="22"/>
                <w:szCs w:val="22"/>
                <w:color w:val="auto"/>
              </w:rPr>
              <w:t>Michael J. Luttati</w:t>
            </w:r>
          </w:p>
        </w:tc>
        <w:tc>
          <w:tcPr>
            <w:tcW w:w="14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37,686,365</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1,495,767</w:t>
            </w:r>
          </w:p>
        </w:tc>
      </w:tr>
      <w:tr>
        <w:trPr>
          <w:trHeight w:val="243"/>
        </w:trPr>
        <w:tc>
          <w:tcPr>
            <w:tcW w:w="2640" w:type="dxa"/>
            <w:vAlign w:val="bottom"/>
          </w:tcPr>
          <w:p>
            <w:pPr>
              <w:spacing w:after="0" w:line="243" w:lineRule="exact"/>
              <w:rPr>
                <w:sz w:val="20"/>
                <w:szCs w:val="20"/>
                <w:color w:val="auto"/>
              </w:rPr>
            </w:pPr>
            <w:r>
              <w:rPr>
                <w:rFonts w:ascii="Arial" w:cs="Arial" w:eastAsia="Arial" w:hAnsi="Arial"/>
                <w:sz w:val="22"/>
                <w:szCs w:val="22"/>
                <w:color w:val="auto"/>
                <w:w w:val="97"/>
              </w:rPr>
              <w:t>Constantine S. Macricostas</w:t>
            </w:r>
          </w:p>
        </w:tc>
        <w:tc>
          <w:tcPr>
            <w:tcW w:w="14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37,137,276</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2,044,856</w:t>
            </w:r>
          </w:p>
        </w:tc>
      </w:tr>
      <w:tr>
        <w:trPr>
          <w:trHeight w:val="243"/>
        </w:trPr>
        <w:tc>
          <w:tcPr>
            <w:tcW w:w="2640" w:type="dxa"/>
            <w:vAlign w:val="bottom"/>
          </w:tcPr>
          <w:p>
            <w:pPr>
              <w:spacing w:after="0" w:line="243" w:lineRule="exact"/>
              <w:rPr>
                <w:sz w:val="20"/>
                <w:szCs w:val="20"/>
                <w:color w:val="auto"/>
              </w:rPr>
            </w:pPr>
            <w:r>
              <w:rPr>
                <w:rFonts w:ascii="Arial" w:cs="Arial" w:eastAsia="Arial" w:hAnsi="Arial"/>
                <w:sz w:val="22"/>
                <w:szCs w:val="22"/>
                <w:color w:val="auto"/>
              </w:rPr>
              <w:t>George C. Macricostas</w:t>
            </w:r>
          </w:p>
        </w:tc>
        <w:tc>
          <w:tcPr>
            <w:tcW w:w="14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36,628,922</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2,553,910</w:t>
            </w:r>
          </w:p>
        </w:tc>
      </w:tr>
      <w:tr>
        <w:trPr>
          <w:trHeight w:val="243"/>
        </w:trPr>
        <w:tc>
          <w:tcPr>
            <w:tcW w:w="2640" w:type="dxa"/>
            <w:vAlign w:val="bottom"/>
          </w:tcPr>
          <w:p>
            <w:pPr>
              <w:spacing w:after="0" w:line="243" w:lineRule="exact"/>
              <w:rPr>
                <w:sz w:val="20"/>
                <w:szCs w:val="20"/>
                <w:color w:val="auto"/>
              </w:rPr>
            </w:pPr>
            <w:r>
              <w:rPr>
                <w:rFonts w:ascii="Arial" w:cs="Arial" w:eastAsia="Arial" w:hAnsi="Arial"/>
                <w:sz w:val="22"/>
                <w:szCs w:val="22"/>
                <w:color w:val="auto"/>
              </w:rPr>
              <w:t>Willem D. Maris</w:t>
            </w:r>
          </w:p>
        </w:tc>
        <w:tc>
          <w:tcPr>
            <w:tcW w:w="14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38,137,638</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1,044,494</w:t>
            </w:r>
          </w:p>
        </w:tc>
      </w:tr>
      <w:tr>
        <w:trPr>
          <w:trHeight w:val="275"/>
        </w:trPr>
        <w:tc>
          <w:tcPr>
            <w:tcW w:w="2640" w:type="dxa"/>
            <w:vAlign w:val="bottom"/>
          </w:tcPr>
          <w:p>
            <w:pPr>
              <w:spacing w:after="0"/>
              <w:rPr>
                <w:sz w:val="20"/>
                <w:szCs w:val="20"/>
                <w:color w:val="auto"/>
              </w:rPr>
            </w:pPr>
            <w:r>
              <w:rPr>
                <w:rFonts w:ascii="Arial" w:cs="Arial" w:eastAsia="Arial" w:hAnsi="Arial"/>
                <w:sz w:val="22"/>
                <w:szCs w:val="22"/>
                <w:color w:val="auto"/>
              </w:rPr>
              <w:t>Mitchell G. Tyson</w:t>
            </w:r>
          </w:p>
        </w:tc>
        <w:tc>
          <w:tcPr>
            <w:tcW w:w="1420" w:type="dxa"/>
            <w:vAlign w:val="bottom"/>
          </w:tcPr>
          <w:p>
            <w:pPr>
              <w:jc w:val="right"/>
              <w:ind w:right="52"/>
              <w:spacing w:after="0"/>
              <w:rPr>
                <w:sz w:val="20"/>
                <w:szCs w:val="20"/>
                <w:color w:val="auto"/>
              </w:rPr>
            </w:pPr>
            <w:r>
              <w:rPr>
                <w:rFonts w:ascii="Arial" w:cs="Arial" w:eastAsia="Arial" w:hAnsi="Arial"/>
                <w:sz w:val="22"/>
                <w:szCs w:val="22"/>
                <w:color w:val="auto"/>
              </w:rPr>
              <w:t>37,451,903</w:t>
            </w:r>
          </w:p>
        </w:tc>
        <w:tc>
          <w:tcPr>
            <w:tcW w:w="1040" w:type="dxa"/>
            <w:vAlign w:val="bottom"/>
          </w:tcPr>
          <w:p>
            <w:pPr>
              <w:jc w:val="right"/>
              <w:spacing w:after="0"/>
              <w:rPr>
                <w:sz w:val="20"/>
                <w:szCs w:val="20"/>
                <w:color w:val="auto"/>
              </w:rPr>
            </w:pPr>
            <w:r>
              <w:rPr>
                <w:rFonts w:ascii="Arial" w:cs="Arial" w:eastAsia="Arial" w:hAnsi="Arial"/>
                <w:sz w:val="22"/>
                <w:szCs w:val="22"/>
                <w:color w:val="auto"/>
              </w:rPr>
              <w:t>1,730,229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3913505</wp:posOffset>
            </wp:positionH>
            <wp:positionV relativeFrom="page">
              <wp:posOffset>88900</wp:posOffset>
            </wp:positionV>
            <wp:extent cx="15093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0939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120" w:right="2760" w:hanging="356"/>
        <w:spacing w:after="0" w:line="274" w:lineRule="auto"/>
        <w:tabs>
          <w:tab w:leader="none" w:pos="1120" w:val="left"/>
        </w:tabs>
        <w:numPr>
          <w:ilvl w:val="0"/>
          <w:numId w:val="4"/>
        </w:numPr>
        <w:rPr>
          <w:rFonts w:ascii="Arial" w:cs="Arial" w:eastAsia="Arial" w:hAnsi="Arial"/>
          <w:sz w:val="21"/>
          <w:szCs w:val="21"/>
          <w:color w:val="auto"/>
        </w:rPr>
      </w:pPr>
      <w:r>
        <w:rPr>
          <w:rFonts w:ascii="Arial" w:cs="Arial" w:eastAsia="Arial" w:hAnsi="Arial"/>
          <w:sz w:val="21"/>
          <w:szCs w:val="21"/>
          <w:color w:val="auto"/>
        </w:rPr>
        <w:t>Ratification of the selection of Deloitte &amp; Touche LLP as registered independent public accounting firm for the fiscal year ending November 2, 2008.</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93"/>
              </w:rPr>
              <w:t>Broker</w:t>
            </w:r>
          </w:p>
        </w:tc>
        <w:tc>
          <w:tcPr>
            <w:tcW w:w="3160" w:type="dxa"/>
            <w:vAlign w:val="bottom"/>
          </w:tcPr>
          <w:p>
            <w:pPr>
              <w:spacing w:after="0"/>
              <w:rPr>
                <w:sz w:val="21"/>
                <w:szCs w:val="21"/>
                <w:color w:val="auto"/>
              </w:rPr>
            </w:pPr>
          </w:p>
        </w:tc>
      </w:tr>
      <w:tr>
        <w:trPr>
          <w:trHeight w:val="281"/>
        </w:trPr>
        <w:tc>
          <w:tcPr>
            <w:tcW w:w="3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95"/>
              </w:rPr>
              <w:t>For</w:t>
            </w:r>
          </w:p>
        </w:tc>
        <w:tc>
          <w:tcPr>
            <w:tcW w:w="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Arial" w:cs="Arial" w:eastAsia="Arial" w:hAnsi="Arial"/>
                <w:sz w:val="22"/>
                <w:szCs w:val="22"/>
                <w:b w:val="1"/>
                <w:bCs w:val="1"/>
                <w:color w:val="auto"/>
                <w:w w:val="86"/>
              </w:rPr>
              <w:t>Against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22"/>
                <w:szCs w:val="22"/>
                <w:b w:val="1"/>
                <w:bCs w:val="1"/>
                <w:color w:val="auto"/>
                <w:w w:val="89"/>
              </w:rPr>
              <w:t>Abstain</w:t>
            </w:r>
          </w:p>
        </w:tc>
        <w:tc>
          <w:tcPr>
            <w:tcW w:w="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85"/>
              </w:rPr>
              <w:t>Non-Votes</w:t>
            </w:r>
          </w:p>
        </w:tc>
        <w:tc>
          <w:tcPr>
            <w:tcW w:w="3160" w:type="dxa"/>
            <w:vAlign w:val="bottom"/>
          </w:tcPr>
          <w:p>
            <w:pPr>
              <w:spacing w:after="0"/>
              <w:rPr>
                <w:sz w:val="24"/>
                <w:szCs w:val="24"/>
                <w:color w:val="auto"/>
              </w:rPr>
            </w:pPr>
          </w:p>
        </w:tc>
      </w:tr>
      <w:tr>
        <w:trPr>
          <w:trHeight w:val="98"/>
        </w:trPr>
        <w:tc>
          <w:tcPr>
            <w:tcW w:w="318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r>
      <w:tr>
        <w:trPr>
          <w:trHeight w:val="611"/>
        </w:trPr>
        <w:tc>
          <w:tcPr>
            <w:tcW w:w="3180" w:type="dxa"/>
            <w:vAlign w:val="bottom"/>
          </w:tcPr>
          <w:p>
            <w:pPr>
              <w:spacing w:after="0"/>
              <w:rPr>
                <w:sz w:val="24"/>
                <w:szCs w:val="24"/>
                <w:color w:val="auto"/>
              </w:rPr>
            </w:pPr>
          </w:p>
        </w:tc>
        <w:tc>
          <w:tcPr>
            <w:tcW w:w="1420" w:type="dxa"/>
            <w:vAlign w:val="bottom"/>
          </w:tcPr>
          <w:p>
            <w:pPr>
              <w:jc w:val="right"/>
              <w:ind w:right="132"/>
              <w:spacing w:after="0"/>
              <w:rPr>
                <w:sz w:val="20"/>
                <w:szCs w:val="20"/>
                <w:color w:val="auto"/>
              </w:rPr>
            </w:pPr>
            <w:r>
              <w:rPr>
                <w:rFonts w:ascii="Arial" w:cs="Arial" w:eastAsia="Arial" w:hAnsi="Arial"/>
                <w:sz w:val="22"/>
                <w:szCs w:val="22"/>
                <w:color w:val="auto"/>
              </w:rPr>
              <w:t>38,587,796</w:t>
            </w:r>
          </w:p>
        </w:tc>
        <w:tc>
          <w:tcPr>
            <w:tcW w:w="920" w:type="dxa"/>
            <w:vAlign w:val="bottom"/>
            <w:gridSpan w:val="2"/>
          </w:tcPr>
          <w:p>
            <w:pPr>
              <w:ind w:left="200"/>
              <w:spacing w:after="0"/>
              <w:rPr>
                <w:sz w:val="20"/>
                <w:szCs w:val="20"/>
                <w:color w:val="auto"/>
              </w:rPr>
            </w:pPr>
            <w:r>
              <w:rPr>
                <w:rFonts w:ascii="Arial" w:cs="Arial" w:eastAsia="Arial" w:hAnsi="Arial"/>
                <w:sz w:val="22"/>
                <w:szCs w:val="22"/>
                <w:color w:val="auto"/>
                <w:w w:val="87"/>
              </w:rPr>
              <w:t>580,165</w:t>
            </w:r>
          </w:p>
        </w:tc>
        <w:tc>
          <w:tcPr>
            <w:tcW w:w="1300" w:type="dxa"/>
            <w:vAlign w:val="bottom"/>
            <w:gridSpan w:val="3"/>
          </w:tcPr>
          <w:p>
            <w:pPr>
              <w:jc w:val="right"/>
              <w:ind w:right="152"/>
              <w:spacing w:after="0"/>
              <w:rPr>
                <w:sz w:val="20"/>
                <w:szCs w:val="20"/>
                <w:color w:val="auto"/>
              </w:rPr>
            </w:pPr>
            <w:r>
              <w:rPr>
                <w:rFonts w:ascii="Arial" w:cs="Arial" w:eastAsia="Arial" w:hAnsi="Arial"/>
                <w:sz w:val="22"/>
                <w:szCs w:val="22"/>
                <w:color w:val="auto"/>
              </w:rPr>
              <w:t>14,171</w:t>
            </w:r>
          </w:p>
        </w:tc>
        <w:tc>
          <w:tcPr>
            <w:tcW w:w="1460" w:type="dxa"/>
            <w:vAlign w:val="bottom"/>
            <w:gridSpan w:val="2"/>
          </w:tcPr>
          <w:p>
            <w:pPr>
              <w:jc w:val="center"/>
              <w:spacing w:after="0"/>
              <w:rPr>
                <w:sz w:val="20"/>
                <w:szCs w:val="20"/>
                <w:color w:val="auto"/>
              </w:rPr>
            </w:pPr>
            <w:r>
              <w:rPr>
                <w:rFonts w:ascii="Arial" w:cs="Arial" w:eastAsia="Arial" w:hAnsi="Arial"/>
                <w:sz w:val="22"/>
                <w:szCs w:val="22"/>
                <w:color w:val="auto"/>
                <w:w w:val="81"/>
              </w:rPr>
              <w:t>-</w:t>
            </w:r>
          </w:p>
        </w:tc>
        <w:tc>
          <w:tcPr>
            <w:tcW w:w="3160" w:type="dxa"/>
            <w:vAlign w:val="bottom"/>
          </w:tcPr>
          <w:p>
            <w:pPr>
              <w:spacing w:after="0"/>
              <w:rPr>
                <w:sz w:val="24"/>
                <w:szCs w:val="24"/>
                <w:color w:val="auto"/>
              </w:rPr>
            </w:pPr>
          </w:p>
        </w:tc>
      </w:tr>
      <w:tr>
        <w:trPr>
          <w:trHeight w:val="459"/>
        </w:trPr>
        <w:tc>
          <w:tcPr>
            <w:tcW w:w="3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gridSpan w:val="3"/>
          </w:tcPr>
          <w:p>
            <w:pPr>
              <w:jc w:val="right"/>
              <w:ind w:right="812"/>
              <w:spacing w:after="0"/>
              <w:rPr>
                <w:sz w:val="20"/>
                <w:szCs w:val="20"/>
                <w:color w:val="auto"/>
              </w:rPr>
            </w:pPr>
            <w:r>
              <w:rPr>
                <w:rFonts w:ascii="Arial" w:cs="Arial" w:eastAsia="Arial" w:hAnsi="Arial"/>
                <w:sz w:val="22"/>
                <w:szCs w:val="22"/>
                <w:color w:val="auto"/>
                <w:w w:val="91"/>
              </w:rPr>
              <w:t>-26-</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3"/>
        </w:trPr>
        <w:tc>
          <w:tcPr>
            <w:tcW w:w="31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3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b w:val="1"/>
          <w:bCs w:val="1"/>
          <w:color w:val="auto"/>
        </w:rPr>
        <w:t>Item 6.</w:t>
        <w:tab/>
        <w:t>EXHIBITS</w:t>
      </w:r>
    </w:p>
    <w:p>
      <w:pPr>
        <w:spacing w:after="0" w:line="239" w:lineRule="exact"/>
        <w:rPr>
          <w:sz w:val="20"/>
          <w:szCs w:val="20"/>
          <w:color w:val="auto"/>
        </w:rPr>
      </w:pPr>
    </w:p>
    <w:p>
      <w:pPr>
        <w:ind w:left="1140" w:hanging="295"/>
        <w:spacing w:after="0"/>
        <w:tabs>
          <w:tab w:leader="none" w:pos="114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b w:val="1"/>
          <w:bCs w:val="1"/>
          <w:color w:val="auto"/>
        </w:rPr>
        <w:t>Exhibit</w:t>
      </w:r>
    </w:p>
    <w:p>
      <w:pPr>
        <w:spacing w:after="0" w:line="14" w:lineRule="exact"/>
        <w:rPr>
          <w:rFonts w:ascii="Arial" w:cs="Arial" w:eastAsia="Arial" w:hAnsi="Arial"/>
          <w:sz w:val="22"/>
          <w:szCs w:val="22"/>
          <w:color w:val="auto"/>
        </w:rPr>
      </w:pPr>
    </w:p>
    <w:p>
      <w:pPr>
        <w:ind w:left="1140"/>
        <w:spacing w:after="0"/>
        <w:rPr>
          <w:rFonts w:ascii="Arial" w:cs="Arial" w:eastAsia="Arial" w:hAnsi="Arial"/>
          <w:sz w:val="22"/>
          <w:szCs w:val="22"/>
          <w:color w:val="auto"/>
        </w:rPr>
      </w:pPr>
      <w:r>
        <w:rPr>
          <w:rFonts w:ascii="Arial" w:cs="Arial" w:eastAsia="Arial" w:hAnsi="Arial"/>
          <w:sz w:val="22"/>
          <w:szCs w:val="22"/>
          <w:b w:val="1"/>
          <w:bCs w:val="1"/>
          <w:u w:val="single" w:color="auto"/>
          <w:color w:val="auto"/>
        </w:rPr>
        <w:t>Number  Description</w:t>
      </w:r>
    </w:p>
    <w:p>
      <w:pPr>
        <w:spacing w:after="0" w:line="215" w:lineRule="exact"/>
        <w:rPr>
          <w:rFonts w:ascii="Arial" w:cs="Arial" w:eastAsia="Arial" w:hAnsi="Arial"/>
          <w:sz w:val="22"/>
          <w:szCs w:val="22"/>
          <w:color w:val="auto"/>
        </w:rPr>
      </w:pPr>
    </w:p>
    <w:p>
      <w:pPr>
        <w:ind w:left="2160" w:right="2520" w:hanging="1013"/>
        <w:spacing w:after="0"/>
        <w:rPr>
          <w:rFonts w:ascii="Arial" w:cs="Arial" w:eastAsia="Arial" w:hAnsi="Arial"/>
          <w:sz w:val="22"/>
          <w:szCs w:val="22"/>
          <w:color w:val="auto"/>
        </w:rPr>
      </w:pPr>
      <w:r>
        <w:rPr>
          <w:rFonts w:ascii="Arial" w:cs="Arial" w:eastAsia="Arial" w:hAnsi="Arial"/>
          <w:sz w:val="22"/>
          <w:szCs w:val="22"/>
          <w:color w:val="auto"/>
        </w:rPr>
        <w:t>31.1Certification of Chief Executive Officer pursuant to Rule 13a-14(a)/15d-14(a) of the Securities Exchange Act of 1934, as adopted pursuant to Section 302 of the Sarbanes-Oxley Act of 2002.</w:t>
      </w:r>
    </w:p>
    <w:p>
      <w:pPr>
        <w:spacing w:after="0" w:line="213" w:lineRule="exact"/>
        <w:rPr>
          <w:rFonts w:ascii="Arial" w:cs="Arial" w:eastAsia="Arial" w:hAnsi="Arial"/>
          <w:sz w:val="22"/>
          <w:szCs w:val="22"/>
          <w:color w:val="auto"/>
        </w:rPr>
      </w:pPr>
    </w:p>
    <w:p>
      <w:pPr>
        <w:ind w:left="2160" w:right="2520" w:hanging="1013"/>
        <w:spacing w:after="0"/>
        <w:rPr>
          <w:rFonts w:ascii="Arial" w:cs="Arial" w:eastAsia="Arial" w:hAnsi="Arial"/>
          <w:sz w:val="22"/>
          <w:szCs w:val="22"/>
          <w:color w:val="auto"/>
        </w:rPr>
      </w:pPr>
      <w:r>
        <w:rPr>
          <w:rFonts w:ascii="Arial" w:cs="Arial" w:eastAsia="Arial" w:hAnsi="Arial"/>
          <w:sz w:val="22"/>
          <w:szCs w:val="22"/>
          <w:color w:val="auto"/>
        </w:rPr>
        <w:t>31.2Certification of Chief Financial Officer pursuant to Rule 13a-14(a)/15d-14(a) of the Securities Exchange Act of 1934, as adopted pursuant to Section 302 of the Sarbanes-Oxley Act of 2002.</w:t>
      </w:r>
    </w:p>
    <w:p>
      <w:pPr>
        <w:spacing w:after="0" w:line="213" w:lineRule="exact"/>
        <w:rPr>
          <w:rFonts w:ascii="Arial" w:cs="Arial" w:eastAsia="Arial" w:hAnsi="Arial"/>
          <w:sz w:val="22"/>
          <w:szCs w:val="22"/>
          <w:color w:val="auto"/>
        </w:rPr>
      </w:pPr>
    </w:p>
    <w:p>
      <w:pPr>
        <w:ind w:left="2160" w:right="2480" w:hanging="1013"/>
        <w:spacing w:after="0" w:line="328" w:lineRule="auto"/>
        <w:rPr>
          <w:rFonts w:ascii="Arial" w:cs="Arial" w:eastAsia="Arial" w:hAnsi="Arial"/>
          <w:sz w:val="22"/>
          <w:szCs w:val="22"/>
          <w:color w:val="auto"/>
        </w:rPr>
      </w:pPr>
      <w:r>
        <w:rPr>
          <w:rFonts w:ascii="Arial" w:cs="Arial" w:eastAsia="Arial" w:hAnsi="Arial"/>
          <w:sz w:val="22"/>
          <w:szCs w:val="22"/>
          <w:color w:val="auto"/>
        </w:rPr>
        <w:t>32.1</w:t>
      </w:r>
      <w:r>
        <w:rPr>
          <w:rFonts w:ascii="Arial" w:cs="Arial" w:eastAsia="Arial" w:hAnsi="Arial"/>
          <w:sz w:val="19"/>
          <w:szCs w:val="19"/>
          <w:color w:val="auto"/>
        </w:rPr>
        <w:t>Certification of Chief Executive Officer pursuant to 18 U.S.C. Section 1350 as adopted pursuant to Section 906 of the Sarbanes-Oxley Act of 2002.</w:t>
      </w:r>
    </w:p>
    <w:p>
      <w:pPr>
        <w:spacing w:after="0" w:line="132" w:lineRule="exact"/>
        <w:rPr>
          <w:rFonts w:ascii="Arial" w:cs="Arial" w:eastAsia="Arial" w:hAnsi="Arial"/>
          <w:sz w:val="22"/>
          <w:szCs w:val="22"/>
          <w:color w:val="auto"/>
        </w:rPr>
      </w:pPr>
    </w:p>
    <w:p>
      <w:pPr>
        <w:ind w:left="2160" w:right="2540" w:hanging="1013"/>
        <w:spacing w:after="0" w:line="328" w:lineRule="auto"/>
        <w:rPr>
          <w:rFonts w:ascii="Arial" w:cs="Arial" w:eastAsia="Arial" w:hAnsi="Arial"/>
          <w:sz w:val="22"/>
          <w:szCs w:val="22"/>
          <w:color w:val="auto"/>
        </w:rPr>
      </w:pPr>
      <w:r>
        <w:rPr>
          <w:rFonts w:ascii="Arial" w:cs="Arial" w:eastAsia="Arial" w:hAnsi="Arial"/>
          <w:sz w:val="22"/>
          <w:szCs w:val="22"/>
          <w:color w:val="auto"/>
        </w:rPr>
        <w:t>32.2</w:t>
      </w:r>
      <w:r>
        <w:rPr>
          <w:rFonts w:ascii="Arial" w:cs="Arial" w:eastAsia="Arial" w:hAnsi="Arial"/>
          <w:sz w:val="19"/>
          <w:szCs w:val="19"/>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200" w:firstLine="27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jc w:val="center"/>
        <w:ind w:right="7660"/>
        <w:spacing w:after="0"/>
        <w:rPr>
          <w:sz w:val="20"/>
          <w:szCs w:val="20"/>
          <w:color w:val="auto"/>
        </w:rPr>
      </w:pPr>
      <w:r>
        <w:rPr>
          <w:rFonts w:ascii="Arial" w:cs="Arial" w:eastAsia="Arial" w:hAnsi="Arial"/>
          <w:sz w:val="22"/>
          <w:szCs w:val="22"/>
          <w:color w:val="auto"/>
        </w:rPr>
        <w:t>Photronics, Inc.</w:t>
      </w:r>
    </w:p>
    <w:p>
      <w:pPr>
        <w:spacing w:after="0" w:line="8" w:lineRule="exact"/>
        <w:rPr>
          <w:sz w:val="20"/>
          <w:szCs w:val="20"/>
          <w:color w:val="auto"/>
        </w:rPr>
      </w:pPr>
    </w:p>
    <w:p>
      <w:pPr>
        <w:jc w:val="center"/>
        <w:ind w:right="7660"/>
        <w:spacing w:after="0"/>
        <w:rPr>
          <w:sz w:val="20"/>
          <w:szCs w:val="20"/>
          <w:color w:val="auto"/>
        </w:rPr>
      </w:pPr>
      <w:r>
        <w:rPr>
          <w:rFonts w:ascii="Arial" w:cs="Arial" w:eastAsia="Arial" w:hAnsi="Arial"/>
          <w:sz w:val="22"/>
          <w:szCs w:val="22"/>
          <w:color w:val="auto"/>
        </w:rPr>
        <w:t>(Registrant)</w:t>
      </w:r>
    </w:p>
    <w:p>
      <w:pPr>
        <w:spacing w:after="0" w:line="215"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73660</wp:posOffset>
            </wp:positionV>
            <wp:extent cx="165925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59255" cy="21590"/>
                    </a:xfrm>
                    <a:prstGeom prst="rect">
                      <a:avLst/>
                    </a:prstGeom>
                    <a:noFill/>
                  </pic:spPr>
                </pic:pic>
              </a:graphicData>
            </a:graphic>
          </wp:anchor>
        </w:drawing>
      </w:r>
    </w:p>
    <w:p>
      <w:pPr>
        <w:spacing w:after="0" w:line="213" w:lineRule="exact"/>
        <w:rPr>
          <w:sz w:val="20"/>
          <w:szCs w:val="20"/>
          <w:color w:val="auto"/>
        </w:rPr>
      </w:pPr>
    </w:p>
    <w:p>
      <w:pPr>
        <w:jc w:val="center"/>
        <w:ind w:right="7660"/>
        <w:spacing w:after="0"/>
        <w:rPr>
          <w:sz w:val="20"/>
          <w:szCs w:val="20"/>
          <w:color w:val="auto"/>
        </w:rPr>
      </w:pPr>
      <w:r>
        <w:rPr>
          <w:rFonts w:ascii="Arial" w:cs="Arial" w:eastAsia="Arial" w:hAnsi="Arial"/>
          <w:sz w:val="22"/>
          <w:szCs w:val="22"/>
          <w:color w:val="auto"/>
        </w:rPr>
        <w:t>Sean T. Smith</w:t>
      </w:r>
    </w:p>
    <w:p>
      <w:pPr>
        <w:jc w:val="center"/>
        <w:ind w:right="7660"/>
        <w:spacing w:after="0" w:line="238" w:lineRule="auto"/>
        <w:rPr>
          <w:sz w:val="20"/>
          <w:szCs w:val="20"/>
          <w:color w:val="auto"/>
        </w:rPr>
      </w:pPr>
      <w:r>
        <w:rPr>
          <w:rFonts w:ascii="Arial" w:cs="Arial" w:eastAsia="Arial" w:hAnsi="Arial"/>
          <w:sz w:val="22"/>
          <w:szCs w:val="22"/>
          <w:color w:val="auto"/>
        </w:rPr>
        <w:t>Senior Vice President</w:t>
      </w:r>
    </w:p>
    <w:p>
      <w:pPr>
        <w:jc w:val="center"/>
        <w:ind w:right="7660"/>
        <w:spacing w:after="0" w:line="230" w:lineRule="auto"/>
        <w:rPr>
          <w:sz w:val="20"/>
          <w:szCs w:val="20"/>
          <w:color w:val="auto"/>
        </w:rPr>
      </w:pPr>
      <w:r>
        <w:rPr>
          <w:rFonts w:ascii="Arial" w:cs="Arial" w:eastAsia="Arial" w:hAnsi="Arial"/>
          <w:sz w:val="22"/>
          <w:szCs w:val="22"/>
          <w:color w:val="auto"/>
        </w:rPr>
        <w:t>Chief Financial Officer</w:t>
      </w:r>
    </w:p>
    <w:p>
      <w:pPr>
        <w:jc w:val="center"/>
        <w:ind w:right="7660"/>
        <w:spacing w:after="0" w:line="231" w:lineRule="auto"/>
        <w:rPr>
          <w:sz w:val="20"/>
          <w:szCs w:val="20"/>
          <w:color w:val="auto"/>
        </w:rPr>
      </w:pPr>
      <w:r>
        <w:rPr>
          <w:rFonts w:ascii="Arial" w:cs="Arial" w:eastAsia="Arial" w:hAnsi="Arial"/>
          <w:sz w:val="22"/>
          <w:szCs w:val="22"/>
          <w:color w:val="auto"/>
        </w:rPr>
        <w:t>(Duly Authorized Officer and</w:t>
      </w:r>
    </w:p>
    <w:p>
      <w:pPr>
        <w:spacing w:after="0" w:line="1" w:lineRule="exact"/>
        <w:rPr>
          <w:sz w:val="20"/>
          <w:szCs w:val="20"/>
          <w:color w:val="auto"/>
        </w:rPr>
      </w:pPr>
    </w:p>
    <w:p>
      <w:pPr>
        <w:jc w:val="center"/>
        <w:ind w:right="7660"/>
        <w:spacing w:after="0"/>
        <w:rPr>
          <w:sz w:val="20"/>
          <w:szCs w:val="20"/>
          <w:color w:val="auto"/>
        </w:rPr>
      </w:pPr>
      <w:r>
        <w:rPr>
          <w:rFonts w:ascii="Arial" w:cs="Arial" w:eastAsia="Arial" w:hAnsi="Arial"/>
          <w:sz w:val="22"/>
          <w:szCs w:val="22"/>
          <w:color w:val="auto"/>
        </w:rPr>
        <w:t>Principal Financial Officer)</w:t>
      </w:r>
    </w:p>
    <w:p>
      <w:pPr>
        <w:sectPr>
          <w:pgSz w:w="11900" w:h="16838" w:orient="portrait"/>
          <w:cols w:equalWidth="0" w:num="1">
            <w:col w:w="11440"/>
          </w:cols>
          <w:pgMar w:left="240" w:top="594" w:right="219" w:bottom="38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Date: June 4, 2008</w:t>
      </w:r>
    </w:p>
    <w:p>
      <w:pPr>
        <w:spacing w:after="0" w:line="207" w:lineRule="exact"/>
        <w:rPr>
          <w:sz w:val="20"/>
          <w:szCs w:val="20"/>
          <w:color w:val="auto"/>
        </w:rPr>
      </w:pPr>
    </w:p>
    <w:p>
      <w:pPr>
        <w:jc w:val="right"/>
        <w:ind w:right="43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219"/>
          </w:cols>
          <w:pgMar w:left="240" w:top="118" w:right="1440"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color w:val="auto"/>
        </w:rPr>
        <w:t>EXHIBIT 31.1</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Michael J. Luttati, certify that:</w:t>
      </w:r>
    </w:p>
    <w:p>
      <w:pPr>
        <w:spacing w:after="0" w:line="23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Photronics, Inc.</w:t>
      </w:r>
    </w:p>
    <w:p>
      <w:pPr>
        <w:spacing w:after="0" w:line="233" w:lineRule="exact"/>
        <w:rPr>
          <w:rFonts w:ascii="Arial" w:cs="Arial" w:eastAsia="Arial" w:hAnsi="Arial"/>
          <w:sz w:val="22"/>
          <w:szCs w:val="22"/>
          <w:color w:val="auto"/>
        </w:rPr>
      </w:pPr>
    </w:p>
    <w:p>
      <w:pPr>
        <w:ind w:left="340" w:right="1679" w:hanging="332"/>
        <w:spacing w:after="0" w:line="238"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2"/>
          <w:szCs w:val="22"/>
          <w:color w:val="auto"/>
        </w:rPr>
      </w:pPr>
    </w:p>
    <w:p>
      <w:pPr>
        <w:ind w:left="340" w:right="1779" w:hanging="332"/>
        <w:spacing w:after="0" w:line="297" w:lineRule="auto"/>
        <w:tabs>
          <w:tab w:leader="none" w:pos="340" w:val="left"/>
        </w:tabs>
        <w:numPr>
          <w:ilvl w:val="0"/>
          <w:numId w:val="6"/>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9"/>
          <w:szCs w:val="19"/>
          <w:color w:val="auto"/>
        </w:rPr>
      </w:pPr>
    </w:p>
    <w:p>
      <w:pPr>
        <w:ind w:left="340" w:right="1839" w:hanging="332"/>
        <w:spacing w:after="0" w:line="238"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2"/>
          <w:szCs w:val="22"/>
          <w:color w:val="auto"/>
        </w:rPr>
      </w:pPr>
    </w:p>
    <w:p>
      <w:pPr>
        <w:ind w:left="680" w:right="1839" w:hanging="348"/>
        <w:spacing w:after="0" w:line="236" w:lineRule="auto"/>
        <w:tabs>
          <w:tab w:leader="none" w:pos="680" w:val="left"/>
        </w:tabs>
        <w:numPr>
          <w:ilvl w:val="1"/>
          <w:numId w:val="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22"/>
          <w:szCs w:val="22"/>
          <w:color w:val="auto"/>
        </w:rPr>
      </w:pPr>
    </w:p>
    <w:p>
      <w:pPr>
        <w:ind w:left="680" w:right="1639" w:hanging="348"/>
        <w:spacing w:after="0" w:line="287" w:lineRule="auto"/>
        <w:tabs>
          <w:tab w:leader="none" w:pos="680" w:val="left"/>
        </w:tabs>
        <w:numPr>
          <w:ilvl w:val="1"/>
          <w:numId w:val="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680" w:right="1779" w:hanging="348"/>
        <w:spacing w:after="0" w:line="238" w:lineRule="auto"/>
        <w:tabs>
          <w:tab w:leader="none" w:pos="680" w:val="left"/>
        </w:tabs>
        <w:numPr>
          <w:ilvl w:val="1"/>
          <w:numId w:val="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2" w:lineRule="exact"/>
        <w:rPr>
          <w:rFonts w:ascii="Arial" w:cs="Arial" w:eastAsia="Arial" w:hAnsi="Arial"/>
          <w:sz w:val="22"/>
          <w:szCs w:val="22"/>
          <w:color w:val="auto"/>
        </w:rPr>
      </w:pPr>
    </w:p>
    <w:p>
      <w:pPr>
        <w:ind w:left="680" w:right="1999" w:hanging="348"/>
        <w:spacing w:after="0" w:line="236" w:lineRule="auto"/>
        <w:tabs>
          <w:tab w:leader="none" w:pos="680" w:val="left"/>
        </w:tabs>
        <w:numPr>
          <w:ilvl w:val="1"/>
          <w:numId w:val="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22"/>
          <w:szCs w:val="22"/>
          <w:color w:val="auto"/>
        </w:rPr>
      </w:pPr>
    </w:p>
    <w:p>
      <w:pPr>
        <w:ind w:left="340" w:right="1779" w:hanging="332"/>
        <w:spacing w:after="0" w:line="238"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2"/>
          <w:szCs w:val="22"/>
          <w:color w:val="auto"/>
        </w:rPr>
      </w:pPr>
    </w:p>
    <w:p>
      <w:pPr>
        <w:ind w:left="680" w:right="1859" w:hanging="348"/>
        <w:spacing w:after="0" w:line="297" w:lineRule="auto"/>
        <w:tabs>
          <w:tab w:leader="none" w:pos="680" w:val="left"/>
        </w:tabs>
        <w:numPr>
          <w:ilvl w:val="1"/>
          <w:numId w:val="6"/>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9"/>
          <w:szCs w:val="19"/>
          <w:color w:val="auto"/>
        </w:rPr>
      </w:pPr>
    </w:p>
    <w:p>
      <w:pPr>
        <w:ind w:left="680" w:right="2079" w:hanging="348"/>
        <w:spacing w:after="0" w:line="328" w:lineRule="auto"/>
        <w:tabs>
          <w:tab w:leader="none" w:pos="680" w:val="left"/>
        </w:tabs>
        <w:numPr>
          <w:ilvl w:val="1"/>
          <w:numId w:val="6"/>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MICHAEL J. LUTTATI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97675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7675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Michael J. Luttati</w:t>
      </w:r>
    </w:p>
    <w:p>
      <w:pPr>
        <w:spacing w:after="0" w:line="238" w:lineRule="auto"/>
        <w:rPr>
          <w:sz w:val="20"/>
          <w:szCs w:val="20"/>
          <w:color w:val="auto"/>
        </w:rPr>
      </w:pPr>
      <w:r>
        <w:rPr>
          <w:rFonts w:ascii="Arial" w:cs="Arial" w:eastAsia="Arial" w:hAnsi="Arial"/>
          <w:sz w:val="22"/>
          <w:szCs w:val="22"/>
          <w:color w:val="auto"/>
        </w:rPr>
        <w:t>Chief Executive Officer</w:t>
      </w:r>
    </w:p>
    <w:p>
      <w:pPr>
        <w:spacing w:after="0"/>
        <w:rPr>
          <w:sz w:val="20"/>
          <w:szCs w:val="20"/>
          <w:color w:val="auto"/>
        </w:rPr>
      </w:pPr>
      <w:r>
        <w:rPr>
          <w:rFonts w:ascii="Arial" w:cs="Arial" w:eastAsia="Arial" w:hAnsi="Arial"/>
          <w:sz w:val="22"/>
          <w:szCs w:val="22"/>
          <w:color w:val="auto"/>
        </w:rPr>
        <w:t>June 4, 2008</w:t>
      </w:r>
    </w:p>
    <w:p>
      <w:pPr>
        <w:sectPr>
          <w:pgSz w:w="11900" w:h="16838" w:orient="portrait"/>
          <w:cols w:equalWidth="0" w:num="1">
            <w:col w:w="10219"/>
          </w:cols>
          <w:pgMar w:left="240" w:top="111" w:right="1440"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EXHIBIT 31.2</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I, Sean T. Smith, certify that:</w:t>
      </w:r>
    </w:p>
    <w:p>
      <w:pPr>
        <w:spacing w:after="0" w:line="23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Photronics, Inc.</w:t>
      </w:r>
    </w:p>
    <w:p>
      <w:pPr>
        <w:spacing w:after="0" w:line="233" w:lineRule="exact"/>
        <w:rPr>
          <w:rFonts w:ascii="Arial" w:cs="Arial" w:eastAsia="Arial" w:hAnsi="Arial"/>
          <w:sz w:val="22"/>
          <w:szCs w:val="22"/>
          <w:color w:val="auto"/>
        </w:rPr>
      </w:pPr>
    </w:p>
    <w:p>
      <w:pPr>
        <w:ind w:left="340" w:right="1679" w:hanging="332"/>
        <w:spacing w:after="0" w:line="238"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2"/>
          <w:szCs w:val="22"/>
          <w:color w:val="auto"/>
        </w:rPr>
      </w:pPr>
    </w:p>
    <w:p>
      <w:pPr>
        <w:ind w:left="340" w:right="1779" w:hanging="332"/>
        <w:spacing w:after="0" w:line="297" w:lineRule="auto"/>
        <w:tabs>
          <w:tab w:leader="none" w:pos="340" w:val="left"/>
        </w:tabs>
        <w:numPr>
          <w:ilvl w:val="0"/>
          <w:numId w:val="7"/>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9"/>
          <w:szCs w:val="19"/>
          <w:color w:val="auto"/>
        </w:rPr>
      </w:pPr>
    </w:p>
    <w:p>
      <w:pPr>
        <w:ind w:left="340" w:right="1839" w:hanging="332"/>
        <w:spacing w:after="0" w:line="238"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2"/>
          <w:szCs w:val="22"/>
          <w:color w:val="auto"/>
        </w:rPr>
      </w:pPr>
    </w:p>
    <w:p>
      <w:pPr>
        <w:ind w:left="680" w:right="1839" w:hanging="348"/>
        <w:spacing w:after="0" w:line="236" w:lineRule="auto"/>
        <w:tabs>
          <w:tab w:leader="none" w:pos="680" w:val="left"/>
        </w:tabs>
        <w:numPr>
          <w:ilvl w:val="1"/>
          <w:numId w:val="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22"/>
          <w:szCs w:val="22"/>
          <w:color w:val="auto"/>
        </w:rPr>
      </w:pPr>
    </w:p>
    <w:p>
      <w:pPr>
        <w:ind w:left="680" w:right="1639" w:hanging="348"/>
        <w:spacing w:after="0" w:line="287" w:lineRule="auto"/>
        <w:tabs>
          <w:tab w:leader="none" w:pos="680" w:val="left"/>
        </w:tabs>
        <w:numPr>
          <w:ilvl w:val="1"/>
          <w:numId w:val="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9"/>
          <w:szCs w:val="19"/>
          <w:color w:val="auto"/>
        </w:rPr>
      </w:pPr>
    </w:p>
    <w:p>
      <w:pPr>
        <w:ind w:left="680" w:right="1779" w:hanging="348"/>
        <w:spacing w:after="0" w:line="238" w:lineRule="auto"/>
        <w:tabs>
          <w:tab w:leader="none" w:pos="680" w:val="left"/>
        </w:tabs>
        <w:numPr>
          <w:ilvl w:val="1"/>
          <w:numId w:val="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2" w:lineRule="exact"/>
        <w:rPr>
          <w:rFonts w:ascii="Arial" w:cs="Arial" w:eastAsia="Arial" w:hAnsi="Arial"/>
          <w:sz w:val="22"/>
          <w:szCs w:val="22"/>
          <w:color w:val="auto"/>
        </w:rPr>
      </w:pPr>
    </w:p>
    <w:p>
      <w:pPr>
        <w:ind w:left="680" w:right="1999" w:hanging="348"/>
        <w:spacing w:after="0" w:line="236" w:lineRule="auto"/>
        <w:tabs>
          <w:tab w:leader="none" w:pos="680" w:val="left"/>
        </w:tabs>
        <w:numPr>
          <w:ilvl w:val="1"/>
          <w:numId w:val="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22"/>
          <w:szCs w:val="22"/>
          <w:color w:val="auto"/>
        </w:rPr>
      </w:pPr>
    </w:p>
    <w:p>
      <w:pPr>
        <w:ind w:left="340" w:right="1779" w:hanging="332"/>
        <w:spacing w:after="0" w:line="238"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2"/>
          <w:szCs w:val="22"/>
          <w:color w:val="auto"/>
        </w:rPr>
      </w:pPr>
    </w:p>
    <w:p>
      <w:pPr>
        <w:ind w:left="680" w:right="1859" w:hanging="348"/>
        <w:spacing w:after="0" w:line="297" w:lineRule="auto"/>
        <w:tabs>
          <w:tab w:leader="none" w:pos="680" w:val="left"/>
        </w:tabs>
        <w:numPr>
          <w:ilvl w:val="1"/>
          <w:numId w:val="7"/>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9"/>
          <w:szCs w:val="19"/>
          <w:color w:val="auto"/>
        </w:rPr>
      </w:pPr>
    </w:p>
    <w:p>
      <w:pPr>
        <w:ind w:left="680" w:right="2079" w:hanging="348"/>
        <w:spacing w:after="0" w:line="328" w:lineRule="auto"/>
        <w:tabs>
          <w:tab w:leader="none" w:pos="680" w:val="left"/>
        </w:tabs>
        <w:numPr>
          <w:ilvl w:val="1"/>
          <w:numId w:val="7"/>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97675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7675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Sean T. Smith</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June 4, 2008</w:t>
      </w:r>
    </w:p>
    <w:p>
      <w:pPr>
        <w:sectPr>
          <w:pgSz w:w="11900" w:h="16838" w:orient="portrait"/>
          <w:cols w:equalWidth="0" w:num="1">
            <w:col w:w="10219"/>
          </w:cols>
          <w:pgMar w:left="240" w:top="111" w:right="1440"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 Michael J. Luttati, Chief Executive Officer of Photronics, Inc. (the "Company"),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18 U.S.C. Section 1350, that:</w:t>
      </w:r>
    </w:p>
    <w:p>
      <w:pPr>
        <w:spacing w:after="0" w:line="215" w:lineRule="exact"/>
        <w:rPr>
          <w:sz w:val="20"/>
          <w:szCs w:val="20"/>
          <w:color w:val="auto"/>
        </w:rPr>
      </w:pPr>
    </w:p>
    <w:p>
      <w:pPr>
        <w:ind w:left="500" w:right="140" w:hanging="492"/>
        <w:spacing w:after="0" w:line="251" w:lineRule="auto"/>
        <w:tabs>
          <w:tab w:leader="none" w:pos="5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 ended April 27, 2008 (the "Report")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00" w:right="840" w:hanging="492"/>
        <w:spacing w:after="0" w:line="251" w:lineRule="auto"/>
        <w:tabs>
          <w:tab w:leader="none" w:pos="5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 MICHAEL J. LUTTATI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55638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56385"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Michael J. Luttati</w:t>
      </w:r>
    </w:p>
    <w:p>
      <w:pPr>
        <w:spacing w:after="0" w:line="238" w:lineRule="auto"/>
        <w:rPr>
          <w:sz w:val="20"/>
          <w:szCs w:val="20"/>
          <w:color w:val="auto"/>
        </w:rPr>
      </w:pPr>
      <w:r>
        <w:rPr>
          <w:rFonts w:ascii="Arial" w:cs="Arial" w:eastAsia="Arial" w:hAnsi="Arial"/>
          <w:sz w:val="22"/>
          <w:szCs w:val="22"/>
          <w:color w:val="auto"/>
        </w:rPr>
        <w:t>Chief Executive Officer</w:t>
      </w:r>
    </w:p>
    <w:p>
      <w:pPr>
        <w:spacing w:after="0"/>
        <w:rPr>
          <w:sz w:val="20"/>
          <w:szCs w:val="20"/>
          <w:color w:val="auto"/>
        </w:rPr>
      </w:pPr>
      <w:r>
        <w:rPr>
          <w:rFonts w:ascii="Arial" w:cs="Arial" w:eastAsia="Arial" w:hAnsi="Arial"/>
          <w:sz w:val="22"/>
          <w:szCs w:val="22"/>
          <w:color w:val="auto"/>
        </w:rPr>
        <w:t>June 4, 2008</w:t>
      </w:r>
    </w:p>
    <w:p>
      <w:pPr>
        <w:sectPr>
          <w:pgSz w:w="11900" w:h="16838" w:orient="portrait"/>
          <w:cols w:equalWidth="0" w:num="1">
            <w:col w:w="11360"/>
          </w:cols>
          <w:pgMar w:left="240" w:top="111" w:right="29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1350 Certification of the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I, Sean T. Smith, Chief Financial Officer of Photronics, Inc. (the "Company"),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18 U.S.C. Section 1350, that:</w:t>
      </w:r>
    </w:p>
    <w:p>
      <w:pPr>
        <w:spacing w:after="0" w:line="215" w:lineRule="exact"/>
        <w:rPr>
          <w:sz w:val="20"/>
          <w:szCs w:val="20"/>
          <w:color w:val="auto"/>
        </w:rPr>
      </w:pPr>
    </w:p>
    <w:p>
      <w:pPr>
        <w:ind w:left="500" w:hanging="492"/>
        <w:spacing w:after="0" w:line="251" w:lineRule="auto"/>
        <w:tabs>
          <w:tab w:leader="none" w:pos="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Quarterly Report on Form 10-Q of the Company for the quarter ended April 27, 2008 (the "Report") fully complies with the requirements of Section 13(a) or 15(d) of the Securities Exchange Act of 1934; and</w:t>
      </w:r>
    </w:p>
    <w:p>
      <w:pPr>
        <w:spacing w:after="0" w:line="200" w:lineRule="exact"/>
        <w:rPr>
          <w:rFonts w:ascii="Arial" w:cs="Arial" w:eastAsia="Arial" w:hAnsi="Arial"/>
          <w:sz w:val="22"/>
          <w:szCs w:val="22"/>
          <w:color w:val="auto"/>
        </w:rPr>
      </w:pPr>
    </w:p>
    <w:p>
      <w:pPr>
        <w:ind w:left="500" w:right="700" w:hanging="492"/>
        <w:spacing w:after="0" w:line="251" w:lineRule="auto"/>
        <w:tabs>
          <w:tab w:leader="none" w:pos="5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29921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99210" cy="215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Sean T. Smith</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June 4, 2008</w:t>
      </w:r>
    </w:p>
    <w:sectPr>
      <w:pgSz w:w="11900" w:h="16838" w:orient="portrait"/>
      <w:cols w:equalWidth="0" w:num="1">
        <w:col w:w="11220"/>
      </w:cols>
      <w:pgMar w:left="24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lowerLetter"/>
      <w:start w:val="1"/>
    </w:lvl>
    <w:lvl w:ilvl="1">
      <w:lvlJc w:val="left"/>
      <w:lvlText w:val="(%2)"/>
      <w:numFmt w:val="lowerLetter"/>
      <w:start w:val="2"/>
    </w:lvl>
  </w:abstractNum>
  <w:abstractNum w:abstractNumId="3">
    <w:nsid w:val="2EB141F2"/>
    <w:multiLevelType w:val="hybridMultilevel"/>
    <w:lvl w:ilvl="0">
      <w:lvlJc w:val="left"/>
      <w:lvlText w:val="(%1)"/>
      <w:numFmt w:val="lowerLetter"/>
      <w:start w:val="3"/>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2019-12-19T21:52:34Z</dcterms:created>
  <dcterms:modified xsi:type="dcterms:W3CDTF">2019-12-19T21:52:34Z</dcterms:modified>
</cp:coreProperties>
</file>