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SECURITIES AND EXCHANGE COMMISSION</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24"/>
          <w:szCs w:val="24"/>
          <w:color w:val="auto"/>
        </w:rPr>
        <w:t>Washington, D.C. 20549</w:t>
      </w:r>
    </w:p>
    <w:p>
      <w:pPr>
        <w:spacing w:after="0" w:line="223"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FORM 10-Q</w:t>
      </w:r>
    </w:p>
    <w:p>
      <w:pPr>
        <w:spacing w:after="0" w:line="265" w:lineRule="exact"/>
        <w:rPr>
          <w:sz w:val="24"/>
          <w:szCs w:val="24"/>
          <w:color w:val="auto"/>
        </w:rPr>
      </w:pPr>
    </w:p>
    <w:p>
      <w:pPr>
        <w:ind w:left="1420" w:hanging="379"/>
        <w:spacing w:after="0"/>
        <w:tabs>
          <w:tab w:leader="none" w:pos="142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QUARTERLY REPORT PURSUANT TO SECTION 13 OR 15 (d) OF THE SECURITIES EXCHANGE ACT OF 1934</w:t>
      </w:r>
    </w:p>
    <w:p>
      <w:pPr>
        <w:spacing w:after="0" w:line="44" w:lineRule="exact"/>
        <w:rPr>
          <w:rFonts w:ascii="Arial" w:cs="Arial" w:eastAsia="Arial" w:hAnsi="Arial"/>
          <w:sz w:val="16"/>
          <w:szCs w:val="16"/>
          <w:b w:val="1"/>
          <w:bCs w:val="1"/>
          <w:color w:val="auto"/>
        </w:rPr>
      </w:pPr>
    </w:p>
    <w:p>
      <w:pPr>
        <w:ind w:left="406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For the quarterly period ended January 31, 2010</w:t>
      </w:r>
    </w:p>
    <w:p>
      <w:pPr>
        <w:spacing w:after="0" w:line="213" w:lineRule="exact"/>
        <w:rPr>
          <w:sz w:val="24"/>
          <w:szCs w:val="24"/>
          <w:color w:val="auto"/>
        </w:rPr>
      </w:pPr>
    </w:p>
    <w:p>
      <w:pPr>
        <w:jc w:val="center"/>
        <w:ind w:left="360"/>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ind w:left="4280" w:right="1060" w:hanging="3239"/>
        <w:spacing w:after="0" w:line="275" w:lineRule="auto"/>
        <w:tabs>
          <w:tab w:leader="none" w:pos="1413"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TRANSITION REPORT PURSUANT TO SECTION 13 OR 15 (d) OF THE SECURITIES EXCHANGE ACT OF 1934 </w:t>
      </w:r>
      <w:r>
        <w:rPr>
          <w:rFonts w:ascii="Arial" w:cs="Arial" w:eastAsia="Arial" w:hAnsi="Arial"/>
          <w:sz w:val="18"/>
          <w:szCs w:val="18"/>
          <w:color w:val="auto"/>
        </w:rPr>
        <w:t>For the transition period from ___ to ___</w:t>
      </w:r>
    </w:p>
    <w:p>
      <w:pPr>
        <w:spacing w:after="0" w:line="17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color w:val="auto"/>
        </w:rPr>
        <w:t>0-15451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3229610</wp:posOffset>
            </wp:positionH>
            <wp:positionV relativeFrom="paragraph">
              <wp:posOffset>169545</wp:posOffset>
            </wp:positionV>
            <wp:extent cx="797560" cy="900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97560" cy="9004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PHOTRONICS, INC.</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440"/>
          </w:cols>
          <w:pgMar w:left="240" w:top="948" w:right="219" w:bottom="519" w:gutter="0" w:footer="0" w:header="0"/>
        </w:sectPr>
      </w:pPr>
    </w:p>
    <w:p>
      <w:pPr>
        <w:spacing w:after="0" w:line="232" w:lineRule="exact"/>
        <w:rPr>
          <w:sz w:val="24"/>
          <w:szCs w:val="24"/>
          <w:color w:val="auto"/>
        </w:rPr>
      </w:pPr>
    </w:p>
    <w:p>
      <w:pPr>
        <w:ind w:left="2440"/>
        <w:spacing w:after="0"/>
        <w:rPr>
          <w:sz w:val="20"/>
          <w:szCs w:val="20"/>
          <w:color w:val="auto"/>
        </w:rPr>
      </w:pPr>
      <w:r>
        <w:rPr>
          <w:rFonts w:ascii="Arial" w:cs="Arial" w:eastAsia="Arial" w:hAnsi="Arial"/>
          <w:sz w:val="15"/>
          <w:szCs w:val="15"/>
          <w:b w:val="1"/>
          <w:bCs w:val="1"/>
          <w:color w:val="auto"/>
        </w:rPr>
        <w:t>Connecticut</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06-0854886</w:t>
      </w:r>
    </w:p>
    <w:p>
      <w:pPr>
        <w:spacing w:after="0" w:line="65" w:lineRule="exact"/>
        <w:rPr>
          <w:sz w:val="24"/>
          <w:szCs w:val="24"/>
          <w:color w:val="auto"/>
        </w:rPr>
      </w:pPr>
    </w:p>
    <w:p>
      <w:pPr>
        <w:sectPr>
          <w:pgSz w:w="11900" w:h="16838" w:orient="portrait"/>
          <w:cols w:equalWidth="0" w:num="2">
            <w:col w:w="7440" w:space="720"/>
            <w:col w:w="3280"/>
          </w:cols>
          <w:pgMar w:left="240" w:top="948" w:right="219" w:bottom="519" w:gutter="0" w:footer="0" w:header="0"/>
          <w:type w:val="continuous"/>
        </w:sectPr>
      </w:pPr>
    </w:p>
    <w:p>
      <w:pPr>
        <w:jc w:val="center"/>
        <w:ind w:right="1280"/>
        <w:spacing w:after="0"/>
        <w:rPr>
          <w:sz w:val="20"/>
          <w:szCs w:val="20"/>
          <w:color w:val="auto"/>
        </w:rPr>
      </w:pPr>
      <w:r>
        <w:rPr>
          <w:rFonts w:ascii="Arial" w:cs="Arial" w:eastAsia="Arial" w:hAnsi="Arial"/>
          <w:sz w:val="18"/>
          <w:szCs w:val="18"/>
          <w:i w:val="1"/>
          <w:iCs w:val="1"/>
          <w:color w:val="auto"/>
        </w:rPr>
        <w:t>(State or other jurisdiction</w:t>
      </w:r>
    </w:p>
    <w:p>
      <w:pPr>
        <w:spacing w:after="0" w:line="36" w:lineRule="exact"/>
        <w:rPr>
          <w:sz w:val="24"/>
          <w:szCs w:val="24"/>
          <w:color w:val="auto"/>
        </w:rPr>
      </w:pPr>
    </w:p>
    <w:p>
      <w:pPr>
        <w:jc w:val="center"/>
        <w:ind w:right="1280"/>
        <w:spacing w:after="0"/>
        <w:rPr>
          <w:sz w:val="20"/>
          <w:szCs w:val="20"/>
          <w:color w:val="auto"/>
        </w:rPr>
      </w:pPr>
      <w:r>
        <w:rPr>
          <w:rFonts w:ascii="Arial" w:cs="Arial" w:eastAsia="Arial" w:hAnsi="Arial"/>
          <w:sz w:val="16"/>
          <w:szCs w:val="16"/>
          <w:i w:val="1"/>
          <w:iCs w:val="1"/>
          <w:color w:val="auto"/>
        </w:rPr>
        <w:t>of incorporation or organization)</w:t>
      </w:r>
    </w:p>
    <w:p>
      <w:pPr>
        <w:spacing w:after="0" w:line="20" w:lineRule="exact"/>
        <w:rPr>
          <w:sz w:val="24"/>
          <w:szCs w:val="24"/>
          <w:color w:val="auto"/>
        </w:rPr>
      </w:pPr>
      <w:r>
        <w:rPr>
          <w:sz w:val="24"/>
          <w:szCs w:val="24"/>
          <w:color w:val="auto"/>
        </w:rPr>
        <w:br w:type="column"/>
      </w:r>
    </w:p>
    <w:p>
      <w:pPr>
        <w:jc w:val="center"/>
        <w:ind w:right="2040"/>
        <w:spacing w:after="0"/>
        <w:rPr>
          <w:sz w:val="20"/>
          <w:szCs w:val="20"/>
          <w:color w:val="auto"/>
        </w:rPr>
      </w:pPr>
      <w:r>
        <w:rPr>
          <w:rFonts w:ascii="Arial" w:cs="Arial" w:eastAsia="Arial" w:hAnsi="Arial"/>
          <w:sz w:val="18"/>
          <w:szCs w:val="18"/>
          <w:i w:val="1"/>
          <w:iCs w:val="1"/>
          <w:color w:val="auto"/>
        </w:rPr>
        <w:t>(IRS Employer</w:t>
      </w:r>
    </w:p>
    <w:p>
      <w:pPr>
        <w:spacing w:after="0" w:line="36" w:lineRule="exact"/>
        <w:rPr>
          <w:sz w:val="24"/>
          <w:szCs w:val="24"/>
          <w:color w:val="auto"/>
        </w:rPr>
      </w:pPr>
    </w:p>
    <w:p>
      <w:pPr>
        <w:jc w:val="center"/>
        <w:ind w:right="2040"/>
        <w:spacing w:after="0"/>
        <w:rPr>
          <w:sz w:val="20"/>
          <w:szCs w:val="20"/>
          <w:color w:val="auto"/>
        </w:rPr>
      </w:pPr>
      <w:r>
        <w:rPr>
          <w:rFonts w:ascii="Arial" w:cs="Arial" w:eastAsia="Arial" w:hAnsi="Arial"/>
          <w:sz w:val="16"/>
          <w:szCs w:val="16"/>
          <w:i w:val="1"/>
          <w:iCs w:val="1"/>
          <w:color w:val="auto"/>
        </w:rPr>
        <w:t>Identification Number)</w:t>
      </w:r>
    </w:p>
    <w:p>
      <w:pPr>
        <w:spacing w:after="0" w:line="200" w:lineRule="exact"/>
        <w:rPr>
          <w:sz w:val="24"/>
          <w:szCs w:val="24"/>
          <w:color w:val="auto"/>
        </w:rPr>
      </w:pPr>
    </w:p>
    <w:p>
      <w:pPr>
        <w:sectPr>
          <w:pgSz w:w="11900" w:h="16838" w:orient="portrait"/>
          <w:cols w:equalWidth="0" w:num="2">
            <w:col w:w="7060" w:space="720"/>
            <w:col w:w="3660"/>
          </w:cols>
          <w:pgMar w:left="240" w:top="948" w:right="219" w:bottom="519" w:gutter="0" w:footer="0" w:header="0"/>
          <w:type w:val="continuous"/>
        </w:sectPr>
      </w:pPr>
    </w:p>
    <w:p>
      <w:pPr>
        <w:spacing w:after="0" w:line="8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15 Secor Road, Brookfield, Connecticut 06804</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i w:val="1"/>
          <w:iCs w:val="1"/>
          <w:color w:val="auto"/>
        </w:rPr>
        <w:t>(Address of principal executive offices and zip code)</w:t>
      </w:r>
    </w:p>
    <w:p>
      <w:pPr>
        <w:spacing w:after="0" w:line="21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(203) 775-9000</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218" w:lineRule="exact"/>
        <w:rPr>
          <w:sz w:val="24"/>
          <w:szCs w:val="24"/>
          <w:color w:val="auto"/>
        </w:rPr>
      </w:pPr>
    </w:p>
    <w:p>
      <w:pPr>
        <w:jc w:val="center"/>
        <w:ind w:right="20"/>
        <w:spacing w:after="0"/>
        <w:rPr>
          <w:sz w:val="20"/>
          <w:szCs w:val="20"/>
          <w:color w:val="auto"/>
        </w:rPr>
      </w:pPr>
      <w:r>
        <w:rPr>
          <w:rFonts w:ascii="Arial" w:cs="Arial" w:eastAsia="Arial" w:hAnsi="Arial"/>
          <w:sz w:val="18"/>
          <w:szCs w:val="18"/>
          <w:i w:val="1"/>
          <w:iCs w:val="1"/>
          <w:color w:val="auto"/>
        </w:rPr>
        <w:t xml:space="preserve">Securities registered pursuant to Section 12(b) of the Act: </w:t>
      </w:r>
      <w:r>
        <w:rPr>
          <w:rFonts w:ascii="Arial" w:cs="Arial" w:eastAsia="Arial" w:hAnsi="Arial"/>
          <w:sz w:val="18"/>
          <w:szCs w:val="18"/>
          <w:b w:val="1"/>
          <w:bCs w:val="1"/>
          <w:color w:val="auto"/>
        </w:rPr>
        <w:t>Common Stock, $0.01 par value per share - NASDAQ Global Select Market</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i w:val="1"/>
          <w:iCs w:val="1"/>
          <w:color w:val="auto"/>
        </w:rPr>
        <w:t xml:space="preserve">Securities registered pursuant to Section 12(g) of the Act: </w:t>
      </w:r>
      <w:r>
        <w:rPr>
          <w:rFonts w:ascii="Arial" w:cs="Arial" w:eastAsia="Arial" w:hAnsi="Arial"/>
          <w:sz w:val="18"/>
          <w:szCs w:val="18"/>
          <w:b w:val="1"/>
          <w:bCs w:val="1"/>
          <w:color w:val="auto"/>
        </w:rPr>
        <w:t>None</w:t>
      </w:r>
    </w:p>
    <w:p>
      <w:pPr>
        <w:spacing w:after="0" w:line="258" w:lineRule="exact"/>
        <w:rPr>
          <w:sz w:val="24"/>
          <w:szCs w:val="24"/>
          <w:color w:val="auto"/>
        </w:rPr>
      </w:pPr>
    </w:p>
    <w:p>
      <w:pPr>
        <w:ind w:right="140"/>
        <w:spacing w:after="0" w:line="25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periods that the registrant was required to file such reports), and (2) has been subject to such filing requirements for the past 90 days.</w:t>
      </w:r>
    </w:p>
    <w:p>
      <w:pPr>
        <w:spacing w:after="0"/>
        <w:rPr>
          <w:sz w:val="20"/>
          <w:szCs w:val="20"/>
          <w:color w:val="auto"/>
        </w:rPr>
      </w:pPr>
      <w:r>
        <w:rPr>
          <w:rFonts w:ascii="Arial" w:cs="Arial" w:eastAsia="Arial" w:hAnsi="Arial"/>
          <w:sz w:val="18"/>
          <w:szCs w:val="18"/>
          <w:b w:val="1"/>
          <w:bCs w:val="1"/>
          <w:color w:val="auto"/>
        </w:rPr>
        <w:t>Yes x No o</w:t>
      </w:r>
    </w:p>
    <w:p>
      <w:pPr>
        <w:spacing w:after="0" w:line="246" w:lineRule="exact"/>
        <w:rPr>
          <w:sz w:val="24"/>
          <w:szCs w:val="24"/>
          <w:color w:val="auto"/>
        </w:rPr>
      </w:pPr>
    </w:p>
    <w:p>
      <w:pPr>
        <w:ind w:right="160"/>
        <w:spacing w:after="0" w:line="253"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rPr>
          <w:sz w:val="20"/>
          <w:szCs w:val="20"/>
          <w:color w:val="auto"/>
        </w:rPr>
      </w:pPr>
      <w:r>
        <w:rPr>
          <w:rFonts w:ascii="Arial" w:cs="Arial" w:eastAsia="Arial" w:hAnsi="Arial"/>
          <w:sz w:val="18"/>
          <w:szCs w:val="18"/>
          <w:b w:val="1"/>
          <w:bCs w:val="1"/>
          <w:color w:val="auto"/>
        </w:rPr>
        <w:t>Yes x No o</w:t>
      </w:r>
    </w:p>
    <w:p>
      <w:pPr>
        <w:spacing w:after="0" w:line="246" w:lineRule="exact"/>
        <w:rPr>
          <w:sz w:val="24"/>
          <w:szCs w:val="24"/>
          <w:color w:val="auto"/>
        </w:rPr>
      </w:pPr>
    </w:p>
    <w:p>
      <w:pPr>
        <w:ind w:right="360"/>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rPr>
          <w:sz w:val="20"/>
          <w:szCs w:val="20"/>
          <w:color w:val="auto"/>
        </w:rPr>
      </w:pPr>
      <w:r>
        <w:rPr>
          <w:rFonts w:ascii="Arial" w:cs="Arial" w:eastAsia="Arial" w:hAnsi="Arial"/>
          <w:sz w:val="18"/>
          <w:szCs w:val="18"/>
          <w:color w:val="auto"/>
        </w:rPr>
        <w:t xml:space="preserve">Large Accelerated Filer </w:t>
      </w:r>
      <w:r>
        <w:rPr>
          <w:rFonts w:ascii="Arial" w:cs="Arial" w:eastAsia="Arial" w:hAnsi="Arial"/>
          <w:sz w:val="18"/>
          <w:szCs w:val="18"/>
          <w:b w:val="1"/>
          <w:bCs w:val="1"/>
          <w:color w:val="auto"/>
        </w:rPr>
        <w:t>o</w:t>
      </w:r>
      <w:r>
        <w:rPr>
          <w:rFonts w:ascii="Arial" w:cs="Arial" w:eastAsia="Arial" w:hAnsi="Arial"/>
          <w:sz w:val="18"/>
          <w:szCs w:val="18"/>
          <w:color w:val="auto"/>
        </w:rPr>
        <w:t xml:space="preserve"> Accelerated Filer </w:t>
      </w:r>
      <w:r>
        <w:rPr>
          <w:rFonts w:ascii="Arial" w:cs="Arial" w:eastAsia="Arial" w:hAnsi="Arial"/>
          <w:sz w:val="18"/>
          <w:szCs w:val="18"/>
          <w:b w:val="1"/>
          <w:bCs w:val="1"/>
          <w:color w:val="auto"/>
        </w:rPr>
        <w:t>x</w:t>
      </w:r>
      <w:r>
        <w:rPr>
          <w:rFonts w:ascii="Arial" w:cs="Arial" w:eastAsia="Arial" w:hAnsi="Arial"/>
          <w:sz w:val="18"/>
          <w:szCs w:val="18"/>
          <w:color w:val="auto"/>
        </w:rPr>
        <w:t xml:space="preserve"> Non-Accelerated Filer </w:t>
      </w:r>
      <w:r>
        <w:rPr>
          <w:rFonts w:ascii="Arial" w:cs="Arial" w:eastAsia="Arial" w:hAnsi="Arial"/>
          <w:sz w:val="18"/>
          <w:szCs w:val="18"/>
          <w:b w:val="1"/>
          <w:bCs w:val="1"/>
          <w:color w:val="auto"/>
        </w:rPr>
        <w:t>o</w:t>
      </w:r>
      <w:r>
        <w:rPr>
          <w:rFonts w:ascii="Arial" w:cs="Arial" w:eastAsia="Arial" w:hAnsi="Arial"/>
          <w:sz w:val="18"/>
          <w:szCs w:val="18"/>
          <w:color w:val="auto"/>
        </w:rPr>
        <w:t xml:space="preserve"> Smaller Reporting Company </w:t>
      </w:r>
      <w:r>
        <w:rPr>
          <w:rFonts w:ascii="Arial" w:cs="Arial" w:eastAsia="Arial" w:hAnsi="Arial"/>
          <w:sz w:val="18"/>
          <w:szCs w:val="18"/>
          <w:b w:val="1"/>
          <w:bCs w:val="1"/>
          <w:color w:val="auto"/>
        </w:rPr>
        <w:t>o</w:t>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Yes o No x</w:t>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5760" w:type="dxa"/>
            <w:vAlign w:val="bottom"/>
          </w:tcPr>
          <w:p>
            <w:pPr>
              <w:jc w:val="center"/>
              <w:ind w:right="12"/>
              <w:spacing w:after="0"/>
              <w:rPr>
                <w:sz w:val="20"/>
                <w:szCs w:val="20"/>
                <w:color w:val="auto"/>
              </w:rPr>
            </w:pPr>
            <w:r>
              <w:rPr>
                <w:rFonts w:ascii="Arial" w:cs="Arial" w:eastAsia="Arial" w:hAnsi="Arial"/>
                <w:sz w:val="18"/>
                <w:szCs w:val="18"/>
                <w:color w:val="auto"/>
                <w:w w:val="84"/>
              </w:rPr>
              <w:t>Class</w:t>
            </w:r>
          </w:p>
        </w:tc>
        <w:tc>
          <w:tcPr>
            <w:tcW w:w="5680" w:type="dxa"/>
            <w:vAlign w:val="bottom"/>
          </w:tcPr>
          <w:p>
            <w:pPr>
              <w:jc w:val="center"/>
              <w:ind w:right="52"/>
              <w:spacing w:after="0"/>
              <w:rPr>
                <w:sz w:val="20"/>
                <w:szCs w:val="20"/>
                <w:color w:val="auto"/>
              </w:rPr>
            </w:pPr>
            <w:r>
              <w:rPr>
                <w:rFonts w:ascii="Arial" w:cs="Arial" w:eastAsia="Arial" w:hAnsi="Arial"/>
                <w:sz w:val="18"/>
                <w:szCs w:val="18"/>
                <w:color w:val="auto"/>
                <w:w w:val="88"/>
              </w:rPr>
              <w:t>Outstanding at March 4, 2010</w:t>
            </w:r>
          </w:p>
        </w:tc>
      </w:tr>
      <w:tr>
        <w:trPr>
          <w:trHeight w:val="243"/>
        </w:trPr>
        <w:tc>
          <w:tcPr>
            <w:tcW w:w="5760" w:type="dxa"/>
            <w:vAlign w:val="bottom"/>
          </w:tcPr>
          <w:p>
            <w:pPr>
              <w:jc w:val="center"/>
              <w:ind w:right="12"/>
              <w:spacing w:after="0"/>
              <w:rPr>
                <w:sz w:val="20"/>
                <w:szCs w:val="20"/>
                <w:color w:val="auto"/>
              </w:rPr>
            </w:pPr>
            <w:r>
              <w:rPr>
                <w:rFonts w:ascii="Arial" w:cs="Arial" w:eastAsia="Arial" w:hAnsi="Arial"/>
                <w:sz w:val="18"/>
                <w:szCs w:val="18"/>
                <w:b w:val="1"/>
                <w:bCs w:val="1"/>
                <w:color w:val="auto"/>
                <w:w w:val="87"/>
              </w:rPr>
              <w:t>Common Stock, $0.01 par value</w:t>
            </w:r>
          </w:p>
        </w:tc>
        <w:tc>
          <w:tcPr>
            <w:tcW w:w="5680" w:type="dxa"/>
            <w:vAlign w:val="bottom"/>
          </w:tcPr>
          <w:p>
            <w:pPr>
              <w:jc w:val="center"/>
              <w:ind w:right="52"/>
              <w:spacing w:after="0"/>
              <w:rPr>
                <w:sz w:val="20"/>
                <w:szCs w:val="20"/>
                <w:color w:val="auto"/>
              </w:rPr>
            </w:pPr>
            <w:r>
              <w:rPr>
                <w:rFonts w:ascii="Arial" w:cs="Arial" w:eastAsia="Arial" w:hAnsi="Arial"/>
                <w:sz w:val="18"/>
                <w:szCs w:val="18"/>
                <w:b w:val="1"/>
                <w:bCs w:val="1"/>
                <w:color w:val="auto"/>
                <w:w w:val="86"/>
              </w:rPr>
              <w:t>53,437,603 Shares</w:t>
            </w:r>
          </w:p>
        </w:tc>
      </w:tr>
      <w:tr>
        <w:trPr>
          <w:trHeight w:val="377"/>
        </w:trPr>
        <w:tc>
          <w:tcPr>
            <w:tcW w:w="5760" w:type="dxa"/>
            <w:vAlign w:val="bottom"/>
            <w:tcBorders>
              <w:bottom w:val="single" w:sz="8" w:color="808080"/>
            </w:tcBorders>
          </w:tcPr>
          <w:p>
            <w:pPr>
              <w:spacing w:after="0"/>
              <w:rPr>
                <w:sz w:val="24"/>
                <w:szCs w:val="24"/>
                <w:color w:val="auto"/>
              </w:rPr>
            </w:pPr>
          </w:p>
        </w:tc>
        <w:tc>
          <w:tcPr>
            <w:tcW w:w="5680" w:type="dxa"/>
            <w:vAlign w:val="bottom"/>
            <w:tcBorders>
              <w:bottom w:val="single" w:sz="8" w:color="808080"/>
            </w:tcBorders>
          </w:tcPr>
          <w:p>
            <w:pPr>
              <w:spacing w:after="0"/>
              <w:rPr>
                <w:sz w:val="24"/>
                <w:szCs w:val="24"/>
                <w:color w:val="auto"/>
              </w:rPr>
            </w:pPr>
          </w:p>
        </w:tc>
      </w:tr>
      <w:tr>
        <w:trPr>
          <w:trHeight w:val="466"/>
        </w:trPr>
        <w:tc>
          <w:tcPr>
            <w:tcW w:w="5760" w:type="dxa"/>
            <w:vAlign w:val="bottom"/>
            <w:tcBorders>
              <w:bottom w:val="single" w:sz="8" w:color="808080"/>
            </w:tcBorders>
          </w:tcPr>
          <w:p>
            <w:pPr>
              <w:spacing w:after="0"/>
              <w:rPr>
                <w:sz w:val="24"/>
                <w:szCs w:val="24"/>
                <w:color w:val="auto"/>
              </w:rPr>
            </w:pPr>
          </w:p>
        </w:tc>
        <w:tc>
          <w:tcPr>
            <w:tcW w:w="568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-323215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948" w:right="219" w:bottom="519"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Forward-Looking Statements</w:t>
      </w:r>
    </w:p>
    <w:p>
      <w:pPr>
        <w:spacing w:after="0" w:line="285" w:lineRule="exact"/>
        <w:rPr>
          <w:sz w:val="20"/>
          <w:szCs w:val="20"/>
          <w:color w:val="auto"/>
        </w:rPr>
      </w:pPr>
    </w:p>
    <w:p>
      <w:pPr>
        <w:ind w:firstLine="270"/>
        <w:spacing w:after="0" w:line="284"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made by or on behalf of Photronics, Inc. ("Photronics" or the "Company"). These statements are based on management's beliefs, as well as assumptions made by, and information currently available to, management. Forward-looking statements may be identified by words like "expect", "anticipate", "believe", "plan", "projects", and similar expressions. All forward-looking statements involve risks and uncertainties that are difficult to predict. In particular, any statement contained in this quarterly report on Form 10-Q, in press releases, written statements, or other documents filed with the Securities and Exchange Commission or, in the Company's communications and discussions with investors and analysts in the normal course of business through meetings, phone calls, or conference calls, regarding the consummation and benefits of future acquisitions, expectations with respect to future sales, financial performance, operating efficiencies, or product expansion, are subject to known and unknown risks, uncertainties, and contingencies, many of which are beyond the control of the Company. These factors may cause actual results, performance, or achievements to differ materially from anticipated results, performance, or achievements. Factors that might affect such forward-looking statements include, but are not limited to, overall economic and business conditions; economic and political conditions in international markets; the demand for the Company's products; competitive factors in the industries and geographic markets in which the Company competes; changes in federal, state and international tax requirements (including tax rate changes, new tax laws and revised tax law interpretations); interest rate fluctuations and other capital market conditions, including changes in the market price of the Company's common stock; foreign currency exchange rate fluctuations; changes in technology; the timing, impact, and other uncertainties of future acquisitions; the seasonal and cyclical nature of the semiconductor and flat panel display industries; management changes; damage or destruction to the Company's facilities by natural disasters, labor strikes, political unrest, or terrorist activity; the ability of the Company to place new equipment in service on a timely basis; obtain additional financing; achieve anticipated synergies and other cost savings in connection with acquisitions and productivity programs; fully utilize its tools; achieve desired yields, pricing, product mix, and market acceptance of its products; and obtain necessary export licenses. Any forward-looking statements should be considered in light of these factors. Accordingly, there is no assurance that the Company's expectations will be realized. The Company does not assume responsibility for the accuracy and completeness of the forward-looking statements and does not assume an obligation to provide revisions to any forward-looking statements.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 w:name="page3"/>
    <w:bookmarkEnd w:id="2"/>
    <w:p>
      <w:pPr>
        <w:ind w:left="4900"/>
        <w:spacing w:after="0"/>
        <w:rPr>
          <w:sz w:val="20"/>
          <w:szCs w:val="20"/>
          <w:color w:val="auto"/>
        </w:rPr>
      </w:pPr>
      <w:r>
        <w:rPr>
          <w:rFonts w:ascii="Arial" w:cs="Arial" w:eastAsia="Arial" w:hAnsi="Arial"/>
          <w:sz w:val="18"/>
          <w:szCs w:val="18"/>
          <w:b w:val="1"/>
          <w:bCs w:val="1"/>
          <w:color w:val="auto"/>
        </w:rPr>
        <w:t>PHOTRONICS, INC.</w:t>
      </w:r>
    </w:p>
    <w:p>
      <w:pPr>
        <w:spacing w:after="0" w:line="2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AND SUBSIDIARIES</w:t>
      </w: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10240" w:type="dxa"/>
            <w:vAlign w:val="bottom"/>
          </w:tcPr>
          <w:p>
            <w:pPr>
              <w:ind w:left="140"/>
              <w:spacing w:after="0"/>
              <w:rPr>
                <w:sz w:val="20"/>
                <w:szCs w:val="20"/>
                <w:color w:val="auto"/>
              </w:rPr>
            </w:pPr>
            <w:r>
              <w:rPr>
                <w:rFonts w:ascii="Arial" w:cs="Arial" w:eastAsia="Arial" w:hAnsi="Arial"/>
                <w:sz w:val="18"/>
                <w:szCs w:val="18"/>
                <w:b w:val="1"/>
                <w:bCs w:val="1"/>
                <w:color w:val="auto"/>
              </w:rPr>
              <w:t>FINANCIAL INFORMATION</w:t>
            </w:r>
          </w:p>
        </w:tc>
        <w:tc>
          <w:tcPr>
            <w:tcW w:w="380" w:type="dxa"/>
            <w:vAlign w:val="bottom"/>
            <w:gridSpan w:val="2"/>
          </w:tcPr>
          <w:p>
            <w:pP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Item 1.</w:t>
            </w:r>
          </w:p>
        </w:tc>
        <w:tc>
          <w:tcPr>
            <w:tcW w:w="10240" w:type="dxa"/>
            <w:vAlign w:val="bottom"/>
            <w:tcBorders>
              <w:top w:val="single" w:sz="8" w:color="C0C0C0"/>
            </w:tcBorders>
            <w:shd w:val="clear" w:color="auto" w:fill="C0C0C0"/>
          </w:tcPr>
          <w:p>
            <w:pPr>
              <w:ind w:left="140"/>
              <w:spacing w:after="0"/>
              <w:rPr>
                <w:sz w:val="20"/>
                <w:szCs w:val="20"/>
                <w:color w:val="auto"/>
              </w:rPr>
            </w:pPr>
            <w:r>
              <w:rPr>
                <w:rFonts w:ascii="Arial" w:cs="Arial" w:eastAsia="Arial" w:hAnsi="Arial"/>
                <w:sz w:val="18"/>
                <w:szCs w:val="18"/>
                <w:color w:val="auto"/>
              </w:rPr>
              <w:t>Condensed Consolidated Financial Statements</w:t>
            </w:r>
          </w:p>
        </w:tc>
        <w:tc>
          <w:tcPr>
            <w:tcW w:w="360" w:type="dxa"/>
            <w:vAlign w:val="bottom"/>
            <w:tcBorders>
              <w:top w:val="single" w:sz="8" w:color="auto"/>
            </w:tcBorders>
            <w:shd w:val="clear" w:color="auto" w:fill="C0C0C0"/>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240" w:type="dxa"/>
            <w:vAlign w:val="bottom"/>
          </w:tcPr>
          <w:p>
            <w:pPr>
              <w:spacing w:after="0"/>
              <w:rPr>
                <w:sz w:val="21"/>
                <w:szCs w:val="21"/>
                <w:color w:val="auto"/>
              </w:rPr>
            </w:pPr>
          </w:p>
        </w:tc>
        <w:tc>
          <w:tcPr>
            <w:tcW w:w="3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10240" w:type="dxa"/>
            <w:vAlign w:val="bottom"/>
            <w:shd w:val="clear" w:color="auto" w:fill="C0C0C0"/>
          </w:tcPr>
          <w:p>
            <w:pPr>
              <w:ind w:left="140"/>
              <w:spacing w:after="0"/>
              <w:rPr>
                <w:sz w:val="20"/>
                <w:szCs w:val="20"/>
                <w:color w:val="auto"/>
              </w:rPr>
            </w:pPr>
            <w:r>
              <w:rPr>
                <w:rFonts w:ascii="Arial" w:cs="Arial" w:eastAsia="Arial" w:hAnsi="Arial"/>
                <w:sz w:val="18"/>
                <w:szCs w:val="18"/>
                <w:color w:val="auto"/>
              </w:rPr>
              <w:t>Condensed Consolidated Balance Sheets at January 31, 2010, and November 1, 2009</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240" w:type="dxa"/>
            <w:vAlign w:val="bottom"/>
          </w:tcPr>
          <w:p>
            <w:pPr>
              <w:spacing w:after="0"/>
              <w:rPr>
                <w:sz w:val="21"/>
                <w:szCs w:val="21"/>
                <w:color w:val="auto"/>
              </w:rPr>
            </w:pPr>
          </w:p>
        </w:tc>
        <w:tc>
          <w:tcPr>
            <w:tcW w:w="3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10240" w:type="dxa"/>
            <w:vAlign w:val="bottom"/>
            <w:shd w:val="clear" w:color="auto" w:fill="C0C0C0"/>
          </w:tcPr>
          <w:p>
            <w:pPr>
              <w:ind w:left="140"/>
              <w:spacing w:after="0"/>
              <w:rPr>
                <w:sz w:val="20"/>
                <w:szCs w:val="20"/>
                <w:color w:val="auto"/>
              </w:rPr>
            </w:pPr>
            <w:r>
              <w:rPr>
                <w:rFonts w:ascii="Arial" w:cs="Arial" w:eastAsia="Arial" w:hAnsi="Arial"/>
                <w:sz w:val="18"/>
                <w:szCs w:val="18"/>
                <w:color w:val="auto"/>
              </w:rPr>
              <w:t>Condensed Consolidated Statements of Operations for the Three Months Ended January 31, 2010, and February 1, 2009</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240" w:type="dxa"/>
            <w:vAlign w:val="bottom"/>
          </w:tcPr>
          <w:p>
            <w:pPr>
              <w:spacing w:after="0"/>
              <w:rPr>
                <w:sz w:val="21"/>
                <w:szCs w:val="21"/>
                <w:color w:val="auto"/>
              </w:rPr>
            </w:pPr>
          </w:p>
        </w:tc>
        <w:tc>
          <w:tcPr>
            <w:tcW w:w="3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10240" w:type="dxa"/>
            <w:vAlign w:val="bottom"/>
            <w:shd w:val="clear" w:color="auto" w:fill="C0C0C0"/>
          </w:tcPr>
          <w:p>
            <w:pPr>
              <w:ind w:left="140"/>
              <w:spacing w:after="0"/>
              <w:rPr>
                <w:sz w:val="20"/>
                <w:szCs w:val="20"/>
                <w:color w:val="auto"/>
              </w:rPr>
            </w:pPr>
            <w:r>
              <w:rPr>
                <w:rFonts w:ascii="Arial" w:cs="Arial" w:eastAsia="Arial" w:hAnsi="Arial"/>
                <w:sz w:val="18"/>
                <w:szCs w:val="18"/>
                <w:color w:val="auto"/>
              </w:rPr>
              <w:t>Condensed Consolidated Statements of Cash Flows for the Three Months Ended January 31, 2010, and February 1, 2009</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240" w:type="dxa"/>
            <w:vAlign w:val="bottom"/>
          </w:tcPr>
          <w:p>
            <w:pPr>
              <w:spacing w:after="0"/>
              <w:rPr>
                <w:sz w:val="21"/>
                <w:szCs w:val="21"/>
                <w:color w:val="auto"/>
              </w:rPr>
            </w:pPr>
          </w:p>
        </w:tc>
        <w:tc>
          <w:tcPr>
            <w:tcW w:w="3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10240" w:type="dxa"/>
            <w:vAlign w:val="bottom"/>
            <w:shd w:val="clear" w:color="auto" w:fill="C0C0C0"/>
          </w:tcPr>
          <w:p>
            <w:pPr>
              <w:ind w:left="140"/>
              <w:spacing w:after="0"/>
              <w:rPr>
                <w:sz w:val="20"/>
                <w:szCs w:val="20"/>
                <w:color w:val="auto"/>
              </w:rPr>
            </w:pPr>
            <w:r>
              <w:rPr>
                <w:rFonts w:ascii="Arial" w:cs="Arial" w:eastAsia="Arial" w:hAnsi="Arial"/>
                <w:sz w:val="18"/>
                <w:szCs w:val="18"/>
                <w:color w:val="auto"/>
              </w:rPr>
              <w:t>Notes to Condensed Consolidated Financial Statements</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0" w:type="dxa"/>
            <w:vAlign w:val="bottom"/>
            <w:gridSpan w:val="2"/>
          </w:tcPr>
          <w:p>
            <w:pPr>
              <w:spacing w:after="0"/>
              <w:rPr>
                <w:sz w:val="21"/>
                <w:szCs w:val="21"/>
                <w:color w:val="auto"/>
              </w:rPr>
            </w:pPr>
          </w:p>
        </w:tc>
        <w:tc>
          <w:tcPr>
            <w:tcW w:w="10240" w:type="dxa"/>
            <w:vAlign w:val="bottom"/>
          </w:tcPr>
          <w:p>
            <w:pPr>
              <w:spacing w:after="0"/>
              <w:rPr>
                <w:sz w:val="21"/>
                <w:szCs w:val="21"/>
                <w:color w:val="auto"/>
              </w:rPr>
            </w:pPr>
          </w:p>
        </w:tc>
        <w:tc>
          <w:tcPr>
            <w:tcW w:w="3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 w:type="dxa"/>
            <w:vAlign w:val="bottom"/>
            <w:shd w:val="clear" w:color="auto" w:fill="C0C0C0"/>
          </w:tcPr>
          <w:p>
            <w:pPr>
              <w:spacing w:after="0"/>
              <w:rPr>
                <w:sz w:val="20"/>
                <w:szCs w:val="20"/>
                <w:color w:val="auto"/>
              </w:rPr>
            </w:pPr>
            <w:r>
              <w:rPr>
                <w:rFonts w:ascii="Arial" w:cs="Arial" w:eastAsia="Arial" w:hAnsi="Arial"/>
                <w:sz w:val="18"/>
                <w:szCs w:val="18"/>
                <w:color w:val="auto"/>
              </w:rPr>
              <w:t>Item 2.</w:t>
            </w:r>
          </w:p>
        </w:tc>
        <w:tc>
          <w:tcPr>
            <w:tcW w:w="10240" w:type="dxa"/>
            <w:vAlign w:val="bottom"/>
            <w:shd w:val="clear" w:color="auto" w:fill="C0C0C0"/>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0" w:type="dxa"/>
            <w:vAlign w:val="bottom"/>
            <w:gridSpan w:val="2"/>
          </w:tcPr>
          <w:p>
            <w:pPr>
              <w:spacing w:after="0"/>
              <w:rPr>
                <w:sz w:val="21"/>
                <w:szCs w:val="21"/>
                <w:color w:val="auto"/>
              </w:rPr>
            </w:pPr>
          </w:p>
        </w:tc>
        <w:tc>
          <w:tcPr>
            <w:tcW w:w="10240" w:type="dxa"/>
            <w:vAlign w:val="bottom"/>
          </w:tcPr>
          <w:p>
            <w:pPr>
              <w:spacing w:after="0"/>
              <w:rPr>
                <w:sz w:val="21"/>
                <w:szCs w:val="21"/>
                <w:color w:val="auto"/>
              </w:rPr>
            </w:pPr>
          </w:p>
        </w:tc>
        <w:tc>
          <w:tcPr>
            <w:tcW w:w="3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 w:type="dxa"/>
            <w:vAlign w:val="bottom"/>
            <w:shd w:val="clear" w:color="auto" w:fill="C0C0C0"/>
          </w:tcPr>
          <w:p>
            <w:pPr>
              <w:spacing w:after="0"/>
              <w:rPr>
                <w:sz w:val="20"/>
                <w:szCs w:val="20"/>
                <w:color w:val="auto"/>
              </w:rPr>
            </w:pPr>
            <w:r>
              <w:rPr>
                <w:rFonts w:ascii="Arial" w:cs="Arial" w:eastAsia="Arial" w:hAnsi="Arial"/>
                <w:sz w:val="18"/>
                <w:szCs w:val="18"/>
                <w:color w:val="auto"/>
              </w:rPr>
              <w:t>Item 3.</w:t>
            </w:r>
          </w:p>
        </w:tc>
        <w:tc>
          <w:tcPr>
            <w:tcW w:w="10240" w:type="dxa"/>
            <w:vAlign w:val="bottom"/>
            <w:shd w:val="clear" w:color="auto" w:fill="C0C0C0"/>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0" w:type="dxa"/>
            <w:vAlign w:val="bottom"/>
            <w:gridSpan w:val="2"/>
          </w:tcPr>
          <w:p>
            <w:pPr>
              <w:spacing w:after="0"/>
              <w:rPr>
                <w:sz w:val="21"/>
                <w:szCs w:val="21"/>
                <w:color w:val="auto"/>
              </w:rPr>
            </w:pPr>
          </w:p>
        </w:tc>
        <w:tc>
          <w:tcPr>
            <w:tcW w:w="10240" w:type="dxa"/>
            <w:vAlign w:val="bottom"/>
          </w:tcPr>
          <w:p>
            <w:pPr>
              <w:spacing w:after="0"/>
              <w:rPr>
                <w:sz w:val="21"/>
                <w:szCs w:val="21"/>
                <w:color w:val="auto"/>
              </w:rPr>
            </w:pPr>
          </w:p>
        </w:tc>
        <w:tc>
          <w:tcPr>
            <w:tcW w:w="3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 w:type="dxa"/>
            <w:vAlign w:val="bottom"/>
            <w:shd w:val="clear" w:color="auto" w:fill="C0C0C0"/>
          </w:tcPr>
          <w:p>
            <w:pPr>
              <w:spacing w:after="0"/>
              <w:rPr>
                <w:sz w:val="20"/>
                <w:szCs w:val="20"/>
                <w:color w:val="auto"/>
              </w:rPr>
            </w:pPr>
            <w:r>
              <w:rPr>
                <w:rFonts w:ascii="Arial" w:cs="Arial" w:eastAsia="Arial" w:hAnsi="Arial"/>
                <w:sz w:val="18"/>
                <w:szCs w:val="18"/>
                <w:color w:val="auto"/>
              </w:rPr>
              <w:t>Item 4.</w:t>
            </w:r>
          </w:p>
        </w:tc>
        <w:tc>
          <w:tcPr>
            <w:tcW w:w="10240" w:type="dxa"/>
            <w:vAlign w:val="bottom"/>
            <w:shd w:val="clear" w:color="auto" w:fill="C0C0C0"/>
          </w:tcPr>
          <w:p>
            <w:pPr>
              <w:ind w:left="140"/>
              <w:spacing w:after="0"/>
              <w:rPr>
                <w:sz w:val="20"/>
                <w:szCs w:val="20"/>
                <w:color w:val="auto"/>
              </w:rPr>
            </w:pPr>
            <w:r>
              <w:rPr>
                <w:rFonts w:ascii="Arial" w:cs="Arial" w:eastAsia="Arial" w:hAnsi="Arial"/>
                <w:sz w:val="18"/>
                <w:szCs w:val="18"/>
                <w:color w:val="auto"/>
              </w:rPr>
              <w:t>Controls and Procedures</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Pr>
          <w:p>
            <w:pPr>
              <w:spacing w:after="0"/>
              <w:rPr>
                <w:sz w:val="21"/>
                <w:szCs w:val="21"/>
                <w:color w:val="auto"/>
              </w:rPr>
            </w:pPr>
          </w:p>
        </w:tc>
        <w:tc>
          <w:tcPr>
            <w:tcW w:w="10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0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PART II.</w:t>
            </w:r>
          </w:p>
        </w:tc>
        <w:tc>
          <w:tcPr>
            <w:tcW w:w="10240" w:type="dxa"/>
            <w:vAlign w:val="bottom"/>
            <w:shd w:val="clear" w:color="auto" w:fill="C0C0C0"/>
          </w:tcPr>
          <w:p>
            <w:pPr>
              <w:ind w:left="140"/>
              <w:spacing w:after="0"/>
              <w:rPr>
                <w:sz w:val="20"/>
                <w:szCs w:val="20"/>
                <w:color w:val="auto"/>
              </w:rPr>
            </w:pPr>
            <w:r>
              <w:rPr>
                <w:rFonts w:ascii="Arial" w:cs="Arial" w:eastAsia="Arial" w:hAnsi="Arial"/>
                <w:sz w:val="18"/>
                <w:szCs w:val="18"/>
                <w:b w:val="1"/>
                <w:bCs w:val="1"/>
                <w:color w:val="auto"/>
              </w:rPr>
              <w:t>OTHER INFORMATION</w:t>
            </w:r>
          </w:p>
        </w:tc>
        <w:tc>
          <w:tcPr>
            <w:tcW w:w="36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0" w:type="dxa"/>
            <w:vAlign w:val="bottom"/>
            <w:gridSpan w:val="2"/>
          </w:tcPr>
          <w:p>
            <w:pPr>
              <w:spacing w:after="0"/>
              <w:rPr>
                <w:sz w:val="21"/>
                <w:szCs w:val="21"/>
                <w:color w:val="auto"/>
              </w:rPr>
            </w:pPr>
          </w:p>
        </w:tc>
        <w:tc>
          <w:tcPr>
            <w:tcW w:w="10240" w:type="dxa"/>
            <w:vAlign w:val="bottom"/>
          </w:tcPr>
          <w:p>
            <w:pPr>
              <w:spacing w:after="0"/>
              <w:rPr>
                <w:sz w:val="21"/>
                <w:szCs w:val="21"/>
                <w:color w:val="auto"/>
              </w:rPr>
            </w:pPr>
          </w:p>
        </w:tc>
        <w:tc>
          <w:tcPr>
            <w:tcW w:w="3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 w:type="dxa"/>
            <w:vAlign w:val="bottom"/>
            <w:shd w:val="clear" w:color="auto" w:fill="C0C0C0"/>
          </w:tcPr>
          <w:p>
            <w:pPr>
              <w:spacing w:after="0"/>
              <w:rPr>
                <w:sz w:val="20"/>
                <w:szCs w:val="20"/>
                <w:color w:val="auto"/>
              </w:rPr>
            </w:pPr>
            <w:r>
              <w:rPr>
                <w:rFonts w:ascii="Arial" w:cs="Arial" w:eastAsia="Arial" w:hAnsi="Arial"/>
                <w:sz w:val="18"/>
                <w:szCs w:val="18"/>
                <w:color w:val="auto"/>
              </w:rPr>
              <w:t>Item 1A.</w:t>
            </w:r>
          </w:p>
        </w:tc>
        <w:tc>
          <w:tcPr>
            <w:tcW w:w="10240" w:type="dxa"/>
            <w:vAlign w:val="bottom"/>
            <w:shd w:val="clear" w:color="auto" w:fill="C0C0C0"/>
          </w:tcPr>
          <w:p>
            <w:pPr>
              <w:ind w:left="140"/>
              <w:spacing w:after="0"/>
              <w:rPr>
                <w:sz w:val="20"/>
                <w:szCs w:val="20"/>
                <w:color w:val="auto"/>
              </w:rPr>
            </w:pPr>
            <w:r>
              <w:rPr>
                <w:rFonts w:ascii="Arial" w:cs="Arial" w:eastAsia="Arial" w:hAnsi="Arial"/>
                <w:sz w:val="18"/>
                <w:szCs w:val="18"/>
                <w:color w:val="auto"/>
              </w:rPr>
              <w:t>Risk Factors</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0" w:type="dxa"/>
            <w:vAlign w:val="bottom"/>
            <w:gridSpan w:val="2"/>
          </w:tcPr>
          <w:p>
            <w:pPr>
              <w:spacing w:after="0"/>
              <w:rPr>
                <w:sz w:val="21"/>
                <w:szCs w:val="21"/>
                <w:color w:val="auto"/>
              </w:rPr>
            </w:pPr>
          </w:p>
        </w:tc>
        <w:tc>
          <w:tcPr>
            <w:tcW w:w="10240" w:type="dxa"/>
            <w:vAlign w:val="bottom"/>
          </w:tcPr>
          <w:p>
            <w:pPr>
              <w:spacing w:after="0"/>
              <w:rPr>
                <w:sz w:val="21"/>
                <w:szCs w:val="21"/>
                <w:color w:val="auto"/>
              </w:rPr>
            </w:pPr>
          </w:p>
        </w:tc>
        <w:tc>
          <w:tcPr>
            <w:tcW w:w="3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 w:type="dxa"/>
            <w:vAlign w:val="bottom"/>
            <w:shd w:val="clear" w:color="auto" w:fill="C0C0C0"/>
          </w:tcPr>
          <w:p>
            <w:pPr>
              <w:spacing w:after="0"/>
              <w:rPr>
                <w:sz w:val="20"/>
                <w:szCs w:val="20"/>
                <w:color w:val="auto"/>
              </w:rPr>
            </w:pPr>
            <w:r>
              <w:rPr>
                <w:rFonts w:ascii="Arial" w:cs="Arial" w:eastAsia="Arial" w:hAnsi="Arial"/>
                <w:sz w:val="18"/>
                <w:szCs w:val="18"/>
                <w:color w:val="auto"/>
              </w:rPr>
              <w:t>Item 6.</w:t>
            </w:r>
          </w:p>
        </w:tc>
        <w:tc>
          <w:tcPr>
            <w:tcW w:w="10240" w:type="dxa"/>
            <w:vAlign w:val="bottom"/>
            <w:shd w:val="clear" w:color="auto" w:fill="C0C0C0"/>
          </w:tcPr>
          <w:p>
            <w:pPr>
              <w:ind w:left="140"/>
              <w:spacing w:after="0"/>
              <w:rPr>
                <w:sz w:val="20"/>
                <w:szCs w:val="20"/>
                <w:color w:val="auto"/>
              </w:rPr>
            </w:pPr>
            <w:r>
              <w:rPr>
                <w:rFonts w:ascii="Arial" w:cs="Arial" w:eastAsia="Arial" w:hAnsi="Arial"/>
                <w:sz w:val="18"/>
                <w:szCs w:val="18"/>
                <w:color w:val="auto"/>
              </w:rPr>
              <w:t>Exhibits</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40" w:type="dxa"/>
            <w:vAlign w:val="bottom"/>
          </w:tcPr>
          <w:p>
            <w:pPr>
              <w:ind w:left="486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02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68"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PART I. FINANCIAL INFORMATION</w:t>
            </w: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Item 1. CONDENSED CONSOLIDATED FINANCIAL STATEMENTS</w:t>
            </w: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8920" w:type="dxa"/>
            <w:vAlign w:val="bottom"/>
          </w:tcPr>
          <w:p>
            <w:pPr>
              <w:jc w:val="center"/>
              <w:ind w:left="2372"/>
              <w:spacing w:after="0"/>
              <w:rPr>
                <w:sz w:val="20"/>
                <w:szCs w:val="20"/>
                <w:color w:val="auto"/>
              </w:rPr>
            </w:pPr>
            <w:r>
              <w:rPr>
                <w:rFonts w:ascii="Arial" w:cs="Arial" w:eastAsia="Arial" w:hAnsi="Arial"/>
                <w:sz w:val="18"/>
                <w:szCs w:val="18"/>
                <w:b w:val="1"/>
                <w:bCs w:val="1"/>
                <w:color w:val="auto"/>
                <w:w w:val="97"/>
              </w:rPr>
              <w:t>PHOTRONICS, INC. AND SUBSIDIARIES</w:t>
            </w: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jc w:val="center"/>
              <w:ind w:left="2372"/>
              <w:spacing w:after="0"/>
              <w:rPr>
                <w:sz w:val="20"/>
                <w:szCs w:val="20"/>
                <w:color w:val="auto"/>
              </w:rPr>
            </w:pPr>
            <w:r>
              <w:rPr>
                <w:rFonts w:ascii="Arial" w:cs="Arial" w:eastAsia="Arial" w:hAnsi="Arial"/>
                <w:sz w:val="18"/>
                <w:szCs w:val="18"/>
                <w:color w:val="auto"/>
                <w:w w:val="85"/>
              </w:rPr>
              <w:t>Condensed Consolidated Balance Sheets</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jc w:val="center"/>
              <w:ind w:left="2372"/>
              <w:spacing w:after="0"/>
              <w:rPr>
                <w:sz w:val="20"/>
                <w:szCs w:val="20"/>
                <w:color w:val="auto"/>
              </w:rPr>
            </w:pPr>
            <w:r>
              <w:rPr>
                <w:rFonts w:ascii="Arial" w:cs="Arial" w:eastAsia="Arial" w:hAnsi="Arial"/>
                <w:sz w:val="18"/>
                <w:szCs w:val="18"/>
                <w:i w:val="1"/>
                <w:iCs w:val="1"/>
                <w:color w:val="auto"/>
                <w:w w:val="87"/>
              </w:rPr>
              <w:t>(in thousands, except per share amounts)</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20" w:type="dxa"/>
            <w:vAlign w:val="bottom"/>
          </w:tcPr>
          <w:p>
            <w:pPr>
              <w:jc w:val="center"/>
              <w:ind w:left="2372"/>
              <w:spacing w:after="0"/>
              <w:rPr>
                <w:sz w:val="20"/>
                <w:szCs w:val="20"/>
                <w:color w:val="auto"/>
              </w:rPr>
            </w:pPr>
            <w:r>
              <w:rPr>
                <w:rFonts w:ascii="Arial" w:cs="Arial" w:eastAsia="Arial" w:hAnsi="Arial"/>
                <w:sz w:val="18"/>
                <w:szCs w:val="18"/>
                <w:i w:val="1"/>
                <w:iCs w:val="1"/>
                <w:color w:val="auto"/>
                <w:w w:val="90"/>
              </w:rPr>
              <w:t>(unaudited)</w:t>
            </w: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8920" w:type="dxa"/>
            <w:vAlign w:val="bottom"/>
          </w:tcPr>
          <w:p>
            <w:pPr>
              <w:spacing w:after="0"/>
              <w:rPr>
                <w:sz w:val="24"/>
                <w:szCs w:val="24"/>
                <w:color w:val="auto"/>
              </w:rPr>
            </w:pPr>
          </w:p>
        </w:tc>
        <w:tc>
          <w:tcPr>
            <w:tcW w:w="1360" w:type="dxa"/>
            <w:vAlign w:val="bottom"/>
            <w:gridSpan w:val="3"/>
          </w:tcPr>
          <w:p>
            <w:pPr>
              <w:ind w:left="100"/>
              <w:spacing w:after="0"/>
              <w:rPr>
                <w:sz w:val="20"/>
                <w:szCs w:val="20"/>
                <w:color w:val="auto"/>
              </w:rPr>
            </w:pPr>
            <w:r>
              <w:rPr>
                <w:rFonts w:ascii="Arial" w:cs="Arial" w:eastAsia="Arial" w:hAnsi="Arial"/>
                <w:sz w:val="18"/>
                <w:szCs w:val="18"/>
                <w:b w:val="1"/>
                <w:bCs w:val="1"/>
                <w:color w:val="auto"/>
              </w:rPr>
              <w:t>January 31,</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November 1,</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920" w:type="dxa"/>
            <w:vAlign w:val="bottom"/>
            <w:tcBorders>
              <w:bottom w:val="single" w:sz="8" w:color="C0C0C0"/>
            </w:tcBorders>
          </w:tcPr>
          <w:p>
            <w:pPr>
              <w:spacing w:after="0"/>
              <w:rPr>
                <w:sz w:val="21"/>
                <w:szCs w:val="21"/>
                <w:color w:val="auto"/>
              </w:rPr>
            </w:pPr>
          </w:p>
        </w:tc>
        <w:tc>
          <w:tcPr>
            <w:tcW w:w="108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8"/>
                <w:szCs w:val="18"/>
                <w:b w:val="1"/>
                <w:bCs w:val="1"/>
                <w:color w:val="auto"/>
              </w:rPr>
              <w:t>2010</w:t>
            </w:r>
          </w:p>
        </w:tc>
        <w:tc>
          <w:tcPr>
            <w:tcW w:w="280" w:type="dxa"/>
            <w:vAlign w:val="bottom"/>
            <w:tcBorders>
              <w:bottom w:val="single" w:sz="8" w:color="C0C0C0"/>
            </w:tcBorders>
          </w:tcPr>
          <w:p>
            <w:pPr>
              <w:spacing w:after="0"/>
              <w:rPr>
                <w:sz w:val="21"/>
                <w:szCs w:val="21"/>
                <w:color w:val="auto"/>
              </w:rPr>
            </w:pPr>
          </w:p>
        </w:tc>
        <w:tc>
          <w:tcPr>
            <w:tcW w:w="1120" w:type="dxa"/>
            <w:vAlign w:val="bottom"/>
            <w:tcBorders>
              <w:bottom w:val="single" w:sz="8" w:color="auto"/>
            </w:tcBorders>
            <w:gridSpan w:val="2"/>
          </w:tcPr>
          <w:p>
            <w:pPr>
              <w:jc w:val="right"/>
              <w:ind w:right="292"/>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92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0C0C0"/>
          </w:tcPr>
          <w:p>
            <w:pPr>
              <w:spacing w:after="0"/>
              <w:rPr>
                <w:sz w:val="19"/>
                <w:szCs w:val="19"/>
                <w:color w:val="auto"/>
              </w:rPr>
            </w:pPr>
          </w:p>
        </w:tc>
        <w:tc>
          <w:tcPr>
            <w:tcW w:w="70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400" w:type="dxa"/>
            <w:vAlign w:val="bottom"/>
            <w:shd w:val="clear" w:color="auto" w:fill="C0C0C0"/>
          </w:tcPr>
          <w:p>
            <w:pPr>
              <w:spacing w:after="0"/>
              <w:rPr>
                <w:sz w:val="19"/>
                <w:szCs w:val="19"/>
                <w:color w:val="auto"/>
              </w:rPr>
            </w:pPr>
          </w:p>
        </w:tc>
        <w:tc>
          <w:tcPr>
            <w:tcW w:w="72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940" w:type="dxa"/>
            <w:vAlign w:val="bottom"/>
            <w:gridSpan w:val="2"/>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920" w:type="dxa"/>
            <w:vAlign w:val="bottom"/>
            <w:shd w:val="clear" w:color="auto" w:fill="C0C0C0"/>
          </w:tcPr>
          <w:p>
            <w:pPr>
              <w:spacing w:after="0"/>
              <w:rPr>
                <w:sz w:val="20"/>
                <w:szCs w:val="20"/>
                <w:color w:val="auto"/>
              </w:rPr>
            </w:pPr>
            <w:r>
              <w:rPr>
                <w:rFonts w:ascii="Arial" w:cs="Arial" w:eastAsia="Arial" w:hAnsi="Arial"/>
                <w:sz w:val="18"/>
                <w:szCs w:val="18"/>
                <w:color w:val="auto"/>
              </w:rPr>
              <w:t>Current assets:</w:t>
            </w:r>
          </w:p>
        </w:tc>
        <w:tc>
          <w:tcPr>
            <w:tcW w:w="38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920" w:type="dxa"/>
            <w:vAlign w:val="bottom"/>
          </w:tcPr>
          <w:p>
            <w:pPr>
              <w:ind w:left="32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84,401</w:t>
            </w:r>
          </w:p>
        </w:tc>
        <w:tc>
          <w:tcPr>
            <w:tcW w:w="2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88,539</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920" w:type="dxa"/>
            <w:vAlign w:val="bottom"/>
            <w:shd w:val="clear" w:color="auto" w:fill="C0C0C0"/>
          </w:tcPr>
          <w:p>
            <w:pPr>
              <w:ind w:left="320"/>
              <w:spacing w:after="0"/>
              <w:rPr>
                <w:sz w:val="20"/>
                <w:szCs w:val="20"/>
                <w:color w:val="auto"/>
              </w:rPr>
            </w:pPr>
            <w:r>
              <w:rPr>
                <w:rFonts w:ascii="Arial" w:cs="Arial" w:eastAsia="Arial" w:hAnsi="Arial"/>
                <w:sz w:val="18"/>
                <w:szCs w:val="18"/>
                <w:color w:val="auto"/>
              </w:rPr>
              <w:t>Accounts receivable, net of allowance of $2,435 in 2010</w:t>
            </w:r>
          </w:p>
        </w:tc>
        <w:tc>
          <w:tcPr>
            <w:tcW w:w="38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400" w:type="dxa"/>
            <w:vAlign w:val="bottom"/>
            <w:shd w:val="clear" w:color="auto" w:fill="C0C0C0"/>
          </w:tcPr>
          <w:p>
            <w:pPr>
              <w:spacing w:after="0"/>
              <w:rPr>
                <w:sz w:val="20"/>
                <w:szCs w:val="20"/>
                <w:color w:val="auto"/>
              </w:rPr>
            </w:pPr>
          </w:p>
        </w:tc>
        <w:tc>
          <w:tcPr>
            <w:tcW w:w="72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920" w:type="dxa"/>
            <w:vAlign w:val="bottom"/>
            <w:shd w:val="clear" w:color="auto" w:fill="C0C0C0"/>
          </w:tcPr>
          <w:p>
            <w:pPr>
              <w:ind w:left="620"/>
              <w:spacing w:after="0"/>
              <w:rPr>
                <w:sz w:val="20"/>
                <w:szCs w:val="20"/>
                <w:color w:val="auto"/>
              </w:rPr>
            </w:pPr>
            <w:r>
              <w:rPr>
                <w:rFonts w:ascii="Arial" w:cs="Arial" w:eastAsia="Arial" w:hAnsi="Arial"/>
                <w:sz w:val="18"/>
                <w:szCs w:val="18"/>
                <w:color w:val="auto"/>
              </w:rPr>
              <w:t>and $2,669 in 2009</w:t>
            </w:r>
          </w:p>
        </w:tc>
        <w:tc>
          <w:tcPr>
            <w:tcW w:w="380" w:type="dxa"/>
            <w:vAlign w:val="bottom"/>
            <w:shd w:val="clear" w:color="auto" w:fill="C0C0C0"/>
          </w:tcPr>
          <w:p>
            <w:pPr>
              <w:spacing w:after="0"/>
              <w:rPr>
                <w:sz w:val="22"/>
                <w:szCs w:val="22"/>
                <w:color w:val="auto"/>
              </w:rPr>
            </w:pPr>
          </w:p>
        </w:tc>
        <w:tc>
          <w:tcPr>
            <w:tcW w:w="7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72,860</w:t>
            </w:r>
          </w:p>
        </w:tc>
        <w:tc>
          <w:tcPr>
            <w:tcW w:w="280" w:type="dxa"/>
            <w:vAlign w:val="bottom"/>
            <w:shd w:val="clear" w:color="auto" w:fill="C0C0C0"/>
          </w:tcPr>
          <w:p>
            <w:pPr>
              <w:spacing w:after="0"/>
              <w:rPr>
                <w:sz w:val="22"/>
                <w:szCs w:val="22"/>
                <w:color w:val="auto"/>
              </w:rPr>
            </w:pPr>
          </w:p>
        </w:tc>
        <w:tc>
          <w:tcPr>
            <w:tcW w:w="400" w:type="dxa"/>
            <w:vAlign w:val="bottom"/>
            <w:shd w:val="clear" w:color="auto" w:fill="C0C0C0"/>
          </w:tcPr>
          <w:p>
            <w:pPr>
              <w:spacing w:after="0"/>
              <w:rPr>
                <w:sz w:val="22"/>
                <w:szCs w:val="22"/>
                <w:color w:val="auto"/>
              </w:rPr>
            </w:pPr>
          </w:p>
        </w:tc>
        <w:tc>
          <w:tcPr>
            <w:tcW w:w="7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66,920</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92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380" w:type="dxa"/>
            <w:vAlign w:val="bottom"/>
          </w:tcPr>
          <w:p>
            <w:pPr>
              <w:spacing w:after="0"/>
              <w:rPr>
                <w:sz w:val="20"/>
                <w:szCs w:val="20"/>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15,806</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14,826</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920" w:type="dxa"/>
            <w:vAlign w:val="bottom"/>
            <w:shd w:val="clear" w:color="auto" w:fill="C0C0C0"/>
          </w:tcPr>
          <w:p>
            <w:pPr>
              <w:ind w:left="320"/>
              <w:spacing w:after="0"/>
              <w:rPr>
                <w:sz w:val="20"/>
                <w:szCs w:val="20"/>
                <w:color w:val="auto"/>
              </w:rPr>
            </w:pPr>
            <w:r>
              <w:rPr>
                <w:rFonts w:ascii="Arial" w:cs="Arial" w:eastAsia="Arial" w:hAnsi="Arial"/>
                <w:sz w:val="18"/>
                <w:szCs w:val="18"/>
                <w:color w:val="auto"/>
              </w:rPr>
              <w:t>Deferred income taxes</w:t>
            </w:r>
          </w:p>
        </w:tc>
        <w:tc>
          <w:tcPr>
            <w:tcW w:w="380" w:type="dxa"/>
            <w:vAlign w:val="bottom"/>
            <w:shd w:val="clear" w:color="auto" w:fill="C0C0C0"/>
          </w:tcPr>
          <w:p>
            <w:pPr>
              <w:spacing w:after="0"/>
              <w:rPr>
                <w:sz w:val="21"/>
                <w:szCs w:val="21"/>
                <w:color w:val="auto"/>
              </w:rPr>
            </w:pPr>
          </w:p>
        </w:tc>
        <w:tc>
          <w:tcPr>
            <w:tcW w:w="7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3,272</w:t>
            </w:r>
          </w:p>
        </w:tc>
        <w:tc>
          <w:tcPr>
            <w:tcW w:w="28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7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3,264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92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Other current assets</w:t>
            </w:r>
          </w:p>
        </w:tc>
        <w:tc>
          <w:tcPr>
            <w:tcW w:w="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8,135</w:t>
            </w:r>
          </w:p>
        </w:tc>
        <w:tc>
          <w:tcPr>
            <w:tcW w:w="280" w:type="dxa"/>
            <w:vAlign w:val="bottom"/>
            <w:tcBorders>
              <w:bottom w:val="single" w:sz="8" w:color="C0C0C0"/>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6,448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920" w:type="dxa"/>
            <w:vAlign w:val="bottom"/>
            <w:shd w:val="clear" w:color="auto" w:fill="C0C0C0"/>
          </w:tcPr>
          <w:p>
            <w:pPr>
              <w:ind w:left="320"/>
              <w:spacing w:after="0"/>
              <w:rPr>
                <w:sz w:val="20"/>
                <w:szCs w:val="20"/>
                <w:color w:val="auto"/>
              </w:rPr>
            </w:pPr>
            <w:r>
              <w:rPr>
                <w:rFonts w:ascii="Arial" w:cs="Arial" w:eastAsia="Arial" w:hAnsi="Arial"/>
                <w:sz w:val="18"/>
                <w:szCs w:val="18"/>
                <w:color w:val="auto"/>
              </w:rPr>
              <w:t>Total current assets</w:t>
            </w:r>
          </w:p>
        </w:tc>
        <w:tc>
          <w:tcPr>
            <w:tcW w:w="380" w:type="dxa"/>
            <w:vAlign w:val="bottom"/>
            <w:shd w:val="clear" w:color="auto" w:fill="C0C0C0"/>
          </w:tcPr>
          <w:p>
            <w:pPr>
              <w:spacing w:after="0"/>
              <w:rPr>
                <w:sz w:val="21"/>
                <w:szCs w:val="21"/>
                <w:color w:val="auto"/>
              </w:rPr>
            </w:pPr>
          </w:p>
        </w:tc>
        <w:tc>
          <w:tcPr>
            <w:tcW w:w="7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w w:val="86"/>
              </w:rPr>
              <w:t>184,474</w:t>
            </w:r>
          </w:p>
        </w:tc>
        <w:tc>
          <w:tcPr>
            <w:tcW w:w="28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7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86"/>
              </w:rPr>
              <w:t>179,997</w:t>
            </w:r>
          </w:p>
        </w:tc>
        <w:tc>
          <w:tcPr>
            <w:tcW w:w="0" w:type="dxa"/>
            <w:vAlign w:val="bottom"/>
          </w:tcPr>
          <w:p>
            <w:pPr>
              <w:spacing w:after="0"/>
              <w:rPr>
                <w:sz w:val="1"/>
                <w:szCs w:val="1"/>
                <w:color w:val="auto"/>
              </w:rPr>
            </w:pPr>
          </w:p>
        </w:tc>
      </w:tr>
      <w:tr>
        <w:trPr>
          <w:trHeight w:val="243"/>
        </w:trPr>
        <w:tc>
          <w:tcPr>
            <w:tcW w:w="8940" w:type="dxa"/>
            <w:vAlign w:val="bottom"/>
            <w:gridSpan w:val="2"/>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920" w:type="dxa"/>
            <w:vAlign w:val="bottom"/>
            <w:shd w:val="clear" w:color="auto" w:fill="C0C0C0"/>
          </w:tcPr>
          <w:p>
            <w:pPr>
              <w:spacing w:after="0"/>
              <w:rPr>
                <w:sz w:val="20"/>
                <w:szCs w:val="20"/>
                <w:color w:val="auto"/>
              </w:rPr>
            </w:pPr>
            <w:r>
              <w:rPr>
                <w:rFonts w:ascii="Arial" w:cs="Arial" w:eastAsia="Arial" w:hAnsi="Arial"/>
                <w:sz w:val="18"/>
                <w:szCs w:val="18"/>
                <w:color w:val="auto"/>
              </w:rPr>
              <w:t>Property, plant and equipment, net</w:t>
            </w:r>
          </w:p>
        </w:tc>
        <w:tc>
          <w:tcPr>
            <w:tcW w:w="380" w:type="dxa"/>
            <w:vAlign w:val="bottom"/>
            <w:shd w:val="clear" w:color="auto" w:fill="C0C0C0"/>
          </w:tcPr>
          <w:p>
            <w:pPr>
              <w:spacing w:after="0"/>
              <w:rPr>
                <w:sz w:val="21"/>
                <w:szCs w:val="21"/>
                <w:color w:val="auto"/>
              </w:rPr>
            </w:pPr>
          </w:p>
        </w:tc>
        <w:tc>
          <w:tcPr>
            <w:tcW w:w="7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w w:val="86"/>
              </w:rPr>
              <w:t>354,401</w:t>
            </w:r>
          </w:p>
        </w:tc>
        <w:tc>
          <w:tcPr>
            <w:tcW w:w="28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7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86"/>
              </w:rPr>
              <w:t>347,889</w:t>
            </w:r>
          </w:p>
        </w:tc>
        <w:tc>
          <w:tcPr>
            <w:tcW w:w="0" w:type="dxa"/>
            <w:vAlign w:val="bottom"/>
          </w:tcPr>
          <w:p>
            <w:pPr>
              <w:spacing w:after="0"/>
              <w:rPr>
                <w:sz w:val="1"/>
                <w:szCs w:val="1"/>
                <w:color w:val="auto"/>
              </w:rPr>
            </w:pPr>
          </w:p>
        </w:tc>
      </w:tr>
      <w:tr>
        <w:trPr>
          <w:trHeight w:val="235"/>
        </w:trPr>
        <w:tc>
          <w:tcPr>
            <w:tcW w:w="8940" w:type="dxa"/>
            <w:vAlign w:val="bottom"/>
            <w:gridSpan w:val="2"/>
          </w:tcPr>
          <w:p>
            <w:pPr>
              <w:spacing w:after="0"/>
              <w:rPr>
                <w:sz w:val="20"/>
                <w:szCs w:val="20"/>
                <w:color w:val="auto"/>
              </w:rPr>
            </w:pPr>
            <w:r>
              <w:rPr>
                <w:rFonts w:ascii="Arial" w:cs="Arial" w:eastAsia="Arial" w:hAnsi="Arial"/>
                <w:sz w:val="18"/>
                <w:szCs w:val="18"/>
                <w:color w:val="auto"/>
              </w:rPr>
              <w:t>Investment in joint venture</w:t>
            </w:r>
          </w:p>
        </w:tc>
        <w:tc>
          <w:tcPr>
            <w:tcW w:w="380" w:type="dxa"/>
            <w:vAlign w:val="bottom"/>
          </w:tcPr>
          <w:p>
            <w:pPr>
              <w:spacing w:after="0"/>
              <w:rPr>
                <w:sz w:val="20"/>
                <w:szCs w:val="20"/>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60,923</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60,945</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920" w:type="dxa"/>
            <w:vAlign w:val="bottom"/>
            <w:shd w:val="clear" w:color="auto" w:fill="C0C0C0"/>
          </w:tcPr>
          <w:p>
            <w:pPr>
              <w:spacing w:after="0"/>
              <w:rPr>
                <w:sz w:val="20"/>
                <w:szCs w:val="20"/>
                <w:color w:val="auto"/>
              </w:rPr>
            </w:pPr>
            <w:r>
              <w:rPr>
                <w:rFonts w:ascii="Arial" w:cs="Arial" w:eastAsia="Arial" w:hAnsi="Arial"/>
                <w:sz w:val="18"/>
                <w:szCs w:val="18"/>
                <w:color w:val="auto"/>
              </w:rPr>
              <w:t>Intangible assets, net</w:t>
            </w:r>
          </w:p>
        </w:tc>
        <w:tc>
          <w:tcPr>
            <w:tcW w:w="380" w:type="dxa"/>
            <w:vAlign w:val="bottom"/>
            <w:shd w:val="clear" w:color="auto" w:fill="C0C0C0"/>
          </w:tcPr>
          <w:p>
            <w:pPr>
              <w:spacing w:after="0"/>
              <w:rPr>
                <w:sz w:val="21"/>
                <w:szCs w:val="21"/>
                <w:color w:val="auto"/>
              </w:rPr>
            </w:pPr>
          </w:p>
        </w:tc>
        <w:tc>
          <w:tcPr>
            <w:tcW w:w="7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53,510</w:t>
            </w:r>
          </w:p>
        </w:tc>
        <w:tc>
          <w:tcPr>
            <w:tcW w:w="28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7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55,054</w:t>
            </w:r>
          </w:p>
        </w:tc>
        <w:tc>
          <w:tcPr>
            <w:tcW w:w="0" w:type="dxa"/>
            <w:vAlign w:val="bottom"/>
          </w:tcPr>
          <w:p>
            <w:pPr>
              <w:spacing w:after="0"/>
              <w:rPr>
                <w:sz w:val="1"/>
                <w:szCs w:val="1"/>
                <w:color w:val="auto"/>
              </w:rPr>
            </w:pPr>
          </w:p>
        </w:tc>
      </w:tr>
      <w:tr>
        <w:trPr>
          <w:trHeight w:val="237"/>
        </w:trPr>
        <w:tc>
          <w:tcPr>
            <w:tcW w:w="894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20"/>
                <w:szCs w:val="20"/>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19,149</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19,771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920" w:type="dxa"/>
            <w:vAlign w:val="bottom"/>
            <w:tcBorders>
              <w:top w:val="single" w:sz="8" w:color="C0C0C0"/>
              <w:bottom w:val="single" w:sz="8" w:color="C0C0C0"/>
            </w:tcBorders>
            <w:shd w:val="clear" w:color="auto" w:fill="C0C0C0"/>
          </w:tcPr>
          <w:p>
            <w:pPr>
              <w:spacing w:after="0"/>
              <w:rPr>
                <w:sz w:val="21"/>
                <w:szCs w:val="21"/>
                <w:color w:val="auto"/>
              </w:rPr>
            </w:pPr>
          </w:p>
        </w:tc>
        <w:tc>
          <w:tcPr>
            <w:tcW w:w="3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w w:val="86"/>
              </w:rPr>
              <w:t>672,457</w:t>
            </w:r>
          </w:p>
        </w:tc>
        <w:tc>
          <w:tcPr>
            <w:tcW w:w="280" w:type="dxa"/>
            <w:vAlign w:val="bottom"/>
            <w:tcBorders>
              <w:top w:val="single" w:sz="8" w:color="C0C0C0"/>
              <w:bottom w:val="single" w:sz="8" w:color="C0C0C0"/>
            </w:tcBorders>
            <w:shd w:val="clear" w:color="auto" w:fill="C0C0C0"/>
          </w:tcPr>
          <w:p>
            <w:pPr>
              <w:spacing w:after="0"/>
              <w:rPr>
                <w:sz w:val="21"/>
                <w:szCs w:val="21"/>
                <w:color w:val="auto"/>
              </w:rPr>
            </w:pPr>
          </w:p>
        </w:tc>
        <w:tc>
          <w:tcPr>
            <w:tcW w:w="4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w w:val="86"/>
              </w:rPr>
              <w:t>663,656</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92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LIABILITIES AND EQUITY</w:t>
            </w:r>
          </w:p>
        </w:tc>
        <w:tc>
          <w:tcPr>
            <w:tcW w:w="38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940" w:type="dxa"/>
            <w:vAlign w:val="bottom"/>
            <w:gridSpan w:val="2"/>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920" w:type="dxa"/>
            <w:vAlign w:val="bottom"/>
            <w:shd w:val="clear" w:color="auto" w:fill="C0C0C0"/>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920" w:type="dxa"/>
            <w:vAlign w:val="bottom"/>
          </w:tcPr>
          <w:p>
            <w:pPr>
              <w:ind w:left="300"/>
              <w:spacing w:after="0"/>
              <w:rPr>
                <w:sz w:val="20"/>
                <w:szCs w:val="20"/>
                <w:color w:val="auto"/>
              </w:rPr>
            </w:pPr>
            <w:r>
              <w:rPr>
                <w:rFonts w:ascii="Arial" w:cs="Arial" w:eastAsia="Arial" w:hAnsi="Arial"/>
                <w:sz w:val="18"/>
                <w:szCs w:val="18"/>
                <w:color w:val="auto"/>
              </w:rPr>
              <w:t>Current portion of long-term borrowings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11,376</w:t>
            </w:r>
          </w:p>
        </w:tc>
        <w:tc>
          <w:tcPr>
            <w:tcW w:w="2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10,301</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920" w:type="dxa"/>
            <w:vAlign w:val="bottom"/>
            <w:shd w:val="clear" w:color="auto" w:fill="C0C0C0"/>
          </w:tcPr>
          <w:p>
            <w:pPr>
              <w:ind w:left="300"/>
              <w:spacing w:after="0"/>
              <w:rPr>
                <w:sz w:val="20"/>
                <w:szCs w:val="20"/>
                <w:color w:val="auto"/>
              </w:rPr>
            </w:pPr>
            <w:r>
              <w:rPr>
                <w:rFonts w:ascii="Arial" w:cs="Arial" w:eastAsia="Arial" w:hAnsi="Arial"/>
                <w:sz w:val="18"/>
                <w:szCs w:val="18"/>
                <w:color w:val="auto"/>
              </w:rPr>
              <w:t>Accounts payable</w:t>
            </w:r>
          </w:p>
        </w:tc>
        <w:tc>
          <w:tcPr>
            <w:tcW w:w="380" w:type="dxa"/>
            <w:vAlign w:val="bottom"/>
            <w:shd w:val="clear" w:color="auto" w:fill="C0C0C0"/>
          </w:tcPr>
          <w:p>
            <w:pPr>
              <w:spacing w:after="0"/>
              <w:rPr>
                <w:sz w:val="21"/>
                <w:szCs w:val="21"/>
                <w:color w:val="auto"/>
              </w:rPr>
            </w:pPr>
          </w:p>
        </w:tc>
        <w:tc>
          <w:tcPr>
            <w:tcW w:w="7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56,691</w:t>
            </w:r>
          </w:p>
        </w:tc>
        <w:tc>
          <w:tcPr>
            <w:tcW w:w="28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7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59,187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920" w:type="dxa"/>
            <w:vAlign w:val="bottom"/>
            <w:tcBorders>
              <w:bottom w:val="single" w:sz="8" w:color="C0C0C0"/>
            </w:tcBorders>
          </w:tcPr>
          <w:p>
            <w:pPr>
              <w:ind w:left="300"/>
              <w:spacing w:after="0"/>
              <w:rPr>
                <w:sz w:val="20"/>
                <w:szCs w:val="20"/>
                <w:color w:val="auto"/>
              </w:rPr>
            </w:pPr>
            <w:r>
              <w:rPr>
                <w:rFonts w:ascii="Arial" w:cs="Arial" w:eastAsia="Arial" w:hAnsi="Arial"/>
                <w:sz w:val="18"/>
                <w:szCs w:val="18"/>
                <w:color w:val="auto"/>
              </w:rPr>
              <w:t>Accrued liabilities</w:t>
            </w:r>
          </w:p>
        </w:tc>
        <w:tc>
          <w:tcPr>
            <w:tcW w:w="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27,723</w:t>
            </w:r>
          </w:p>
        </w:tc>
        <w:tc>
          <w:tcPr>
            <w:tcW w:w="280" w:type="dxa"/>
            <w:vAlign w:val="bottom"/>
            <w:tcBorders>
              <w:bottom w:val="single" w:sz="8" w:color="C0C0C0"/>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20,967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920" w:type="dxa"/>
            <w:vAlign w:val="bottom"/>
            <w:shd w:val="clear" w:color="auto" w:fill="C0C0C0"/>
          </w:tcPr>
          <w:p>
            <w:pPr>
              <w:ind w:left="300"/>
              <w:spacing w:after="0"/>
              <w:rPr>
                <w:sz w:val="20"/>
                <w:szCs w:val="20"/>
                <w:color w:val="auto"/>
              </w:rPr>
            </w:pPr>
            <w:r>
              <w:rPr>
                <w:rFonts w:ascii="Arial" w:cs="Arial" w:eastAsia="Arial" w:hAnsi="Arial"/>
                <w:sz w:val="18"/>
                <w:szCs w:val="18"/>
                <w:color w:val="auto"/>
              </w:rPr>
              <w:t>Total current liabilities</w:t>
            </w:r>
          </w:p>
        </w:tc>
        <w:tc>
          <w:tcPr>
            <w:tcW w:w="380" w:type="dxa"/>
            <w:vAlign w:val="bottom"/>
            <w:shd w:val="clear" w:color="auto" w:fill="C0C0C0"/>
          </w:tcPr>
          <w:p>
            <w:pPr>
              <w:spacing w:after="0"/>
              <w:rPr>
                <w:sz w:val="21"/>
                <w:szCs w:val="21"/>
                <w:color w:val="auto"/>
              </w:rPr>
            </w:pPr>
          </w:p>
        </w:tc>
        <w:tc>
          <w:tcPr>
            <w:tcW w:w="7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95,790</w:t>
            </w:r>
          </w:p>
        </w:tc>
        <w:tc>
          <w:tcPr>
            <w:tcW w:w="28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7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90,455</w:t>
            </w:r>
          </w:p>
        </w:tc>
        <w:tc>
          <w:tcPr>
            <w:tcW w:w="0" w:type="dxa"/>
            <w:vAlign w:val="bottom"/>
          </w:tcPr>
          <w:p>
            <w:pPr>
              <w:spacing w:after="0"/>
              <w:rPr>
                <w:sz w:val="1"/>
                <w:szCs w:val="1"/>
                <w:color w:val="auto"/>
              </w:rPr>
            </w:pPr>
          </w:p>
        </w:tc>
      </w:tr>
      <w:tr>
        <w:trPr>
          <w:trHeight w:val="243"/>
        </w:trPr>
        <w:tc>
          <w:tcPr>
            <w:tcW w:w="8940" w:type="dxa"/>
            <w:vAlign w:val="bottom"/>
            <w:gridSpan w:val="2"/>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920" w:type="dxa"/>
            <w:vAlign w:val="bottom"/>
            <w:shd w:val="clear" w:color="auto" w:fill="C0C0C0"/>
          </w:tcPr>
          <w:p>
            <w:pPr>
              <w:spacing w:after="0"/>
              <w:rPr>
                <w:sz w:val="20"/>
                <w:szCs w:val="20"/>
                <w:color w:val="auto"/>
              </w:rPr>
            </w:pPr>
            <w:r>
              <w:rPr>
                <w:rFonts w:ascii="Arial" w:cs="Arial" w:eastAsia="Arial" w:hAnsi="Arial"/>
                <w:sz w:val="18"/>
                <w:szCs w:val="18"/>
                <w:color w:val="auto"/>
              </w:rPr>
              <w:t>Long-term borrowings</w:t>
            </w:r>
          </w:p>
        </w:tc>
        <w:tc>
          <w:tcPr>
            <w:tcW w:w="380" w:type="dxa"/>
            <w:vAlign w:val="bottom"/>
            <w:shd w:val="clear" w:color="auto" w:fill="C0C0C0"/>
          </w:tcPr>
          <w:p>
            <w:pPr>
              <w:spacing w:after="0"/>
              <w:rPr>
                <w:sz w:val="21"/>
                <w:szCs w:val="21"/>
                <w:color w:val="auto"/>
              </w:rPr>
            </w:pPr>
          </w:p>
        </w:tc>
        <w:tc>
          <w:tcPr>
            <w:tcW w:w="7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w w:val="86"/>
              </w:rPr>
              <w:t>107,548</w:t>
            </w:r>
          </w:p>
        </w:tc>
        <w:tc>
          <w:tcPr>
            <w:tcW w:w="28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7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86"/>
              </w:rPr>
              <w:t>112,137</w:t>
            </w:r>
          </w:p>
        </w:tc>
        <w:tc>
          <w:tcPr>
            <w:tcW w:w="0" w:type="dxa"/>
            <w:vAlign w:val="bottom"/>
          </w:tcPr>
          <w:p>
            <w:pPr>
              <w:spacing w:after="0"/>
              <w:rPr>
                <w:sz w:val="1"/>
                <w:szCs w:val="1"/>
                <w:color w:val="auto"/>
              </w:rPr>
            </w:pPr>
          </w:p>
        </w:tc>
      </w:tr>
      <w:tr>
        <w:trPr>
          <w:trHeight w:val="235"/>
        </w:trPr>
        <w:tc>
          <w:tcPr>
            <w:tcW w:w="894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20"/>
                <w:szCs w:val="20"/>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1,406</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920" w:type="dxa"/>
            <w:vAlign w:val="bottom"/>
            <w:shd w:val="clear" w:color="auto" w:fill="C0C0C0"/>
          </w:tcPr>
          <w:p>
            <w:pPr>
              <w:spacing w:after="0"/>
              <w:rPr>
                <w:sz w:val="20"/>
                <w:szCs w:val="20"/>
                <w:color w:val="auto"/>
              </w:rPr>
            </w:pPr>
            <w:r>
              <w:rPr>
                <w:rFonts w:ascii="Arial" w:cs="Arial" w:eastAsia="Arial" w:hAnsi="Arial"/>
                <w:sz w:val="18"/>
                <w:szCs w:val="18"/>
                <w:color w:val="auto"/>
              </w:rPr>
              <w:t>Other liabilities</w:t>
            </w:r>
          </w:p>
        </w:tc>
        <w:tc>
          <w:tcPr>
            <w:tcW w:w="380" w:type="dxa"/>
            <w:vAlign w:val="bottom"/>
            <w:tcBorders>
              <w:bottom w:val="single" w:sz="8" w:color="auto"/>
            </w:tcBorders>
            <w:shd w:val="clear" w:color="auto" w:fill="C0C0C0"/>
          </w:tcPr>
          <w:p>
            <w:pPr>
              <w:spacing w:after="0"/>
              <w:rPr>
                <w:sz w:val="21"/>
                <w:szCs w:val="21"/>
                <w:color w:val="auto"/>
              </w:rPr>
            </w:pPr>
          </w:p>
        </w:tc>
        <w:tc>
          <w:tcPr>
            <w:tcW w:w="70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9,274</w:t>
            </w:r>
          </w:p>
        </w:tc>
        <w:tc>
          <w:tcPr>
            <w:tcW w:w="280" w:type="dxa"/>
            <w:vAlign w:val="bottom"/>
            <w:shd w:val="clear" w:color="auto" w:fill="C0C0C0"/>
          </w:tcPr>
          <w:p>
            <w:pPr>
              <w:spacing w:after="0"/>
              <w:rPr>
                <w:sz w:val="21"/>
                <w:szCs w:val="21"/>
                <w:color w:val="auto"/>
              </w:rPr>
            </w:pPr>
          </w:p>
        </w:tc>
        <w:tc>
          <w:tcPr>
            <w:tcW w:w="400" w:type="dxa"/>
            <w:vAlign w:val="bottom"/>
            <w:tcBorders>
              <w:bottom w:val="single" w:sz="8" w:color="auto"/>
            </w:tcBorders>
            <w:shd w:val="clear" w:color="auto" w:fill="C0C0C0"/>
          </w:tcPr>
          <w:p>
            <w:pPr>
              <w:spacing w:after="0"/>
              <w:rPr>
                <w:sz w:val="21"/>
                <w:szCs w:val="21"/>
                <w:color w:val="auto"/>
              </w:rPr>
            </w:pPr>
          </w:p>
        </w:tc>
        <w:tc>
          <w:tcPr>
            <w:tcW w:w="7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9,881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920" w:type="dxa"/>
            <w:vAlign w:val="bottom"/>
          </w:tcPr>
          <w:p>
            <w:pPr>
              <w:ind w:left="300"/>
              <w:spacing w:after="0"/>
              <w:rPr>
                <w:sz w:val="20"/>
                <w:szCs w:val="20"/>
                <w:color w:val="auto"/>
              </w:rPr>
            </w:pPr>
            <w:r>
              <w:rPr>
                <w:rFonts w:ascii="Arial" w:cs="Arial" w:eastAsia="Arial" w:hAnsi="Arial"/>
                <w:sz w:val="18"/>
                <w:szCs w:val="18"/>
                <w:color w:val="auto"/>
              </w:rPr>
              <w:t>Total liabilities</w:t>
            </w:r>
          </w:p>
        </w:tc>
        <w:tc>
          <w:tcPr>
            <w:tcW w:w="380" w:type="dxa"/>
            <w:vAlign w:val="bottom"/>
          </w:tcPr>
          <w:p>
            <w:pPr>
              <w:spacing w:after="0"/>
              <w:rPr>
                <w:sz w:val="19"/>
                <w:szCs w:val="19"/>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w w:val="86"/>
              </w:rPr>
              <w:t>214,018</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w w:val="86"/>
              </w:rPr>
              <w:t>213,960</w:t>
            </w:r>
          </w:p>
        </w:tc>
        <w:tc>
          <w:tcPr>
            <w:tcW w:w="0" w:type="dxa"/>
            <w:vAlign w:val="bottom"/>
          </w:tcPr>
          <w:p>
            <w:pPr>
              <w:spacing w:after="0"/>
              <w:rPr>
                <w:sz w:val="1"/>
                <w:szCs w:val="1"/>
                <w:color w:val="auto"/>
              </w:rPr>
            </w:pPr>
          </w:p>
        </w:tc>
      </w:tr>
      <w:tr>
        <w:trPr>
          <w:trHeight w:val="259"/>
        </w:trPr>
        <w:tc>
          <w:tcPr>
            <w:tcW w:w="8940" w:type="dxa"/>
            <w:vAlign w:val="bottom"/>
            <w:gridSpan w:val="2"/>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920" w:type="dxa"/>
            <w:vAlign w:val="bottom"/>
            <w:shd w:val="clear" w:color="auto" w:fill="C0C0C0"/>
          </w:tcPr>
          <w:p>
            <w:pPr>
              <w:spacing w:after="0"/>
              <w:rPr>
                <w:sz w:val="20"/>
                <w:szCs w:val="20"/>
                <w:color w:val="auto"/>
              </w:rPr>
            </w:pPr>
            <w:r>
              <w:rPr>
                <w:rFonts w:ascii="Arial" w:cs="Arial" w:eastAsia="Arial" w:hAnsi="Arial"/>
                <w:sz w:val="18"/>
                <w:szCs w:val="18"/>
                <w:color w:val="auto"/>
              </w:rPr>
              <w:t>Commitments and contingencies</w:t>
            </w:r>
          </w:p>
        </w:tc>
        <w:tc>
          <w:tcPr>
            <w:tcW w:w="38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940" w:type="dxa"/>
            <w:vAlign w:val="bottom"/>
            <w:gridSpan w:val="2"/>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920" w:type="dxa"/>
            <w:vAlign w:val="bottom"/>
            <w:shd w:val="clear" w:color="auto" w:fill="C0C0C0"/>
          </w:tcPr>
          <w:p>
            <w:pPr>
              <w:spacing w:after="0"/>
              <w:rPr>
                <w:sz w:val="20"/>
                <w:szCs w:val="20"/>
                <w:color w:val="auto"/>
              </w:rPr>
            </w:pPr>
            <w:r>
              <w:rPr>
                <w:rFonts w:ascii="Arial" w:cs="Arial" w:eastAsia="Arial" w:hAnsi="Arial"/>
                <w:sz w:val="18"/>
                <w:szCs w:val="18"/>
                <w:color w:val="auto"/>
              </w:rPr>
              <w:t>Equity:</w:t>
            </w:r>
          </w:p>
        </w:tc>
        <w:tc>
          <w:tcPr>
            <w:tcW w:w="38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20" w:type="dxa"/>
            <w:vAlign w:val="bottom"/>
          </w:tcPr>
          <w:p>
            <w:pPr>
              <w:ind w:left="300"/>
              <w:spacing w:after="0"/>
              <w:rPr>
                <w:sz w:val="20"/>
                <w:szCs w:val="20"/>
                <w:color w:val="auto"/>
              </w:rPr>
            </w:pPr>
            <w:r>
              <w:rPr>
                <w:rFonts w:ascii="Arial" w:cs="Arial" w:eastAsia="Arial" w:hAnsi="Arial"/>
                <w:sz w:val="18"/>
                <w:szCs w:val="18"/>
                <w:color w:val="auto"/>
              </w:rPr>
              <w:t>Preferred stock, $0.01 par value,</w:t>
            </w: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920" w:type="dxa"/>
            <w:vAlign w:val="bottom"/>
          </w:tcPr>
          <w:p>
            <w:pPr>
              <w:ind w:left="620"/>
              <w:spacing w:after="0"/>
              <w:rPr>
                <w:sz w:val="20"/>
                <w:szCs w:val="20"/>
                <w:color w:val="auto"/>
              </w:rPr>
            </w:pPr>
            <w:r>
              <w:rPr>
                <w:rFonts w:ascii="Arial" w:cs="Arial" w:eastAsia="Arial" w:hAnsi="Arial"/>
                <w:sz w:val="18"/>
                <w:szCs w:val="18"/>
                <w:color w:val="auto"/>
              </w:rPr>
              <w:t>2,000 shares authorized, none issued and outstanding</w:t>
            </w:r>
          </w:p>
        </w:tc>
        <w:tc>
          <w:tcPr>
            <w:tcW w:w="38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920" w:type="dxa"/>
            <w:vAlign w:val="bottom"/>
            <w:shd w:val="clear" w:color="auto" w:fill="C0C0C0"/>
          </w:tcPr>
          <w:p>
            <w:pPr>
              <w:ind w:left="300"/>
              <w:spacing w:after="0"/>
              <w:rPr>
                <w:sz w:val="20"/>
                <w:szCs w:val="20"/>
                <w:color w:val="auto"/>
              </w:rPr>
            </w:pPr>
            <w:r>
              <w:rPr>
                <w:rFonts w:ascii="Arial" w:cs="Arial" w:eastAsia="Arial" w:hAnsi="Arial"/>
                <w:sz w:val="18"/>
                <w:szCs w:val="18"/>
                <w:color w:val="auto"/>
              </w:rPr>
              <w:t>Common stock, $0.01 par value,</w:t>
            </w:r>
          </w:p>
        </w:tc>
        <w:tc>
          <w:tcPr>
            <w:tcW w:w="38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400" w:type="dxa"/>
            <w:vAlign w:val="bottom"/>
            <w:shd w:val="clear" w:color="auto" w:fill="C0C0C0"/>
          </w:tcPr>
          <w:p>
            <w:pPr>
              <w:spacing w:after="0"/>
              <w:rPr>
                <w:sz w:val="20"/>
                <w:szCs w:val="20"/>
                <w:color w:val="auto"/>
              </w:rPr>
            </w:pPr>
          </w:p>
        </w:tc>
        <w:tc>
          <w:tcPr>
            <w:tcW w:w="72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920" w:type="dxa"/>
            <w:vAlign w:val="bottom"/>
            <w:shd w:val="clear" w:color="auto" w:fill="C0C0C0"/>
          </w:tcPr>
          <w:p>
            <w:pPr>
              <w:ind w:left="620"/>
              <w:spacing w:after="0"/>
              <w:rPr>
                <w:sz w:val="20"/>
                <w:szCs w:val="20"/>
                <w:color w:val="auto"/>
              </w:rPr>
            </w:pPr>
            <w:r>
              <w:rPr>
                <w:rFonts w:ascii="Arial" w:cs="Arial" w:eastAsia="Arial" w:hAnsi="Arial"/>
                <w:sz w:val="18"/>
                <w:szCs w:val="18"/>
                <w:color w:val="auto"/>
              </w:rPr>
              <w:t>150,000 shares authorized, 53,281 shares issued and outstanding</w:t>
            </w:r>
          </w:p>
        </w:tc>
        <w:tc>
          <w:tcPr>
            <w:tcW w:w="38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920" w:type="dxa"/>
            <w:vAlign w:val="bottom"/>
            <w:shd w:val="clear" w:color="auto" w:fill="C0C0C0"/>
          </w:tcPr>
          <w:p>
            <w:pPr>
              <w:ind w:left="620"/>
              <w:spacing w:after="0"/>
              <w:rPr>
                <w:sz w:val="20"/>
                <w:szCs w:val="20"/>
                <w:color w:val="auto"/>
              </w:rPr>
            </w:pPr>
            <w:r>
              <w:rPr>
                <w:rFonts w:ascii="Arial" w:cs="Arial" w:eastAsia="Arial" w:hAnsi="Arial"/>
                <w:sz w:val="18"/>
                <w:szCs w:val="18"/>
                <w:color w:val="auto"/>
              </w:rPr>
              <w:t>at January 31, 2010 and 53,011 at November 1, 2009</w:t>
            </w:r>
          </w:p>
        </w:tc>
        <w:tc>
          <w:tcPr>
            <w:tcW w:w="380" w:type="dxa"/>
            <w:vAlign w:val="bottom"/>
            <w:shd w:val="clear" w:color="auto" w:fill="C0C0C0"/>
          </w:tcPr>
          <w:p>
            <w:pPr>
              <w:spacing w:after="0"/>
              <w:rPr>
                <w:sz w:val="22"/>
                <w:szCs w:val="22"/>
                <w:color w:val="auto"/>
              </w:rPr>
            </w:pPr>
          </w:p>
        </w:tc>
        <w:tc>
          <w:tcPr>
            <w:tcW w:w="7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533</w:t>
            </w:r>
          </w:p>
        </w:tc>
        <w:tc>
          <w:tcPr>
            <w:tcW w:w="280" w:type="dxa"/>
            <w:vAlign w:val="bottom"/>
            <w:shd w:val="clear" w:color="auto" w:fill="C0C0C0"/>
          </w:tcPr>
          <w:p>
            <w:pPr>
              <w:spacing w:after="0"/>
              <w:rPr>
                <w:sz w:val="22"/>
                <w:szCs w:val="22"/>
                <w:color w:val="auto"/>
              </w:rPr>
            </w:pPr>
          </w:p>
        </w:tc>
        <w:tc>
          <w:tcPr>
            <w:tcW w:w="400" w:type="dxa"/>
            <w:vAlign w:val="bottom"/>
            <w:shd w:val="clear" w:color="auto" w:fill="C0C0C0"/>
          </w:tcPr>
          <w:p>
            <w:pPr>
              <w:spacing w:after="0"/>
              <w:rPr>
                <w:sz w:val="22"/>
                <w:szCs w:val="22"/>
                <w:color w:val="auto"/>
              </w:rPr>
            </w:pPr>
          </w:p>
        </w:tc>
        <w:tc>
          <w:tcPr>
            <w:tcW w:w="7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920" w:type="dxa"/>
            <w:vAlign w:val="bottom"/>
          </w:tcPr>
          <w:p>
            <w:pPr>
              <w:ind w:left="300"/>
              <w:spacing w:after="0"/>
              <w:rPr>
                <w:sz w:val="20"/>
                <w:szCs w:val="20"/>
                <w:color w:val="auto"/>
              </w:rPr>
            </w:pPr>
            <w:r>
              <w:rPr>
                <w:rFonts w:ascii="Arial" w:cs="Arial" w:eastAsia="Arial" w:hAnsi="Arial"/>
                <w:sz w:val="18"/>
                <w:szCs w:val="18"/>
                <w:color w:val="auto"/>
              </w:rPr>
              <w:t>Additional paid-in capital</w:t>
            </w:r>
          </w:p>
        </w:tc>
        <w:tc>
          <w:tcPr>
            <w:tcW w:w="380" w:type="dxa"/>
            <w:vAlign w:val="bottom"/>
          </w:tcPr>
          <w:p>
            <w:pPr>
              <w:spacing w:after="0"/>
              <w:rPr>
                <w:sz w:val="20"/>
                <w:szCs w:val="20"/>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w w:val="86"/>
              </w:rPr>
              <w:t>433,632</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w w:val="86"/>
              </w:rPr>
              <w:t>432,160</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920" w:type="dxa"/>
            <w:vAlign w:val="bottom"/>
            <w:shd w:val="clear" w:color="auto" w:fill="C0C0C0"/>
          </w:tcPr>
          <w:p>
            <w:pPr>
              <w:ind w:left="300"/>
              <w:spacing w:after="0"/>
              <w:rPr>
                <w:sz w:val="20"/>
                <w:szCs w:val="20"/>
                <w:color w:val="auto"/>
              </w:rPr>
            </w:pPr>
            <w:r>
              <w:rPr>
                <w:rFonts w:ascii="Arial" w:cs="Arial" w:eastAsia="Arial" w:hAnsi="Arial"/>
                <w:sz w:val="18"/>
                <w:szCs w:val="18"/>
                <w:color w:val="auto"/>
              </w:rPr>
              <w:t>Accumulated deficit</w:t>
            </w:r>
          </w:p>
        </w:tc>
        <w:tc>
          <w:tcPr>
            <w:tcW w:w="38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2"/>
              </w:rPr>
              <w:t>(26,333)</w:t>
            </w:r>
          </w:p>
        </w:tc>
        <w:tc>
          <w:tcPr>
            <w:tcW w:w="28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2"/>
              </w:rPr>
              <w:t>(26,546)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920" w:type="dxa"/>
            <w:vAlign w:val="bottom"/>
            <w:tcBorders>
              <w:bottom w:val="single" w:sz="8" w:color="C0C0C0"/>
            </w:tcBorders>
          </w:tcPr>
          <w:p>
            <w:pPr>
              <w:ind w:left="300"/>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280" w:type="dxa"/>
            <w:vAlign w:val="bottom"/>
            <w:tcBorders>
              <w:bottom w:val="single" w:sz="8" w:color="C0C0C0"/>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920" w:type="dxa"/>
            <w:vAlign w:val="bottom"/>
            <w:shd w:val="clear" w:color="auto" w:fill="C0C0C0"/>
          </w:tcPr>
          <w:p>
            <w:pPr>
              <w:ind w:left="300"/>
              <w:spacing w:after="0"/>
              <w:rPr>
                <w:sz w:val="20"/>
                <w:szCs w:val="20"/>
                <w:color w:val="auto"/>
              </w:rPr>
            </w:pPr>
            <w:r>
              <w:rPr>
                <w:rFonts w:ascii="Arial" w:cs="Arial" w:eastAsia="Arial" w:hAnsi="Arial"/>
                <w:sz w:val="18"/>
                <w:szCs w:val="18"/>
                <w:color w:val="auto"/>
              </w:rPr>
              <w:t>Total Photronics, Inc. shareholders' equity</w:t>
            </w:r>
          </w:p>
        </w:tc>
        <w:tc>
          <w:tcPr>
            <w:tcW w:w="380" w:type="dxa"/>
            <w:vAlign w:val="bottom"/>
            <w:shd w:val="clear" w:color="auto" w:fill="C0C0C0"/>
          </w:tcPr>
          <w:p>
            <w:pPr>
              <w:spacing w:after="0"/>
              <w:rPr>
                <w:sz w:val="21"/>
                <w:szCs w:val="21"/>
                <w:color w:val="auto"/>
              </w:rPr>
            </w:pPr>
          </w:p>
        </w:tc>
        <w:tc>
          <w:tcPr>
            <w:tcW w:w="7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w w:val="86"/>
              </w:rPr>
              <w:t>407,388</w:t>
            </w:r>
          </w:p>
        </w:tc>
        <w:tc>
          <w:tcPr>
            <w:tcW w:w="28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7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86"/>
              </w:rPr>
              <w:t>399,755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920" w:type="dxa"/>
            <w:vAlign w:val="bottom"/>
            <w:tcBorders>
              <w:bottom w:val="single" w:sz="8" w:color="C0C0C0"/>
            </w:tcBorders>
          </w:tcPr>
          <w:p>
            <w:pPr>
              <w:ind w:left="300"/>
              <w:spacing w:after="0"/>
              <w:rPr>
                <w:sz w:val="20"/>
                <w:szCs w:val="20"/>
                <w:color w:val="auto"/>
              </w:rPr>
            </w:pPr>
            <w:r>
              <w:rPr>
                <w:rFonts w:ascii="Arial" w:cs="Arial" w:eastAsia="Arial" w:hAnsi="Arial"/>
                <w:sz w:val="18"/>
                <w:szCs w:val="18"/>
                <w:color w:val="auto"/>
              </w:rPr>
              <w:t>Noncontrolling interests</w:t>
            </w:r>
          </w:p>
        </w:tc>
        <w:tc>
          <w:tcPr>
            <w:tcW w:w="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51,051</w:t>
            </w:r>
          </w:p>
        </w:tc>
        <w:tc>
          <w:tcPr>
            <w:tcW w:w="280" w:type="dxa"/>
            <w:vAlign w:val="bottom"/>
            <w:tcBorders>
              <w:bottom w:val="single" w:sz="8" w:color="C0C0C0"/>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49,941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920" w:type="dxa"/>
            <w:vAlign w:val="bottom"/>
            <w:shd w:val="clear" w:color="auto" w:fill="C0C0C0"/>
          </w:tcPr>
          <w:p>
            <w:pPr>
              <w:spacing w:after="0"/>
              <w:rPr>
                <w:sz w:val="20"/>
                <w:szCs w:val="20"/>
                <w:color w:val="auto"/>
              </w:rPr>
            </w:pPr>
            <w:r>
              <w:rPr>
                <w:rFonts w:ascii="Arial" w:cs="Arial" w:eastAsia="Arial" w:hAnsi="Arial"/>
                <w:sz w:val="18"/>
                <w:szCs w:val="18"/>
                <w:color w:val="auto"/>
              </w:rPr>
              <w:t>Total equity</w:t>
            </w:r>
          </w:p>
        </w:tc>
        <w:tc>
          <w:tcPr>
            <w:tcW w:w="380" w:type="dxa"/>
            <w:vAlign w:val="bottom"/>
            <w:tcBorders>
              <w:bottom w:val="single" w:sz="8" w:color="auto"/>
            </w:tcBorders>
            <w:shd w:val="clear" w:color="auto" w:fill="C0C0C0"/>
          </w:tcPr>
          <w:p>
            <w:pPr>
              <w:spacing w:after="0"/>
              <w:rPr>
                <w:sz w:val="20"/>
                <w:szCs w:val="20"/>
                <w:color w:val="auto"/>
              </w:rPr>
            </w:pPr>
          </w:p>
        </w:tc>
        <w:tc>
          <w:tcPr>
            <w:tcW w:w="70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w w:val="86"/>
              </w:rPr>
              <w:t>458,439</w:t>
            </w:r>
          </w:p>
        </w:tc>
        <w:tc>
          <w:tcPr>
            <w:tcW w:w="280" w:type="dxa"/>
            <w:vAlign w:val="bottom"/>
            <w:shd w:val="clear" w:color="auto" w:fill="C0C0C0"/>
          </w:tcPr>
          <w:p>
            <w:pPr>
              <w:spacing w:after="0"/>
              <w:rPr>
                <w:sz w:val="20"/>
                <w:szCs w:val="20"/>
                <w:color w:val="auto"/>
              </w:rPr>
            </w:pPr>
          </w:p>
        </w:tc>
        <w:tc>
          <w:tcPr>
            <w:tcW w:w="400" w:type="dxa"/>
            <w:vAlign w:val="bottom"/>
            <w:tcBorders>
              <w:bottom w:val="single" w:sz="8" w:color="auto"/>
            </w:tcBorders>
            <w:shd w:val="clear" w:color="auto" w:fill="C0C0C0"/>
          </w:tcPr>
          <w:p>
            <w:pPr>
              <w:spacing w:after="0"/>
              <w:rPr>
                <w:sz w:val="20"/>
                <w:szCs w:val="20"/>
                <w:color w:val="auto"/>
              </w:rPr>
            </w:pPr>
          </w:p>
        </w:tc>
        <w:tc>
          <w:tcPr>
            <w:tcW w:w="72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w w:val="86"/>
              </w:rPr>
              <w:t>449,696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920" w:type="dxa"/>
            <w:vAlign w:val="bottom"/>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86"/>
              </w:rPr>
              <w:t>672,457</w:t>
            </w:r>
          </w:p>
        </w:tc>
        <w:tc>
          <w:tcPr>
            <w:tcW w:w="280" w:type="dxa"/>
            <w:vAlign w:val="bottom"/>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86"/>
              </w:rPr>
              <w:t>663,656</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PHOTRONICS,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0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8"/>
                <w:szCs w:val="18"/>
                <w:b w:val="1"/>
                <w:bCs w:val="1"/>
                <w:color w:val="auto"/>
                <w:w w:val="88"/>
              </w:rPr>
              <w:t>Three Months Ended</w:t>
            </w:r>
          </w:p>
        </w:tc>
      </w:tr>
      <w:tr>
        <w:trPr>
          <w:trHeight w:val="228"/>
        </w:trPr>
        <w:tc>
          <w:tcPr>
            <w:tcW w:w="9040" w:type="dxa"/>
            <w:vAlign w:val="bottom"/>
          </w:tcPr>
          <w:p>
            <w:pPr>
              <w:spacing w:after="0"/>
              <w:rPr>
                <w:sz w:val="19"/>
                <w:szCs w:val="19"/>
                <w:color w:val="auto"/>
              </w:rPr>
            </w:pPr>
          </w:p>
        </w:tc>
        <w:tc>
          <w:tcPr>
            <w:tcW w:w="1320" w:type="dxa"/>
            <w:vAlign w:val="bottom"/>
            <w:gridSpan w:val="3"/>
          </w:tcPr>
          <w:p>
            <w:pPr>
              <w:ind w:left="80"/>
              <w:spacing w:after="0"/>
              <w:rPr>
                <w:sz w:val="20"/>
                <w:szCs w:val="20"/>
                <w:color w:val="auto"/>
              </w:rPr>
            </w:pPr>
            <w:r>
              <w:rPr>
                <w:rFonts w:ascii="Arial" w:cs="Arial" w:eastAsia="Arial" w:hAnsi="Arial"/>
                <w:sz w:val="18"/>
                <w:szCs w:val="18"/>
                <w:b w:val="1"/>
                <w:bCs w:val="1"/>
                <w:color w:val="auto"/>
              </w:rPr>
              <w:t>January 31,</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February 1,</w:t>
            </w:r>
          </w:p>
        </w:tc>
      </w:tr>
      <w:tr>
        <w:trPr>
          <w:trHeight w:val="251"/>
        </w:trPr>
        <w:tc>
          <w:tcPr>
            <w:tcW w:w="9040" w:type="dxa"/>
            <w:vAlign w:val="bottom"/>
            <w:tcBorders>
              <w:bottom w:val="single" w:sz="8" w:color="C0C0C0"/>
            </w:tcBorders>
          </w:tcPr>
          <w:p>
            <w:pPr>
              <w:spacing w:after="0"/>
              <w:rPr>
                <w:sz w:val="21"/>
                <w:szCs w:val="21"/>
                <w:color w:val="auto"/>
              </w:rPr>
            </w:pPr>
          </w:p>
        </w:tc>
        <w:tc>
          <w:tcPr>
            <w:tcW w:w="106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8"/>
                <w:szCs w:val="18"/>
                <w:b w:val="1"/>
                <w:bCs w:val="1"/>
                <w:color w:val="auto"/>
              </w:rPr>
              <w:t>2010</w:t>
            </w:r>
          </w:p>
        </w:tc>
        <w:tc>
          <w:tcPr>
            <w:tcW w:w="260" w:type="dxa"/>
            <w:vAlign w:val="bottom"/>
            <w:tcBorders>
              <w:bottom w:val="single" w:sz="8" w:color="C0C0C0"/>
            </w:tcBorders>
          </w:tcPr>
          <w:p>
            <w:pPr>
              <w:spacing w:after="0"/>
              <w:rPr>
                <w:sz w:val="21"/>
                <w:szCs w:val="21"/>
                <w:color w:val="auto"/>
              </w:rPr>
            </w:pPr>
          </w:p>
        </w:tc>
        <w:tc>
          <w:tcPr>
            <w:tcW w:w="106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8"/>
                <w:szCs w:val="18"/>
                <w:b w:val="1"/>
                <w:bCs w:val="1"/>
                <w:color w:val="auto"/>
              </w:rPr>
              <w:t>2009</w:t>
            </w:r>
          </w:p>
        </w:tc>
      </w:tr>
      <w:tr>
        <w:trPr>
          <w:trHeight w:val="243"/>
        </w:trPr>
        <w:tc>
          <w:tcPr>
            <w:tcW w:w="9040" w:type="dxa"/>
            <w:vAlign w:val="bottom"/>
            <w:shd w:val="clear" w:color="auto" w:fill="C0C0C0"/>
          </w:tcPr>
          <w:p>
            <w:pPr>
              <w:spacing w:after="0"/>
              <w:rPr>
                <w:sz w:val="20"/>
                <w:szCs w:val="20"/>
                <w:color w:val="auto"/>
              </w:rPr>
            </w:pPr>
            <w:r>
              <w:rPr>
                <w:rFonts w:ascii="Arial" w:cs="Arial" w:eastAsia="Arial" w:hAnsi="Arial"/>
                <w:sz w:val="18"/>
                <w:szCs w:val="18"/>
                <w:color w:val="auto"/>
              </w:rPr>
              <w:t>Net sales</w:t>
            </w:r>
          </w:p>
        </w:tc>
        <w:tc>
          <w:tcPr>
            <w:tcW w:w="3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w w:val="98"/>
              </w:rPr>
              <w:t>98,197</w:t>
            </w:r>
          </w:p>
        </w:tc>
        <w:tc>
          <w:tcPr>
            <w:tcW w:w="260" w:type="dxa"/>
            <w:vAlign w:val="bottom"/>
            <w:shd w:val="clear" w:color="auto" w:fill="C0C0C0"/>
          </w:tcPr>
          <w:p>
            <w:pPr>
              <w:spacing w:after="0"/>
              <w:rPr>
                <w:sz w:val="21"/>
                <w:szCs w:val="21"/>
                <w:color w:val="auto"/>
              </w:rPr>
            </w:pPr>
          </w:p>
        </w:tc>
        <w:tc>
          <w:tcPr>
            <w:tcW w:w="4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w w:val="94"/>
              </w:rPr>
              <w:t>88,042</w:t>
            </w:r>
          </w:p>
        </w:tc>
      </w:tr>
      <w:tr>
        <w:trPr>
          <w:trHeight w:val="235"/>
        </w:trPr>
        <w:tc>
          <w:tcPr>
            <w:tcW w:w="9040" w:type="dxa"/>
            <w:vAlign w:val="bottom"/>
          </w:tcPr>
          <w:p>
            <w:pPr>
              <w:spacing w:after="0"/>
              <w:rPr>
                <w:sz w:val="20"/>
                <w:szCs w:val="20"/>
                <w:color w:val="auto"/>
              </w:rPr>
            </w:pPr>
            <w:r>
              <w:rPr>
                <w:rFonts w:ascii="Arial" w:cs="Arial" w:eastAsia="Arial" w:hAnsi="Arial"/>
                <w:sz w:val="18"/>
                <w:szCs w:val="18"/>
                <w:color w:val="auto"/>
              </w:rPr>
              <w:t>Costs and expenses:</w:t>
            </w: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51"/>
        </w:trPr>
        <w:tc>
          <w:tcPr>
            <w:tcW w:w="90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Cost of sales</w:t>
            </w:r>
          </w:p>
        </w:tc>
        <w:tc>
          <w:tcPr>
            <w:tcW w:w="38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9"/>
              </w:rPr>
              <w:t>(80,020)</w:t>
            </w:r>
          </w:p>
        </w:tc>
        <w:tc>
          <w:tcPr>
            <w:tcW w:w="26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6"/>
              </w:rPr>
              <w:t>(77,483)</w:t>
            </w:r>
          </w:p>
        </w:tc>
      </w:tr>
      <w:tr>
        <w:trPr>
          <w:trHeight w:val="235"/>
        </w:trPr>
        <w:tc>
          <w:tcPr>
            <w:tcW w:w="9040" w:type="dxa"/>
            <w:vAlign w:val="bottom"/>
          </w:tcPr>
          <w:p>
            <w:pPr>
              <w:ind w:left="32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(10,149)</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6"/>
              </w:rPr>
              <w:t>(10,402)</w:t>
            </w:r>
          </w:p>
        </w:tc>
      </w:tr>
      <w:tr>
        <w:trPr>
          <w:trHeight w:val="251"/>
        </w:trPr>
        <w:tc>
          <w:tcPr>
            <w:tcW w:w="90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(3,954)</w:t>
            </w:r>
          </w:p>
        </w:tc>
        <w:tc>
          <w:tcPr>
            <w:tcW w:w="26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(3,624)</w:t>
            </w:r>
          </w:p>
        </w:tc>
      </w:tr>
      <w:tr>
        <w:trPr>
          <w:trHeight w:val="237"/>
        </w:trPr>
        <w:tc>
          <w:tcPr>
            <w:tcW w:w="904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Consolidation, restructuring and related charges</w:t>
            </w:r>
          </w:p>
        </w:tc>
        <w:tc>
          <w:tcPr>
            <w:tcW w:w="3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260" w:type="dxa"/>
            <w:vAlign w:val="bottom"/>
            <w:tcBorders>
              <w:bottom w:val="single" w:sz="8" w:color="C0C0C0"/>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w:t>
            </w:r>
          </w:p>
        </w:tc>
      </w:tr>
      <w:tr>
        <w:trPr>
          <w:trHeight w:val="243"/>
        </w:trPr>
        <w:tc>
          <w:tcPr>
            <w:tcW w:w="9040" w:type="dxa"/>
            <w:vAlign w:val="bottom"/>
            <w:shd w:val="clear" w:color="auto" w:fill="C0C0C0"/>
          </w:tcPr>
          <w:p>
            <w:pPr>
              <w:spacing w:after="0"/>
              <w:rPr>
                <w:sz w:val="20"/>
                <w:szCs w:val="20"/>
                <w:color w:val="auto"/>
              </w:rPr>
            </w:pPr>
            <w:r>
              <w:rPr>
                <w:rFonts w:ascii="Arial" w:cs="Arial" w:eastAsia="Arial" w:hAnsi="Arial"/>
                <w:sz w:val="18"/>
                <w:szCs w:val="18"/>
                <w:color w:val="auto"/>
              </w:rPr>
              <w:t>Operating income (loss)</w:t>
            </w:r>
          </w:p>
        </w:tc>
        <w:tc>
          <w:tcPr>
            <w:tcW w:w="380" w:type="dxa"/>
            <w:vAlign w:val="bottom"/>
            <w:shd w:val="clear" w:color="auto" w:fill="C0C0C0"/>
          </w:tcPr>
          <w:p>
            <w:pPr>
              <w:spacing w:after="0"/>
              <w:rPr>
                <w:sz w:val="21"/>
                <w:szCs w:val="21"/>
                <w:color w:val="auto"/>
              </w:rPr>
            </w:pPr>
          </w:p>
        </w:tc>
        <w:tc>
          <w:tcPr>
            <w:tcW w:w="6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3,881</w:t>
            </w:r>
          </w:p>
        </w:tc>
        <w:tc>
          <w:tcPr>
            <w:tcW w:w="26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(5,147)</w:t>
            </w:r>
          </w:p>
        </w:tc>
      </w:tr>
      <w:tr>
        <w:trPr>
          <w:trHeight w:val="235"/>
        </w:trPr>
        <w:tc>
          <w:tcPr>
            <w:tcW w:w="9040" w:type="dxa"/>
            <w:vAlign w:val="bottom"/>
          </w:tcPr>
          <w:p>
            <w:pPr>
              <w:spacing w:after="0"/>
              <w:rPr>
                <w:sz w:val="20"/>
                <w:szCs w:val="20"/>
                <w:color w:val="auto"/>
              </w:rPr>
            </w:pPr>
            <w:r>
              <w:rPr>
                <w:rFonts w:ascii="Arial" w:cs="Arial" w:eastAsia="Arial" w:hAnsi="Arial"/>
                <w:sz w:val="18"/>
                <w:szCs w:val="18"/>
                <w:color w:val="auto"/>
              </w:rPr>
              <w:t>Other income (expense):</w:t>
            </w: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51"/>
        </w:trPr>
        <w:tc>
          <w:tcPr>
            <w:tcW w:w="9040" w:type="dxa"/>
            <w:vAlign w:val="bottom"/>
            <w:shd w:val="clear" w:color="auto" w:fill="C0C0C0"/>
          </w:tcPr>
          <w:p>
            <w:pPr>
              <w:ind w:left="640"/>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(2,921)</w:t>
            </w:r>
          </w:p>
        </w:tc>
        <w:tc>
          <w:tcPr>
            <w:tcW w:w="26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(4,646)</w:t>
            </w:r>
          </w:p>
        </w:tc>
      </w:tr>
      <w:tr>
        <w:trPr>
          <w:trHeight w:val="237"/>
        </w:trPr>
        <w:tc>
          <w:tcPr>
            <w:tcW w:w="9040" w:type="dxa"/>
            <w:vAlign w:val="bottom"/>
            <w:tcBorders>
              <w:bottom w:val="single" w:sz="8" w:color="C0C0C0"/>
            </w:tcBorders>
          </w:tcPr>
          <w:p>
            <w:pPr>
              <w:ind w:left="640"/>
              <w:spacing w:after="0"/>
              <w:rPr>
                <w:sz w:val="20"/>
                <w:szCs w:val="20"/>
                <w:color w:val="auto"/>
              </w:rPr>
            </w:pPr>
            <w:r>
              <w:rPr>
                <w:rFonts w:ascii="Arial" w:cs="Arial" w:eastAsia="Arial" w:hAnsi="Arial"/>
                <w:sz w:val="18"/>
                <w:szCs w:val="18"/>
                <w:color w:val="auto"/>
              </w:rPr>
              <w:t>Investment and other income, net</w:t>
            </w:r>
          </w:p>
        </w:tc>
        <w:tc>
          <w:tcPr>
            <w:tcW w:w="3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468</w:t>
            </w:r>
          </w:p>
        </w:tc>
        <w:tc>
          <w:tcPr>
            <w:tcW w:w="260" w:type="dxa"/>
            <w:vAlign w:val="bottom"/>
            <w:tcBorders>
              <w:bottom w:val="single" w:sz="8" w:color="C0C0C0"/>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1,023</w:t>
            </w:r>
          </w:p>
        </w:tc>
      </w:tr>
      <w:tr>
        <w:trPr>
          <w:trHeight w:val="243"/>
        </w:trPr>
        <w:tc>
          <w:tcPr>
            <w:tcW w:w="9040" w:type="dxa"/>
            <w:vAlign w:val="bottom"/>
            <w:shd w:val="clear" w:color="auto" w:fill="C0C0C0"/>
          </w:tcPr>
          <w:p>
            <w:pPr>
              <w:ind w:left="640"/>
              <w:spacing w:after="0"/>
              <w:rPr>
                <w:sz w:val="20"/>
                <w:szCs w:val="20"/>
                <w:color w:val="auto"/>
              </w:rPr>
            </w:pPr>
            <w:r>
              <w:rPr>
                <w:rFonts w:ascii="Arial" w:cs="Arial" w:eastAsia="Arial" w:hAnsi="Arial"/>
                <w:sz w:val="18"/>
                <w:szCs w:val="18"/>
                <w:color w:val="auto"/>
              </w:rPr>
              <w:t>Income (loss) before income taxes</w:t>
            </w:r>
          </w:p>
        </w:tc>
        <w:tc>
          <w:tcPr>
            <w:tcW w:w="380" w:type="dxa"/>
            <w:vAlign w:val="bottom"/>
            <w:shd w:val="clear" w:color="auto" w:fill="C0C0C0"/>
          </w:tcPr>
          <w:p>
            <w:pPr>
              <w:spacing w:after="0"/>
              <w:rPr>
                <w:sz w:val="21"/>
                <w:szCs w:val="21"/>
                <w:color w:val="auto"/>
              </w:rPr>
            </w:pPr>
          </w:p>
        </w:tc>
        <w:tc>
          <w:tcPr>
            <w:tcW w:w="6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1,428</w:t>
            </w:r>
          </w:p>
        </w:tc>
        <w:tc>
          <w:tcPr>
            <w:tcW w:w="26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(8,770)</w:t>
            </w:r>
          </w:p>
        </w:tc>
      </w:tr>
      <w:tr>
        <w:trPr>
          <w:trHeight w:val="237"/>
        </w:trPr>
        <w:tc>
          <w:tcPr>
            <w:tcW w:w="904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Income tax provision</w:t>
            </w:r>
          </w:p>
        </w:tc>
        <w:tc>
          <w:tcPr>
            <w:tcW w:w="3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260" w:type="dxa"/>
            <w:vAlign w:val="bottom"/>
            <w:tcBorders>
              <w:bottom w:val="single" w:sz="8" w:color="C0C0C0"/>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w:t>
            </w:r>
          </w:p>
        </w:tc>
      </w:tr>
      <w:tr>
        <w:trPr>
          <w:trHeight w:val="243"/>
        </w:trPr>
        <w:tc>
          <w:tcPr>
            <w:tcW w:w="9040" w:type="dxa"/>
            <w:vAlign w:val="bottom"/>
            <w:shd w:val="clear" w:color="auto" w:fill="C0C0C0"/>
          </w:tcPr>
          <w:p>
            <w:pPr>
              <w:spacing w:after="0"/>
              <w:rPr>
                <w:sz w:val="20"/>
                <w:szCs w:val="20"/>
                <w:color w:val="auto"/>
              </w:rPr>
            </w:pPr>
            <w:r>
              <w:rPr>
                <w:rFonts w:ascii="Arial" w:cs="Arial" w:eastAsia="Arial" w:hAnsi="Arial"/>
                <w:sz w:val="18"/>
                <w:szCs w:val="18"/>
                <w:color w:val="auto"/>
              </w:rPr>
              <w:t>Net income (loss)</w:t>
            </w:r>
          </w:p>
        </w:tc>
        <w:tc>
          <w:tcPr>
            <w:tcW w:w="380" w:type="dxa"/>
            <w:vAlign w:val="bottom"/>
            <w:shd w:val="clear" w:color="auto" w:fill="C0C0C0"/>
          </w:tcPr>
          <w:p>
            <w:pPr>
              <w:spacing w:after="0"/>
              <w:rPr>
                <w:sz w:val="21"/>
                <w:szCs w:val="21"/>
                <w:color w:val="auto"/>
              </w:rPr>
            </w:pPr>
          </w:p>
        </w:tc>
        <w:tc>
          <w:tcPr>
            <w:tcW w:w="6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408</w:t>
            </w:r>
          </w:p>
        </w:tc>
        <w:tc>
          <w:tcPr>
            <w:tcW w:w="26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(9,967)</w:t>
            </w:r>
          </w:p>
        </w:tc>
      </w:tr>
      <w:tr>
        <w:trPr>
          <w:trHeight w:val="237"/>
        </w:trPr>
        <w:tc>
          <w:tcPr>
            <w:tcW w:w="904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Net income attributable to noncontrolling interests</w:t>
            </w:r>
          </w:p>
        </w:tc>
        <w:tc>
          <w:tcPr>
            <w:tcW w:w="3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260" w:type="dxa"/>
            <w:vAlign w:val="bottom"/>
            <w:tcBorders>
              <w:bottom w:val="single" w:sz="8" w:color="C0C0C0"/>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r>
      <w:tr>
        <w:trPr>
          <w:trHeight w:val="262"/>
        </w:trPr>
        <w:tc>
          <w:tcPr>
            <w:tcW w:w="904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Net income (loss) attributable to Photronics, Inc.</w:t>
            </w:r>
          </w:p>
        </w:tc>
        <w:tc>
          <w:tcPr>
            <w:tcW w:w="3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213</w:t>
            </w:r>
          </w:p>
        </w:tc>
        <w:tc>
          <w:tcPr>
            <w:tcW w:w="260" w:type="dxa"/>
            <w:vAlign w:val="bottom"/>
            <w:tcBorders>
              <w:bottom w:val="single" w:sz="8" w:color="C0C0C0"/>
            </w:tcBorders>
            <w:shd w:val="clear" w:color="auto" w:fill="C0C0C0"/>
          </w:tcPr>
          <w:p>
            <w:pPr>
              <w:spacing w:after="0"/>
              <w:rPr>
                <w:sz w:val="22"/>
                <w:szCs w:val="22"/>
                <w:color w:val="auto"/>
              </w:rPr>
            </w:pPr>
          </w:p>
        </w:tc>
        <w:tc>
          <w:tcPr>
            <w:tcW w:w="4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86"/>
              </w:rPr>
              <w:t>(10,233)</w:t>
            </w:r>
          </w:p>
        </w:tc>
      </w:tr>
      <w:tr>
        <w:trPr>
          <w:trHeight w:val="210"/>
        </w:trPr>
        <w:tc>
          <w:tcPr>
            <w:tcW w:w="9040" w:type="dxa"/>
            <w:vAlign w:val="bottom"/>
          </w:tcPr>
          <w:p>
            <w:pPr>
              <w:spacing w:after="0" w:line="202" w:lineRule="exact"/>
              <w:rPr>
                <w:sz w:val="20"/>
                <w:szCs w:val="20"/>
                <w:color w:val="auto"/>
              </w:rPr>
            </w:pPr>
            <w:r>
              <w:rPr>
                <w:rFonts w:ascii="Arial" w:cs="Arial" w:eastAsia="Arial" w:hAnsi="Arial"/>
                <w:sz w:val="18"/>
                <w:szCs w:val="18"/>
                <w:color w:val="auto"/>
              </w:rPr>
              <w:t>Earnings (loss) per share:</w:t>
            </w: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58"/>
        </w:trPr>
        <w:tc>
          <w:tcPr>
            <w:tcW w:w="9040" w:type="dxa"/>
            <w:vAlign w:val="bottom"/>
            <w:tcBorders>
              <w:bottom w:val="single" w:sz="8" w:color="C0C0C0"/>
            </w:tcBorders>
            <w:shd w:val="clear" w:color="auto" w:fill="C0C0C0"/>
          </w:tcPr>
          <w:p>
            <w:pPr>
              <w:ind w:left="64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0.00</w:t>
            </w:r>
          </w:p>
        </w:tc>
        <w:tc>
          <w:tcPr>
            <w:tcW w:w="260" w:type="dxa"/>
            <w:vAlign w:val="bottom"/>
            <w:tcBorders>
              <w:bottom w:val="single" w:sz="8" w:color="C0C0C0"/>
            </w:tcBorders>
            <w:shd w:val="clear" w:color="auto" w:fill="C0C0C0"/>
          </w:tcPr>
          <w:p>
            <w:pPr>
              <w:spacing w:after="0"/>
              <w:rPr>
                <w:sz w:val="22"/>
                <w:szCs w:val="22"/>
                <w:color w:val="auto"/>
              </w:rPr>
            </w:pPr>
          </w:p>
        </w:tc>
        <w:tc>
          <w:tcPr>
            <w:tcW w:w="4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(0.25)</w:t>
            </w:r>
          </w:p>
        </w:tc>
      </w:tr>
      <w:tr>
        <w:trPr>
          <w:trHeight w:val="250"/>
        </w:trPr>
        <w:tc>
          <w:tcPr>
            <w:tcW w:w="9040" w:type="dxa"/>
            <w:vAlign w:val="bottom"/>
            <w:tcBorders>
              <w:bottom w:val="single" w:sz="8" w:color="C0C0C0"/>
            </w:tcBorders>
          </w:tcPr>
          <w:p>
            <w:pPr>
              <w:ind w:left="640"/>
              <w:spacing w:after="0"/>
              <w:rPr>
                <w:sz w:val="20"/>
                <w:szCs w:val="20"/>
                <w:color w:val="auto"/>
              </w:rPr>
            </w:pPr>
            <w:r>
              <w:rPr>
                <w:rFonts w:ascii="Arial" w:cs="Arial" w:eastAsia="Arial" w:hAnsi="Arial"/>
                <w:sz w:val="18"/>
                <w:szCs w:val="18"/>
                <w:color w:val="auto"/>
              </w:rPr>
              <w:t>Diluted</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0.00</w:t>
            </w:r>
          </w:p>
        </w:tc>
        <w:tc>
          <w:tcPr>
            <w:tcW w:w="260" w:type="dxa"/>
            <w:vAlign w:val="bottom"/>
            <w:tcBorders>
              <w:bottom w:val="single" w:sz="8" w:color="C0C0C0"/>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r>
      <w:tr>
        <w:trPr>
          <w:trHeight w:val="230"/>
        </w:trPr>
        <w:tc>
          <w:tcPr>
            <w:tcW w:w="9040" w:type="dxa"/>
            <w:vAlign w:val="bottom"/>
            <w:shd w:val="clear" w:color="auto" w:fill="C0C0C0"/>
          </w:tcPr>
          <w:p>
            <w:pPr>
              <w:spacing w:after="0"/>
              <w:rPr>
                <w:sz w:val="20"/>
                <w:szCs w:val="20"/>
                <w:color w:val="auto"/>
              </w:rPr>
            </w:pPr>
            <w:r>
              <w:rPr>
                <w:rFonts w:ascii="Arial" w:cs="Arial" w:eastAsia="Arial" w:hAnsi="Arial"/>
                <w:sz w:val="18"/>
                <w:szCs w:val="18"/>
                <w:color w:val="auto"/>
              </w:rPr>
              <w:t>Weighted-average number of common shares outstanding:</w:t>
            </w:r>
          </w:p>
        </w:tc>
        <w:tc>
          <w:tcPr>
            <w:tcW w:w="380" w:type="dxa"/>
            <w:vAlign w:val="bottom"/>
            <w:shd w:val="clear" w:color="auto" w:fill="C0C0C0"/>
          </w:tcPr>
          <w:p>
            <w:pPr>
              <w:spacing w:after="0"/>
              <w:rPr>
                <w:sz w:val="19"/>
                <w:szCs w:val="19"/>
                <w:color w:val="auto"/>
              </w:rPr>
            </w:pPr>
          </w:p>
        </w:tc>
        <w:tc>
          <w:tcPr>
            <w:tcW w:w="68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400" w:type="dxa"/>
            <w:vAlign w:val="bottom"/>
            <w:shd w:val="clear" w:color="auto" w:fill="C0C0C0"/>
          </w:tcPr>
          <w:p>
            <w:pPr>
              <w:spacing w:after="0"/>
              <w:rPr>
                <w:sz w:val="19"/>
                <w:szCs w:val="19"/>
                <w:color w:val="auto"/>
              </w:rPr>
            </w:pPr>
          </w:p>
        </w:tc>
        <w:tc>
          <w:tcPr>
            <w:tcW w:w="660" w:type="dxa"/>
            <w:vAlign w:val="bottom"/>
            <w:shd w:val="clear" w:color="auto" w:fill="C0C0C0"/>
          </w:tcPr>
          <w:p>
            <w:pPr>
              <w:spacing w:after="0"/>
              <w:rPr>
                <w:sz w:val="19"/>
                <w:szCs w:val="19"/>
                <w:color w:val="auto"/>
              </w:rPr>
            </w:pPr>
          </w:p>
        </w:tc>
      </w:tr>
      <w:tr>
        <w:trPr>
          <w:trHeight w:val="250"/>
        </w:trPr>
        <w:tc>
          <w:tcPr>
            <w:tcW w:w="9040" w:type="dxa"/>
            <w:vAlign w:val="bottom"/>
            <w:tcBorders>
              <w:bottom w:val="single" w:sz="8" w:color="C0C0C0"/>
            </w:tcBorders>
          </w:tcPr>
          <w:p>
            <w:pPr>
              <w:ind w:left="64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8"/>
              </w:rPr>
              <w:t>53,102</w:t>
            </w:r>
          </w:p>
        </w:tc>
        <w:tc>
          <w:tcPr>
            <w:tcW w:w="260" w:type="dxa"/>
            <w:vAlign w:val="bottom"/>
            <w:tcBorders>
              <w:bottom w:val="single" w:sz="8" w:color="C0C0C0"/>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4"/>
              </w:rPr>
              <w:t>41,723</w:t>
            </w:r>
          </w:p>
        </w:tc>
      </w:tr>
      <w:tr>
        <w:trPr>
          <w:trHeight w:val="250"/>
        </w:trPr>
        <w:tc>
          <w:tcPr>
            <w:tcW w:w="9040" w:type="dxa"/>
            <w:vAlign w:val="bottom"/>
            <w:tcBorders>
              <w:bottom w:val="single" w:sz="8" w:color="C0C0C0"/>
            </w:tcBorders>
            <w:shd w:val="clear" w:color="auto" w:fill="C0C0C0"/>
          </w:tcPr>
          <w:p>
            <w:pPr>
              <w:ind w:left="640"/>
              <w:spacing w:after="0"/>
              <w:rPr>
                <w:sz w:val="20"/>
                <w:szCs w:val="20"/>
                <w:color w:val="auto"/>
              </w:rPr>
            </w:pPr>
            <w:r>
              <w:rPr>
                <w:rFonts w:ascii="Arial" w:cs="Arial" w:eastAsia="Arial" w:hAnsi="Arial"/>
                <w:sz w:val="18"/>
                <w:szCs w:val="18"/>
                <w:color w:val="auto"/>
              </w:rPr>
              <w:t>Diluted</w:t>
            </w:r>
          </w:p>
        </w:tc>
        <w:tc>
          <w:tcPr>
            <w:tcW w:w="38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w w:val="98"/>
              </w:rPr>
              <w:t>54,824</w:t>
            </w:r>
          </w:p>
        </w:tc>
        <w:tc>
          <w:tcPr>
            <w:tcW w:w="260" w:type="dxa"/>
            <w:vAlign w:val="bottom"/>
            <w:tcBorders>
              <w:bottom w:val="single" w:sz="8" w:color="C0C0C0"/>
            </w:tcBorders>
            <w:shd w:val="clear" w:color="auto" w:fill="C0C0C0"/>
          </w:tcPr>
          <w:p>
            <w:pPr>
              <w:spacing w:after="0"/>
              <w:rPr>
                <w:sz w:val="21"/>
                <w:szCs w:val="21"/>
                <w:color w:val="auto"/>
              </w:rPr>
            </w:pPr>
          </w:p>
        </w:tc>
        <w:tc>
          <w:tcPr>
            <w:tcW w:w="400" w:type="dxa"/>
            <w:vAlign w:val="bottom"/>
            <w:tcBorders>
              <w:bottom w:val="single" w:sz="8" w:color="auto"/>
            </w:tcBorders>
            <w:shd w:val="clear" w:color="auto" w:fill="C0C0C0"/>
          </w:tcPr>
          <w:p>
            <w:pPr>
              <w:spacing w:after="0"/>
              <w:rPr>
                <w:sz w:val="21"/>
                <w:szCs w:val="21"/>
                <w:color w:val="auto"/>
              </w:rPr>
            </w:pPr>
          </w:p>
        </w:tc>
        <w:tc>
          <w:tcPr>
            <w:tcW w:w="66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w w:val="94"/>
              </w:rPr>
              <w:t>41,723</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PHOTRONICS,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0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8"/>
                <w:szCs w:val="18"/>
                <w:b w:val="1"/>
                <w:bCs w:val="1"/>
                <w:color w:val="auto"/>
                <w:w w:val="88"/>
              </w:rPr>
              <w:t>Three Months Ended</w:t>
            </w:r>
          </w:p>
        </w:tc>
      </w:tr>
      <w:tr>
        <w:trPr>
          <w:trHeight w:val="228"/>
        </w:trPr>
        <w:tc>
          <w:tcPr>
            <w:tcW w:w="9040" w:type="dxa"/>
            <w:vAlign w:val="bottom"/>
          </w:tcPr>
          <w:p>
            <w:pPr>
              <w:spacing w:after="0"/>
              <w:rPr>
                <w:sz w:val="19"/>
                <w:szCs w:val="19"/>
                <w:color w:val="auto"/>
              </w:rPr>
            </w:pPr>
          </w:p>
        </w:tc>
        <w:tc>
          <w:tcPr>
            <w:tcW w:w="1320" w:type="dxa"/>
            <w:vAlign w:val="bottom"/>
            <w:gridSpan w:val="3"/>
          </w:tcPr>
          <w:p>
            <w:pPr>
              <w:ind w:left="80"/>
              <w:spacing w:after="0"/>
              <w:rPr>
                <w:sz w:val="20"/>
                <w:szCs w:val="20"/>
                <w:color w:val="auto"/>
              </w:rPr>
            </w:pPr>
            <w:r>
              <w:rPr>
                <w:rFonts w:ascii="Arial" w:cs="Arial" w:eastAsia="Arial" w:hAnsi="Arial"/>
                <w:sz w:val="18"/>
                <w:szCs w:val="18"/>
                <w:b w:val="1"/>
                <w:bCs w:val="1"/>
                <w:color w:val="auto"/>
              </w:rPr>
              <w:t>January 31,</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February 1,</w:t>
            </w:r>
          </w:p>
        </w:tc>
      </w:tr>
      <w:tr>
        <w:trPr>
          <w:trHeight w:val="251"/>
        </w:trPr>
        <w:tc>
          <w:tcPr>
            <w:tcW w:w="9040" w:type="dxa"/>
            <w:vAlign w:val="bottom"/>
            <w:tcBorders>
              <w:bottom w:val="single" w:sz="8" w:color="C0C0C0"/>
            </w:tcBorders>
          </w:tcPr>
          <w:p>
            <w:pPr>
              <w:spacing w:after="0"/>
              <w:rPr>
                <w:sz w:val="21"/>
                <w:szCs w:val="21"/>
                <w:color w:val="auto"/>
              </w:rPr>
            </w:pPr>
          </w:p>
        </w:tc>
        <w:tc>
          <w:tcPr>
            <w:tcW w:w="106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8"/>
                <w:szCs w:val="18"/>
                <w:b w:val="1"/>
                <w:bCs w:val="1"/>
                <w:color w:val="auto"/>
              </w:rPr>
              <w:t>2010</w:t>
            </w:r>
          </w:p>
        </w:tc>
        <w:tc>
          <w:tcPr>
            <w:tcW w:w="260" w:type="dxa"/>
            <w:vAlign w:val="bottom"/>
            <w:tcBorders>
              <w:bottom w:val="single" w:sz="8" w:color="C0C0C0"/>
            </w:tcBorders>
          </w:tcPr>
          <w:p>
            <w:pPr>
              <w:spacing w:after="0"/>
              <w:rPr>
                <w:sz w:val="21"/>
                <w:szCs w:val="21"/>
                <w:color w:val="auto"/>
              </w:rPr>
            </w:pPr>
          </w:p>
        </w:tc>
        <w:tc>
          <w:tcPr>
            <w:tcW w:w="106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8"/>
                <w:szCs w:val="18"/>
                <w:b w:val="1"/>
                <w:bCs w:val="1"/>
                <w:color w:val="auto"/>
              </w:rPr>
              <w:t>2009</w:t>
            </w:r>
          </w:p>
        </w:tc>
      </w:tr>
      <w:tr>
        <w:trPr>
          <w:trHeight w:val="230"/>
        </w:trPr>
        <w:tc>
          <w:tcPr>
            <w:tcW w:w="9040" w:type="dxa"/>
            <w:vAlign w:val="bottom"/>
            <w:shd w:val="clear" w:color="auto" w:fill="C0C0C0"/>
          </w:tcPr>
          <w:p>
            <w:pPr>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shd w:val="clear" w:color="auto" w:fill="C0C0C0"/>
          </w:tcPr>
          <w:p>
            <w:pPr>
              <w:spacing w:after="0"/>
              <w:rPr>
                <w:sz w:val="19"/>
                <w:szCs w:val="19"/>
                <w:color w:val="auto"/>
              </w:rPr>
            </w:pPr>
          </w:p>
        </w:tc>
        <w:tc>
          <w:tcPr>
            <w:tcW w:w="68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400" w:type="dxa"/>
            <w:vAlign w:val="bottom"/>
            <w:shd w:val="clear" w:color="auto" w:fill="C0C0C0"/>
          </w:tcPr>
          <w:p>
            <w:pPr>
              <w:spacing w:after="0"/>
              <w:rPr>
                <w:sz w:val="19"/>
                <w:szCs w:val="19"/>
                <w:color w:val="auto"/>
              </w:rPr>
            </w:pPr>
          </w:p>
        </w:tc>
        <w:tc>
          <w:tcPr>
            <w:tcW w:w="660" w:type="dxa"/>
            <w:vAlign w:val="bottom"/>
            <w:shd w:val="clear" w:color="auto" w:fill="C0C0C0"/>
          </w:tcPr>
          <w:p>
            <w:pPr>
              <w:spacing w:after="0"/>
              <w:rPr>
                <w:sz w:val="19"/>
                <w:szCs w:val="19"/>
                <w:color w:val="auto"/>
              </w:rPr>
            </w:pPr>
          </w:p>
        </w:tc>
      </w:tr>
      <w:tr>
        <w:trPr>
          <w:trHeight w:val="235"/>
        </w:trPr>
        <w:tc>
          <w:tcPr>
            <w:tcW w:w="9040" w:type="dxa"/>
            <w:vAlign w:val="bottom"/>
          </w:tcPr>
          <w:p>
            <w:pPr>
              <w:ind w:left="320"/>
              <w:spacing w:after="0"/>
              <w:rPr>
                <w:sz w:val="20"/>
                <w:szCs w:val="20"/>
                <w:color w:val="auto"/>
              </w:rPr>
            </w:pPr>
            <w:r>
              <w:rPr>
                <w:rFonts w:ascii="Arial" w:cs="Arial" w:eastAsia="Arial" w:hAnsi="Arial"/>
                <w:sz w:val="18"/>
                <w:szCs w:val="18"/>
                <w:color w:val="auto"/>
              </w:rPr>
              <w:t>Net income (loss)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408</w:t>
            </w:r>
          </w:p>
        </w:tc>
        <w:tc>
          <w:tcPr>
            <w:tcW w:w="2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(9,967)</w:t>
            </w:r>
          </w:p>
        </w:tc>
      </w:tr>
      <w:tr>
        <w:trPr>
          <w:trHeight w:val="235"/>
        </w:trPr>
        <w:tc>
          <w:tcPr>
            <w:tcW w:w="90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Adjustments to reconcile net income (loss)</w:t>
            </w:r>
          </w:p>
        </w:tc>
        <w:tc>
          <w:tcPr>
            <w:tcW w:w="380" w:type="dxa"/>
            <w:vAlign w:val="bottom"/>
            <w:shd w:val="clear" w:color="auto" w:fill="C0C0C0"/>
          </w:tcPr>
          <w:p>
            <w:pPr>
              <w:spacing w:after="0"/>
              <w:rPr>
                <w:sz w:val="20"/>
                <w:szCs w:val="20"/>
                <w:color w:val="auto"/>
              </w:rPr>
            </w:pPr>
          </w:p>
        </w:tc>
        <w:tc>
          <w:tcPr>
            <w:tcW w:w="68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400" w:type="dxa"/>
            <w:vAlign w:val="bottom"/>
            <w:shd w:val="clear" w:color="auto" w:fill="C0C0C0"/>
          </w:tcPr>
          <w:p>
            <w:pPr>
              <w:spacing w:after="0"/>
              <w:rPr>
                <w:sz w:val="20"/>
                <w:szCs w:val="20"/>
                <w:color w:val="auto"/>
              </w:rPr>
            </w:pPr>
          </w:p>
        </w:tc>
        <w:tc>
          <w:tcPr>
            <w:tcW w:w="660" w:type="dxa"/>
            <w:vAlign w:val="bottom"/>
            <w:shd w:val="clear" w:color="auto" w:fill="C0C0C0"/>
          </w:tcPr>
          <w:p>
            <w:pPr>
              <w:spacing w:after="0"/>
              <w:rPr>
                <w:sz w:val="20"/>
                <w:szCs w:val="20"/>
                <w:color w:val="auto"/>
              </w:rPr>
            </w:pPr>
          </w:p>
        </w:tc>
      </w:tr>
      <w:tr>
        <w:trPr>
          <w:trHeight w:val="259"/>
        </w:trPr>
        <w:tc>
          <w:tcPr>
            <w:tcW w:w="9040" w:type="dxa"/>
            <w:vAlign w:val="bottom"/>
            <w:shd w:val="clear" w:color="auto" w:fill="C0C0C0"/>
          </w:tcPr>
          <w:p>
            <w:pPr>
              <w:ind w:left="620"/>
              <w:spacing w:after="0"/>
              <w:rPr>
                <w:sz w:val="20"/>
                <w:szCs w:val="20"/>
                <w:color w:val="auto"/>
              </w:rPr>
            </w:pPr>
            <w:r>
              <w:rPr>
                <w:rFonts w:ascii="Arial" w:cs="Arial" w:eastAsia="Arial" w:hAnsi="Arial"/>
                <w:sz w:val="18"/>
                <w:szCs w:val="18"/>
                <w:color w:val="auto"/>
              </w:rPr>
              <w:t>to net cash provided by operating activities:</w:t>
            </w:r>
          </w:p>
        </w:tc>
        <w:tc>
          <w:tcPr>
            <w:tcW w:w="380" w:type="dxa"/>
            <w:vAlign w:val="bottom"/>
            <w:shd w:val="clear" w:color="auto" w:fill="C0C0C0"/>
          </w:tcPr>
          <w:p>
            <w:pPr>
              <w:spacing w:after="0"/>
              <w:rPr>
                <w:sz w:val="22"/>
                <w:szCs w:val="22"/>
                <w:color w:val="auto"/>
              </w:rPr>
            </w:pPr>
          </w:p>
        </w:tc>
        <w:tc>
          <w:tcPr>
            <w:tcW w:w="680" w:type="dxa"/>
            <w:vAlign w:val="bottom"/>
            <w:shd w:val="clear" w:color="auto" w:fill="C0C0C0"/>
          </w:tcPr>
          <w:p>
            <w:pPr>
              <w:spacing w:after="0"/>
              <w:rPr>
                <w:sz w:val="22"/>
                <w:szCs w:val="22"/>
                <w:color w:val="auto"/>
              </w:rPr>
            </w:pPr>
          </w:p>
        </w:tc>
        <w:tc>
          <w:tcPr>
            <w:tcW w:w="260" w:type="dxa"/>
            <w:vAlign w:val="bottom"/>
            <w:shd w:val="clear" w:color="auto" w:fill="C0C0C0"/>
          </w:tcPr>
          <w:p>
            <w:pPr>
              <w:spacing w:after="0"/>
              <w:rPr>
                <w:sz w:val="22"/>
                <w:szCs w:val="22"/>
                <w:color w:val="auto"/>
              </w:rPr>
            </w:pPr>
          </w:p>
        </w:tc>
        <w:tc>
          <w:tcPr>
            <w:tcW w:w="400" w:type="dxa"/>
            <w:vAlign w:val="bottom"/>
            <w:shd w:val="clear" w:color="auto" w:fill="C0C0C0"/>
          </w:tcPr>
          <w:p>
            <w:pPr>
              <w:spacing w:after="0"/>
              <w:rPr>
                <w:sz w:val="22"/>
                <w:szCs w:val="22"/>
                <w:color w:val="auto"/>
              </w:rPr>
            </w:pPr>
          </w:p>
        </w:tc>
        <w:tc>
          <w:tcPr>
            <w:tcW w:w="660" w:type="dxa"/>
            <w:vAlign w:val="bottom"/>
            <w:shd w:val="clear" w:color="auto" w:fill="C0C0C0"/>
          </w:tcPr>
          <w:p>
            <w:pPr>
              <w:spacing w:after="0"/>
              <w:rPr>
                <w:sz w:val="22"/>
                <w:szCs w:val="22"/>
                <w:color w:val="auto"/>
              </w:rPr>
            </w:pPr>
          </w:p>
        </w:tc>
      </w:tr>
      <w:tr>
        <w:trPr>
          <w:trHeight w:val="235"/>
        </w:trPr>
        <w:tc>
          <w:tcPr>
            <w:tcW w:w="9040" w:type="dxa"/>
            <w:vAlign w:val="bottom"/>
          </w:tcPr>
          <w:p>
            <w:pPr>
              <w:ind w:left="122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0"/>
                <w:szCs w:val="20"/>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w w:val="98"/>
              </w:rPr>
              <w:t>22,424</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w w:val="94"/>
              </w:rPr>
              <w:t>21,725</w:t>
            </w:r>
          </w:p>
        </w:tc>
      </w:tr>
      <w:tr>
        <w:trPr>
          <w:trHeight w:val="251"/>
        </w:trPr>
        <w:tc>
          <w:tcPr>
            <w:tcW w:w="9040" w:type="dxa"/>
            <w:vAlign w:val="bottom"/>
            <w:shd w:val="clear" w:color="auto" w:fill="C0C0C0"/>
          </w:tcPr>
          <w:p>
            <w:pPr>
              <w:ind w:left="1220"/>
              <w:spacing w:after="0"/>
              <w:rPr>
                <w:sz w:val="20"/>
                <w:szCs w:val="20"/>
                <w:color w:val="auto"/>
              </w:rPr>
            </w:pPr>
            <w:r>
              <w:rPr>
                <w:rFonts w:ascii="Arial" w:cs="Arial" w:eastAsia="Arial" w:hAnsi="Arial"/>
                <w:sz w:val="18"/>
                <w:szCs w:val="18"/>
                <w:color w:val="auto"/>
              </w:rPr>
              <w:t>Consolidation, restructuring and related charges</w:t>
            </w:r>
          </w:p>
        </w:tc>
        <w:tc>
          <w:tcPr>
            <w:tcW w:w="380" w:type="dxa"/>
            <w:vAlign w:val="bottom"/>
            <w:shd w:val="clear" w:color="auto" w:fill="C0C0C0"/>
          </w:tcPr>
          <w:p>
            <w:pPr>
              <w:spacing w:after="0"/>
              <w:rPr>
                <w:sz w:val="21"/>
                <w:szCs w:val="21"/>
                <w:color w:val="auto"/>
              </w:rPr>
            </w:pPr>
          </w:p>
        </w:tc>
        <w:tc>
          <w:tcPr>
            <w:tcW w:w="6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66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1,680</w:t>
            </w:r>
          </w:p>
        </w:tc>
      </w:tr>
      <w:tr>
        <w:trPr>
          <w:trHeight w:val="235"/>
        </w:trPr>
        <w:tc>
          <w:tcPr>
            <w:tcW w:w="9040" w:type="dxa"/>
            <w:vAlign w:val="bottom"/>
          </w:tcPr>
          <w:p>
            <w:pPr>
              <w:ind w:left="1220"/>
              <w:spacing w:after="0"/>
              <w:rPr>
                <w:sz w:val="20"/>
                <w:szCs w:val="20"/>
                <w:color w:val="auto"/>
              </w:rPr>
            </w:pPr>
            <w:r>
              <w:rPr>
                <w:rFonts w:ascii="Arial" w:cs="Arial" w:eastAsia="Arial" w:hAnsi="Arial"/>
                <w:sz w:val="18"/>
                <w:szCs w:val="18"/>
                <w:color w:val="auto"/>
              </w:rPr>
              <w:t>Changes in assets and liabilities:</w:t>
            </w: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51"/>
        </w:trPr>
        <w:tc>
          <w:tcPr>
            <w:tcW w:w="9040" w:type="dxa"/>
            <w:vAlign w:val="bottom"/>
            <w:shd w:val="clear" w:color="auto" w:fill="C0C0C0"/>
          </w:tcPr>
          <w:p>
            <w:pPr>
              <w:ind w:left="1520"/>
              <w:spacing w:after="0"/>
              <w:rPr>
                <w:sz w:val="20"/>
                <w:szCs w:val="20"/>
                <w:color w:val="auto"/>
              </w:rPr>
            </w:pPr>
            <w:r>
              <w:rPr>
                <w:rFonts w:ascii="Arial" w:cs="Arial" w:eastAsia="Arial" w:hAnsi="Arial"/>
                <w:sz w:val="18"/>
                <w:szCs w:val="18"/>
                <w:color w:val="auto"/>
              </w:rPr>
              <w:t>Accounts receivable</w:t>
            </w:r>
          </w:p>
        </w:tc>
        <w:tc>
          <w:tcPr>
            <w:tcW w:w="38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(5,349)</w:t>
            </w:r>
          </w:p>
        </w:tc>
        <w:tc>
          <w:tcPr>
            <w:tcW w:w="26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66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153</w:t>
            </w:r>
          </w:p>
        </w:tc>
      </w:tr>
      <w:tr>
        <w:trPr>
          <w:trHeight w:val="235"/>
        </w:trPr>
        <w:tc>
          <w:tcPr>
            <w:tcW w:w="9040" w:type="dxa"/>
            <w:vAlign w:val="bottom"/>
          </w:tcPr>
          <w:p>
            <w:pPr>
              <w:ind w:left="1520"/>
              <w:spacing w:after="0"/>
              <w:rPr>
                <w:sz w:val="20"/>
                <w:szCs w:val="20"/>
                <w:color w:val="auto"/>
              </w:rPr>
            </w:pPr>
            <w:r>
              <w:rPr>
                <w:rFonts w:ascii="Arial" w:cs="Arial" w:eastAsia="Arial" w:hAnsi="Arial"/>
                <w:sz w:val="18"/>
                <w:szCs w:val="18"/>
                <w:color w:val="auto"/>
              </w:rPr>
              <w:t>Inventories</w:t>
            </w:r>
          </w:p>
        </w:tc>
        <w:tc>
          <w:tcPr>
            <w:tcW w:w="3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(743)</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(1,524)</w:t>
            </w:r>
          </w:p>
        </w:tc>
      </w:tr>
      <w:tr>
        <w:trPr>
          <w:trHeight w:val="251"/>
        </w:trPr>
        <w:tc>
          <w:tcPr>
            <w:tcW w:w="9040" w:type="dxa"/>
            <w:vAlign w:val="bottom"/>
            <w:shd w:val="clear" w:color="auto" w:fill="C0C0C0"/>
          </w:tcPr>
          <w:p>
            <w:pPr>
              <w:ind w:left="1520"/>
              <w:spacing w:after="0"/>
              <w:rPr>
                <w:sz w:val="20"/>
                <w:szCs w:val="20"/>
                <w:color w:val="auto"/>
              </w:rPr>
            </w:pPr>
            <w:r>
              <w:rPr>
                <w:rFonts w:ascii="Arial" w:cs="Arial" w:eastAsia="Arial" w:hAnsi="Arial"/>
                <w:sz w:val="18"/>
                <w:szCs w:val="18"/>
                <w:color w:val="auto"/>
              </w:rPr>
              <w:t>Other current assets</w:t>
            </w:r>
          </w:p>
        </w:tc>
        <w:tc>
          <w:tcPr>
            <w:tcW w:w="38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(4,642)</w:t>
            </w:r>
          </w:p>
        </w:tc>
        <w:tc>
          <w:tcPr>
            <w:tcW w:w="26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(1,200)</w:t>
            </w:r>
          </w:p>
        </w:tc>
      </w:tr>
      <w:tr>
        <w:trPr>
          <w:trHeight w:val="237"/>
        </w:trPr>
        <w:tc>
          <w:tcPr>
            <w:tcW w:w="9040" w:type="dxa"/>
            <w:vAlign w:val="bottom"/>
            <w:tcBorders>
              <w:bottom w:val="single" w:sz="8" w:color="C0C0C0"/>
            </w:tcBorders>
          </w:tcPr>
          <w:p>
            <w:pPr>
              <w:ind w:left="1520"/>
              <w:spacing w:after="0"/>
              <w:rPr>
                <w:sz w:val="20"/>
                <w:szCs w:val="20"/>
                <w:color w:val="auto"/>
              </w:rPr>
            </w:pPr>
            <w:r>
              <w:rPr>
                <w:rFonts w:ascii="Arial" w:cs="Arial" w:eastAsia="Arial" w:hAnsi="Arial"/>
                <w:sz w:val="18"/>
                <w:szCs w:val="18"/>
                <w:color w:val="auto"/>
              </w:rPr>
              <w:t>Accounts payable, accrued liabilities, and other</w:t>
            </w:r>
          </w:p>
        </w:tc>
        <w:tc>
          <w:tcPr>
            <w:tcW w:w="3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4,317</w:t>
            </w:r>
          </w:p>
        </w:tc>
        <w:tc>
          <w:tcPr>
            <w:tcW w:w="260" w:type="dxa"/>
            <w:vAlign w:val="bottom"/>
            <w:tcBorders>
              <w:bottom w:val="single" w:sz="8" w:color="C0C0C0"/>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(2,878)</w:t>
            </w:r>
          </w:p>
        </w:tc>
      </w:tr>
      <w:tr>
        <w:trPr>
          <w:trHeight w:val="243"/>
        </w:trPr>
        <w:tc>
          <w:tcPr>
            <w:tcW w:w="9040" w:type="dxa"/>
            <w:vAlign w:val="bottom"/>
            <w:shd w:val="clear" w:color="auto" w:fill="C0C0C0"/>
          </w:tcPr>
          <w:p>
            <w:pPr>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w w:val="98"/>
              </w:rPr>
              <w:t>16,415</w:t>
            </w:r>
          </w:p>
        </w:tc>
        <w:tc>
          <w:tcPr>
            <w:tcW w:w="260" w:type="dxa"/>
            <w:vAlign w:val="bottom"/>
            <w:shd w:val="clear" w:color="auto" w:fill="C0C0C0"/>
          </w:tcPr>
          <w:p>
            <w:pPr>
              <w:spacing w:after="0"/>
              <w:rPr>
                <w:sz w:val="21"/>
                <w:szCs w:val="21"/>
                <w:color w:val="auto"/>
              </w:rPr>
            </w:pPr>
          </w:p>
        </w:tc>
        <w:tc>
          <w:tcPr>
            <w:tcW w:w="400" w:type="dxa"/>
            <w:vAlign w:val="bottom"/>
            <w:tcBorders>
              <w:bottom w:val="single" w:sz="8" w:color="auto"/>
            </w:tcBorders>
            <w:shd w:val="clear" w:color="auto" w:fill="C0C0C0"/>
          </w:tcPr>
          <w:p>
            <w:pPr>
              <w:spacing w:after="0"/>
              <w:rPr>
                <w:sz w:val="21"/>
                <w:szCs w:val="21"/>
                <w:color w:val="auto"/>
              </w:rPr>
            </w:pPr>
          </w:p>
        </w:tc>
        <w:tc>
          <w:tcPr>
            <w:tcW w:w="66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7,989</w:t>
            </w:r>
          </w:p>
        </w:tc>
      </w:tr>
      <w:tr>
        <w:trPr>
          <w:trHeight w:val="215"/>
        </w:trPr>
        <w:tc>
          <w:tcPr>
            <w:tcW w:w="90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51"/>
        </w:trPr>
        <w:tc>
          <w:tcPr>
            <w:tcW w:w="90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Purchases of property, plant and equipment</w:t>
            </w:r>
          </w:p>
        </w:tc>
        <w:tc>
          <w:tcPr>
            <w:tcW w:w="38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9"/>
              </w:rPr>
              <w:t>(21,457)</w:t>
            </w:r>
          </w:p>
        </w:tc>
        <w:tc>
          <w:tcPr>
            <w:tcW w:w="26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6"/>
              </w:rPr>
              <w:t>(12,789)</w:t>
            </w:r>
          </w:p>
        </w:tc>
      </w:tr>
      <w:tr>
        <w:trPr>
          <w:trHeight w:val="235"/>
        </w:trPr>
        <w:tc>
          <w:tcPr>
            <w:tcW w:w="9040" w:type="dxa"/>
            <w:vAlign w:val="bottom"/>
          </w:tcPr>
          <w:p>
            <w:pPr>
              <w:ind w:left="320"/>
              <w:spacing w:after="0"/>
              <w:rPr>
                <w:sz w:val="20"/>
                <w:szCs w:val="20"/>
                <w:color w:val="auto"/>
              </w:rPr>
            </w:pPr>
            <w:r>
              <w:rPr>
                <w:rFonts w:ascii="Arial" w:cs="Arial" w:eastAsia="Arial" w:hAnsi="Arial"/>
                <w:sz w:val="18"/>
                <w:szCs w:val="18"/>
                <w:color w:val="auto"/>
              </w:rPr>
              <w:t>Cash deposit received on sale of facility</w:t>
            </w:r>
          </w:p>
        </w:tc>
        <w:tc>
          <w:tcPr>
            <w:tcW w:w="380" w:type="dxa"/>
            <w:vAlign w:val="bottom"/>
          </w:tcPr>
          <w:p>
            <w:pPr>
              <w:spacing w:after="0"/>
              <w:rPr>
                <w:sz w:val="20"/>
                <w:szCs w:val="20"/>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4,190</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51"/>
        </w:trPr>
        <w:tc>
          <w:tcPr>
            <w:tcW w:w="90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Increase in restricted cash</w:t>
            </w:r>
          </w:p>
        </w:tc>
        <w:tc>
          <w:tcPr>
            <w:tcW w:w="38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(1,250)</w:t>
            </w:r>
          </w:p>
        </w:tc>
        <w:tc>
          <w:tcPr>
            <w:tcW w:w="26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66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r>
      <w:tr>
        <w:trPr>
          <w:trHeight w:val="237"/>
        </w:trPr>
        <w:tc>
          <w:tcPr>
            <w:tcW w:w="904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Proceeds from sales of short-term investments and other</w:t>
            </w:r>
          </w:p>
        </w:tc>
        <w:tc>
          <w:tcPr>
            <w:tcW w:w="3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43</w:t>
            </w:r>
          </w:p>
        </w:tc>
        <w:tc>
          <w:tcPr>
            <w:tcW w:w="260" w:type="dxa"/>
            <w:vAlign w:val="bottom"/>
            <w:tcBorders>
              <w:bottom w:val="single" w:sz="8" w:color="C0C0C0"/>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858</w:t>
            </w:r>
          </w:p>
        </w:tc>
      </w:tr>
      <w:tr>
        <w:trPr>
          <w:trHeight w:val="243"/>
        </w:trPr>
        <w:tc>
          <w:tcPr>
            <w:tcW w:w="9040" w:type="dxa"/>
            <w:vAlign w:val="bottom"/>
            <w:shd w:val="clear" w:color="auto" w:fill="C0C0C0"/>
          </w:tcPr>
          <w:p>
            <w:pPr>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89"/>
              </w:rPr>
              <w:t>(18,474)</w:t>
            </w:r>
          </w:p>
        </w:tc>
        <w:tc>
          <w:tcPr>
            <w:tcW w:w="260" w:type="dxa"/>
            <w:vAlign w:val="bottom"/>
            <w:shd w:val="clear" w:color="auto" w:fill="C0C0C0"/>
          </w:tcPr>
          <w:p>
            <w:pPr>
              <w:spacing w:after="0"/>
              <w:rPr>
                <w:sz w:val="21"/>
                <w:szCs w:val="21"/>
                <w:color w:val="auto"/>
              </w:rPr>
            </w:pPr>
          </w:p>
        </w:tc>
        <w:tc>
          <w:tcPr>
            <w:tcW w:w="400" w:type="dxa"/>
            <w:vAlign w:val="bottom"/>
            <w:tcBorders>
              <w:bottom w:val="single" w:sz="8" w:color="auto"/>
            </w:tcBorders>
            <w:shd w:val="clear" w:color="auto" w:fill="C0C0C0"/>
          </w:tcPr>
          <w:p>
            <w:pPr>
              <w:spacing w:after="0"/>
              <w:rPr>
                <w:sz w:val="21"/>
                <w:szCs w:val="21"/>
                <w:color w:val="auto"/>
              </w:rPr>
            </w:pPr>
          </w:p>
        </w:tc>
        <w:tc>
          <w:tcPr>
            <w:tcW w:w="6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86"/>
              </w:rPr>
              <w:t>(11,931)</w:t>
            </w:r>
          </w:p>
        </w:tc>
      </w:tr>
      <w:tr>
        <w:trPr>
          <w:trHeight w:val="215"/>
        </w:trPr>
        <w:tc>
          <w:tcPr>
            <w:tcW w:w="90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51"/>
        </w:trPr>
        <w:tc>
          <w:tcPr>
            <w:tcW w:w="90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Repayments of long-term borrowings</w:t>
            </w:r>
          </w:p>
        </w:tc>
        <w:tc>
          <w:tcPr>
            <w:tcW w:w="38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(7,250)</w:t>
            </w:r>
          </w:p>
        </w:tc>
        <w:tc>
          <w:tcPr>
            <w:tcW w:w="26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(3,607)</w:t>
            </w:r>
          </w:p>
        </w:tc>
      </w:tr>
      <w:tr>
        <w:trPr>
          <w:trHeight w:val="235"/>
        </w:trPr>
        <w:tc>
          <w:tcPr>
            <w:tcW w:w="9040" w:type="dxa"/>
            <w:vAlign w:val="bottom"/>
          </w:tcPr>
          <w:p>
            <w:pPr>
              <w:ind w:left="320"/>
              <w:spacing w:after="0"/>
              <w:rPr>
                <w:sz w:val="20"/>
                <w:szCs w:val="20"/>
                <w:color w:val="auto"/>
              </w:rPr>
            </w:pPr>
            <w:r>
              <w:rPr>
                <w:rFonts w:ascii="Arial" w:cs="Arial" w:eastAsia="Arial" w:hAnsi="Arial"/>
                <w:sz w:val="18"/>
                <w:szCs w:val="18"/>
                <w:color w:val="auto"/>
              </w:rPr>
              <w:t>Proceeds from long-term borrowings</w:t>
            </w:r>
          </w:p>
        </w:tc>
        <w:tc>
          <w:tcPr>
            <w:tcW w:w="380" w:type="dxa"/>
            <w:vAlign w:val="bottom"/>
          </w:tcPr>
          <w:p>
            <w:pPr>
              <w:spacing w:after="0"/>
              <w:rPr>
                <w:sz w:val="20"/>
                <w:szCs w:val="20"/>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3,822</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51"/>
        </w:trPr>
        <w:tc>
          <w:tcPr>
            <w:tcW w:w="90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Payments of deferred financing fees</w:t>
            </w:r>
          </w:p>
        </w:tc>
        <w:tc>
          <w:tcPr>
            <w:tcW w:w="380" w:type="dxa"/>
            <w:vAlign w:val="bottom"/>
            <w:shd w:val="clear" w:color="auto" w:fill="C0C0C0"/>
          </w:tcPr>
          <w:p>
            <w:pPr>
              <w:spacing w:after="0"/>
              <w:rPr>
                <w:sz w:val="21"/>
                <w:szCs w:val="21"/>
                <w:color w:val="auto"/>
              </w:rPr>
            </w:pPr>
          </w:p>
        </w:tc>
        <w:tc>
          <w:tcPr>
            <w:tcW w:w="68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(1,913)</w:t>
            </w:r>
          </w:p>
        </w:tc>
      </w:tr>
      <w:tr>
        <w:trPr>
          <w:trHeight w:val="237"/>
        </w:trPr>
        <w:tc>
          <w:tcPr>
            <w:tcW w:w="904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30</w:t>
            </w:r>
          </w:p>
        </w:tc>
        <w:tc>
          <w:tcPr>
            <w:tcW w:w="260" w:type="dxa"/>
            <w:vAlign w:val="bottom"/>
            <w:tcBorders>
              <w:bottom w:val="single" w:sz="8" w:color="C0C0C0"/>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9040" w:type="dxa"/>
            <w:vAlign w:val="bottom"/>
            <w:shd w:val="clear" w:color="auto" w:fill="C0C0C0"/>
          </w:tcPr>
          <w:p>
            <w:pPr>
              <w:spacing w:after="0"/>
              <w:rPr>
                <w:sz w:val="20"/>
                <w:szCs w:val="20"/>
                <w:color w:val="auto"/>
              </w:rPr>
            </w:pPr>
            <w:r>
              <w:rPr>
                <w:rFonts w:ascii="Arial" w:cs="Arial" w:eastAsia="Arial" w:hAnsi="Arial"/>
                <w:sz w:val="18"/>
                <w:szCs w:val="18"/>
                <w:color w:val="auto"/>
              </w:rPr>
              <w:t>Net cash used in financing activities</w:t>
            </w:r>
          </w:p>
        </w:tc>
        <w:tc>
          <w:tcPr>
            <w:tcW w:w="38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(3,398)</w:t>
            </w:r>
          </w:p>
        </w:tc>
        <w:tc>
          <w:tcPr>
            <w:tcW w:w="260" w:type="dxa"/>
            <w:vAlign w:val="bottom"/>
            <w:shd w:val="clear" w:color="auto" w:fill="C0C0C0"/>
          </w:tcPr>
          <w:p>
            <w:pPr>
              <w:spacing w:after="0"/>
              <w:rPr>
                <w:sz w:val="21"/>
                <w:szCs w:val="21"/>
                <w:color w:val="auto"/>
              </w:rPr>
            </w:pPr>
          </w:p>
        </w:tc>
        <w:tc>
          <w:tcPr>
            <w:tcW w:w="400" w:type="dxa"/>
            <w:vAlign w:val="bottom"/>
            <w:tcBorders>
              <w:bottom w:val="single" w:sz="8" w:color="auto"/>
            </w:tcBorders>
            <w:shd w:val="clear" w:color="auto" w:fill="C0C0C0"/>
          </w:tcPr>
          <w:p>
            <w:pPr>
              <w:spacing w:after="0"/>
              <w:rPr>
                <w:sz w:val="21"/>
                <w:szCs w:val="21"/>
                <w:color w:val="auto"/>
              </w:rPr>
            </w:pPr>
          </w:p>
        </w:tc>
        <w:tc>
          <w:tcPr>
            <w:tcW w:w="6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(5,520)</w:t>
            </w:r>
          </w:p>
        </w:tc>
      </w:tr>
      <w:tr>
        <w:trPr>
          <w:trHeight w:val="230"/>
        </w:trPr>
        <w:tc>
          <w:tcPr>
            <w:tcW w:w="904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Effect of exchange rate changes on cash</w:t>
            </w:r>
          </w:p>
        </w:tc>
        <w:tc>
          <w:tcPr>
            <w:tcW w:w="3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1,319</w:t>
            </w:r>
          </w:p>
        </w:tc>
        <w:tc>
          <w:tcPr>
            <w:tcW w:w="260" w:type="dxa"/>
            <w:vAlign w:val="bottom"/>
            <w:tcBorders>
              <w:bottom w:val="single" w:sz="8" w:color="C0C0C0"/>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(2,792)</w:t>
            </w:r>
          </w:p>
        </w:tc>
      </w:tr>
      <w:tr>
        <w:trPr>
          <w:trHeight w:val="243"/>
        </w:trPr>
        <w:tc>
          <w:tcPr>
            <w:tcW w:w="9040" w:type="dxa"/>
            <w:vAlign w:val="bottom"/>
            <w:shd w:val="clear" w:color="auto" w:fill="C0C0C0"/>
          </w:tcPr>
          <w:p>
            <w:pPr>
              <w:spacing w:after="0"/>
              <w:rPr>
                <w:sz w:val="20"/>
                <w:szCs w:val="20"/>
                <w:color w:val="auto"/>
              </w:rPr>
            </w:pPr>
            <w:r>
              <w:rPr>
                <w:rFonts w:ascii="Arial" w:cs="Arial" w:eastAsia="Arial" w:hAnsi="Arial"/>
                <w:sz w:val="18"/>
                <w:szCs w:val="18"/>
                <w:color w:val="auto"/>
              </w:rPr>
              <w:t>Net decrease in cash and cash equivalents</w:t>
            </w:r>
          </w:p>
        </w:tc>
        <w:tc>
          <w:tcPr>
            <w:tcW w:w="380" w:type="dxa"/>
            <w:vAlign w:val="bottom"/>
            <w:shd w:val="clear" w:color="auto" w:fill="C0C0C0"/>
          </w:tcPr>
          <w:p>
            <w:pPr>
              <w:spacing w:after="0"/>
              <w:rPr>
                <w:sz w:val="21"/>
                <w:szCs w:val="21"/>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(4,138)</w:t>
            </w:r>
          </w:p>
        </w:tc>
        <w:tc>
          <w:tcPr>
            <w:tcW w:w="26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6"/>
              </w:rPr>
              <w:t>(12,254)</w:t>
            </w:r>
          </w:p>
        </w:tc>
      </w:tr>
      <w:tr>
        <w:trPr>
          <w:trHeight w:val="237"/>
        </w:trPr>
        <w:tc>
          <w:tcPr>
            <w:tcW w:w="904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3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8"/>
              </w:rPr>
              <w:t>88,539</w:t>
            </w:r>
          </w:p>
        </w:tc>
        <w:tc>
          <w:tcPr>
            <w:tcW w:w="260" w:type="dxa"/>
            <w:vAlign w:val="bottom"/>
            <w:tcBorders>
              <w:bottom w:val="single" w:sz="8" w:color="C0C0C0"/>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4"/>
              </w:rPr>
              <w:t>83,763</w:t>
            </w:r>
          </w:p>
        </w:tc>
      </w:tr>
      <w:tr>
        <w:trPr>
          <w:trHeight w:val="250"/>
        </w:trPr>
        <w:tc>
          <w:tcPr>
            <w:tcW w:w="904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Cash and cash equivalents at end of period</w:t>
            </w:r>
          </w:p>
        </w:tc>
        <w:tc>
          <w:tcPr>
            <w:tcW w:w="3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w w:val="98"/>
              </w:rPr>
              <w:t>84,401</w:t>
            </w:r>
          </w:p>
        </w:tc>
        <w:tc>
          <w:tcPr>
            <w:tcW w:w="260" w:type="dxa"/>
            <w:vAlign w:val="bottom"/>
            <w:tcBorders>
              <w:bottom w:val="single" w:sz="8" w:color="C0C0C0"/>
            </w:tcBorders>
            <w:shd w:val="clear" w:color="auto" w:fill="C0C0C0"/>
          </w:tcPr>
          <w:p>
            <w:pPr>
              <w:spacing w:after="0"/>
              <w:rPr>
                <w:sz w:val="21"/>
                <w:szCs w:val="21"/>
                <w:color w:val="auto"/>
              </w:rPr>
            </w:pPr>
          </w:p>
        </w:tc>
        <w:tc>
          <w:tcPr>
            <w:tcW w:w="4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w w:val="94"/>
              </w:rPr>
              <w:t>71,509</w:t>
            </w:r>
          </w:p>
        </w:tc>
      </w:tr>
      <w:tr>
        <w:trPr>
          <w:trHeight w:val="243"/>
        </w:trPr>
        <w:tc>
          <w:tcPr>
            <w:tcW w:w="9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43"/>
        </w:trPr>
        <w:tc>
          <w:tcPr>
            <w:tcW w:w="9040" w:type="dxa"/>
            <w:vAlign w:val="bottom"/>
            <w:shd w:val="clear" w:color="auto" w:fill="C0C0C0"/>
          </w:tcPr>
          <w:p>
            <w:pPr>
              <w:spacing w:after="0"/>
              <w:rPr>
                <w:sz w:val="20"/>
                <w:szCs w:val="20"/>
                <w:color w:val="auto"/>
              </w:rPr>
            </w:pPr>
            <w:r>
              <w:rPr>
                <w:rFonts w:ascii="Arial" w:cs="Arial" w:eastAsia="Arial" w:hAnsi="Arial"/>
                <w:sz w:val="18"/>
                <w:szCs w:val="18"/>
                <w:color w:val="auto"/>
              </w:rPr>
              <w:t>Supplemental disclosure of cash flow information:</w:t>
            </w:r>
          </w:p>
        </w:tc>
        <w:tc>
          <w:tcPr>
            <w:tcW w:w="38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r>
      <w:tr>
        <w:trPr>
          <w:trHeight w:val="243"/>
        </w:trPr>
        <w:tc>
          <w:tcPr>
            <w:tcW w:w="9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28"/>
        </w:trPr>
        <w:tc>
          <w:tcPr>
            <w:tcW w:w="90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Change in accrual for purchases of property, plant</w:t>
            </w:r>
          </w:p>
        </w:tc>
        <w:tc>
          <w:tcPr>
            <w:tcW w:w="380" w:type="dxa"/>
            <w:vAlign w:val="bottom"/>
            <w:shd w:val="clear" w:color="auto" w:fill="C0C0C0"/>
          </w:tcPr>
          <w:p>
            <w:pPr>
              <w:spacing w:after="0"/>
              <w:rPr>
                <w:sz w:val="19"/>
                <w:szCs w:val="19"/>
                <w:color w:val="auto"/>
              </w:rPr>
            </w:pPr>
          </w:p>
        </w:tc>
        <w:tc>
          <w:tcPr>
            <w:tcW w:w="68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400" w:type="dxa"/>
            <w:vAlign w:val="bottom"/>
            <w:shd w:val="clear" w:color="auto" w:fill="C0C0C0"/>
          </w:tcPr>
          <w:p>
            <w:pPr>
              <w:spacing w:after="0"/>
              <w:rPr>
                <w:sz w:val="19"/>
                <w:szCs w:val="19"/>
                <w:color w:val="auto"/>
              </w:rPr>
            </w:pPr>
          </w:p>
        </w:tc>
        <w:tc>
          <w:tcPr>
            <w:tcW w:w="660" w:type="dxa"/>
            <w:vAlign w:val="bottom"/>
            <w:shd w:val="clear" w:color="auto" w:fill="C0C0C0"/>
          </w:tcPr>
          <w:p>
            <w:pPr>
              <w:spacing w:after="0"/>
              <w:rPr>
                <w:sz w:val="19"/>
                <w:szCs w:val="19"/>
                <w:color w:val="auto"/>
              </w:rPr>
            </w:pPr>
          </w:p>
        </w:tc>
      </w:tr>
      <w:tr>
        <w:trPr>
          <w:trHeight w:val="259"/>
        </w:trPr>
        <w:tc>
          <w:tcPr>
            <w:tcW w:w="9040" w:type="dxa"/>
            <w:vAlign w:val="bottom"/>
            <w:shd w:val="clear" w:color="auto" w:fill="C0C0C0"/>
          </w:tcPr>
          <w:p>
            <w:pPr>
              <w:ind w:left="620"/>
              <w:spacing w:after="0"/>
              <w:rPr>
                <w:sz w:val="20"/>
                <w:szCs w:val="20"/>
                <w:color w:val="auto"/>
              </w:rPr>
            </w:pPr>
            <w:r>
              <w:rPr>
                <w:rFonts w:ascii="Arial" w:cs="Arial" w:eastAsia="Arial" w:hAnsi="Arial"/>
                <w:sz w:val="18"/>
                <w:szCs w:val="18"/>
                <w:color w:val="auto"/>
              </w:rPr>
              <w:t>and equipment</w:t>
            </w:r>
          </w:p>
        </w:tc>
        <w:tc>
          <w:tcPr>
            <w:tcW w:w="3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(227)</w:t>
            </w:r>
          </w:p>
        </w:tc>
        <w:tc>
          <w:tcPr>
            <w:tcW w:w="260" w:type="dxa"/>
            <w:vAlign w:val="bottom"/>
            <w:shd w:val="clear" w:color="auto" w:fill="C0C0C0"/>
          </w:tcPr>
          <w:p>
            <w:pPr>
              <w:spacing w:after="0"/>
              <w:rPr>
                <w:sz w:val="22"/>
                <w:szCs w:val="22"/>
                <w:color w:val="auto"/>
              </w:rPr>
            </w:pPr>
          </w:p>
        </w:tc>
        <w:tc>
          <w:tcPr>
            <w:tcW w:w="4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6"/>
              </w:rPr>
              <w:t>(11,204)</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PHOTRONICS,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January 31, 2010 and February 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FINANCIAL STATEMENT PRESENTATION</w:t>
      </w:r>
    </w:p>
    <w:p>
      <w:pPr>
        <w:spacing w:after="0" w:line="285" w:lineRule="exact"/>
        <w:rPr>
          <w:sz w:val="20"/>
          <w:szCs w:val="20"/>
          <w:color w:val="auto"/>
        </w:rPr>
      </w:pPr>
    </w:p>
    <w:p>
      <w:pPr>
        <w:ind w:right="80" w:firstLine="270"/>
        <w:spacing w:after="0" w:line="294" w:lineRule="auto"/>
        <w:rPr>
          <w:sz w:val="20"/>
          <w:szCs w:val="20"/>
          <w:color w:val="auto"/>
        </w:rPr>
      </w:pPr>
      <w:r>
        <w:rPr>
          <w:rFonts w:ascii="Arial" w:cs="Arial" w:eastAsia="Arial" w:hAnsi="Arial"/>
          <w:sz w:val="16"/>
          <w:szCs w:val="16"/>
          <w:color w:val="auto"/>
        </w:rPr>
        <w:t>Photronics, Inc. and its subsidiaries ("Photronics" or the "Company") is one of the world's leading manufacturers of photomasks, which are high precision photographic quartz plates containing microscopic images of electronic circuits. Photomasks are a key element in the manufacture of semiconductors and flat panel displays ("FPDs"), and are used as masters to transfer circuit patterns onto semiconductor wafers and flat panel substrates during the fabrication of integrated circuits ("ICs") and a variety of FPDs and, to a lesser extent, other types of electrical and optical components. The Company currently operates principally from nine manufacturing facilities, two of which are located in Europe, two in Taiwan, one in Korea, one in Singapore, and three in the United States.</w:t>
      </w:r>
    </w:p>
    <w:p>
      <w:pPr>
        <w:spacing w:after="0" w:line="224" w:lineRule="exact"/>
        <w:rPr>
          <w:sz w:val="20"/>
          <w:szCs w:val="20"/>
          <w:color w:val="auto"/>
        </w:rPr>
      </w:pPr>
    </w:p>
    <w:p>
      <w:pPr>
        <w:jc w:val="both"/>
        <w:ind w:right="40" w:firstLine="270"/>
        <w:spacing w:after="0" w:line="283"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of America for interim financial information and with the instructions to Form 10-Q and Article 10 of Regulation S-X. Accordingly, they do not include all of the information and footnotes required by accounting principles generally accepted in the United States of America for annual financial statements. In the opinion of management, all adjustments (consisting of normal recurring accruals) considered necessary for a fair presentation have been included.</w:t>
      </w:r>
    </w:p>
    <w:p>
      <w:pPr>
        <w:spacing w:after="0" w:line="3" w:lineRule="exact"/>
        <w:rPr>
          <w:sz w:val="20"/>
          <w:szCs w:val="20"/>
          <w:color w:val="auto"/>
        </w:rPr>
      </w:pPr>
    </w:p>
    <w:p>
      <w:pPr>
        <w:ind w:right="120"/>
        <w:spacing w:after="0" w:line="331" w:lineRule="auto"/>
        <w:rPr>
          <w:sz w:val="20"/>
          <w:szCs w:val="20"/>
          <w:color w:val="auto"/>
        </w:rPr>
      </w:pPr>
      <w:r>
        <w:rPr>
          <w:rFonts w:ascii="Arial" w:cs="Arial" w:eastAsia="Arial" w:hAnsi="Arial"/>
          <w:sz w:val="15"/>
          <w:szCs w:val="15"/>
          <w:color w:val="auto"/>
        </w:rPr>
        <w:t>Operating results for the interim period are not necessarily indicative of the results that may be expected for the fiscal year ending October 31, 2010. The Company has performed an evaluation of subsequent events through the date these financial statements were issued in Form 10-Q. For further information, refer to the consolidated financial statements and footnotes thereto included in the Company's Annual Report on Form 10-K for the year ended November 1, 2009.</w:t>
      </w:r>
    </w:p>
    <w:p>
      <w:pPr>
        <w:spacing w:after="0" w:line="198" w:lineRule="exact"/>
        <w:rPr>
          <w:sz w:val="20"/>
          <w:szCs w:val="20"/>
          <w:color w:val="auto"/>
        </w:rPr>
      </w:pPr>
    </w:p>
    <w:p>
      <w:pPr>
        <w:ind w:right="440" w:firstLine="270"/>
        <w:spacing w:after="0" w:line="268" w:lineRule="auto"/>
        <w:rPr>
          <w:sz w:val="20"/>
          <w:szCs w:val="20"/>
          <w:color w:val="auto"/>
        </w:rPr>
      </w:pPr>
      <w:r>
        <w:rPr>
          <w:rFonts w:ascii="Arial" w:cs="Arial" w:eastAsia="Arial" w:hAnsi="Arial"/>
          <w:sz w:val="18"/>
          <w:szCs w:val="18"/>
          <w:color w:val="auto"/>
        </w:rPr>
        <w:t>Certain amounts in the November 1, 2009 condensed consolidated financial statements were reclassified to conform with the current period presentation related to noncontrolling interests (see Note 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CHANGES IN EQUITY AND COMPREHENSIVE INCOME (LOSS)</w:t>
      </w:r>
    </w:p>
    <w:p>
      <w:pPr>
        <w:spacing w:after="0" w:line="285" w:lineRule="exact"/>
        <w:rPr>
          <w:sz w:val="20"/>
          <w:szCs w:val="20"/>
          <w:color w:val="auto"/>
        </w:rPr>
      </w:pPr>
    </w:p>
    <w:p>
      <w:pPr>
        <w:ind w:firstLine="270"/>
        <w:spacing w:after="0" w:line="291" w:lineRule="auto"/>
        <w:rPr>
          <w:sz w:val="20"/>
          <w:szCs w:val="20"/>
          <w:color w:val="auto"/>
        </w:rPr>
      </w:pPr>
      <w:r>
        <w:rPr>
          <w:rFonts w:ascii="Arial" w:cs="Arial" w:eastAsia="Arial" w:hAnsi="Arial"/>
          <w:sz w:val="16"/>
          <w:szCs w:val="16"/>
          <w:color w:val="auto"/>
        </w:rPr>
        <w:t>On November 2, 2009, the Company adopted new accounting standards for noncontrolling interests as set forth in the Consolidation Topic No. 810 of the Accounting Standards Codification. These standards require companies to classify expenses related to noncontrolling interests' share in income (loss) below net income (loss). Earnings per share continues to be determined after the impact of the noncontrolling interests' share in net income (loss) of the Company. In addition, these standards require noncontrolling interests to be presented as a separate caption within equity. The presentation and disclosure requirements of these standards were retrospectively applied. The adoption of these standards resulted in the reclassification of $49.9 million of noncontrolling interests in the condensed consolidated balance sheet to equity on November 2, 2009.</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 w:name="page8"/>
    <w:bookmarkEnd w:id="7"/>
    <w:p>
      <w:pPr>
        <w:ind w:left="280"/>
        <w:spacing w:after="0"/>
        <w:rPr>
          <w:sz w:val="20"/>
          <w:szCs w:val="20"/>
          <w:color w:val="auto"/>
        </w:rPr>
      </w:pPr>
      <w:r>
        <w:rPr>
          <w:rFonts w:ascii="Arial" w:cs="Arial" w:eastAsia="Arial" w:hAnsi="Arial"/>
          <w:sz w:val="16"/>
          <w:szCs w:val="16"/>
          <w:color w:val="auto"/>
        </w:rPr>
        <w:t>The following tables set forth the Company's consolidated changes in equity for the three months ended January 31, 2010, and February 1, 2009:</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40" w:type="dxa"/>
            <w:vAlign w:val="bottom"/>
            <w:gridSpan w:val="9"/>
          </w:tcPr>
          <w:p>
            <w:pPr>
              <w:jc w:val="center"/>
              <w:ind w:right="560"/>
              <w:spacing w:after="0"/>
              <w:rPr>
                <w:sz w:val="20"/>
                <w:szCs w:val="20"/>
                <w:color w:val="auto"/>
              </w:rPr>
            </w:pPr>
            <w:r>
              <w:rPr>
                <w:rFonts w:ascii="Arial" w:cs="Arial" w:eastAsia="Arial" w:hAnsi="Arial"/>
                <w:sz w:val="14"/>
                <w:szCs w:val="14"/>
                <w:b w:val="1"/>
                <w:bCs w:val="1"/>
                <w:color w:val="auto"/>
                <w:w w:val="88"/>
              </w:rPr>
              <w:t>Three Months Ended January 31, 2010</w:t>
            </w: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45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gridSpan w:val="5"/>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4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gridSpan w:val="5"/>
          </w:tcPr>
          <w:p>
            <w:pPr>
              <w:ind w:left="180"/>
              <w:spacing w:after="0"/>
              <w:rPr>
                <w:sz w:val="20"/>
                <w:szCs w:val="20"/>
                <w:color w:val="auto"/>
              </w:rPr>
            </w:pPr>
            <w:r>
              <w:rPr>
                <w:rFonts w:ascii="Arial" w:cs="Arial" w:eastAsia="Arial" w:hAnsi="Arial"/>
                <w:sz w:val="14"/>
                <w:szCs w:val="14"/>
                <w:b w:val="1"/>
                <w:bCs w:val="1"/>
                <w:color w:val="auto"/>
                <w:w w:val="85"/>
              </w:rPr>
              <w:t>Photronics, Inc. Shareholders</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45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3"/>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4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5"/>
              </w:rPr>
              <w:t>Accum-</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7"/>
              </w:rPr>
              <w:t>ulated</w:t>
            </w: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6"/>
              </w:rPr>
              <w:t>Other</w:t>
            </w: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tcPr>
          <w:p>
            <w:pPr>
              <w:spacing w:after="0"/>
              <w:rPr>
                <w:sz w:val="21"/>
                <w:szCs w:val="21"/>
                <w:color w:val="auto"/>
              </w:rPr>
            </w:pPr>
          </w:p>
        </w:tc>
        <w:tc>
          <w:tcPr>
            <w:tcW w:w="1460" w:type="dxa"/>
            <w:vAlign w:val="bottom"/>
            <w:gridSpan w:val="4"/>
          </w:tcPr>
          <w:p>
            <w:pPr>
              <w:ind w:left="160"/>
              <w:spacing w:after="0"/>
              <w:rPr>
                <w:sz w:val="20"/>
                <w:szCs w:val="20"/>
                <w:color w:val="auto"/>
              </w:rPr>
            </w:pPr>
            <w:r>
              <w:rPr>
                <w:rFonts w:ascii="Arial" w:cs="Arial" w:eastAsia="Arial" w:hAnsi="Arial"/>
                <w:sz w:val="14"/>
                <w:szCs w:val="14"/>
                <w:b w:val="1"/>
                <w:bCs w:val="1"/>
                <w:color w:val="auto"/>
              </w:rPr>
              <w:t>Common Stock</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Add'l</w:t>
            </w:r>
          </w:p>
        </w:tc>
        <w:tc>
          <w:tcPr>
            <w:tcW w:w="140" w:type="dxa"/>
            <w:vAlign w:val="bottom"/>
          </w:tcPr>
          <w:p>
            <w:pPr>
              <w:spacing w:after="0"/>
              <w:rPr>
                <w:sz w:val="21"/>
                <w:szCs w:val="21"/>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Accum-</w:t>
            </w:r>
          </w:p>
        </w:tc>
        <w:tc>
          <w:tcPr>
            <w:tcW w:w="9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0"/>
              </w:rPr>
              <w:t>Compre-</w:t>
            </w:r>
          </w:p>
        </w:tc>
        <w:tc>
          <w:tcPr>
            <w:tcW w:w="9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Total</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Non-</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45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Paid-in</w:t>
            </w:r>
          </w:p>
        </w:tc>
        <w:tc>
          <w:tcPr>
            <w:tcW w:w="140" w:type="dxa"/>
            <w:vAlign w:val="bottom"/>
          </w:tcPr>
          <w:p>
            <w:pPr>
              <w:spacing w:after="0"/>
              <w:rPr>
                <w:sz w:val="3"/>
                <w:szCs w:val="3"/>
                <w:color w:val="auto"/>
              </w:rPr>
            </w:pP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7"/>
              </w:rPr>
              <w:t>ulated</w:t>
            </w:r>
          </w:p>
        </w:tc>
        <w:tc>
          <w:tcPr>
            <w:tcW w:w="90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84"/>
              </w:rPr>
              <w:t>hensive</w:t>
            </w:r>
          </w:p>
        </w:tc>
        <w:tc>
          <w:tcPr>
            <w:tcW w:w="98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85"/>
              </w:rPr>
              <w:t>Photronics,</w:t>
            </w: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controlling</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82"/>
        </w:trPr>
        <w:tc>
          <w:tcPr>
            <w:tcW w:w="4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00" w:type="dxa"/>
            <w:vAlign w:val="bottom"/>
          </w:tcPr>
          <w:p>
            <w:pPr>
              <w:spacing w:after="0"/>
              <w:rPr>
                <w:sz w:val="21"/>
                <w:szCs w:val="21"/>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Shares</w:t>
            </w: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Capital</w:t>
            </w:r>
          </w:p>
        </w:tc>
        <w:tc>
          <w:tcPr>
            <w:tcW w:w="140" w:type="dxa"/>
            <w:vAlign w:val="bottom"/>
          </w:tcPr>
          <w:p>
            <w:pPr>
              <w:spacing w:after="0"/>
              <w:rPr>
                <w:sz w:val="21"/>
                <w:szCs w:val="21"/>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21"/>
                <w:szCs w:val="21"/>
                <w:color w:val="auto"/>
              </w:rPr>
            </w:pPr>
          </w:p>
        </w:tc>
        <w:tc>
          <w:tcPr>
            <w:tcW w:w="7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79"/>
              </w:rPr>
              <w:t>Loss</w:t>
            </w:r>
          </w:p>
        </w:tc>
        <w:tc>
          <w:tcPr>
            <w:tcW w:w="9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Inc.</w:t>
            </w: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Interests</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41"/>
        </w:trPr>
        <w:tc>
          <w:tcPr>
            <w:tcW w:w="4500" w:type="dxa"/>
            <w:vAlign w:val="bottom"/>
            <w:tcBorders>
              <w:bottom w:val="single" w:sz="8" w:color="C0C0C0"/>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C0C0C0"/>
            </w:tcBorders>
          </w:tcPr>
          <w:p>
            <w:pPr>
              <w:spacing w:after="0"/>
              <w:rPr>
                <w:sz w:val="3"/>
                <w:szCs w:val="3"/>
                <w:color w:val="auto"/>
              </w:rPr>
            </w:pPr>
          </w:p>
        </w:tc>
        <w:tc>
          <w:tcPr>
            <w:tcW w:w="140" w:type="dxa"/>
            <w:vAlign w:val="bottom"/>
            <w:tcBorders>
              <w:bottom w:val="single" w:sz="8" w:color="C0C0C0"/>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40" w:type="dxa"/>
            <w:vAlign w:val="bottom"/>
            <w:tcBorders>
              <w:bottom w:val="single" w:sz="8" w:color="C0C0C0"/>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80" w:type="dxa"/>
            <w:vAlign w:val="bottom"/>
            <w:tcBorders>
              <w:bottom w:val="single" w:sz="8" w:color="C0C0C0"/>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C0C0C0"/>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450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b w:val="1"/>
                <w:bCs w:val="1"/>
                <w:color w:val="auto"/>
              </w:rPr>
              <w:t>Balance at November 1, 2009</w:t>
            </w:r>
          </w:p>
        </w:tc>
        <w:tc>
          <w:tcPr>
            <w:tcW w:w="700" w:type="dxa"/>
            <w:vAlign w:val="bottom"/>
            <w:tcBorders>
              <w:bottom w:val="single" w:sz="8" w:color="C0C0C0"/>
            </w:tcBorders>
            <w:gridSpan w:val="2"/>
            <w:shd w:val="clear" w:color="auto" w:fill="C0C0C0"/>
          </w:tcPr>
          <w:p>
            <w:pPr>
              <w:jc w:val="right"/>
              <w:ind w:right="260"/>
              <w:spacing w:after="0"/>
              <w:rPr>
                <w:sz w:val="20"/>
                <w:szCs w:val="20"/>
                <w:color w:val="auto"/>
              </w:rPr>
            </w:pPr>
            <w:r>
              <w:rPr>
                <w:rFonts w:ascii="Arial" w:cs="Arial" w:eastAsia="Arial" w:hAnsi="Arial"/>
                <w:sz w:val="14"/>
                <w:szCs w:val="14"/>
                <w:color w:val="auto"/>
                <w:w w:val="97"/>
              </w:rPr>
              <w:t>53,011</w:t>
            </w:r>
          </w:p>
        </w:tc>
        <w:tc>
          <w:tcPr>
            <w:tcW w:w="760" w:type="dxa"/>
            <w:vAlign w:val="bottom"/>
            <w:tcBorders>
              <w:bottom w:val="single" w:sz="8" w:color="C0C0C0"/>
            </w:tcBorders>
            <w:gridSpan w:val="2"/>
            <w:shd w:val="clear" w:color="auto" w:fill="C0C0C0"/>
          </w:tcPr>
          <w:p>
            <w:pPr>
              <w:jc w:val="right"/>
              <w:ind w:right="260"/>
              <w:spacing w:after="0"/>
              <w:rPr>
                <w:sz w:val="20"/>
                <w:szCs w:val="20"/>
                <w:color w:val="auto"/>
              </w:rPr>
            </w:pPr>
            <w:r>
              <w:rPr>
                <w:rFonts w:ascii="Arial" w:cs="Arial" w:eastAsia="Arial" w:hAnsi="Arial"/>
                <w:sz w:val="14"/>
                <w:szCs w:val="14"/>
                <w:color w:val="auto"/>
              </w:rPr>
              <w:t>$ 530</w:t>
            </w:r>
          </w:p>
        </w:tc>
        <w:tc>
          <w:tcPr>
            <w:tcW w:w="6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$432,160</w:t>
            </w:r>
          </w:p>
        </w:tc>
        <w:tc>
          <w:tcPr>
            <w:tcW w:w="140" w:type="dxa"/>
            <w:vAlign w:val="bottom"/>
            <w:tcBorders>
              <w:bottom w:val="single" w:sz="8" w:color="C0C0C0"/>
            </w:tcBorders>
            <w:shd w:val="clear" w:color="auto" w:fill="C0C0C0"/>
          </w:tcPr>
          <w:p>
            <w:pPr>
              <w:spacing w:after="0"/>
              <w:rPr>
                <w:sz w:val="18"/>
                <w:szCs w:val="18"/>
                <w:color w:val="auto"/>
              </w:rPr>
            </w:pPr>
          </w:p>
        </w:tc>
        <w:tc>
          <w:tcPr>
            <w:tcW w:w="82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$(26,546)</w:t>
            </w:r>
          </w:p>
        </w:tc>
        <w:tc>
          <w:tcPr>
            <w:tcW w:w="340" w:type="dxa"/>
            <w:vAlign w:val="bottom"/>
            <w:tcBorders>
              <w:bottom w:val="single" w:sz="8" w:color="C0C0C0"/>
              <w:right w:val="single" w:sz="8" w:color="C0C0C0"/>
            </w:tcBorders>
            <w:shd w:val="clear" w:color="auto" w:fill="C0C0C0"/>
          </w:tcPr>
          <w:p>
            <w:pPr>
              <w:spacing w:after="0"/>
              <w:rPr>
                <w:sz w:val="18"/>
                <w:szCs w:val="18"/>
                <w:color w:val="auto"/>
              </w:rPr>
            </w:pPr>
          </w:p>
        </w:tc>
        <w:tc>
          <w:tcPr>
            <w:tcW w:w="120" w:type="dxa"/>
            <w:vAlign w:val="bottom"/>
            <w:tcBorders>
              <w:bottom w:val="single" w:sz="8" w:color="C0C0C0"/>
            </w:tcBorders>
            <w:shd w:val="clear" w:color="auto" w:fill="C0C0C0"/>
          </w:tcPr>
          <w:p>
            <w:pPr>
              <w:jc w:val="center"/>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99"/>
              </w:rPr>
              <w:t>(6,389)</w:t>
            </w:r>
          </w:p>
        </w:tc>
        <w:tc>
          <w:tcPr>
            <w:tcW w:w="280" w:type="dxa"/>
            <w:vAlign w:val="bottom"/>
            <w:tcBorders>
              <w:bottom w:val="single" w:sz="8" w:color="C0C0C0"/>
            </w:tcBorders>
            <w:shd w:val="clear" w:color="auto" w:fill="C0C0C0"/>
          </w:tcPr>
          <w:p>
            <w:pPr>
              <w:spacing w:after="0"/>
              <w:rPr>
                <w:sz w:val="18"/>
                <w:szCs w:val="18"/>
                <w:color w:val="auto"/>
              </w:rPr>
            </w:pPr>
          </w:p>
        </w:tc>
        <w:tc>
          <w:tcPr>
            <w:tcW w:w="700" w:type="dxa"/>
            <w:vAlign w:val="bottom"/>
            <w:tcBorders>
              <w:bottom w:val="single" w:sz="8" w:color="C0C0C0"/>
            </w:tcBorders>
            <w:gridSpan w:val="2"/>
            <w:shd w:val="clear" w:color="auto" w:fill="C0C0C0"/>
          </w:tcPr>
          <w:p>
            <w:pPr>
              <w:jc w:val="right"/>
              <w:ind w:right="80"/>
              <w:spacing w:after="0"/>
              <w:rPr>
                <w:sz w:val="20"/>
                <w:szCs w:val="20"/>
                <w:color w:val="auto"/>
              </w:rPr>
            </w:pPr>
            <w:r>
              <w:rPr>
                <w:rFonts w:ascii="Arial" w:cs="Arial" w:eastAsia="Arial" w:hAnsi="Arial"/>
                <w:sz w:val="14"/>
                <w:szCs w:val="14"/>
                <w:color w:val="auto"/>
              </w:rPr>
              <w:t>$399,755</w:t>
            </w:r>
          </w:p>
        </w:tc>
        <w:tc>
          <w:tcPr>
            <w:tcW w:w="280" w:type="dxa"/>
            <w:vAlign w:val="bottom"/>
            <w:tcBorders>
              <w:bottom w:val="single" w:sz="8" w:color="C0C0C0"/>
            </w:tcBorders>
            <w:shd w:val="clear" w:color="auto" w:fill="C0C0C0"/>
          </w:tcPr>
          <w:p>
            <w:pPr>
              <w:spacing w:after="0"/>
              <w:rPr>
                <w:sz w:val="18"/>
                <w:szCs w:val="18"/>
                <w:color w:val="auto"/>
              </w:rPr>
            </w:pPr>
          </w:p>
        </w:tc>
        <w:tc>
          <w:tcPr>
            <w:tcW w:w="68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$49,941</w:t>
            </w:r>
          </w:p>
        </w:tc>
        <w:tc>
          <w:tcPr>
            <w:tcW w:w="260" w:type="dxa"/>
            <w:vAlign w:val="bottom"/>
            <w:tcBorders>
              <w:bottom w:val="single" w:sz="8" w:color="C0C0C0"/>
            </w:tcBorders>
            <w:shd w:val="clear" w:color="auto" w:fill="C0C0C0"/>
          </w:tcPr>
          <w:p>
            <w:pPr>
              <w:spacing w:after="0"/>
              <w:rPr>
                <w:sz w:val="18"/>
                <w:szCs w:val="18"/>
                <w:color w:val="auto"/>
              </w:rPr>
            </w:pPr>
          </w:p>
        </w:tc>
        <w:tc>
          <w:tcPr>
            <w:tcW w:w="72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$449,696</w:t>
            </w:r>
          </w:p>
        </w:tc>
        <w:tc>
          <w:tcPr>
            <w:tcW w:w="0" w:type="dxa"/>
            <w:vAlign w:val="bottom"/>
          </w:tcPr>
          <w:p>
            <w:pPr>
              <w:spacing w:after="0"/>
              <w:rPr>
                <w:sz w:val="1"/>
                <w:szCs w:val="1"/>
                <w:color w:val="auto"/>
              </w:rPr>
            </w:pPr>
          </w:p>
        </w:tc>
      </w:tr>
      <w:tr>
        <w:trPr>
          <w:trHeight w:val="243"/>
        </w:trPr>
        <w:tc>
          <w:tcPr>
            <w:tcW w:w="4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Comprehensive income:</w:t>
            </w:r>
          </w:p>
        </w:tc>
        <w:tc>
          <w:tcPr>
            <w:tcW w:w="440" w:type="dxa"/>
            <w:vAlign w:val="bottom"/>
            <w:tcBorders>
              <w:bottom w:val="single" w:sz="8" w:color="C0C0C0"/>
            </w:tcBorders>
            <w:shd w:val="clear" w:color="auto" w:fill="C0C0C0"/>
          </w:tcPr>
          <w:p>
            <w:pPr>
              <w:spacing w:after="0"/>
              <w:rPr>
                <w:sz w:val="19"/>
                <w:szCs w:val="19"/>
                <w:color w:val="auto"/>
              </w:rPr>
            </w:pPr>
          </w:p>
        </w:tc>
        <w:tc>
          <w:tcPr>
            <w:tcW w:w="260" w:type="dxa"/>
            <w:vAlign w:val="bottom"/>
            <w:tcBorders>
              <w:bottom w:val="single" w:sz="8" w:color="C0C0C0"/>
            </w:tcBorders>
            <w:shd w:val="clear" w:color="auto" w:fill="C0C0C0"/>
          </w:tcPr>
          <w:p>
            <w:pPr>
              <w:spacing w:after="0"/>
              <w:rPr>
                <w:sz w:val="19"/>
                <w:szCs w:val="19"/>
                <w:color w:val="auto"/>
              </w:rPr>
            </w:pPr>
          </w:p>
        </w:tc>
        <w:tc>
          <w:tcPr>
            <w:tcW w:w="500" w:type="dxa"/>
            <w:vAlign w:val="bottom"/>
            <w:tcBorders>
              <w:bottom w:val="single" w:sz="8" w:color="C0C0C0"/>
            </w:tcBorders>
            <w:shd w:val="clear" w:color="auto" w:fill="C0C0C0"/>
          </w:tcPr>
          <w:p>
            <w:pPr>
              <w:spacing w:after="0"/>
              <w:rPr>
                <w:sz w:val="19"/>
                <w:szCs w:val="19"/>
                <w:color w:val="auto"/>
              </w:rPr>
            </w:pPr>
          </w:p>
        </w:tc>
        <w:tc>
          <w:tcPr>
            <w:tcW w:w="26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680" w:type="dxa"/>
            <w:vAlign w:val="bottom"/>
            <w:tcBorders>
              <w:bottom w:val="single" w:sz="8" w:color="C0C0C0"/>
            </w:tcBorders>
            <w:shd w:val="clear" w:color="auto" w:fill="C0C0C0"/>
          </w:tcPr>
          <w:p>
            <w:pPr>
              <w:spacing w:after="0"/>
              <w:rPr>
                <w:sz w:val="19"/>
                <w:szCs w:val="19"/>
                <w:color w:val="auto"/>
              </w:rPr>
            </w:pPr>
          </w:p>
        </w:tc>
        <w:tc>
          <w:tcPr>
            <w:tcW w:w="340" w:type="dxa"/>
            <w:vAlign w:val="bottom"/>
            <w:tcBorders>
              <w:bottom w:val="single" w:sz="8" w:color="C0C0C0"/>
              <w:right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500" w:type="dxa"/>
            <w:vAlign w:val="bottom"/>
            <w:tcBorders>
              <w:bottom w:val="single" w:sz="8" w:color="C0C0C0"/>
            </w:tcBorders>
            <w:shd w:val="clear" w:color="auto" w:fill="C0C0C0"/>
          </w:tcPr>
          <w:p>
            <w:pPr>
              <w:spacing w:after="0"/>
              <w:rPr>
                <w:sz w:val="19"/>
                <w:szCs w:val="19"/>
                <w:color w:val="auto"/>
              </w:rPr>
            </w:pPr>
          </w:p>
        </w:tc>
        <w:tc>
          <w:tcPr>
            <w:tcW w:w="28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280" w:type="dxa"/>
            <w:vAlign w:val="bottom"/>
            <w:tcBorders>
              <w:bottom w:val="single" w:sz="8" w:color="C0C0C0"/>
            </w:tcBorders>
            <w:shd w:val="clear" w:color="auto" w:fill="C0C0C0"/>
          </w:tcPr>
          <w:p>
            <w:pPr>
              <w:spacing w:after="0"/>
              <w:rPr>
                <w:sz w:val="19"/>
                <w:szCs w:val="19"/>
                <w:color w:val="auto"/>
              </w:rPr>
            </w:pPr>
          </w:p>
        </w:tc>
        <w:tc>
          <w:tcPr>
            <w:tcW w:w="680" w:type="dxa"/>
            <w:vAlign w:val="bottom"/>
            <w:tcBorders>
              <w:bottom w:val="single" w:sz="8" w:color="C0C0C0"/>
            </w:tcBorders>
            <w:shd w:val="clear" w:color="auto" w:fill="C0C0C0"/>
          </w:tcPr>
          <w:p>
            <w:pPr>
              <w:spacing w:after="0"/>
              <w:rPr>
                <w:sz w:val="19"/>
                <w:szCs w:val="19"/>
                <w:color w:val="auto"/>
              </w:rPr>
            </w:pPr>
          </w:p>
        </w:tc>
        <w:tc>
          <w:tcPr>
            <w:tcW w:w="260" w:type="dxa"/>
            <w:vAlign w:val="bottom"/>
            <w:tcBorders>
              <w:bottom w:val="single" w:sz="8" w:color="C0C0C0"/>
            </w:tcBorders>
            <w:shd w:val="clear" w:color="auto" w:fill="C0C0C0"/>
          </w:tcPr>
          <w:p>
            <w:pPr>
              <w:spacing w:after="0"/>
              <w:rPr>
                <w:sz w:val="19"/>
                <w:szCs w:val="19"/>
                <w:color w:val="auto"/>
              </w:rPr>
            </w:pPr>
          </w:p>
        </w:tc>
        <w:tc>
          <w:tcPr>
            <w:tcW w:w="720" w:type="dxa"/>
            <w:vAlign w:val="bottom"/>
            <w:tcBorders>
              <w:bottom w:val="single" w:sz="8" w:color="C0C0C0"/>
            </w:tcBorders>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500" w:type="dxa"/>
            <w:vAlign w:val="bottom"/>
          </w:tcPr>
          <w:p>
            <w:pPr>
              <w:ind w:left="240"/>
              <w:spacing w:after="0"/>
              <w:rPr>
                <w:sz w:val="20"/>
                <w:szCs w:val="20"/>
                <w:color w:val="auto"/>
              </w:rPr>
            </w:pPr>
            <w:r>
              <w:rPr>
                <w:rFonts w:ascii="Arial" w:cs="Arial" w:eastAsia="Arial" w:hAnsi="Arial"/>
                <w:sz w:val="14"/>
                <w:szCs w:val="14"/>
                <w:color w:val="auto"/>
              </w:rPr>
              <w:t>Net income</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2"/>
              <w:spacing w:after="0"/>
              <w:rPr>
                <w:sz w:val="20"/>
                <w:szCs w:val="20"/>
                <w:color w:val="auto"/>
              </w:rPr>
            </w:pPr>
            <w:r>
              <w:rPr>
                <w:rFonts w:ascii="Arial" w:cs="Arial" w:eastAsia="Arial" w:hAnsi="Arial"/>
                <w:sz w:val="14"/>
                <w:szCs w:val="14"/>
                <w:color w:val="auto"/>
              </w:rPr>
              <w:t>213</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213</w:t>
            </w:r>
          </w:p>
        </w:tc>
        <w:tc>
          <w:tcPr>
            <w:tcW w:w="280" w:type="dxa"/>
            <w:vAlign w:val="bottom"/>
          </w:tcPr>
          <w:p>
            <w:pPr>
              <w:spacing w:after="0"/>
              <w:rPr>
                <w:sz w:val="17"/>
                <w:szCs w:val="17"/>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195</w:t>
            </w:r>
          </w:p>
        </w:tc>
        <w:tc>
          <w:tcPr>
            <w:tcW w:w="260" w:type="dxa"/>
            <w:vAlign w:val="bottom"/>
          </w:tcPr>
          <w:p>
            <w:pPr>
              <w:spacing w:after="0"/>
              <w:rPr>
                <w:sz w:val="17"/>
                <w:szCs w:val="17"/>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408</w:t>
            </w:r>
          </w:p>
        </w:tc>
        <w:tc>
          <w:tcPr>
            <w:tcW w:w="0" w:type="dxa"/>
            <w:vAlign w:val="bottom"/>
          </w:tcPr>
          <w:p>
            <w:pPr>
              <w:spacing w:after="0"/>
              <w:rPr>
                <w:sz w:val="1"/>
                <w:szCs w:val="1"/>
                <w:color w:val="auto"/>
              </w:rPr>
            </w:pPr>
          </w:p>
        </w:tc>
      </w:tr>
      <w:tr>
        <w:trPr>
          <w:trHeight w:val="41"/>
        </w:trPr>
        <w:tc>
          <w:tcPr>
            <w:tcW w:w="4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Amortization of cash flow hedges</w:t>
            </w:r>
          </w:p>
        </w:tc>
        <w:tc>
          <w:tcPr>
            <w:tcW w:w="4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0C0C0"/>
            </w:tcBorders>
            <w:shd w:val="clear" w:color="auto" w:fill="C0C0C0"/>
          </w:tcPr>
          <w:p>
            <w:pPr>
              <w:spacing w:after="0"/>
              <w:rPr>
                <w:sz w:val="19"/>
                <w:szCs w:val="19"/>
                <w:color w:val="auto"/>
              </w:rPr>
            </w:pPr>
          </w:p>
        </w:tc>
        <w:tc>
          <w:tcPr>
            <w:tcW w:w="760" w:type="dxa"/>
            <w:vAlign w:val="bottom"/>
            <w:tcBorders>
              <w:bottom w:val="single" w:sz="8" w:color="C0C0C0"/>
            </w:tcBorders>
            <w:gridSpan w:val="2"/>
            <w:shd w:val="clear" w:color="auto" w:fill="C0C0C0"/>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0C0C0"/>
            </w:tcBorders>
            <w:gridSpan w:val="2"/>
            <w:shd w:val="clear" w:color="auto" w:fill="C0C0C0"/>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0C0C0"/>
            </w:tcBorders>
            <w:gridSpan w:val="2"/>
            <w:shd w:val="clear" w:color="auto" w:fill="C0C0C0"/>
          </w:tcPr>
          <w:p>
            <w:pPr>
              <w:jc w:val="right"/>
              <w:ind w:right="32"/>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0C0C0"/>
              <w:right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50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32</w:t>
            </w:r>
          </w:p>
        </w:tc>
        <w:tc>
          <w:tcPr>
            <w:tcW w:w="280" w:type="dxa"/>
            <w:vAlign w:val="bottom"/>
            <w:tcBorders>
              <w:bottom w:val="single" w:sz="8" w:color="C0C0C0"/>
            </w:tcBorders>
            <w:shd w:val="clear" w:color="auto" w:fill="C0C0C0"/>
          </w:tcPr>
          <w:p>
            <w:pPr>
              <w:spacing w:after="0"/>
              <w:rPr>
                <w:sz w:val="19"/>
                <w:szCs w:val="19"/>
                <w:color w:val="auto"/>
              </w:rPr>
            </w:pPr>
          </w:p>
        </w:tc>
        <w:tc>
          <w:tcPr>
            <w:tcW w:w="700" w:type="dxa"/>
            <w:vAlign w:val="bottom"/>
            <w:tcBorders>
              <w:bottom w:val="single" w:sz="8" w:color="C0C0C0"/>
            </w:tcBorders>
            <w:gridSpan w:val="2"/>
            <w:shd w:val="clear" w:color="auto" w:fill="C0C0C0"/>
          </w:tcPr>
          <w:p>
            <w:pPr>
              <w:jc w:val="right"/>
              <w:ind w:right="80"/>
              <w:spacing w:after="0"/>
              <w:rPr>
                <w:sz w:val="20"/>
                <w:szCs w:val="20"/>
                <w:color w:val="auto"/>
              </w:rPr>
            </w:pPr>
            <w:r>
              <w:rPr>
                <w:rFonts w:ascii="Arial" w:cs="Arial" w:eastAsia="Arial" w:hAnsi="Arial"/>
                <w:sz w:val="14"/>
                <w:szCs w:val="14"/>
                <w:color w:val="auto"/>
              </w:rPr>
              <w:t>32</w:t>
            </w:r>
          </w:p>
        </w:tc>
        <w:tc>
          <w:tcPr>
            <w:tcW w:w="280" w:type="dxa"/>
            <w:vAlign w:val="bottom"/>
            <w:tcBorders>
              <w:bottom w:val="single" w:sz="8" w:color="C0C0C0"/>
            </w:tcBorders>
            <w:shd w:val="clear" w:color="auto" w:fill="C0C0C0"/>
          </w:tcPr>
          <w:p>
            <w:pPr>
              <w:spacing w:after="0"/>
              <w:rPr>
                <w:sz w:val="19"/>
                <w:szCs w:val="19"/>
                <w:color w:val="auto"/>
              </w:rPr>
            </w:pPr>
          </w:p>
        </w:tc>
        <w:tc>
          <w:tcPr>
            <w:tcW w:w="68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0C0C0"/>
            </w:tcBorders>
            <w:shd w:val="clear" w:color="auto" w:fill="C0C0C0"/>
          </w:tcPr>
          <w:p>
            <w:pPr>
              <w:spacing w:after="0"/>
              <w:rPr>
                <w:sz w:val="19"/>
                <w:szCs w:val="19"/>
                <w:color w:val="auto"/>
              </w:rPr>
            </w:pPr>
          </w:p>
        </w:tc>
        <w:tc>
          <w:tcPr>
            <w:tcW w:w="72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02"/>
        </w:trPr>
        <w:tc>
          <w:tcPr>
            <w:tcW w:w="4500" w:type="dxa"/>
            <w:vAlign w:val="bottom"/>
          </w:tcPr>
          <w:p>
            <w:pPr>
              <w:ind w:left="240"/>
              <w:spacing w:after="0"/>
              <w:rPr>
                <w:sz w:val="20"/>
                <w:szCs w:val="20"/>
                <w:color w:val="auto"/>
              </w:rPr>
            </w:pPr>
            <w:r>
              <w:rPr>
                <w:rFonts w:ascii="Arial" w:cs="Arial" w:eastAsia="Arial" w:hAnsi="Arial"/>
                <w:sz w:val="14"/>
                <w:szCs w:val="14"/>
                <w:color w:val="auto"/>
              </w:rPr>
              <w:t>Foreign currency translation</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480"/>
              <w:spacing w:after="0"/>
              <w:rPr>
                <w:sz w:val="20"/>
                <w:szCs w:val="20"/>
                <w:color w:val="auto"/>
              </w:rPr>
            </w:pPr>
            <w:r>
              <w:rPr>
                <w:rFonts w:ascii="Arial" w:cs="Arial" w:eastAsia="Arial" w:hAnsi="Arial"/>
                <w:sz w:val="14"/>
                <w:szCs w:val="14"/>
                <w:color w:val="auto"/>
              </w:rPr>
              <w:t>adjustments</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ind w:right="32"/>
              <w:spacing w:after="0"/>
              <w:rPr>
                <w:sz w:val="20"/>
                <w:szCs w:val="20"/>
                <w:color w:val="auto"/>
              </w:rPr>
            </w:pPr>
            <w:r>
              <w:rPr>
                <w:rFonts w:ascii="Arial" w:cs="Arial" w:eastAsia="Arial" w:hAnsi="Arial"/>
                <w:sz w:val="14"/>
                <w:szCs w:val="14"/>
                <w:color w:val="auto"/>
              </w:rPr>
              <w:t>5,913</w:t>
            </w:r>
          </w:p>
        </w:tc>
        <w:tc>
          <w:tcPr>
            <w:tcW w:w="280" w:type="dxa"/>
            <w:vAlign w:val="bottom"/>
          </w:tcPr>
          <w:p>
            <w:pPr>
              <w:spacing w:after="0"/>
              <w:rPr>
                <w:sz w:val="21"/>
                <w:szCs w:val="2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5,913</w:t>
            </w:r>
          </w:p>
        </w:tc>
        <w:tc>
          <w:tcPr>
            <w:tcW w:w="280" w:type="dxa"/>
            <w:vAlign w:val="bottom"/>
          </w:tcPr>
          <w:p>
            <w:pPr>
              <w:spacing w:after="0"/>
              <w:rPr>
                <w:sz w:val="21"/>
                <w:szCs w:val="21"/>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915</w:t>
            </w:r>
          </w:p>
        </w:tc>
        <w:tc>
          <w:tcPr>
            <w:tcW w:w="26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6,828</w:t>
            </w:r>
          </w:p>
        </w:tc>
        <w:tc>
          <w:tcPr>
            <w:tcW w:w="0" w:type="dxa"/>
            <w:vAlign w:val="bottom"/>
          </w:tcPr>
          <w:p>
            <w:pPr>
              <w:spacing w:after="0"/>
              <w:rPr>
                <w:sz w:val="1"/>
                <w:szCs w:val="1"/>
                <w:color w:val="auto"/>
              </w:rPr>
            </w:pPr>
          </w:p>
        </w:tc>
      </w:tr>
      <w:tr>
        <w:trPr>
          <w:trHeight w:val="41"/>
        </w:trPr>
        <w:tc>
          <w:tcPr>
            <w:tcW w:w="4500" w:type="dxa"/>
            <w:vAlign w:val="bottom"/>
            <w:tcBorders>
              <w:bottom w:val="single" w:sz="8" w:color="C0C0C0"/>
            </w:tcBorders>
          </w:tcPr>
          <w:p>
            <w:pPr>
              <w:spacing w:after="0"/>
              <w:rPr>
                <w:sz w:val="3"/>
                <w:szCs w:val="3"/>
                <w:color w:val="auto"/>
              </w:rPr>
            </w:pPr>
          </w:p>
        </w:tc>
        <w:tc>
          <w:tcPr>
            <w:tcW w:w="440" w:type="dxa"/>
            <w:vAlign w:val="bottom"/>
            <w:tcBorders>
              <w:bottom w:val="single" w:sz="8" w:color="C0C0C0"/>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500" w:type="dxa"/>
            <w:vAlign w:val="bottom"/>
            <w:tcBorders>
              <w:bottom w:val="single" w:sz="8" w:color="C0C0C0"/>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620" w:type="dxa"/>
            <w:vAlign w:val="bottom"/>
            <w:tcBorders>
              <w:bottom w:val="single" w:sz="8" w:color="C0C0C0"/>
            </w:tcBorders>
          </w:tcPr>
          <w:p>
            <w:pPr>
              <w:spacing w:after="0"/>
              <w:rPr>
                <w:sz w:val="3"/>
                <w:szCs w:val="3"/>
                <w:color w:val="auto"/>
              </w:rPr>
            </w:pPr>
          </w:p>
        </w:tc>
        <w:tc>
          <w:tcPr>
            <w:tcW w:w="140" w:type="dxa"/>
            <w:vAlign w:val="bottom"/>
            <w:tcBorders>
              <w:bottom w:val="single" w:sz="8" w:color="C0C0C0"/>
            </w:tcBorders>
          </w:tcPr>
          <w:p>
            <w:pPr>
              <w:spacing w:after="0"/>
              <w:rPr>
                <w:sz w:val="3"/>
                <w:szCs w:val="3"/>
                <w:color w:val="auto"/>
              </w:rPr>
            </w:pPr>
          </w:p>
        </w:tc>
        <w:tc>
          <w:tcPr>
            <w:tcW w:w="140" w:type="dxa"/>
            <w:vAlign w:val="bottom"/>
            <w:tcBorders>
              <w:bottom w:val="single" w:sz="8" w:color="C0C0C0"/>
            </w:tcBorders>
          </w:tcPr>
          <w:p>
            <w:pPr>
              <w:spacing w:after="0"/>
              <w:rPr>
                <w:sz w:val="3"/>
                <w:szCs w:val="3"/>
                <w:color w:val="auto"/>
              </w:rPr>
            </w:pPr>
          </w:p>
        </w:tc>
        <w:tc>
          <w:tcPr>
            <w:tcW w:w="680" w:type="dxa"/>
            <w:vAlign w:val="bottom"/>
            <w:tcBorders>
              <w:bottom w:val="single" w:sz="8" w:color="C0C0C0"/>
            </w:tcBorders>
          </w:tcPr>
          <w:p>
            <w:pPr>
              <w:spacing w:after="0"/>
              <w:rPr>
                <w:sz w:val="3"/>
                <w:szCs w:val="3"/>
                <w:color w:val="auto"/>
              </w:rPr>
            </w:pPr>
          </w:p>
        </w:tc>
        <w:tc>
          <w:tcPr>
            <w:tcW w:w="34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500" w:type="dxa"/>
            <w:vAlign w:val="bottom"/>
            <w:tcBorders>
              <w:bottom w:val="single" w:sz="8" w:color="C0C0C0"/>
            </w:tcBorders>
          </w:tcPr>
          <w:p>
            <w:pPr>
              <w:spacing w:after="0"/>
              <w:rPr>
                <w:sz w:val="3"/>
                <w:szCs w:val="3"/>
                <w:color w:val="auto"/>
              </w:rPr>
            </w:pPr>
          </w:p>
        </w:tc>
        <w:tc>
          <w:tcPr>
            <w:tcW w:w="280" w:type="dxa"/>
            <w:vAlign w:val="bottom"/>
            <w:tcBorders>
              <w:bottom w:val="single" w:sz="8" w:color="C0C0C0"/>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280" w:type="dxa"/>
            <w:vAlign w:val="bottom"/>
            <w:tcBorders>
              <w:bottom w:val="single" w:sz="8" w:color="C0C0C0"/>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450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Total comprehensive income</w:t>
            </w:r>
          </w:p>
        </w:tc>
        <w:tc>
          <w:tcPr>
            <w:tcW w:w="4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0C0C0"/>
            </w:tcBorders>
            <w:shd w:val="clear" w:color="auto" w:fill="C0C0C0"/>
          </w:tcPr>
          <w:p>
            <w:pPr>
              <w:spacing w:after="0"/>
              <w:rPr>
                <w:sz w:val="20"/>
                <w:szCs w:val="20"/>
                <w:color w:val="auto"/>
              </w:rPr>
            </w:pPr>
          </w:p>
        </w:tc>
        <w:tc>
          <w:tcPr>
            <w:tcW w:w="760" w:type="dxa"/>
            <w:vAlign w:val="bottom"/>
            <w:tcBorders>
              <w:bottom w:val="single" w:sz="8" w:color="C0C0C0"/>
            </w:tcBorders>
            <w:gridSpan w:val="2"/>
            <w:shd w:val="clear" w:color="auto" w:fill="C0C0C0"/>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0C0C0"/>
            </w:tcBorders>
            <w:gridSpan w:val="2"/>
            <w:shd w:val="clear" w:color="auto" w:fill="C0C0C0"/>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0C0C0"/>
            </w:tcBorders>
            <w:gridSpan w:val="2"/>
            <w:shd w:val="clear" w:color="auto" w:fill="C0C0C0"/>
          </w:tcPr>
          <w:p>
            <w:pPr>
              <w:jc w:val="right"/>
              <w:ind w:right="32"/>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0C0C0"/>
              <w:right w:val="single" w:sz="8" w:color="C0C0C0"/>
            </w:tcBorders>
            <w:shd w:val="clear" w:color="auto" w:fill="C0C0C0"/>
          </w:tcPr>
          <w:p>
            <w:pPr>
              <w:spacing w:after="0"/>
              <w:rPr>
                <w:sz w:val="20"/>
                <w:szCs w:val="20"/>
                <w:color w:val="auto"/>
              </w:rPr>
            </w:pPr>
          </w:p>
        </w:tc>
        <w:tc>
          <w:tcPr>
            <w:tcW w:w="120" w:type="dxa"/>
            <w:vAlign w:val="bottom"/>
            <w:tcBorders>
              <w:bottom w:val="single" w:sz="8" w:color="C0C0C0"/>
            </w:tcBorders>
            <w:shd w:val="clear" w:color="auto" w:fill="C0C0C0"/>
          </w:tcPr>
          <w:p>
            <w:pPr>
              <w:spacing w:after="0"/>
              <w:rPr>
                <w:sz w:val="20"/>
                <w:szCs w:val="20"/>
                <w:color w:val="auto"/>
              </w:rPr>
            </w:pPr>
          </w:p>
        </w:tc>
        <w:tc>
          <w:tcPr>
            <w:tcW w:w="50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0C0C0"/>
            </w:tcBorders>
            <w:shd w:val="clear" w:color="auto" w:fill="C0C0C0"/>
          </w:tcPr>
          <w:p>
            <w:pPr>
              <w:spacing w:after="0"/>
              <w:rPr>
                <w:sz w:val="20"/>
                <w:szCs w:val="20"/>
                <w:color w:val="auto"/>
              </w:rPr>
            </w:pPr>
          </w:p>
        </w:tc>
        <w:tc>
          <w:tcPr>
            <w:tcW w:w="700" w:type="dxa"/>
            <w:vAlign w:val="bottom"/>
            <w:tcBorders>
              <w:bottom w:val="single" w:sz="8" w:color="C0C0C0"/>
            </w:tcBorders>
            <w:gridSpan w:val="2"/>
            <w:shd w:val="clear" w:color="auto" w:fill="C0C0C0"/>
          </w:tcPr>
          <w:p>
            <w:pPr>
              <w:jc w:val="right"/>
              <w:ind w:right="80"/>
              <w:spacing w:after="0"/>
              <w:rPr>
                <w:sz w:val="20"/>
                <w:szCs w:val="20"/>
                <w:color w:val="auto"/>
              </w:rPr>
            </w:pPr>
            <w:r>
              <w:rPr>
                <w:rFonts w:ascii="Arial" w:cs="Arial" w:eastAsia="Arial" w:hAnsi="Arial"/>
                <w:sz w:val="14"/>
                <w:szCs w:val="14"/>
                <w:color w:val="auto"/>
              </w:rPr>
              <w:t>6,158</w:t>
            </w:r>
          </w:p>
        </w:tc>
        <w:tc>
          <w:tcPr>
            <w:tcW w:w="280" w:type="dxa"/>
            <w:vAlign w:val="bottom"/>
            <w:tcBorders>
              <w:bottom w:val="single" w:sz="8" w:color="C0C0C0"/>
            </w:tcBorders>
            <w:shd w:val="clear" w:color="auto" w:fill="C0C0C0"/>
          </w:tcPr>
          <w:p>
            <w:pPr>
              <w:spacing w:after="0"/>
              <w:rPr>
                <w:sz w:val="20"/>
                <w:szCs w:val="20"/>
                <w:color w:val="auto"/>
              </w:rPr>
            </w:pPr>
          </w:p>
        </w:tc>
        <w:tc>
          <w:tcPr>
            <w:tcW w:w="68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1,110</w:t>
            </w:r>
          </w:p>
        </w:tc>
        <w:tc>
          <w:tcPr>
            <w:tcW w:w="260" w:type="dxa"/>
            <w:vAlign w:val="bottom"/>
            <w:tcBorders>
              <w:bottom w:val="single" w:sz="8" w:color="C0C0C0"/>
            </w:tcBorders>
            <w:shd w:val="clear" w:color="auto" w:fill="C0C0C0"/>
          </w:tcPr>
          <w:p>
            <w:pPr>
              <w:spacing w:after="0"/>
              <w:rPr>
                <w:sz w:val="20"/>
                <w:szCs w:val="20"/>
                <w:color w:val="auto"/>
              </w:rPr>
            </w:pPr>
          </w:p>
        </w:tc>
        <w:tc>
          <w:tcPr>
            <w:tcW w:w="72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7,268</w:t>
            </w:r>
          </w:p>
        </w:tc>
        <w:tc>
          <w:tcPr>
            <w:tcW w:w="0" w:type="dxa"/>
            <w:vAlign w:val="bottom"/>
          </w:tcPr>
          <w:p>
            <w:pPr>
              <w:spacing w:after="0"/>
              <w:rPr>
                <w:sz w:val="1"/>
                <w:szCs w:val="1"/>
                <w:color w:val="auto"/>
              </w:rPr>
            </w:pPr>
          </w:p>
        </w:tc>
      </w:tr>
      <w:tr>
        <w:trPr>
          <w:trHeight w:val="182"/>
        </w:trPr>
        <w:tc>
          <w:tcPr>
            <w:tcW w:w="4500" w:type="dxa"/>
            <w:vAlign w:val="bottom"/>
          </w:tcPr>
          <w:p>
            <w:pPr>
              <w:ind w:left="240"/>
              <w:spacing w:after="0"/>
              <w:rPr>
                <w:sz w:val="20"/>
                <w:szCs w:val="20"/>
                <w:color w:val="auto"/>
              </w:rPr>
            </w:pPr>
            <w:r>
              <w:rPr>
                <w:rFonts w:ascii="Arial" w:cs="Arial" w:eastAsia="Arial" w:hAnsi="Arial"/>
                <w:sz w:val="14"/>
                <w:szCs w:val="14"/>
                <w:color w:val="auto"/>
              </w:rPr>
              <w:t>Sale of common stock through</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480"/>
              <w:spacing w:after="0"/>
              <w:rPr>
                <w:sz w:val="20"/>
                <w:szCs w:val="20"/>
                <w:color w:val="auto"/>
              </w:rPr>
            </w:pPr>
            <w:r>
              <w:rPr>
                <w:rFonts w:ascii="Arial" w:cs="Arial" w:eastAsia="Arial" w:hAnsi="Arial"/>
                <w:sz w:val="14"/>
                <w:szCs w:val="14"/>
                <w:color w:val="auto"/>
              </w:rPr>
              <w:t>employee stock option and</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480"/>
              <w:spacing w:after="0"/>
              <w:rPr>
                <w:sz w:val="20"/>
                <w:szCs w:val="20"/>
                <w:color w:val="auto"/>
              </w:rPr>
            </w:pPr>
            <w:r>
              <w:rPr>
                <w:rFonts w:ascii="Arial" w:cs="Arial" w:eastAsia="Arial" w:hAnsi="Arial"/>
                <w:sz w:val="14"/>
                <w:szCs w:val="14"/>
                <w:color w:val="auto"/>
              </w:rPr>
              <w:t>purchase plans</w:t>
            </w:r>
          </w:p>
        </w:tc>
        <w:tc>
          <w:tcPr>
            <w:tcW w:w="440" w:type="dxa"/>
            <w:vAlign w:val="bottom"/>
          </w:tcPr>
          <w:p>
            <w:pPr>
              <w:jc w:val="right"/>
              <w:spacing w:after="0"/>
              <w:rPr>
                <w:sz w:val="20"/>
                <w:szCs w:val="20"/>
                <w:color w:val="auto"/>
              </w:rPr>
            </w:pPr>
            <w:r>
              <w:rPr>
                <w:rFonts w:ascii="Arial" w:cs="Arial" w:eastAsia="Arial" w:hAnsi="Arial"/>
                <w:sz w:val="14"/>
                <w:szCs w:val="14"/>
                <w:color w:val="auto"/>
              </w:rPr>
              <w:t>40</w:t>
            </w:r>
          </w:p>
        </w:tc>
        <w:tc>
          <w:tcPr>
            <w:tcW w:w="260" w:type="dxa"/>
            <w:vAlign w:val="bottom"/>
          </w:tcPr>
          <w:p>
            <w:pPr>
              <w:spacing w:after="0"/>
              <w:rPr>
                <w:sz w:val="21"/>
                <w:szCs w:val="21"/>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30</w:t>
            </w:r>
          </w:p>
        </w:tc>
        <w:tc>
          <w:tcPr>
            <w:tcW w:w="140" w:type="dxa"/>
            <w:vAlign w:val="bottom"/>
          </w:tcPr>
          <w:p>
            <w:pPr>
              <w:spacing w:after="0"/>
              <w:rPr>
                <w:sz w:val="21"/>
                <w:szCs w:val="21"/>
                <w:color w:val="auto"/>
              </w:rPr>
            </w:pPr>
          </w:p>
        </w:tc>
        <w:tc>
          <w:tcPr>
            <w:tcW w:w="820" w:type="dxa"/>
            <w:vAlign w:val="bottom"/>
            <w:gridSpan w:val="2"/>
          </w:tcPr>
          <w:p>
            <w:pPr>
              <w:jc w:val="right"/>
              <w:ind w:right="3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30</w:t>
            </w:r>
          </w:p>
        </w:tc>
        <w:tc>
          <w:tcPr>
            <w:tcW w:w="280" w:type="dxa"/>
            <w:vAlign w:val="bottom"/>
          </w:tcPr>
          <w:p>
            <w:pPr>
              <w:spacing w:after="0"/>
              <w:rPr>
                <w:sz w:val="21"/>
                <w:szCs w:val="21"/>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41"/>
        </w:trPr>
        <w:tc>
          <w:tcPr>
            <w:tcW w:w="4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Share-based compensation expense</w:t>
            </w:r>
          </w:p>
        </w:tc>
        <w:tc>
          <w:tcPr>
            <w:tcW w:w="4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42</w:t>
            </w:r>
          </w:p>
        </w:tc>
        <w:tc>
          <w:tcPr>
            <w:tcW w:w="260" w:type="dxa"/>
            <w:vAlign w:val="bottom"/>
            <w:tcBorders>
              <w:bottom w:val="single" w:sz="8" w:color="C0C0C0"/>
            </w:tcBorders>
            <w:shd w:val="clear" w:color="auto" w:fill="C0C0C0"/>
          </w:tcPr>
          <w:p>
            <w:pPr>
              <w:spacing w:after="0"/>
              <w:rPr>
                <w:sz w:val="19"/>
                <w:szCs w:val="19"/>
                <w:color w:val="auto"/>
              </w:rPr>
            </w:pPr>
          </w:p>
        </w:tc>
        <w:tc>
          <w:tcPr>
            <w:tcW w:w="760" w:type="dxa"/>
            <w:vAlign w:val="bottom"/>
            <w:tcBorders>
              <w:bottom w:val="single" w:sz="8" w:color="C0C0C0"/>
            </w:tcBorders>
            <w:gridSpan w:val="2"/>
            <w:shd w:val="clear" w:color="auto" w:fill="C0C0C0"/>
          </w:tcPr>
          <w:p>
            <w:pPr>
              <w:jc w:val="right"/>
              <w:ind w:right="26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577</w:t>
            </w:r>
          </w:p>
        </w:tc>
        <w:tc>
          <w:tcPr>
            <w:tcW w:w="140" w:type="dxa"/>
            <w:vAlign w:val="bottom"/>
            <w:tcBorders>
              <w:bottom w:val="single" w:sz="8" w:color="C0C0C0"/>
            </w:tcBorders>
            <w:shd w:val="clear" w:color="auto" w:fill="C0C0C0"/>
          </w:tcPr>
          <w:p>
            <w:pPr>
              <w:spacing w:after="0"/>
              <w:rPr>
                <w:sz w:val="19"/>
                <w:szCs w:val="19"/>
                <w:color w:val="auto"/>
              </w:rPr>
            </w:pPr>
          </w:p>
        </w:tc>
        <w:tc>
          <w:tcPr>
            <w:tcW w:w="820" w:type="dxa"/>
            <w:vAlign w:val="bottom"/>
            <w:tcBorders>
              <w:bottom w:val="single" w:sz="8" w:color="C0C0C0"/>
            </w:tcBorders>
            <w:gridSpan w:val="2"/>
            <w:shd w:val="clear" w:color="auto" w:fill="C0C0C0"/>
          </w:tcPr>
          <w:p>
            <w:pPr>
              <w:jc w:val="right"/>
              <w:ind w:right="32"/>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0C0C0"/>
              <w:right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50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0C0C0"/>
            </w:tcBorders>
            <w:shd w:val="clear" w:color="auto" w:fill="C0C0C0"/>
          </w:tcPr>
          <w:p>
            <w:pPr>
              <w:spacing w:after="0"/>
              <w:rPr>
                <w:sz w:val="19"/>
                <w:szCs w:val="19"/>
                <w:color w:val="auto"/>
              </w:rPr>
            </w:pPr>
          </w:p>
        </w:tc>
        <w:tc>
          <w:tcPr>
            <w:tcW w:w="700" w:type="dxa"/>
            <w:vAlign w:val="bottom"/>
            <w:tcBorders>
              <w:bottom w:val="single" w:sz="8" w:color="C0C0C0"/>
            </w:tcBorders>
            <w:gridSpan w:val="2"/>
            <w:shd w:val="clear" w:color="auto" w:fill="C0C0C0"/>
          </w:tcPr>
          <w:p>
            <w:pPr>
              <w:jc w:val="right"/>
              <w:ind w:right="80"/>
              <w:spacing w:after="0"/>
              <w:rPr>
                <w:sz w:val="20"/>
                <w:szCs w:val="20"/>
                <w:color w:val="auto"/>
              </w:rPr>
            </w:pPr>
            <w:r>
              <w:rPr>
                <w:rFonts w:ascii="Arial" w:cs="Arial" w:eastAsia="Arial" w:hAnsi="Arial"/>
                <w:sz w:val="14"/>
                <w:szCs w:val="14"/>
                <w:color w:val="auto"/>
              </w:rPr>
              <w:t>577</w:t>
            </w:r>
          </w:p>
        </w:tc>
        <w:tc>
          <w:tcPr>
            <w:tcW w:w="280" w:type="dxa"/>
            <w:vAlign w:val="bottom"/>
            <w:tcBorders>
              <w:bottom w:val="single" w:sz="8" w:color="C0C0C0"/>
            </w:tcBorders>
            <w:shd w:val="clear" w:color="auto" w:fill="C0C0C0"/>
          </w:tcPr>
          <w:p>
            <w:pPr>
              <w:spacing w:after="0"/>
              <w:rPr>
                <w:sz w:val="19"/>
                <w:szCs w:val="19"/>
                <w:color w:val="auto"/>
              </w:rPr>
            </w:pPr>
          </w:p>
        </w:tc>
        <w:tc>
          <w:tcPr>
            <w:tcW w:w="68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0C0C0"/>
            </w:tcBorders>
            <w:shd w:val="clear" w:color="auto" w:fill="C0C0C0"/>
          </w:tcPr>
          <w:p>
            <w:pPr>
              <w:spacing w:after="0"/>
              <w:rPr>
                <w:sz w:val="19"/>
                <w:szCs w:val="19"/>
                <w:color w:val="auto"/>
              </w:rPr>
            </w:pPr>
          </w:p>
        </w:tc>
        <w:tc>
          <w:tcPr>
            <w:tcW w:w="72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577</w:t>
            </w:r>
          </w:p>
        </w:tc>
        <w:tc>
          <w:tcPr>
            <w:tcW w:w="0" w:type="dxa"/>
            <w:vAlign w:val="bottom"/>
          </w:tcPr>
          <w:p>
            <w:pPr>
              <w:spacing w:after="0"/>
              <w:rPr>
                <w:sz w:val="1"/>
                <w:szCs w:val="1"/>
                <w:color w:val="auto"/>
              </w:rPr>
            </w:pPr>
          </w:p>
        </w:tc>
      </w:tr>
      <w:tr>
        <w:trPr>
          <w:trHeight w:val="202"/>
        </w:trPr>
        <w:tc>
          <w:tcPr>
            <w:tcW w:w="4500" w:type="dxa"/>
            <w:vAlign w:val="bottom"/>
          </w:tcPr>
          <w:p>
            <w:pPr>
              <w:spacing w:after="0"/>
              <w:rPr>
                <w:sz w:val="20"/>
                <w:szCs w:val="20"/>
                <w:color w:val="auto"/>
              </w:rPr>
            </w:pPr>
            <w:r>
              <w:rPr>
                <w:rFonts w:ascii="Arial" w:cs="Arial" w:eastAsia="Arial" w:hAnsi="Arial"/>
                <w:sz w:val="14"/>
                <w:szCs w:val="14"/>
                <w:color w:val="auto"/>
              </w:rPr>
              <w:t>Common stock warrants exercised</w:t>
            </w:r>
          </w:p>
        </w:tc>
        <w:tc>
          <w:tcPr>
            <w:tcW w:w="440" w:type="dxa"/>
            <w:vAlign w:val="bottom"/>
          </w:tcPr>
          <w:p>
            <w:pPr>
              <w:jc w:val="right"/>
              <w:spacing w:after="0"/>
              <w:rPr>
                <w:sz w:val="20"/>
                <w:szCs w:val="20"/>
                <w:color w:val="auto"/>
              </w:rPr>
            </w:pPr>
            <w:r>
              <w:rPr>
                <w:rFonts w:ascii="Arial" w:cs="Arial" w:eastAsia="Arial" w:hAnsi="Arial"/>
                <w:sz w:val="14"/>
                <w:szCs w:val="14"/>
                <w:color w:val="auto"/>
              </w:rPr>
              <w:t>188</w:t>
            </w:r>
          </w:p>
        </w:tc>
        <w:tc>
          <w:tcPr>
            <w:tcW w:w="26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3</w:t>
            </w:r>
          </w:p>
        </w:tc>
        <w:tc>
          <w:tcPr>
            <w:tcW w:w="620" w:type="dxa"/>
            <w:vAlign w:val="bottom"/>
          </w:tcPr>
          <w:p>
            <w:pPr>
              <w:jc w:val="right"/>
              <w:spacing w:after="0"/>
              <w:rPr>
                <w:sz w:val="20"/>
                <w:szCs w:val="20"/>
                <w:color w:val="auto"/>
              </w:rPr>
            </w:pPr>
            <w:r>
              <w:rPr>
                <w:rFonts w:ascii="Arial" w:cs="Arial" w:eastAsia="Arial" w:hAnsi="Arial"/>
                <w:sz w:val="14"/>
                <w:szCs w:val="14"/>
                <w:color w:val="auto"/>
              </w:rPr>
              <w:t>865</w:t>
            </w:r>
          </w:p>
        </w:tc>
        <w:tc>
          <w:tcPr>
            <w:tcW w:w="140" w:type="dxa"/>
            <w:vAlign w:val="bottom"/>
          </w:tcPr>
          <w:p>
            <w:pPr>
              <w:spacing w:after="0"/>
              <w:rPr>
                <w:sz w:val="17"/>
                <w:szCs w:val="17"/>
                <w:color w:val="auto"/>
              </w:rPr>
            </w:pPr>
          </w:p>
        </w:tc>
        <w:tc>
          <w:tcPr>
            <w:tcW w:w="820" w:type="dxa"/>
            <w:vAlign w:val="bottom"/>
            <w:gridSpan w:val="2"/>
          </w:tcPr>
          <w:p>
            <w:pPr>
              <w:jc w:val="right"/>
              <w:ind w:right="3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868</w:t>
            </w:r>
          </w:p>
        </w:tc>
        <w:tc>
          <w:tcPr>
            <w:tcW w:w="280" w:type="dxa"/>
            <w:vAlign w:val="bottom"/>
          </w:tcPr>
          <w:p>
            <w:pPr>
              <w:spacing w:after="0"/>
              <w:rPr>
                <w:sz w:val="17"/>
                <w:szCs w:val="17"/>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868</w:t>
            </w:r>
          </w:p>
        </w:tc>
        <w:tc>
          <w:tcPr>
            <w:tcW w:w="0" w:type="dxa"/>
            <w:vAlign w:val="bottom"/>
          </w:tcPr>
          <w:p>
            <w:pPr>
              <w:spacing w:after="0"/>
              <w:rPr>
                <w:sz w:val="1"/>
                <w:szCs w:val="1"/>
                <w:color w:val="auto"/>
              </w:rPr>
            </w:pPr>
          </w:p>
        </w:tc>
      </w:tr>
      <w:tr>
        <w:trPr>
          <w:trHeight w:val="41"/>
        </w:trPr>
        <w:tc>
          <w:tcPr>
            <w:tcW w:w="4500" w:type="dxa"/>
            <w:vAlign w:val="bottom"/>
            <w:tcBorders>
              <w:bottom w:val="single" w:sz="8" w:color="C0C0C0"/>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C0C0C0"/>
            </w:tcBorders>
          </w:tcPr>
          <w:p>
            <w:pPr>
              <w:spacing w:after="0"/>
              <w:rPr>
                <w:sz w:val="3"/>
                <w:szCs w:val="3"/>
                <w:color w:val="auto"/>
              </w:rPr>
            </w:pPr>
          </w:p>
        </w:tc>
        <w:tc>
          <w:tcPr>
            <w:tcW w:w="140" w:type="dxa"/>
            <w:vAlign w:val="bottom"/>
            <w:tcBorders>
              <w:bottom w:val="single" w:sz="8" w:color="C0C0C0"/>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40" w:type="dxa"/>
            <w:vAlign w:val="bottom"/>
            <w:tcBorders>
              <w:bottom w:val="single" w:sz="8" w:color="C0C0C0"/>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80" w:type="dxa"/>
            <w:vAlign w:val="bottom"/>
            <w:tcBorders>
              <w:bottom w:val="single" w:sz="8" w:color="C0C0C0"/>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C0C0C0"/>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450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b w:val="1"/>
                <w:bCs w:val="1"/>
                <w:color w:val="auto"/>
              </w:rPr>
              <w:t>Balance at January 31, 2010</w:t>
            </w:r>
          </w:p>
        </w:tc>
        <w:tc>
          <w:tcPr>
            <w:tcW w:w="4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97"/>
              </w:rPr>
              <w:t>53,281</w:t>
            </w:r>
          </w:p>
        </w:tc>
        <w:tc>
          <w:tcPr>
            <w:tcW w:w="260" w:type="dxa"/>
            <w:vAlign w:val="bottom"/>
            <w:tcBorders>
              <w:bottom w:val="single" w:sz="8" w:color="C0C0C0"/>
            </w:tcBorders>
            <w:shd w:val="clear" w:color="auto" w:fill="C0C0C0"/>
          </w:tcPr>
          <w:p>
            <w:pPr>
              <w:spacing w:after="0"/>
              <w:rPr>
                <w:sz w:val="18"/>
                <w:szCs w:val="18"/>
                <w:color w:val="auto"/>
              </w:rPr>
            </w:pPr>
          </w:p>
        </w:tc>
        <w:tc>
          <w:tcPr>
            <w:tcW w:w="760" w:type="dxa"/>
            <w:vAlign w:val="bottom"/>
            <w:tcBorders>
              <w:bottom w:val="single" w:sz="8" w:color="C0C0C0"/>
            </w:tcBorders>
            <w:gridSpan w:val="2"/>
            <w:shd w:val="clear" w:color="auto" w:fill="C0C0C0"/>
          </w:tcPr>
          <w:p>
            <w:pPr>
              <w:jc w:val="right"/>
              <w:ind w:right="260"/>
              <w:spacing w:after="0"/>
              <w:rPr>
                <w:sz w:val="20"/>
                <w:szCs w:val="20"/>
                <w:color w:val="auto"/>
              </w:rPr>
            </w:pPr>
            <w:r>
              <w:rPr>
                <w:rFonts w:ascii="Arial" w:cs="Arial" w:eastAsia="Arial" w:hAnsi="Arial"/>
                <w:sz w:val="14"/>
                <w:szCs w:val="14"/>
                <w:color w:val="auto"/>
              </w:rPr>
              <w:t>$ 533</w:t>
            </w:r>
          </w:p>
        </w:tc>
        <w:tc>
          <w:tcPr>
            <w:tcW w:w="6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$433,632</w:t>
            </w:r>
          </w:p>
        </w:tc>
        <w:tc>
          <w:tcPr>
            <w:tcW w:w="140" w:type="dxa"/>
            <w:vAlign w:val="bottom"/>
            <w:tcBorders>
              <w:bottom w:val="single" w:sz="8" w:color="C0C0C0"/>
            </w:tcBorders>
            <w:shd w:val="clear" w:color="auto" w:fill="C0C0C0"/>
          </w:tcPr>
          <w:p>
            <w:pPr>
              <w:spacing w:after="0"/>
              <w:rPr>
                <w:sz w:val="18"/>
                <w:szCs w:val="18"/>
                <w:color w:val="auto"/>
              </w:rPr>
            </w:pPr>
          </w:p>
        </w:tc>
        <w:tc>
          <w:tcPr>
            <w:tcW w:w="82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$(26,333)</w:t>
            </w:r>
          </w:p>
        </w:tc>
        <w:tc>
          <w:tcPr>
            <w:tcW w:w="340" w:type="dxa"/>
            <w:vAlign w:val="bottom"/>
            <w:tcBorders>
              <w:bottom w:val="single" w:sz="8" w:color="C0C0C0"/>
              <w:right w:val="single" w:sz="8" w:color="C0C0C0"/>
            </w:tcBorders>
            <w:shd w:val="clear" w:color="auto" w:fill="C0C0C0"/>
          </w:tcPr>
          <w:p>
            <w:pPr>
              <w:spacing w:after="0"/>
              <w:rPr>
                <w:sz w:val="18"/>
                <w:szCs w:val="18"/>
                <w:color w:val="auto"/>
              </w:rPr>
            </w:pPr>
          </w:p>
        </w:tc>
        <w:tc>
          <w:tcPr>
            <w:tcW w:w="120" w:type="dxa"/>
            <w:vAlign w:val="bottom"/>
            <w:tcBorders>
              <w:bottom w:val="single" w:sz="8" w:color="C0C0C0"/>
            </w:tcBorders>
            <w:shd w:val="clear" w:color="auto" w:fill="C0C0C0"/>
          </w:tcPr>
          <w:p>
            <w:pPr>
              <w:jc w:val="center"/>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(444)</w:t>
            </w:r>
          </w:p>
        </w:tc>
        <w:tc>
          <w:tcPr>
            <w:tcW w:w="280" w:type="dxa"/>
            <w:vAlign w:val="bottom"/>
            <w:tcBorders>
              <w:bottom w:val="single" w:sz="8" w:color="C0C0C0"/>
            </w:tcBorders>
            <w:shd w:val="clear" w:color="auto" w:fill="C0C0C0"/>
          </w:tcPr>
          <w:p>
            <w:pPr>
              <w:spacing w:after="0"/>
              <w:rPr>
                <w:sz w:val="18"/>
                <w:szCs w:val="18"/>
                <w:color w:val="auto"/>
              </w:rPr>
            </w:pPr>
          </w:p>
        </w:tc>
        <w:tc>
          <w:tcPr>
            <w:tcW w:w="700" w:type="dxa"/>
            <w:vAlign w:val="bottom"/>
            <w:tcBorders>
              <w:bottom w:val="single" w:sz="8" w:color="C0C0C0"/>
            </w:tcBorders>
            <w:gridSpan w:val="2"/>
            <w:shd w:val="clear" w:color="auto" w:fill="C0C0C0"/>
          </w:tcPr>
          <w:p>
            <w:pPr>
              <w:jc w:val="right"/>
              <w:ind w:right="80"/>
              <w:spacing w:after="0"/>
              <w:rPr>
                <w:sz w:val="20"/>
                <w:szCs w:val="20"/>
                <w:color w:val="auto"/>
              </w:rPr>
            </w:pPr>
            <w:r>
              <w:rPr>
                <w:rFonts w:ascii="Arial" w:cs="Arial" w:eastAsia="Arial" w:hAnsi="Arial"/>
                <w:sz w:val="14"/>
                <w:szCs w:val="14"/>
                <w:color w:val="auto"/>
              </w:rPr>
              <w:t>$407,388</w:t>
            </w:r>
          </w:p>
        </w:tc>
        <w:tc>
          <w:tcPr>
            <w:tcW w:w="280" w:type="dxa"/>
            <w:vAlign w:val="bottom"/>
            <w:tcBorders>
              <w:bottom w:val="single" w:sz="8" w:color="C0C0C0"/>
            </w:tcBorders>
            <w:shd w:val="clear" w:color="auto" w:fill="C0C0C0"/>
          </w:tcPr>
          <w:p>
            <w:pPr>
              <w:spacing w:after="0"/>
              <w:rPr>
                <w:sz w:val="18"/>
                <w:szCs w:val="18"/>
                <w:color w:val="auto"/>
              </w:rPr>
            </w:pPr>
          </w:p>
        </w:tc>
        <w:tc>
          <w:tcPr>
            <w:tcW w:w="68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$51,051</w:t>
            </w:r>
          </w:p>
        </w:tc>
        <w:tc>
          <w:tcPr>
            <w:tcW w:w="260" w:type="dxa"/>
            <w:vAlign w:val="bottom"/>
            <w:tcBorders>
              <w:bottom w:val="single" w:sz="8" w:color="C0C0C0"/>
            </w:tcBorders>
            <w:shd w:val="clear" w:color="auto" w:fill="C0C0C0"/>
          </w:tcPr>
          <w:p>
            <w:pPr>
              <w:spacing w:after="0"/>
              <w:rPr>
                <w:sz w:val="18"/>
                <w:szCs w:val="18"/>
                <w:color w:val="auto"/>
              </w:rPr>
            </w:pPr>
          </w:p>
        </w:tc>
        <w:tc>
          <w:tcPr>
            <w:tcW w:w="72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$458,439</w:t>
            </w:r>
          </w:p>
        </w:tc>
        <w:tc>
          <w:tcPr>
            <w:tcW w:w="0" w:type="dxa"/>
            <w:vAlign w:val="bottom"/>
          </w:tcPr>
          <w:p>
            <w:pPr>
              <w:spacing w:after="0"/>
              <w:rPr>
                <w:sz w:val="1"/>
                <w:szCs w:val="1"/>
                <w:color w:val="auto"/>
              </w:rPr>
            </w:pPr>
          </w:p>
        </w:tc>
      </w:tr>
      <w:tr>
        <w:trPr>
          <w:trHeight w:val="27"/>
        </w:trPr>
        <w:tc>
          <w:tcPr>
            <w:tcW w:w="4500" w:type="dxa"/>
            <w:vAlign w:val="bottom"/>
            <w:shd w:val="clear" w:color="auto" w:fill="C0C0C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C0C0C0"/>
          </w:tcPr>
          <w:p>
            <w:pPr>
              <w:spacing w:after="0"/>
              <w:rPr>
                <w:sz w:val="2"/>
                <w:szCs w:val="2"/>
                <w:color w:val="auto"/>
              </w:rPr>
            </w:pPr>
          </w:p>
        </w:tc>
        <w:tc>
          <w:tcPr>
            <w:tcW w:w="620" w:type="dxa"/>
            <w:vAlign w:val="bottom"/>
            <w:gridSpan w:val="2"/>
            <w:shd w:val="clear" w:color="auto" w:fill="000000"/>
          </w:tcPr>
          <w:p>
            <w:pPr>
              <w:spacing w:after="0"/>
              <w:rPr>
                <w:sz w:val="2"/>
                <w:szCs w:val="2"/>
                <w:color w:val="auto"/>
              </w:rPr>
            </w:pPr>
          </w:p>
        </w:tc>
        <w:tc>
          <w:tcPr>
            <w:tcW w:w="280" w:type="dxa"/>
            <w:vAlign w:val="bottom"/>
            <w:shd w:val="clear" w:color="auto" w:fill="C0C0C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C0C0C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75"/>
        </w:trPr>
        <w:tc>
          <w:tcPr>
            <w:tcW w:w="4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40" w:type="dxa"/>
            <w:vAlign w:val="bottom"/>
            <w:gridSpan w:val="9"/>
          </w:tcPr>
          <w:p>
            <w:pPr>
              <w:jc w:val="center"/>
              <w:ind w:right="560"/>
              <w:spacing w:after="0"/>
              <w:rPr>
                <w:sz w:val="20"/>
                <w:szCs w:val="20"/>
                <w:color w:val="auto"/>
              </w:rPr>
            </w:pPr>
            <w:r>
              <w:rPr>
                <w:rFonts w:ascii="Arial" w:cs="Arial" w:eastAsia="Arial" w:hAnsi="Arial"/>
                <w:sz w:val="14"/>
                <w:szCs w:val="14"/>
                <w:b w:val="1"/>
                <w:bCs w:val="1"/>
                <w:color w:val="auto"/>
                <w:w w:val="88"/>
              </w:rPr>
              <w:t>Three Months Ended February 1, 2009</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5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gridSpan w:val="5"/>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4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gridSpan w:val="5"/>
          </w:tcPr>
          <w:p>
            <w:pPr>
              <w:ind w:left="180"/>
              <w:spacing w:after="0"/>
              <w:rPr>
                <w:sz w:val="20"/>
                <w:szCs w:val="20"/>
                <w:color w:val="auto"/>
              </w:rPr>
            </w:pPr>
            <w:r>
              <w:rPr>
                <w:rFonts w:ascii="Arial" w:cs="Arial" w:eastAsia="Arial" w:hAnsi="Arial"/>
                <w:sz w:val="14"/>
                <w:szCs w:val="14"/>
                <w:b w:val="1"/>
                <w:bCs w:val="1"/>
                <w:color w:val="auto"/>
                <w:w w:val="85"/>
              </w:rPr>
              <w:t>Photronics, Inc. Shareholders</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45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3"/>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4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5"/>
              </w:rPr>
              <w:t>Accum-</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7"/>
              </w:rPr>
              <w:t>ulated</w:t>
            </w: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6"/>
              </w:rPr>
              <w:t>Other</w:t>
            </w: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tcPr>
          <w:p>
            <w:pPr>
              <w:spacing w:after="0"/>
              <w:rPr>
                <w:sz w:val="21"/>
                <w:szCs w:val="21"/>
                <w:color w:val="auto"/>
              </w:rPr>
            </w:pPr>
          </w:p>
        </w:tc>
        <w:tc>
          <w:tcPr>
            <w:tcW w:w="1460" w:type="dxa"/>
            <w:vAlign w:val="bottom"/>
            <w:gridSpan w:val="4"/>
          </w:tcPr>
          <w:p>
            <w:pPr>
              <w:ind w:left="160"/>
              <w:spacing w:after="0"/>
              <w:rPr>
                <w:sz w:val="20"/>
                <w:szCs w:val="20"/>
                <w:color w:val="auto"/>
              </w:rPr>
            </w:pPr>
            <w:r>
              <w:rPr>
                <w:rFonts w:ascii="Arial" w:cs="Arial" w:eastAsia="Arial" w:hAnsi="Arial"/>
                <w:sz w:val="14"/>
                <w:szCs w:val="14"/>
                <w:b w:val="1"/>
                <w:bCs w:val="1"/>
                <w:color w:val="auto"/>
              </w:rPr>
              <w:t>Common Stock</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Add'l</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0"/>
              </w:rPr>
              <w:t>Compre-</w:t>
            </w:r>
          </w:p>
        </w:tc>
        <w:tc>
          <w:tcPr>
            <w:tcW w:w="9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Total</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Non-</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45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Paid-in</w:t>
            </w:r>
          </w:p>
        </w:tc>
        <w:tc>
          <w:tcPr>
            <w:tcW w:w="140" w:type="dxa"/>
            <w:vAlign w:val="bottom"/>
          </w:tcPr>
          <w:p>
            <w:pPr>
              <w:spacing w:after="0"/>
              <w:rPr>
                <w:sz w:val="3"/>
                <w:szCs w:val="3"/>
                <w:color w:val="auto"/>
              </w:rPr>
            </w:pP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7"/>
              </w:rPr>
              <w:t>Retained</w:t>
            </w:r>
          </w:p>
        </w:tc>
        <w:tc>
          <w:tcPr>
            <w:tcW w:w="90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84"/>
              </w:rPr>
              <w:t>hensive</w:t>
            </w:r>
          </w:p>
        </w:tc>
        <w:tc>
          <w:tcPr>
            <w:tcW w:w="98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85"/>
              </w:rPr>
              <w:t>Photronics,</w:t>
            </w: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controlling</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82"/>
        </w:trPr>
        <w:tc>
          <w:tcPr>
            <w:tcW w:w="4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00" w:type="dxa"/>
            <w:vAlign w:val="bottom"/>
          </w:tcPr>
          <w:p>
            <w:pPr>
              <w:spacing w:after="0"/>
              <w:rPr>
                <w:sz w:val="21"/>
                <w:szCs w:val="21"/>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Shares</w:t>
            </w: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Capital</w:t>
            </w:r>
          </w:p>
        </w:tc>
        <w:tc>
          <w:tcPr>
            <w:tcW w:w="140" w:type="dxa"/>
            <w:vAlign w:val="bottom"/>
          </w:tcPr>
          <w:p>
            <w:pPr>
              <w:spacing w:after="0"/>
              <w:rPr>
                <w:sz w:val="21"/>
                <w:szCs w:val="21"/>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Earnings</w:t>
            </w:r>
          </w:p>
        </w:tc>
        <w:tc>
          <w:tcPr>
            <w:tcW w:w="120" w:type="dxa"/>
            <w:vAlign w:val="bottom"/>
          </w:tcPr>
          <w:p>
            <w:pPr>
              <w:spacing w:after="0"/>
              <w:rPr>
                <w:sz w:val="21"/>
                <w:szCs w:val="21"/>
                <w:color w:val="auto"/>
              </w:rPr>
            </w:pPr>
          </w:p>
        </w:tc>
        <w:tc>
          <w:tcPr>
            <w:tcW w:w="7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79"/>
              </w:rPr>
              <w:t>Loss</w:t>
            </w:r>
          </w:p>
        </w:tc>
        <w:tc>
          <w:tcPr>
            <w:tcW w:w="9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Inc.</w:t>
            </w: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Interests</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41"/>
        </w:trPr>
        <w:tc>
          <w:tcPr>
            <w:tcW w:w="4500" w:type="dxa"/>
            <w:vAlign w:val="bottom"/>
            <w:tcBorders>
              <w:bottom w:val="single" w:sz="8" w:color="C0C0C0"/>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C0C0C0"/>
            </w:tcBorders>
          </w:tcPr>
          <w:p>
            <w:pPr>
              <w:spacing w:after="0"/>
              <w:rPr>
                <w:sz w:val="3"/>
                <w:szCs w:val="3"/>
                <w:color w:val="auto"/>
              </w:rPr>
            </w:pPr>
          </w:p>
        </w:tc>
        <w:tc>
          <w:tcPr>
            <w:tcW w:w="140" w:type="dxa"/>
            <w:vAlign w:val="bottom"/>
            <w:tcBorders>
              <w:bottom w:val="single" w:sz="8" w:color="C0C0C0"/>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40" w:type="dxa"/>
            <w:vAlign w:val="bottom"/>
            <w:tcBorders>
              <w:bottom w:val="single" w:sz="8" w:color="C0C0C0"/>
            </w:tcBorders>
          </w:tcPr>
          <w:p>
            <w:pPr>
              <w:spacing w:after="0"/>
              <w:rPr>
                <w:sz w:val="3"/>
                <w:szCs w:val="3"/>
                <w:color w:val="auto"/>
              </w:rPr>
            </w:pPr>
          </w:p>
        </w:tc>
        <w:tc>
          <w:tcPr>
            <w:tcW w:w="62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C0C0C0"/>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C0C0C0"/>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450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b w:val="1"/>
                <w:bCs w:val="1"/>
                <w:color w:val="auto"/>
              </w:rPr>
              <w:t>Balance at November 2, 2008</w:t>
            </w:r>
          </w:p>
        </w:tc>
        <w:tc>
          <w:tcPr>
            <w:tcW w:w="4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97"/>
              </w:rPr>
              <w:t>41,712</w:t>
            </w:r>
          </w:p>
        </w:tc>
        <w:tc>
          <w:tcPr>
            <w:tcW w:w="260" w:type="dxa"/>
            <w:vAlign w:val="bottom"/>
            <w:tcBorders>
              <w:bottom w:val="single" w:sz="8" w:color="C0C0C0"/>
            </w:tcBorders>
            <w:shd w:val="clear" w:color="auto" w:fill="C0C0C0"/>
          </w:tcPr>
          <w:p>
            <w:pPr>
              <w:spacing w:after="0"/>
              <w:rPr>
                <w:sz w:val="18"/>
                <w:szCs w:val="18"/>
                <w:color w:val="auto"/>
              </w:rPr>
            </w:pPr>
          </w:p>
        </w:tc>
        <w:tc>
          <w:tcPr>
            <w:tcW w:w="760" w:type="dxa"/>
            <w:vAlign w:val="bottom"/>
            <w:tcBorders>
              <w:bottom w:val="single" w:sz="8" w:color="C0C0C0"/>
            </w:tcBorders>
            <w:gridSpan w:val="2"/>
            <w:shd w:val="clear" w:color="auto" w:fill="C0C0C0"/>
          </w:tcPr>
          <w:p>
            <w:pPr>
              <w:jc w:val="right"/>
              <w:ind w:right="260"/>
              <w:spacing w:after="0"/>
              <w:rPr>
                <w:sz w:val="20"/>
                <w:szCs w:val="20"/>
                <w:color w:val="auto"/>
              </w:rPr>
            </w:pPr>
            <w:r>
              <w:rPr>
                <w:rFonts w:ascii="Arial" w:cs="Arial" w:eastAsia="Arial" w:hAnsi="Arial"/>
                <w:sz w:val="14"/>
                <w:szCs w:val="14"/>
                <w:color w:val="auto"/>
              </w:rPr>
              <w:t>$ 417</w:t>
            </w:r>
          </w:p>
        </w:tc>
        <w:tc>
          <w:tcPr>
            <w:tcW w:w="6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$384,502</w:t>
            </w:r>
          </w:p>
        </w:tc>
        <w:tc>
          <w:tcPr>
            <w:tcW w:w="140" w:type="dxa"/>
            <w:vAlign w:val="bottom"/>
            <w:tcBorders>
              <w:bottom w:val="single" w:sz="8" w:color="C0C0C0"/>
            </w:tcBorders>
            <w:shd w:val="clear" w:color="auto" w:fill="C0C0C0"/>
          </w:tcPr>
          <w:p>
            <w:pPr>
              <w:spacing w:after="0"/>
              <w:rPr>
                <w:sz w:val="18"/>
                <w:szCs w:val="18"/>
                <w:color w:val="auto"/>
              </w:rPr>
            </w:pPr>
          </w:p>
        </w:tc>
        <w:tc>
          <w:tcPr>
            <w:tcW w:w="820" w:type="dxa"/>
            <w:vAlign w:val="bottom"/>
            <w:tcBorders>
              <w:bottom w:val="single" w:sz="8" w:color="C0C0C0"/>
            </w:tcBorders>
            <w:gridSpan w:val="2"/>
            <w:shd w:val="clear" w:color="auto" w:fill="C0C0C0"/>
          </w:tcPr>
          <w:p>
            <w:pPr>
              <w:jc w:val="right"/>
              <w:ind w:right="32"/>
              <w:spacing w:after="0"/>
              <w:rPr>
                <w:sz w:val="20"/>
                <w:szCs w:val="20"/>
                <w:color w:val="auto"/>
              </w:rPr>
            </w:pPr>
            <w:r>
              <w:rPr>
                <w:rFonts w:ascii="Arial" w:cs="Arial" w:eastAsia="Arial" w:hAnsi="Arial"/>
                <w:sz w:val="14"/>
                <w:szCs w:val="14"/>
                <w:color w:val="auto"/>
              </w:rPr>
              <w:t>$ 15,364</w:t>
            </w:r>
          </w:p>
        </w:tc>
        <w:tc>
          <w:tcPr>
            <w:tcW w:w="340" w:type="dxa"/>
            <w:vAlign w:val="bottom"/>
            <w:tcBorders>
              <w:bottom w:val="single" w:sz="8" w:color="C0C0C0"/>
              <w:right w:val="single" w:sz="8" w:color="C0C0C0"/>
            </w:tcBorders>
            <w:shd w:val="clear" w:color="auto" w:fill="C0C0C0"/>
          </w:tcPr>
          <w:p>
            <w:pPr>
              <w:spacing w:after="0"/>
              <w:rPr>
                <w:sz w:val="18"/>
                <w:szCs w:val="18"/>
                <w:color w:val="auto"/>
              </w:rPr>
            </w:pPr>
          </w:p>
        </w:tc>
        <w:tc>
          <w:tcPr>
            <w:tcW w:w="62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w w:val="93"/>
              </w:rPr>
              <w:t>$(17,501)</w:t>
            </w:r>
          </w:p>
        </w:tc>
        <w:tc>
          <w:tcPr>
            <w:tcW w:w="280" w:type="dxa"/>
            <w:vAlign w:val="bottom"/>
            <w:tcBorders>
              <w:bottom w:val="single" w:sz="8" w:color="C0C0C0"/>
            </w:tcBorders>
            <w:shd w:val="clear" w:color="auto" w:fill="C0C0C0"/>
          </w:tcPr>
          <w:p>
            <w:pPr>
              <w:spacing w:after="0"/>
              <w:rPr>
                <w:sz w:val="18"/>
                <w:szCs w:val="18"/>
                <w:color w:val="auto"/>
              </w:rPr>
            </w:pPr>
          </w:p>
        </w:tc>
        <w:tc>
          <w:tcPr>
            <w:tcW w:w="700" w:type="dxa"/>
            <w:vAlign w:val="bottom"/>
            <w:tcBorders>
              <w:bottom w:val="single" w:sz="8" w:color="C0C0C0"/>
            </w:tcBorders>
            <w:gridSpan w:val="2"/>
            <w:shd w:val="clear" w:color="auto" w:fill="C0C0C0"/>
          </w:tcPr>
          <w:p>
            <w:pPr>
              <w:jc w:val="right"/>
              <w:ind w:right="80"/>
              <w:spacing w:after="0"/>
              <w:rPr>
                <w:sz w:val="20"/>
                <w:szCs w:val="20"/>
                <w:color w:val="auto"/>
              </w:rPr>
            </w:pPr>
            <w:r>
              <w:rPr>
                <w:rFonts w:ascii="Arial" w:cs="Arial" w:eastAsia="Arial" w:hAnsi="Arial"/>
                <w:sz w:val="14"/>
                <w:szCs w:val="14"/>
                <w:color w:val="auto"/>
              </w:rPr>
              <w:t>$382,782</w:t>
            </w:r>
          </w:p>
        </w:tc>
        <w:tc>
          <w:tcPr>
            <w:tcW w:w="280" w:type="dxa"/>
            <w:vAlign w:val="bottom"/>
            <w:tcBorders>
              <w:bottom w:val="single" w:sz="8" w:color="C0C0C0"/>
            </w:tcBorders>
            <w:shd w:val="clear" w:color="auto" w:fill="C0C0C0"/>
          </w:tcPr>
          <w:p>
            <w:pPr>
              <w:spacing w:after="0"/>
              <w:rPr>
                <w:sz w:val="18"/>
                <w:szCs w:val="18"/>
                <w:color w:val="auto"/>
              </w:rPr>
            </w:pPr>
          </w:p>
        </w:tc>
        <w:tc>
          <w:tcPr>
            <w:tcW w:w="68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$49,616</w:t>
            </w:r>
          </w:p>
        </w:tc>
        <w:tc>
          <w:tcPr>
            <w:tcW w:w="260" w:type="dxa"/>
            <w:vAlign w:val="bottom"/>
            <w:tcBorders>
              <w:bottom w:val="single" w:sz="8" w:color="C0C0C0"/>
            </w:tcBorders>
            <w:shd w:val="clear" w:color="auto" w:fill="C0C0C0"/>
          </w:tcPr>
          <w:p>
            <w:pPr>
              <w:spacing w:after="0"/>
              <w:rPr>
                <w:sz w:val="18"/>
                <w:szCs w:val="18"/>
                <w:color w:val="auto"/>
              </w:rPr>
            </w:pPr>
          </w:p>
        </w:tc>
        <w:tc>
          <w:tcPr>
            <w:tcW w:w="72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$432,398</w:t>
            </w:r>
          </w:p>
        </w:tc>
        <w:tc>
          <w:tcPr>
            <w:tcW w:w="0" w:type="dxa"/>
            <w:vAlign w:val="bottom"/>
          </w:tcPr>
          <w:p>
            <w:pPr>
              <w:spacing w:after="0"/>
              <w:rPr>
                <w:sz w:val="1"/>
                <w:szCs w:val="1"/>
                <w:color w:val="auto"/>
              </w:rPr>
            </w:pPr>
          </w:p>
        </w:tc>
      </w:tr>
      <w:tr>
        <w:trPr>
          <w:trHeight w:val="243"/>
        </w:trPr>
        <w:tc>
          <w:tcPr>
            <w:tcW w:w="4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Comprehensive loss:</w:t>
            </w:r>
          </w:p>
        </w:tc>
        <w:tc>
          <w:tcPr>
            <w:tcW w:w="440" w:type="dxa"/>
            <w:vAlign w:val="bottom"/>
            <w:tcBorders>
              <w:bottom w:val="single" w:sz="8" w:color="C0C0C0"/>
            </w:tcBorders>
            <w:shd w:val="clear" w:color="auto" w:fill="C0C0C0"/>
          </w:tcPr>
          <w:p>
            <w:pPr>
              <w:spacing w:after="0"/>
              <w:rPr>
                <w:sz w:val="19"/>
                <w:szCs w:val="19"/>
                <w:color w:val="auto"/>
              </w:rPr>
            </w:pPr>
          </w:p>
        </w:tc>
        <w:tc>
          <w:tcPr>
            <w:tcW w:w="260" w:type="dxa"/>
            <w:vAlign w:val="bottom"/>
            <w:tcBorders>
              <w:bottom w:val="single" w:sz="8" w:color="C0C0C0"/>
            </w:tcBorders>
            <w:shd w:val="clear" w:color="auto" w:fill="C0C0C0"/>
          </w:tcPr>
          <w:p>
            <w:pPr>
              <w:spacing w:after="0"/>
              <w:rPr>
                <w:sz w:val="19"/>
                <w:szCs w:val="19"/>
                <w:color w:val="auto"/>
              </w:rPr>
            </w:pPr>
          </w:p>
        </w:tc>
        <w:tc>
          <w:tcPr>
            <w:tcW w:w="500" w:type="dxa"/>
            <w:vAlign w:val="bottom"/>
            <w:tcBorders>
              <w:bottom w:val="single" w:sz="8" w:color="C0C0C0"/>
            </w:tcBorders>
            <w:shd w:val="clear" w:color="auto" w:fill="C0C0C0"/>
          </w:tcPr>
          <w:p>
            <w:pPr>
              <w:spacing w:after="0"/>
              <w:rPr>
                <w:sz w:val="19"/>
                <w:szCs w:val="19"/>
                <w:color w:val="auto"/>
              </w:rPr>
            </w:pPr>
          </w:p>
        </w:tc>
        <w:tc>
          <w:tcPr>
            <w:tcW w:w="26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680" w:type="dxa"/>
            <w:vAlign w:val="bottom"/>
            <w:tcBorders>
              <w:bottom w:val="single" w:sz="8" w:color="C0C0C0"/>
            </w:tcBorders>
            <w:shd w:val="clear" w:color="auto" w:fill="C0C0C0"/>
          </w:tcPr>
          <w:p>
            <w:pPr>
              <w:spacing w:after="0"/>
              <w:rPr>
                <w:sz w:val="19"/>
                <w:szCs w:val="19"/>
                <w:color w:val="auto"/>
              </w:rPr>
            </w:pPr>
          </w:p>
        </w:tc>
        <w:tc>
          <w:tcPr>
            <w:tcW w:w="340" w:type="dxa"/>
            <w:vAlign w:val="bottom"/>
            <w:tcBorders>
              <w:bottom w:val="single" w:sz="8" w:color="C0C0C0"/>
              <w:right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500" w:type="dxa"/>
            <w:vAlign w:val="bottom"/>
            <w:tcBorders>
              <w:bottom w:val="single" w:sz="8" w:color="C0C0C0"/>
            </w:tcBorders>
            <w:shd w:val="clear" w:color="auto" w:fill="C0C0C0"/>
          </w:tcPr>
          <w:p>
            <w:pPr>
              <w:spacing w:after="0"/>
              <w:rPr>
                <w:sz w:val="19"/>
                <w:szCs w:val="19"/>
                <w:color w:val="auto"/>
              </w:rPr>
            </w:pPr>
          </w:p>
        </w:tc>
        <w:tc>
          <w:tcPr>
            <w:tcW w:w="280" w:type="dxa"/>
            <w:vAlign w:val="bottom"/>
            <w:tcBorders>
              <w:bottom w:val="single" w:sz="8" w:color="C0C0C0"/>
            </w:tcBorders>
            <w:shd w:val="clear" w:color="auto" w:fill="C0C0C0"/>
          </w:tcPr>
          <w:p>
            <w:pPr>
              <w:spacing w:after="0"/>
              <w:rPr>
                <w:sz w:val="19"/>
                <w:szCs w:val="19"/>
                <w:color w:val="auto"/>
              </w:rPr>
            </w:pPr>
          </w:p>
        </w:tc>
        <w:tc>
          <w:tcPr>
            <w:tcW w:w="62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280" w:type="dxa"/>
            <w:vAlign w:val="bottom"/>
            <w:tcBorders>
              <w:bottom w:val="single" w:sz="8" w:color="C0C0C0"/>
            </w:tcBorders>
            <w:shd w:val="clear" w:color="auto" w:fill="C0C0C0"/>
          </w:tcPr>
          <w:p>
            <w:pPr>
              <w:spacing w:after="0"/>
              <w:rPr>
                <w:sz w:val="19"/>
                <w:szCs w:val="19"/>
                <w:color w:val="auto"/>
              </w:rPr>
            </w:pPr>
          </w:p>
        </w:tc>
        <w:tc>
          <w:tcPr>
            <w:tcW w:w="680" w:type="dxa"/>
            <w:vAlign w:val="bottom"/>
            <w:tcBorders>
              <w:bottom w:val="single" w:sz="8" w:color="C0C0C0"/>
            </w:tcBorders>
            <w:shd w:val="clear" w:color="auto" w:fill="C0C0C0"/>
          </w:tcPr>
          <w:p>
            <w:pPr>
              <w:spacing w:after="0"/>
              <w:rPr>
                <w:sz w:val="19"/>
                <w:szCs w:val="19"/>
                <w:color w:val="auto"/>
              </w:rPr>
            </w:pPr>
          </w:p>
        </w:tc>
        <w:tc>
          <w:tcPr>
            <w:tcW w:w="260" w:type="dxa"/>
            <w:vAlign w:val="bottom"/>
            <w:tcBorders>
              <w:bottom w:val="single" w:sz="8" w:color="C0C0C0"/>
            </w:tcBorders>
            <w:shd w:val="clear" w:color="auto" w:fill="C0C0C0"/>
          </w:tcPr>
          <w:p>
            <w:pPr>
              <w:spacing w:after="0"/>
              <w:rPr>
                <w:sz w:val="19"/>
                <w:szCs w:val="19"/>
                <w:color w:val="auto"/>
              </w:rPr>
            </w:pPr>
          </w:p>
        </w:tc>
        <w:tc>
          <w:tcPr>
            <w:tcW w:w="720" w:type="dxa"/>
            <w:vAlign w:val="bottom"/>
            <w:tcBorders>
              <w:bottom w:val="single" w:sz="8" w:color="C0C0C0"/>
            </w:tcBorders>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500" w:type="dxa"/>
            <w:vAlign w:val="bottom"/>
          </w:tcPr>
          <w:p>
            <w:pPr>
              <w:ind w:left="240"/>
              <w:spacing w:after="0"/>
              <w:rPr>
                <w:sz w:val="20"/>
                <w:szCs w:val="20"/>
                <w:color w:val="auto"/>
              </w:rPr>
            </w:pPr>
            <w:r>
              <w:rPr>
                <w:rFonts w:ascii="Arial" w:cs="Arial" w:eastAsia="Arial" w:hAnsi="Arial"/>
                <w:sz w:val="14"/>
                <w:szCs w:val="14"/>
                <w:color w:val="auto"/>
              </w:rPr>
              <w:t>Net income (loss)</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(10,233)</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(10,233)</w:t>
            </w:r>
          </w:p>
        </w:tc>
        <w:tc>
          <w:tcPr>
            <w:tcW w:w="280" w:type="dxa"/>
            <w:vAlign w:val="bottom"/>
          </w:tcPr>
          <w:p>
            <w:pPr>
              <w:spacing w:after="0"/>
              <w:rPr>
                <w:sz w:val="17"/>
                <w:szCs w:val="17"/>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266</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(9,967)</w:t>
            </w:r>
          </w:p>
        </w:tc>
        <w:tc>
          <w:tcPr>
            <w:tcW w:w="0" w:type="dxa"/>
            <w:vAlign w:val="bottom"/>
          </w:tcPr>
          <w:p>
            <w:pPr>
              <w:spacing w:after="0"/>
              <w:rPr>
                <w:sz w:val="1"/>
                <w:szCs w:val="1"/>
                <w:color w:val="auto"/>
              </w:rPr>
            </w:pPr>
          </w:p>
        </w:tc>
      </w:tr>
      <w:tr>
        <w:trPr>
          <w:trHeight w:val="41"/>
        </w:trPr>
        <w:tc>
          <w:tcPr>
            <w:tcW w:w="4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Unrealized holding gains</w:t>
            </w:r>
          </w:p>
        </w:tc>
        <w:tc>
          <w:tcPr>
            <w:tcW w:w="4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0C0C0"/>
            </w:tcBorders>
            <w:shd w:val="clear" w:color="auto" w:fill="C0C0C0"/>
          </w:tcPr>
          <w:p>
            <w:pPr>
              <w:spacing w:after="0"/>
              <w:rPr>
                <w:sz w:val="19"/>
                <w:szCs w:val="19"/>
                <w:color w:val="auto"/>
              </w:rPr>
            </w:pPr>
          </w:p>
        </w:tc>
        <w:tc>
          <w:tcPr>
            <w:tcW w:w="760" w:type="dxa"/>
            <w:vAlign w:val="bottom"/>
            <w:tcBorders>
              <w:bottom w:val="single" w:sz="8" w:color="C0C0C0"/>
            </w:tcBorders>
            <w:gridSpan w:val="2"/>
            <w:shd w:val="clear" w:color="auto" w:fill="C0C0C0"/>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0C0C0"/>
            </w:tcBorders>
            <w:gridSpan w:val="2"/>
            <w:shd w:val="clear" w:color="auto" w:fill="C0C0C0"/>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0C0C0"/>
            </w:tcBorders>
            <w:gridSpan w:val="2"/>
            <w:shd w:val="clear" w:color="auto" w:fill="C0C0C0"/>
          </w:tcPr>
          <w:p>
            <w:pPr>
              <w:jc w:val="right"/>
              <w:ind w:right="32"/>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0C0C0"/>
              <w:right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50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75</w:t>
            </w:r>
          </w:p>
        </w:tc>
        <w:tc>
          <w:tcPr>
            <w:tcW w:w="280" w:type="dxa"/>
            <w:vAlign w:val="bottom"/>
            <w:tcBorders>
              <w:bottom w:val="single" w:sz="8" w:color="C0C0C0"/>
            </w:tcBorders>
            <w:shd w:val="clear" w:color="auto" w:fill="C0C0C0"/>
          </w:tcPr>
          <w:p>
            <w:pPr>
              <w:spacing w:after="0"/>
              <w:rPr>
                <w:sz w:val="19"/>
                <w:szCs w:val="19"/>
                <w:color w:val="auto"/>
              </w:rPr>
            </w:pPr>
          </w:p>
        </w:tc>
        <w:tc>
          <w:tcPr>
            <w:tcW w:w="700" w:type="dxa"/>
            <w:vAlign w:val="bottom"/>
            <w:tcBorders>
              <w:bottom w:val="single" w:sz="8" w:color="C0C0C0"/>
            </w:tcBorders>
            <w:gridSpan w:val="2"/>
            <w:shd w:val="clear" w:color="auto" w:fill="C0C0C0"/>
          </w:tcPr>
          <w:p>
            <w:pPr>
              <w:jc w:val="right"/>
              <w:ind w:right="80"/>
              <w:spacing w:after="0"/>
              <w:rPr>
                <w:sz w:val="20"/>
                <w:szCs w:val="20"/>
                <w:color w:val="auto"/>
              </w:rPr>
            </w:pPr>
            <w:r>
              <w:rPr>
                <w:rFonts w:ascii="Arial" w:cs="Arial" w:eastAsia="Arial" w:hAnsi="Arial"/>
                <w:sz w:val="14"/>
                <w:szCs w:val="14"/>
                <w:color w:val="auto"/>
              </w:rPr>
              <w:t>75</w:t>
            </w:r>
          </w:p>
        </w:tc>
        <w:tc>
          <w:tcPr>
            <w:tcW w:w="280" w:type="dxa"/>
            <w:vAlign w:val="bottom"/>
            <w:tcBorders>
              <w:bottom w:val="single" w:sz="8" w:color="C0C0C0"/>
            </w:tcBorders>
            <w:shd w:val="clear" w:color="auto" w:fill="C0C0C0"/>
          </w:tcPr>
          <w:p>
            <w:pPr>
              <w:spacing w:after="0"/>
              <w:rPr>
                <w:sz w:val="19"/>
                <w:szCs w:val="19"/>
                <w:color w:val="auto"/>
              </w:rPr>
            </w:pPr>
          </w:p>
        </w:tc>
        <w:tc>
          <w:tcPr>
            <w:tcW w:w="68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39</w:t>
            </w:r>
          </w:p>
        </w:tc>
        <w:tc>
          <w:tcPr>
            <w:tcW w:w="260" w:type="dxa"/>
            <w:vAlign w:val="bottom"/>
            <w:tcBorders>
              <w:bottom w:val="single" w:sz="8" w:color="C0C0C0"/>
            </w:tcBorders>
            <w:shd w:val="clear" w:color="auto" w:fill="C0C0C0"/>
          </w:tcPr>
          <w:p>
            <w:pPr>
              <w:spacing w:after="0"/>
              <w:rPr>
                <w:sz w:val="19"/>
                <w:szCs w:val="19"/>
                <w:color w:val="auto"/>
              </w:rPr>
            </w:pPr>
          </w:p>
        </w:tc>
        <w:tc>
          <w:tcPr>
            <w:tcW w:w="72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202"/>
        </w:trPr>
        <w:tc>
          <w:tcPr>
            <w:tcW w:w="4500" w:type="dxa"/>
            <w:vAlign w:val="bottom"/>
          </w:tcPr>
          <w:p>
            <w:pPr>
              <w:ind w:left="240"/>
              <w:spacing w:after="0"/>
              <w:rPr>
                <w:sz w:val="20"/>
                <w:szCs w:val="20"/>
                <w:color w:val="auto"/>
              </w:rPr>
            </w:pPr>
            <w:r>
              <w:rPr>
                <w:rFonts w:ascii="Arial" w:cs="Arial" w:eastAsia="Arial" w:hAnsi="Arial"/>
                <w:sz w:val="14"/>
                <w:szCs w:val="14"/>
                <w:color w:val="auto"/>
              </w:rPr>
              <w:t>Amortization of cash flow hedges</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ind w:right="32"/>
              <w:spacing w:after="0"/>
              <w:rPr>
                <w:sz w:val="20"/>
                <w:szCs w:val="20"/>
                <w:color w:val="auto"/>
              </w:rPr>
            </w:pPr>
            <w:r>
              <w:rPr>
                <w:rFonts w:ascii="Arial" w:cs="Arial" w:eastAsia="Arial" w:hAnsi="Arial"/>
                <w:sz w:val="14"/>
                <w:szCs w:val="14"/>
                <w:color w:val="auto"/>
              </w:rPr>
              <w:t>481</w:t>
            </w:r>
          </w:p>
        </w:tc>
        <w:tc>
          <w:tcPr>
            <w:tcW w:w="28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481</w:t>
            </w:r>
          </w:p>
        </w:tc>
        <w:tc>
          <w:tcPr>
            <w:tcW w:w="280" w:type="dxa"/>
            <w:vAlign w:val="bottom"/>
          </w:tcPr>
          <w:p>
            <w:pPr>
              <w:spacing w:after="0"/>
              <w:rPr>
                <w:sz w:val="17"/>
                <w:szCs w:val="17"/>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481</w:t>
            </w:r>
          </w:p>
        </w:tc>
        <w:tc>
          <w:tcPr>
            <w:tcW w:w="0" w:type="dxa"/>
            <w:vAlign w:val="bottom"/>
          </w:tcPr>
          <w:p>
            <w:pPr>
              <w:spacing w:after="0"/>
              <w:rPr>
                <w:sz w:val="1"/>
                <w:szCs w:val="1"/>
                <w:color w:val="auto"/>
              </w:rPr>
            </w:pPr>
          </w:p>
        </w:tc>
      </w:tr>
      <w:tr>
        <w:trPr>
          <w:trHeight w:val="41"/>
        </w:trPr>
        <w:tc>
          <w:tcPr>
            <w:tcW w:w="4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4500" w:type="dxa"/>
            <w:vAlign w:val="bottom"/>
            <w:shd w:val="clear" w:color="auto" w:fill="C0C0C0"/>
          </w:tcPr>
          <w:p>
            <w:pPr>
              <w:ind w:left="240"/>
              <w:spacing w:after="0"/>
              <w:rPr>
                <w:sz w:val="20"/>
                <w:szCs w:val="20"/>
                <w:color w:val="auto"/>
              </w:rPr>
            </w:pPr>
            <w:r>
              <w:rPr>
                <w:rFonts w:ascii="Arial" w:cs="Arial" w:eastAsia="Arial" w:hAnsi="Arial"/>
                <w:sz w:val="14"/>
                <w:szCs w:val="14"/>
                <w:color w:val="auto"/>
              </w:rPr>
              <w:t>Foreign currency translation</w:t>
            </w:r>
          </w:p>
        </w:tc>
        <w:tc>
          <w:tcPr>
            <w:tcW w:w="44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50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6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680" w:type="dxa"/>
            <w:vAlign w:val="bottom"/>
            <w:shd w:val="clear" w:color="auto" w:fill="C0C0C0"/>
          </w:tcPr>
          <w:p>
            <w:pPr>
              <w:spacing w:after="0"/>
              <w:rPr>
                <w:sz w:val="17"/>
                <w:szCs w:val="17"/>
                <w:color w:val="auto"/>
              </w:rPr>
            </w:pPr>
          </w:p>
        </w:tc>
        <w:tc>
          <w:tcPr>
            <w:tcW w:w="340" w:type="dxa"/>
            <w:vAlign w:val="bottom"/>
            <w:tcBorders>
              <w:right w:val="single" w:sz="8" w:color="C0C0C0"/>
            </w:tcBorders>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500" w:type="dxa"/>
            <w:vAlign w:val="bottom"/>
            <w:shd w:val="clear" w:color="auto" w:fill="C0C0C0"/>
          </w:tcPr>
          <w:p>
            <w:pPr>
              <w:spacing w:after="0"/>
              <w:rPr>
                <w:sz w:val="17"/>
                <w:szCs w:val="17"/>
                <w:color w:val="auto"/>
              </w:rPr>
            </w:pPr>
          </w:p>
        </w:tc>
        <w:tc>
          <w:tcPr>
            <w:tcW w:w="280" w:type="dxa"/>
            <w:vAlign w:val="bottom"/>
            <w:shd w:val="clear" w:color="auto" w:fill="C0C0C0"/>
          </w:tcPr>
          <w:p>
            <w:pPr>
              <w:spacing w:after="0"/>
              <w:rPr>
                <w:sz w:val="17"/>
                <w:szCs w:val="17"/>
                <w:color w:val="auto"/>
              </w:rPr>
            </w:pPr>
          </w:p>
        </w:tc>
        <w:tc>
          <w:tcPr>
            <w:tcW w:w="6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280" w:type="dxa"/>
            <w:vAlign w:val="bottom"/>
            <w:shd w:val="clear" w:color="auto" w:fill="C0C0C0"/>
          </w:tcPr>
          <w:p>
            <w:pPr>
              <w:spacing w:after="0"/>
              <w:rPr>
                <w:sz w:val="17"/>
                <w:szCs w:val="17"/>
                <w:color w:val="auto"/>
              </w:rPr>
            </w:pPr>
          </w:p>
        </w:tc>
        <w:tc>
          <w:tcPr>
            <w:tcW w:w="68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7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4500" w:type="dxa"/>
            <w:vAlign w:val="bottom"/>
            <w:tcBorders>
              <w:bottom w:val="single" w:sz="8" w:color="C0C0C0"/>
            </w:tcBorders>
            <w:shd w:val="clear" w:color="auto" w:fill="C0C0C0"/>
          </w:tcPr>
          <w:p>
            <w:pPr>
              <w:ind w:left="480"/>
              <w:spacing w:after="0"/>
              <w:rPr>
                <w:sz w:val="20"/>
                <w:szCs w:val="20"/>
                <w:color w:val="auto"/>
              </w:rPr>
            </w:pPr>
            <w:r>
              <w:rPr>
                <w:rFonts w:ascii="Arial" w:cs="Arial" w:eastAsia="Arial" w:hAnsi="Arial"/>
                <w:sz w:val="14"/>
                <w:szCs w:val="14"/>
                <w:color w:val="auto"/>
              </w:rPr>
              <w:t>adjustments</w:t>
            </w:r>
          </w:p>
        </w:tc>
        <w:tc>
          <w:tcPr>
            <w:tcW w:w="4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0C0C0"/>
            </w:tcBorders>
            <w:shd w:val="clear" w:color="auto" w:fill="C0C0C0"/>
          </w:tcPr>
          <w:p>
            <w:pPr>
              <w:spacing w:after="0"/>
              <w:rPr>
                <w:sz w:val="24"/>
                <w:szCs w:val="24"/>
                <w:color w:val="auto"/>
              </w:rPr>
            </w:pPr>
          </w:p>
        </w:tc>
        <w:tc>
          <w:tcPr>
            <w:tcW w:w="760" w:type="dxa"/>
            <w:vAlign w:val="bottom"/>
            <w:tcBorders>
              <w:bottom w:val="single" w:sz="8" w:color="C0C0C0"/>
            </w:tcBorders>
            <w:gridSpan w:val="2"/>
            <w:shd w:val="clear" w:color="auto" w:fill="C0C0C0"/>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0C0C0"/>
            </w:tcBorders>
            <w:gridSpan w:val="2"/>
            <w:shd w:val="clear" w:color="auto" w:fill="C0C0C0"/>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0C0C0"/>
            </w:tcBorders>
            <w:gridSpan w:val="2"/>
            <w:shd w:val="clear" w:color="auto" w:fill="C0C0C0"/>
          </w:tcPr>
          <w:p>
            <w:pPr>
              <w:jc w:val="right"/>
              <w:ind w:right="32"/>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0C0C0"/>
              <w:right w:val="single" w:sz="8" w:color="C0C0C0"/>
            </w:tcBorders>
            <w:shd w:val="clear" w:color="auto" w:fill="C0C0C0"/>
          </w:tcPr>
          <w:p>
            <w:pPr>
              <w:spacing w:after="0"/>
              <w:rPr>
                <w:sz w:val="24"/>
                <w:szCs w:val="24"/>
                <w:color w:val="auto"/>
              </w:rPr>
            </w:pPr>
          </w:p>
        </w:tc>
        <w:tc>
          <w:tcPr>
            <w:tcW w:w="120" w:type="dxa"/>
            <w:vAlign w:val="bottom"/>
            <w:tcBorders>
              <w:bottom w:val="single" w:sz="8" w:color="C0C0C0"/>
            </w:tcBorders>
            <w:shd w:val="clear" w:color="auto" w:fill="C0C0C0"/>
          </w:tcPr>
          <w:p>
            <w:pPr>
              <w:spacing w:after="0"/>
              <w:rPr>
                <w:sz w:val="24"/>
                <w:szCs w:val="24"/>
                <w:color w:val="auto"/>
              </w:rPr>
            </w:pPr>
          </w:p>
        </w:tc>
        <w:tc>
          <w:tcPr>
            <w:tcW w:w="5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84"/>
              </w:rPr>
              <w:t>(16,107)</w:t>
            </w:r>
          </w:p>
        </w:tc>
        <w:tc>
          <w:tcPr>
            <w:tcW w:w="280" w:type="dxa"/>
            <w:vAlign w:val="bottom"/>
            <w:tcBorders>
              <w:bottom w:val="single" w:sz="8" w:color="C0C0C0"/>
            </w:tcBorders>
            <w:shd w:val="clear" w:color="auto" w:fill="C0C0C0"/>
          </w:tcPr>
          <w:p>
            <w:pPr>
              <w:spacing w:after="0"/>
              <w:rPr>
                <w:sz w:val="24"/>
                <w:szCs w:val="24"/>
                <w:color w:val="auto"/>
              </w:rPr>
            </w:pPr>
          </w:p>
        </w:tc>
        <w:tc>
          <w:tcPr>
            <w:tcW w:w="700" w:type="dxa"/>
            <w:vAlign w:val="bottom"/>
            <w:tcBorders>
              <w:bottom w:val="single" w:sz="8" w:color="C0C0C0"/>
            </w:tcBorders>
            <w:gridSpan w:val="2"/>
            <w:shd w:val="clear" w:color="auto" w:fill="C0C0C0"/>
          </w:tcPr>
          <w:p>
            <w:pPr>
              <w:jc w:val="right"/>
              <w:ind w:right="40"/>
              <w:spacing w:after="0"/>
              <w:rPr>
                <w:sz w:val="20"/>
                <w:szCs w:val="20"/>
                <w:color w:val="auto"/>
              </w:rPr>
            </w:pPr>
            <w:r>
              <w:rPr>
                <w:rFonts w:ascii="Arial" w:cs="Arial" w:eastAsia="Arial" w:hAnsi="Arial"/>
                <w:sz w:val="14"/>
                <w:szCs w:val="14"/>
                <w:color w:val="auto"/>
              </w:rPr>
              <w:t>(16,107)</w:t>
            </w:r>
          </w:p>
        </w:tc>
        <w:tc>
          <w:tcPr>
            <w:tcW w:w="280" w:type="dxa"/>
            <w:vAlign w:val="bottom"/>
            <w:tcBorders>
              <w:bottom w:val="single" w:sz="8" w:color="C0C0C0"/>
            </w:tcBorders>
            <w:shd w:val="clear" w:color="auto" w:fill="C0C0C0"/>
          </w:tcPr>
          <w:p>
            <w:pPr>
              <w:spacing w:after="0"/>
              <w:rPr>
                <w:sz w:val="24"/>
                <w:szCs w:val="24"/>
                <w:color w:val="auto"/>
              </w:rPr>
            </w:pPr>
          </w:p>
        </w:tc>
        <w:tc>
          <w:tcPr>
            <w:tcW w:w="6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(1,313)</w:t>
            </w:r>
          </w:p>
        </w:tc>
        <w:tc>
          <w:tcPr>
            <w:tcW w:w="260" w:type="dxa"/>
            <w:vAlign w:val="bottom"/>
            <w:tcBorders>
              <w:bottom w:val="single" w:sz="8" w:color="C0C0C0"/>
            </w:tcBorders>
            <w:shd w:val="clear" w:color="auto" w:fill="C0C0C0"/>
          </w:tcPr>
          <w:p>
            <w:pPr>
              <w:spacing w:after="0"/>
              <w:rPr>
                <w:sz w:val="24"/>
                <w:szCs w:val="24"/>
                <w:color w:val="auto"/>
              </w:rPr>
            </w:pPr>
          </w:p>
        </w:tc>
        <w:tc>
          <w:tcPr>
            <w:tcW w:w="7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(17,420)</w:t>
            </w:r>
          </w:p>
        </w:tc>
        <w:tc>
          <w:tcPr>
            <w:tcW w:w="0" w:type="dxa"/>
            <w:vAlign w:val="bottom"/>
          </w:tcPr>
          <w:p>
            <w:pPr>
              <w:spacing w:after="0"/>
              <w:rPr>
                <w:sz w:val="1"/>
                <w:szCs w:val="1"/>
                <w:color w:val="auto"/>
              </w:rPr>
            </w:pPr>
          </w:p>
        </w:tc>
      </w:tr>
      <w:tr>
        <w:trPr>
          <w:trHeight w:val="196"/>
        </w:trPr>
        <w:tc>
          <w:tcPr>
            <w:tcW w:w="4500" w:type="dxa"/>
            <w:vAlign w:val="bottom"/>
          </w:tcPr>
          <w:p>
            <w:pPr>
              <w:ind w:left="240"/>
              <w:spacing w:after="0"/>
              <w:rPr>
                <w:sz w:val="20"/>
                <w:szCs w:val="20"/>
                <w:color w:val="auto"/>
              </w:rPr>
            </w:pPr>
            <w:r>
              <w:rPr>
                <w:rFonts w:ascii="Arial" w:cs="Arial" w:eastAsia="Arial" w:hAnsi="Arial"/>
                <w:sz w:val="14"/>
                <w:szCs w:val="14"/>
                <w:color w:val="auto"/>
              </w:rPr>
              <w:t>Total comprehensive loss</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7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(25,784)</w:t>
            </w:r>
          </w:p>
        </w:tc>
        <w:tc>
          <w:tcPr>
            <w:tcW w:w="280" w:type="dxa"/>
            <w:vAlign w:val="bottom"/>
          </w:tcPr>
          <w:p>
            <w:pPr>
              <w:spacing w:after="0"/>
              <w:rPr>
                <w:sz w:val="17"/>
                <w:szCs w:val="17"/>
                <w:color w:val="auto"/>
              </w:rPr>
            </w:pPr>
          </w:p>
        </w:tc>
        <w:tc>
          <w:tcPr>
            <w:tcW w:w="68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rPr>
              <w:t>(1,008)</w:t>
            </w:r>
          </w:p>
        </w:tc>
        <w:tc>
          <w:tcPr>
            <w:tcW w:w="260" w:type="dxa"/>
            <w:vAlign w:val="bottom"/>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(26,792)</w:t>
            </w:r>
          </w:p>
        </w:tc>
        <w:tc>
          <w:tcPr>
            <w:tcW w:w="0" w:type="dxa"/>
            <w:vAlign w:val="bottom"/>
          </w:tcPr>
          <w:p>
            <w:pPr>
              <w:spacing w:after="0"/>
              <w:rPr>
                <w:sz w:val="1"/>
                <w:szCs w:val="1"/>
                <w:color w:val="auto"/>
              </w:rPr>
            </w:pPr>
          </w:p>
        </w:tc>
      </w:tr>
      <w:tr>
        <w:trPr>
          <w:trHeight w:val="41"/>
        </w:trPr>
        <w:tc>
          <w:tcPr>
            <w:tcW w:w="4500" w:type="dxa"/>
            <w:vAlign w:val="bottom"/>
            <w:tcBorders>
              <w:bottom w:val="single" w:sz="8" w:color="C0C0C0"/>
            </w:tcBorders>
          </w:tcPr>
          <w:p>
            <w:pPr>
              <w:spacing w:after="0"/>
              <w:rPr>
                <w:sz w:val="3"/>
                <w:szCs w:val="3"/>
                <w:color w:val="auto"/>
              </w:rPr>
            </w:pPr>
          </w:p>
        </w:tc>
        <w:tc>
          <w:tcPr>
            <w:tcW w:w="440" w:type="dxa"/>
            <w:vAlign w:val="bottom"/>
            <w:tcBorders>
              <w:bottom w:val="single" w:sz="8" w:color="C0C0C0"/>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500" w:type="dxa"/>
            <w:vAlign w:val="bottom"/>
            <w:tcBorders>
              <w:bottom w:val="single" w:sz="8" w:color="C0C0C0"/>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620" w:type="dxa"/>
            <w:vAlign w:val="bottom"/>
            <w:tcBorders>
              <w:bottom w:val="single" w:sz="8" w:color="C0C0C0"/>
            </w:tcBorders>
          </w:tcPr>
          <w:p>
            <w:pPr>
              <w:spacing w:after="0"/>
              <w:rPr>
                <w:sz w:val="3"/>
                <w:szCs w:val="3"/>
                <w:color w:val="auto"/>
              </w:rPr>
            </w:pPr>
          </w:p>
        </w:tc>
        <w:tc>
          <w:tcPr>
            <w:tcW w:w="140" w:type="dxa"/>
            <w:vAlign w:val="bottom"/>
            <w:tcBorders>
              <w:bottom w:val="single" w:sz="8" w:color="C0C0C0"/>
            </w:tcBorders>
          </w:tcPr>
          <w:p>
            <w:pPr>
              <w:spacing w:after="0"/>
              <w:rPr>
                <w:sz w:val="3"/>
                <w:szCs w:val="3"/>
                <w:color w:val="auto"/>
              </w:rPr>
            </w:pPr>
          </w:p>
        </w:tc>
        <w:tc>
          <w:tcPr>
            <w:tcW w:w="140" w:type="dxa"/>
            <w:vAlign w:val="bottom"/>
            <w:tcBorders>
              <w:bottom w:val="single" w:sz="8" w:color="C0C0C0"/>
            </w:tcBorders>
          </w:tcPr>
          <w:p>
            <w:pPr>
              <w:spacing w:after="0"/>
              <w:rPr>
                <w:sz w:val="3"/>
                <w:szCs w:val="3"/>
                <w:color w:val="auto"/>
              </w:rPr>
            </w:pPr>
          </w:p>
        </w:tc>
        <w:tc>
          <w:tcPr>
            <w:tcW w:w="680" w:type="dxa"/>
            <w:vAlign w:val="bottom"/>
            <w:tcBorders>
              <w:bottom w:val="single" w:sz="8" w:color="C0C0C0"/>
            </w:tcBorders>
          </w:tcPr>
          <w:p>
            <w:pPr>
              <w:spacing w:after="0"/>
              <w:rPr>
                <w:sz w:val="3"/>
                <w:szCs w:val="3"/>
                <w:color w:val="auto"/>
              </w:rPr>
            </w:pPr>
          </w:p>
        </w:tc>
        <w:tc>
          <w:tcPr>
            <w:tcW w:w="34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500" w:type="dxa"/>
            <w:vAlign w:val="bottom"/>
            <w:tcBorders>
              <w:bottom w:val="single" w:sz="8" w:color="C0C0C0"/>
            </w:tcBorders>
          </w:tcPr>
          <w:p>
            <w:pPr>
              <w:spacing w:after="0"/>
              <w:rPr>
                <w:sz w:val="3"/>
                <w:szCs w:val="3"/>
                <w:color w:val="auto"/>
              </w:rPr>
            </w:pPr>
          </w:p>
        </w:tc>
        <w:tc>
          <w:tcPr>
            <w:tcW w:w="280" w:type="dxa"/>
            <w:vAlign w:val="bottom"/>
            <w:tcBorders>
              <w:bottom w:val="single" w:sz="8" w:color="C0C0C0"/>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C0C0C0"/>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4500" w:type="dxa"/>
            <w:vAlign w:val="bottom"/>
            <w:shd w:val="clear" w:color="auto" w:fill="C0C0C0"/>
          </w:tcPr>
          <w:p>
            <w:pPr>
              <w:ind w:left="240"/>
              <w:spacing w:after="0"/>
              <w:rPr>
                <w:sz w:val="20"/>
                <w:szCs w:val="20"/>
                <w:color w:val="auto"/>
              </w:rPr>
            </w:pPr>
            <w:r>
              <w:rPr>
                <w:rFonts w:ascii="Arial" w:cs="Arial" w:eastAsia="Arial" w:hAnsi="Arial"/>
                <w:sz w:val="14"/>
                <w:szCs w:val="14"/>
                <w:color w:val="auto"/>
              </w:rPr>
              <w:t>Sale of common stock through</w:t>
            </w:r>
          </w:p>
        </w:tc>
        <w:tc>
          <w:tcPr>
            <w:tcW w:w="440" w:type="dxa"/>
            <w:vAlign w:val="bottom"/>
            <w:shd w:val="clear" w:color="auto" w:fill="C0C0C0"/>
          </w:tcPr>
          <w:p>
            <w:pPr>
              <w:spacing w:after="0"/>
              <w:rPr>
                <w:sz w:val="15"/>
                <w:szCs w:val="15"/>
                <w:color w:val="auto"/>
              </w:rPr>
            </w:pPr>
          </w:p>
        </w:tc>
        <w:tc>
          <w:tcPr>
            <w:tcW w:w="260" w:type="dxa"/>
            <w:vAlign w:val="bottom"/>
            <w:shd w:val="clear" w:color="auto" w:fill="C0C0C0"/>
          </w:tcPr>
          <w:p>
            <w:pPr>
              <w:spacing w:after="0"/>
              <w:rPr>
                <w:sz w:val="15"/>
                <w:szCs w:val="15"/>
                <w:color w:val="auto"/>
              </w:rPr>
            </w:pPr>
          </w:p>
        </w:tc>
        <w:tc>
          <w:tcPr>
            <w:tcW w:w="500" w:type="dxa"/>
            <w:vAlign w:val="bottom"/>
            <w:shd w:val="clear" w:color="auto" w:fill="C0C0C0"/>
          </w:tcPr>
          <w:p>
            <w:pPr>
              <w:spacing w:after="0"/>
              <w:rPr>
                <w:sz w:val="15"/>
                <w:szCs w:val="15"/>
                <w:color w:val="auto"/>
              </w:rPr>
            </w:pPr>
          </w:p>
        </w:tc>
        <w:tc>
          <w:tcPr>
            <w:tcW w:w="260" w:type="dxa"/>
            <w:vAlign w:val="bottom"/>
            <w:shd w:val="clear" w:color="auto" w:fill="C0C0C0"/>
          </w:tcPr>
          <w:p>
            <w:pPr>
              <w:spacing w:after="0"/>
              <w:rPr>
                <w:sz w:val="15"/>
                <w:szCs w:val="15"/>
                <w:color w:val="auto"/>
              </w:rPr>
            </w:pPr>
          </w:p>
        </w:tc>
        <w:tc>
          <w:tcPr>
            <w:tcW w:w="620" w:type="dxa"/>
            <w:vAlign w:val="bottom"/>
            <w:shd w:val="clear" w:color="auto" w:fill="C0C0C0"/>
          </w:tcPr>
          <w:p>
            <w:pPr>
              <w:spacing w:after="0"/>
              <w:rPr>
                <w:sz w:val="15"/>
                <w:szCs w:val="15"/>
                <w:color w:val="auto"/>
              </w:rPr>
            </w:pPr>
          </w:p>
        </w:tc>
        <w:tc>
          <w:tcPr>
            <w:tcW w:w="140" w:type="dxa"/>
            <w:vAlign w:val="bottom"/>
            <w:shd w:val="clear" w:color="auto" w:fill="C0C0C0"/>
          </w:tcPr>
          <w:p>
            <w:pPr>
              <w:spacing w:after="0"/>
              <w:rPr>
                <w:sz w:val="15"/>
                <w:szCs w:val="15"/>
                <w:color w:val="auto"/>
              </w:rPr>
            </w:pPr>
          </w:p>
        </w:tc>
        <w:tc>
          <w:tcPr>
            <w:tcW w:w="140" w:type="dxa"/>
            <w:vAlign w:val="bottom"/>
            <w:shd w:val="clear" w:color="auto" w:fill="C0C0C0"/>
          </w:tcPr>
          <w:p>
            <w:pPr>
              <w:spacing w:after="0"/>
              <w:rPr>
                <w:sz w:val="15"/>
                <w:szCs w:val="15"/>
                <w:color w:val="auto"/>
              </w:rPr>
            </w:pPr>
          </w:p>
        </w:tc>
        <w:tc>
          <w:tcPr>
            <w:tcW w:w="680" w:type="dxa"/>
            <w:vAlign w:val="bottom"/>
            <w:shd w:val="clear" w:color="auto" w:fill="C0C0C0"/>
          </w:tcPr>
          <w:p>
            <w:pPr>
              <w:spacing w:after="0"/>
              <w:rPr>
                <w:sz w:val="15"/>
                <w:szCs w:val="15"/>
                <w:color w:val="auto"/>
              </w:rPr>
            </w:pPr>
          </w:p>
        </w:tc>
        <w:tc>
          <w:tcPr>
            <w:tcW w:w="340" w:type="dxa"/>
            <w:vAlign w:val="bottom"/>
            <w:tcBorders>
              <w:right w:val="single" w:sz="8" w:color="C0C0C0"/>
            </w:tcBorders>
            <w:shd w:val="clear" w:color="auto" w:fill="C0C0C0"/>
          </w:tcPr>
          <w:p>
            <w:pPr>
              <w:spacing w:after="0"/>
              <w:rPr>
                <w:sz w:val="15"/>
                <w:szCs w:val="15"/>
                <w:color w:val="auto"/>
              </w:rPr>
            </w:pPr>
          </w:p>
        </w:tc>
        <w:tc>
          <w:tcPr>
            <w:tcW w:w="120" w:type="dxa"/>
            <w:vAlign w:val="bottom"/>
            <w:shd w:val="clear" w:color="auto" w:fill="C0C0C0"/>
          </w:tcPr>
          <w:p>
            <w:pPr>
              <w:spacing w:after="0"/>
              <w:rPr>
                <w:sz w:val="15"/>
                <w:szCs w:val="15"/>
                <w:color w:val="auto"/>
              </w:rPr>
            </w:pPr>
          </w:p>
        </w:tc>
        <w:tc>
          <w:tcPr>
            <w:tcW w:w="500" w:type="dxa"/>
            <w:vAlign w:val="bottom"/>
            <w:shd w:val="clear" w:color="auto" w:fill="C0C0C0"/>
          </w:tcPr>
          <w:p>
            <w:pPr>
              <w:spacing w:after="0"/>
              <w:rPr>
                <w:sz w:val="15"/>
                <w:szCs w:val="15"/>
                <w:color w:val="auto"/>
              </w:rPr>
            </w:pPr>
          </w:p>
        </w:tc>
        <w:tc>
          <w:tcPr>
            <w:tcW w:w="280" w:type="dxa"/>
            <w:vAlign w:val="bottom"/>
            <w:shd w:val="clear" w:color="auto" w:fill="C0C0C0"/>
          </w:tcPr>
          <w:p>
            <w:pPr>
              <w:spacing w:after="0"/>
              <w:rPr>
                <w:sz w:val="15"/>
                <w:szCs w:val="15"/>
                <w:color w:val="auto"/>
              </w:rPr>
            </w:pPr>
          </w:p>
        </w:tc>
        <w:tc>
          <w:tcPr>
            <w:tcW w:w="62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280" w:type="dxa"/>
            <w:vAlign w:val="bottom"/>
            <w:shd w:val="clear" w:color="auto" w:fill="C0C0C0"/>
          </w:tcPr>
          <w:p>
            <w:pPr>
              <w:spacing w:after="0"/>
              <w:rPr>
                <w:sz w:val="15"/>
                <w:szCs w:val="15"/>
                <w:color w:val="auto"/>
              </w:rPr>
            </w:pPr>
          </w:p>
        </w:tc>
        <w:tc>
          <w:tcPr>
            <w:tcW w:w="680" w:type="dxa"/>
            <w:vAlign w:val="bottom"/>
            <w:shd w:val="clear" w:color="auto" w:fill="C0C0C0"/>
          </w:tcPr>
          <w:p>
            <w:pPr>
              <w:spacing w:after="0"/>
              <w:rPr>
                <w:sz w:val="15"/>
                <w:szCs w:val="15"/>
                <w:color w:val="auto"/>
              </w:rPr>
            </w:pPr>
          </w:p>
        </w:tc>
        <w:tc>
          <w:tcPr>
            <w:tcW w:w="260" w:type="dxa"/>
            <w:vAlign w:val="bottom"/>
            <w:shd w:val="clear" w:color="auto" w:fill="C0C0C0"/>
          </w:tcPr>
          <w:p>
            <w:pPr>
              <w:spacing w:after="0"/>
              <w:rPr>
                <w:sz w:val="15"/>
                <w:szCs w:val="15"/>
                <w:color w:val="auto"/>
              </w:rPr>
            </w:pPr>
          </w:p>
        </w:tc>
        <w:tc>
          <w:tcPr>
            <w:tcW w:w="720" w:type="dxa"/>
            <w:vAlign w:val="bottom"/>
            <w:shd w:val="clear" w:color="auto" w:fill="C0C0C0"/>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00" w:type="dxa"/>
            <w:vAlign w:val="bottom"/>
            <w:shd w:val="clear" w:color="auto" w:fill="C0C0C0"/>
          </w:tcPr>
          <w:p>
            <w:pPr>
              <w:ind w:left="480"/>
              <w:spacing w:after="0"/>
              <w:rPr>
                <w:sz w:val="20"/>
                <w:szCs w:val="20"/>
                <w:color w:val="auto"/>
              </w:rPr>
            </w:pPr>
            <w:r>
              <w:rPr>
                <w:rFonts w:ascii="Arial" w:cs="Arial" w:eastAsia="Arial" w:hAnsi="Arial"/>
                <w:sz w:val="14"/>
                <w:szCs w:val="14"/>
                <w:color w:val="auto"/>
              </w:rPr>
              <w:t>employee stock option and</w:t>
            </w:r>
          </w:p>
        </w:tc>
        <w:tc>
          <w:tcPr>
            <w:tcW w:w="4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5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340" w:type="dxa"/>
            <w:vAlign w:val="bottom"/>
            <w:tcBorders>
              <w:right w:val="single" w:sz="8" w:color="C0C0C0"/>
            </w:tcBorders>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500" w:type="dxa"/>
            <w:vAlign w:val="bottom"/>
            <w:tcBorders>
              <w:bottom w:val="single" w:sz="8" w:color="C0C0C0"/>
            </w:tcBorders>
            <w:shd w:val="clear" w:color="auto" w:fill="C0C0C0"/>
          </w:tcPr>
          <w:p>
            <w:pPr>
              <w:ind w:left="480"/>
              <w:spacing w:after="0"/>
              <w:rPr>
                <w:sz w:val="20"/>
                <w:szCs w:val="20"/>
                <w:color w:val="auto"/>
              </w:rPr>
            </w:pPr>
            <w:r>
              <w:rPr>
                <w:rFonts w:ascii="Arial" w:cs="Arial" w:eastAsia="Arial" w:hAnsi="Arial"/>
                <w:sz w:val="14"/>
                <w:szCs w:val="14"/>
                <w:color w:val="auto"/>
              </w:rPr>
              <w:t>purchase plans</w:t>
            </w:r>
          </w:p>
        </w:tc>
        <w:tc>
          <w:tcPr>
            <w:tcW w:w="4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0C0C0"/>
            </w:tcBorders>
            <w:shd w:val="clear" w:color="auto" w:fill="C0C0C0"/>
          </w:tcPr>
          <w:p>
            <w:pPr>
              <w:spacing w:after="0"/>
              <w:rPr>
                <w:sz w:val="22"/>
                <w:szCs w:val="22"/>
                <w:color w:val="auto"/>
              </w:rPr>
            </w:pPr>
          </w:p>
        </w:tc>
        <w:tc>
          <w:tcPr>
            <w:tcW w:w="760" w:type="dxa"/>
            <w:vAlign w:val="bottom"/>
            <w:tcBorders>
              <w:bottom w:val="single" w:sz="8" w:color="C0C0C0"/>
            </w:tcBorders>
            <w:gridSpan w:val="2"/>
            <w:shd w:val="clear" w:color="auto" w:fill="C0C0C0"/>
          </w:tcPr>
          <w:p>
            <w:pPr>
              <w:jc w:val="right"/>
              <w:ind w:right="26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23</w:t>
            </w:r>
          </w:p>
        </w:tc>
        <w:tc>
          <w:tcPr>
            <w:tcW w:w="140" w:type="dxa"/>
            <w:vAlign w:val="bottom"/>
            <w:tcBorders>
              <w:bottom w:val="single" w:sz="8" w:color="C0C0C0"/>
            </w:tcBorders>
            <w:shd w:val="clear" w:color="auto" w:fill="C0C0C0"/>
          </w:tcPr>
          <w:p>
            <w:pPr>
              <w:spacing w:after="0"/>
              <w:rPr>
                <w:sz w:val="22"/>
                <w:szCs w:val="22"/>
                <w:color w:val="auto"/>
              </w:rPr>
            </w:pPr>
          </w:p>
        </w:tc>
        <w:tc>
          <w:tcPr>
            <w:tcW w:w="820" w:type="dxa"/>
            <w:vAlign w:val="bottom"/>
            <w:tcBorders>
              <w:bottom w:val="single" w:sz="8" w:color="C0C0C0"/>
            </w:tcBorders>
            <w:gridSpan w:val="2"/>
            <w:shd w:val="clear" w:color="auto" w:fill="C0C0C0"/>
          </w:tcPr>
          <w:p>
            <w:pPr>
              <w:jc w:val="right"/>
              <w:ind w:right="32"/>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0C0C0"/>
              <w:right w:val="single" w:sz="8" w:color="C0C0C0"/>
            </w:tcBorders>
            <w:shd w:val="clear" w:color="auto" w:fill="C0C0C0"/>
          </w:tcPr>
          <w:p>
            <w:pPr>
              <w:spacing w:after="0"/>
              <w:rPr>
                <w:sz w:val="22"/>
                <w:szCs w:val="22"/>
                <w:color w:val="auto"/>
              </w:rPr>
            </w:pPr>
          </w:p>
        </w:tc>
        <w:tc>
          <w:tcPr>
            <w:tcW w:w="120" w:type="dxa"/>
            <w:vAlign w:val="bottom"/>
            <w:tcBorders>
              <w:bottom w:val="single" w:sz="8" w:color="C0C0C0"/>
            </w:tcBorders>
            <w:shd w:val="clear" w:color="auto" w:fill="C0C0C0"/>
          </w:tcPr>
          <w:p>
            <w:pPr>
              <w:spacing w:after="0"/>
              <w:rPr>
                <w:sz w:val="22"/>
                <w:szCs w:val="22"/>
                <w:color w:val="auto"/>
              </w:rPr>
            </w:pPr>
          </w:p>
        </w:tc>
        <w:tc>
          <w:tcPr>
            <w:tcW w:w="50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0C0C0"/>
            </w:tcBorders>
            <w:shd w:val="clear" w:color="auto" w:fill="C0C0C0"/>
          </w:tcPr>
          <w:p>
            <w:pPr>
              <w:spacing w:after="0"/>
              <w:rPr>
                <w:sz w:val="22"/>
                <w:szCs w:val="22"/>
                <w:color w:val="auto"/>
              </w:rPr>
            </w:pPr>
          </w:p>
        </w:tc>
        <w:tc>
          <w:tcPr>
            <w:tcW w:w="700" w:type="dxa"/>
            <w:vAlign w:val="bottom"/>
            <w:tcBorders>
              <w:bottom w:val="single" w:sz="8" w:color="C0C0C0"/>
            </w:tcBorders>
            <w:gridSpan w:val="2"/>
            <w:shd w:val="clear" w:color="auto" w:fill="C0C0C0"/>
          </w:tcPr>
          <w:p>
            <w:pPr>
              <w:jc w:val="right"/>
              <w:ind w:right="80"/>
              <w:spacing w:after="0"/>
              <w:rPr>
                <w:sz w:val="20"/>
                <w:szCs w:val="20"/>
                <w:color w:val="auto"/>
              </w:rPr>
            </w:pPr>
            <w:r>
              <w:rPr>
                <w:rFonts w:ascii="Arial" w:cs="Arial" w:eastAsia="Arial" w:hAnsi="Arial"/>
                <w:sz w:val="14"/>
                <w:szCs w:val="14"/>
                <w:color w:val="auto"/>
              </w:rPr>
              <w:t>23</w:t>
            </w:r>
          </w:p>
        </w:tc>
        <w:tc>
          <w:tcPr>
            <w:tcW w:w="280" w:type="dxa"/>
            <w:vAlign w:val="bottom"/>
            <w:tcBorders>
              <w:bottom w:val="single" w:sz="8" w:color="C0C0C0"/>
            </w:tcBorders>
            <w:shd w:val="clear" w:color="auto" w:fill="C0C0C0"/>
          </w:tcPr>
          <w:p>
            <w:pPr>
              <w:spacing w:after="0"/>
              <w:rPr>
                <w:sz w:val="22"/>
                <w:szCs w:val="22"/>
                <w:color w:val="auto"/>
              </w:rPr>
            </w:pPr>
          </w:p>
        </w:tc>
        <w:tc>
          <w:tcPr>
            <w:tcW w:w="68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0C0C0"/>
            </w:tcBorders>
            <w:shd w:val="clear" w:color="auto" w:fill="C0C0C0"/>
          </w:tcPr>
          <w:p>
            <w:pPr>
              <w:spacing w:after="0"/>
              <w:rPr>
                <w:sz w:val="22"/>
                <w:szCs w:val="22"/>
                <w:color w:val="auto"/>
              </w:rPr>
            </w:pPr>
          </w:p>
        </w:tc>
        <w:tc>
          <w:tcPr>
            <w:tcW w:w="72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2"/>
        </w:trPr>
        <w:tc>
          <w:tcPr>
            <w:tcW w:w="4500" w:type="dxa"/>
            <w:vAlign w:val="bottom"/>
          </w:tcPr>
          <w:p>
            <w:pPr>
              <w:spacing w:after="0"/>
              <w:rPr>
                <w:sz w:val="20"/>
                <w:szCs w:val="20"/>
                <w:color w:val="auto"/>
              </w:rPr>
            </w:pPr>
            <w:r>
              <w:rPr>
                <w:rFonts w:ascii="Arial" w:cs="Arial" w:eastAsia="Arial" w:hAnsi="Arial"/>
                <w:sz w:val="14"/>
                <w:szCs w:val="14"/>
                <w:color w:val="auto"/>
              </w:rPr>
              <w:t>Share-based compensation expense</w:t>
            </w:r>
          </w:p>
        </w:tc>
        <w:tc>
          <w:tcPr>
            <w:tcW w:w="440" w:type="dxa"/>
            <w:vAlign w:val="bottom"/>
          </w:tcPr>
          <w:p>
            <w:pPr>
              <w:jc w:val="right"/>
              <w:spacing w:after="0"/>
              <w:rPr>
                <w:sz w:val="20"/>
                <w:szCs w:val="20"/>
                <w:color w:val="auto"/>
              </w:rPr>
            </w:pPr>
            <w:r>
              <w:rPr>
                <w:rFonts w:ascii="Arial" w:cs="Arial" w:eastAsia="Arial" w:hAnsi="Arial"/>
                <w:sz w:val="14"/>
                <w:szCs w:val="14"/>
                <w:color w:val="auto"/>
              </w:rPr>
              <w:t>45</w:t>
            </w:r>
          </w:p>
        </w:tc>
        <w:tc>
          <w:tcPr>
            <w:tcW w:w="26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1</w:t>
            </w:r>
          </w:p>
        </w:tc>
        <w:tc>
          <w:tcPr>
            <w:tcW w:w="620" w:type="dxa"/>
            <w:vAlign w:val="bottom"/>
          </w:tcPr>
          <w:p>
            <w:pPr>
              <w:jc w:val="right"/>
              <w:spacing w:after="0"/>
              <w:rPr>
                <w:sz w:val="20"/>
                <w:szCs w:val="20"/>
                <w:color w:val="auto"/>
              </w:rPr>
            </w:pPr>
            <w:r>
              <w:rPr>
                <w:rFonts w:ascii="Arial" w:cs="Arial" w:eastAsia="Arial" w:hAnsi="Arial"/>
                <w:sz w:val="14"/>
                <w:szCs w:val="14"/>
                <w:color w:val="auto"/>
              </w:rPr>
              <w:t>663</w:t>
            </w:r>
          </w:p>
        </w:tc>
        <w:tc>
          <w:tcPr>
            <w:tcW w:w="140" w:type="dxa"/>
            <w:vAlign w:val="bottom"/>
          </w:tcPr>
          <w:p>
            <w:pPr>
              <w:spacing w:after="0"/>
              <w:rPr>
                <w:sz w:val="17"/>
                <w:szCs w:val="17"/>
                <w:color w:val="auto"/>
              </w:rPr>
            </w:pPr>
          </w:p>
        </w:tc>
        <w:tc>
          <w:tcPr>
            <w:tcW w:w="820" w:type="dxa"/>
            <w:vAlign w:val="bottom"/>
            <w:gridSpan w:val="2"/>
          </w:tcPr>
          <w:p>
            <w:pPr>
              <w:jc w:val="right"/>
              <w:ind w:right="3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664</w:t>
            </w:r>
          </w:p>
        </w:tc>
        <w:tc>
          <w:tcPr>
            <w:tcW w:w="280" w:type="dxa"/>
            <w:vAlign w:val="bottom"/>
          </w:tcPr>
          <w:p>
            <w:pPr>
              <w:spacing w:after="0"/>
              <w:rPr>
                <w:sz w:val="17"/>
                <w:szCs w:val="17"/>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664</w:t>
            </w:r>
          </w:p>
        </w:tc>
        <w:tc>
          <w:tcPr>
            <w:tcW w:w="0" w:type="dxa"/>
            <w:vAlign w:val="bottom"/>
          </w:tcPr>
          <w:p>
            <w:pPr>
              <w:spacing w:after="0"/>
              <w:rPr>
                <w:sz w:val="1"/>
                <w:szCs w:val="1"/>
                <w:color w:val="auto"/>
              </w:rPr>
            </w:pPr>
          </w:p>
        </w:tc>
      </w:tr>
      <w:tr>
        <w:trPr>
          <w:trHeight w:val="41"/>
        </w:trPr>
        <w:tc>
          <w:tcPr>
            <w:tcW w:w="4500" w:type="dxa"/>
            <w:vAlign w:val="bottom"/>
            <w:tcBorders>
              <w:bottom w:val="single" w:sz="8" w:color="C0C0C0"/>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C0C0C0"/>
            </w:tcBorders>
          </w:tcPr>
          <w:p>
            <w:pPr>
              <w:spacing w:after="0"/>
              <w:rPr>
                <w:sz w:val="3"/>
                <w:szCs w:val="3"/>
                <w:color w:val="auto"/>
              </w:rPr>
            </w:pPr>
          </w:p>
        </w:tc>
        <w:tc>
          <w:tcPr>
            <w:tcW w:w="140" w:type="dxa"/>
            <w:vAlign w:val="bottom"/>
            <w:tcBorders>
              <w:bottom w:val="single" w:sz="8" w:color="C0C0C0"/>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40" w:type="dxa"/>
            <w:vAlign w:val="bottom"/>
            <w:tcBorders>
              <w:bottom w:val="single" w:sz="8" w:color="C0C0C0"/>
            </w:tcBorders>
          </w:tcPr>
          <w:p>
            <w:pPr>
              <w:spacing w:after="0"/>
              <w:rPr>
                <w:sz w:val="3"/>
                <w:szCs w:val="3"/>
                <w:color w:val="auto"/>
              </w:rPr>
            </w:pPr>
          </w:p>
        </w:tc>
        <w:tc>
          <w:tcPr>
            <w:tcW w:w="62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C0C0C0"/>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C0C0C0"/>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450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b w:val="1"/>
                <w:bCs w:val="1"/>
                <w:color w:val="auto"/>
              </w:rPr>
              <w:t>Balance at February 1, 2009</w:t>
            </w:r>
          </w:p>
        </w:tc>
        <w:tc>
          <w:tcPr>
            <w:tcW w:w="4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97"/>
              </w:rPr>
              <w:t>41,757</w:t>
            </w:r>
          </w:p>
        </w:tc>
        <w:tc>
          <w:tcPr>
            <w:tcW w:w="260" w:type="dxa"/>
            <w:vAlign w:val="bottom"/>
            <w:tcBorders>
              <w:bottom w:val="single" w:sz="8" w:color="C0C0C0"/>
            </w:tcBorders>
            <w:shd w:val="clear" w:color="auto" w:fill="C0C0C0"/>
          </w:tcPr>
          <w:p>
            <w:pPr>
              <w:spacing w:after="0"/>
              <w:rPr>
                <w:sz w:val="18"/>
                <w:szCs w:val="18"/>
                <w:color w:val="auto"/>
              </w:rPr>
            </w:pPr>
          </w:p>
        </w:tc>
        <w:tc>
          <w:tcPr>
            <w:tcW w:w="760" w:type="dxa"/>
            <w:vAlign w:val="bottom"/>
            <w:tcBorders>
              <w:bottom w:val="single" w:sz="8" w:color="C0C0C0"/>
            </w:tcBorders>
            <w:gridSpan w:val="2"/>
            <w:shd w:val="clear" w:color="auto" w:fill="C0C0C0"/>
          </w:tcPr>
          <w:p>
            <w:pPr>
              <w:jc w:val="right"/>
              <w:ind w:right="260"/>
              <w:spacing w:after="0"/>
              <w:rPr>
                <w:sz w:val="20"/>
                <w:szCs w:val="20"/>
                <w:color w:val="auto"/>
              </w:rPr>
            </w:pPr>
            <w:r>
              <w:rPr>
                <w:rFonts w:ascii="Arial" w:cs="Arial" w:eastAsia="Arial" w:hAnsi="Arial"/>
                <w:sz w:val="14"/>
                <w:szCs w:val="14"/>
                <w:color w:val="auto"/>
              </w:rPr>
              <w:t>$ 418</w:t>
            </w:r>
          </w:p>
        </w:tc>
        <w:tc>
          <w:tcPr>
            <w:tcW w:w="6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$385,188</w:t>
            </w:r>
          </w:p>
        </w:tc>
        <w:tc>
          <w:tcPr>
            <w:tcW w:w="140" w:type="dxa"/>
            <w:vAlign w:val="bottom"/>
            <w:tcBorders>
              <w:bottom w:val="single" w:sz="8" w:color="C0C0C0"/>
            </w:tcBorders>
            <w:shd w:val="clear" w:color="auto" w:fill="C0C0C0"/>
          </w:tcPr>
          <w:p>
            <w:pPr>
              <w:spacing w:after="0"/>
              <w:rPr>
                <w:sz w:val="18"/>
                <w:szCs w:val="18"/>
                <w:color w:val="auto"/>
              </w:rPr>
            </w:pPr>
          </w:p>
        </w:tc>
        <w:tc>
          <w:tcPr>
            <w:tcW w:w="820" w:type="dxa"/>
            <w:vAlign w:val="bottom"/>
            <w:tcBorders>
              <w:bottom w:val="single" w:sz="8" w:color="C0C0C0"/>
            </w:tcBorders>
            <w:gridSpan w:val="2"/>
            <w:shd w:val="clear" w:color="auto" w:fill="C0C0C0"/>
          </w:tcPr>
          <w:p>
            <w:pPr>
              <w:jc w:val="right"/>
              <w:ind w:right="32"/>
              <w:spacing w:after="0"/>
              <w:rPr>
                <w:sz w:val="20"/>
                <w:szCs w:val="20"/>
                <w:color w:val="auto"/>
              </w:rPr>
            </w:pPr>
            <w:r>
              <w:rPr>
                <w:rFonts w:ascii="Arial" w:cs="Arial" w:eastAsia="Arial" w:hAnsi="Arial"/>
                <w:sz w:val="14"/>
                <w:szCs w:val="14"/>
                <w:color w:val="auto"/>
              </w:rPr>
              <w:t>$  5,131</w:t>
            </w:r>
          </w:p>
        </w:tc>
        <w:tc>
          <w:tcPr>
            <w:tcW w:w="340" w:type="dxa"/>
            <w:vAlign w:val="bottom"/>
            <w:tcBorders>
              <w:bottom w:val="single" w:sz="8" w:color="C0C0C0"/>
              <w:right w:val="single" w:sz="8" w:color="C0C0C0"/>
            </w:tcBorders>
            <w:shd w:val="clear" w:color="auto" w:fill="C0C0C0"/>
          </w:tcPr>
          <w:p>
            <w:pPr>
              <w:spacing w:after="0"/>
              <w:rPr>
                <w:sz w:val="18"/>
                <w:szCs w:val="18"/>
                <w:color w:val="auto"/>
              </w:rPr>
            </w:pPr>
          </w:p>
        </w:tc>
        <w:tc>
          <w:tcPr>
            <w:tcW w:w="62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w w:val="93"/>
              </w:rPr>
              <w:t>$(33,052)</w:t>
            </w:r>
          </w:p>
        </w:tc>
        <w:tc>
          <w:tcPr>
            <w:tcW w:w="280" w:type="dxa"/>
            <w:vAlign w:val="bottom"/>
            <w:tcBorders>
              <w:bottom w:val="single" w:sz="8" w:color="C0C0C0"/>
            </w:tcBorders>
            <w:shd w:val="clear" w:color="auto" w:fill="C0C0C0"/>
          </w:tcPr>
          <w:p>
            <w:pPr>
              <w:spacing w:after="0"/>
              <w:rPr>
                <w:sz w:val="18"/>
                <w:szCs w:val="18"/>
                <w:color w:val="auto"/>
              </w:rPr>
            </w:pPr>
          </w:p>
        </w:tc>
        <w:tc>
          <w:tcPr>
            <w:tcW w:w="700" w:type="dxa"/>
            <w:vAlign w:val="bottom"/>
            <w:tcBorders>
              <w:bottom w:val="single" w:sz="8" w:color="C0C0C0"/>
            </w:tcBorders>
            <w:gridSpan w:val="2"/>
            <w:shd w:val="clear" w:color="auto" w:fill="C0C0C0"/>
          </w:tcPr>
          <w:p>
            <w:pPr>
              <w:jc w:val="right"/>
              <w:ind w:right="80"/>
              <w:spacing w:after="0"/>
              <w:rPr>
                <w:sz w:val="20"/>
                <w:szCs w:val="20"/>
                <w:color w:val="auto"/>
              </w:rPr>
            </w:pPr>
            <w:r>
              <w:rPr>
                <w:rFonts w:ascii="Arial" w:cs="Arial" w:eastAsia="Arial" w:hAnsi="Arial"/>
                <w:sz w:val="14"/>
                <w:szCs w:val="14"/>
                <w:color w:val="auto"/>
              </w:rPr>
              <w:t>$357,685</w:t>
            </w:r>
          </w:p>
        </w:tc>
        <w:tc>
          <w:tcPr>
            <w:tcW w:w="280" w:type="dxa"/>
            <w:vAlign w:val="bottom"/>
            <w:tcBorders>
              <w:bottom w:val="single" w:sz="8" w:color="C0C0C0"/>
            </w:tcBorders>
            <w:shd w:val="clear" w:color="auto" w:fill="C0C0C0"/>
          </w:tcPr>
          <w:p>
            <w:pPr>
              <w:spacing w:after="0"/>
              <w:rPr>
                <w:sz w:val="18"/>
                <w:szCs w:val="18"/>
                <w:color w:val="auto"/>
              </w:rPr>
            </w:pPr>
          </w:p>
        </w:tc>
        <w:tc>
          <w:tcPr>
            <w:tcW w:w="680" w:type="dxa"/>
            <w:vAlign w:val="bottom"/>
            <w:tcBorders>
              <w:bottom w:val="single" w:sz="8" w:color="C0C0C0"/>
            </w:tcBorders>
            <w:shd w:val="clear" w:color="auto" w:fill="C0C0C0"/>
          </w:tcPr>
          <w:p>
            <w:pPr>
              <w:jc w:val="right"/>
              <w:ind w:right="52"/>
              <w:spacing w:after="0"/>
              <w:rPr>
                <w:sz w:val="20"/>
                <w:szCs w:val="20"/>
                <w:color w:val="auto"/>
              </w:rPr>
            </w:pPr>
            <w:r>
              <w:rPr>
                <w:rFonts w:ascii="Arial" w:cs="Arial" w:eastAsia="Arial" w:hAnsi="Arial"/>
                <w:sz w:val="14"/>
                <w:szCs w:val="14"/>
                <w:color w:val="auto"/>
              </w:rPr>
              <w:t>$48,608</w:t>
            </w:r>
          </w:p>
        </w:tc>
        <w:tc>
          <w:tcPr>
            <w:tcW w:w="260" w:type="dxa"/>
            <w:vAlign w:val="bottom"/>
            <w:tcBorders>
              <w:bottom w:val="single" w:sz="8" w:color="C0C0C0"/>
            </w:tcBorders>
            <w:shd w:val="clear" w:color="auto" w:fill="C0C0C0"/>
          </w:tcPr>
          <w:p>
            <w:pPr>
              <w:spacing w:after="0"/>
              <w:rPr>
                <w:sz w:val="18"/>
                <w:szCs w:val="18"/>
                <w:color w:val="auto"/>
              </w:rPr>
            </w:pPr>
          </w:p>
        </w:tc>
        <w:tc>
          <w:tcPr>
            <w:tcW w:w="72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$406,293</w:t>
            </w:r>
          </w:p>
        </w:tc>
        <w:tc>
          <w:tcPr>
            <w:tcW w:w="0" w:type="dxa"/>
            <w:vAlign w:val="bottom"/>
          </w:tcPr>
          <w:p>
            <w:pPr>
              <w:spacing w:after="0"/>
              <w:rPr>
                <w:sz w:val="1"/>
                <w:szCs w:val="1"/>
                <w:color w:val="auto"/>
              </w:rPr>
            </w:pPr>
          </w:p>
        </w:tc>
      </w:tr>
      <w:tr>
        <w:trPr>
          <w:trHeight w:val="27"/>
        </w:trPr>
        <w:tc>
          <w:tcPr>
            <w:tcW w:w="4500" w:type="dxa"/>
            <w:vAlign w:val="bottom"/>
            <w:shd w:val="clear" w:color="auto" w:fill="C0C0C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C0C0C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shd w:val="clear" w:color="auto" w:fill="C0C0C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C0C0C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3 - JOINT VENTURE</w:t>
      </w:r>
    </w:p>
    <w:p>
      <w:pPr>
        <w:spacing w:after="0" w:line="285" w:lineRule="exact"/>
        <w:rPr>
          <w:sz w:val="20"/>
          <w:szCs w:val="20"/>
          <w:color w:val="auto"/>
        </w:rPr>
      </w:pPr>
    </w:p>
    <w:p>
      <w:pPr>
        <w:jc w:val="both"/>
        <w:ind w:right="60" w:firstLine="270"/>
        <w:spacing w:after="0" w:line="298" w:lineRule="auto"/>
        <w:rPr>
          <w:sz w:val="20"/>
          <w:szCs w:val="20"/>
          <w:color w:val="auto"/>
        </w:rPr>
      </w:pPr>
      <w:r>
        <w:rPr>
          <w:rFonts w:ascii="Arial" w:cs="Arial" w:eastAsia="Arial" w:hAnsi="Arial"/>
          <w:sz w:val="16"/>
          <w:szCs w:val="16"/>
          <w:color w:val="auto"/>
        </w:rPr>
        <w:t>On May 5, 2006, Photronics and Micron Technology, Inc. ("Micron") entered into the MP Mask joint venture, which develops and produces photomasks for leading-edge and advanced next generation semiconductors. As part of the formation of the joint venture, Micron contributed its existing photomask technology center located at its Boise, Idaho, headquarters to MP Mask and Photronics invested $135 million in exchange for a 49.99% interest in MP Mask (to which $64.2 million of the original investment was allocated), a license for photomask technology of Micron, and certain supply agreements.</w:t>
      </w:r>
    </w:p>
    <w:p>
      <w:pPr>
        <w:spacing w:after="0" w:line="221" w:lineRule="exact"/>
        <w:rPr>
          <w:sz w:val="20"/>
          <w:szCs w:val="20"/>
          <w:color w:val="auto"/>
        </w:rPr>
      </w:pPr>
    </w:p>
    <w:p>
      <w:pPr>
        <w:ind w:firstLine="270"/>
        <w:spacing w:after="0" w:line="253" w:lineRule="auto"/>
        <w:rPr>
          <w:sz w:val="20"/>
          <w:szCs w:val="20"/>
          <w:color w:val="auto"/>
        </w:rPr>
      </w:pPr>
      <w:r>
        <w:rPr>
          <w:rFonts w:ascii="Arial" w:cs="Arial" w:eastAsia="Arial" w:hAnsi="Arial"/>
          <w:sz w:val="18"/>
          <w:szCs w:val="18"/>
          <w:color w:val="auto"/>
        </w:rPr>
        <w:t>This joint venture is a variable interest entity (as that term is defined in the Accounting Standards Codification) primarily because all costs of the joint venture will be passed on to the Company and Micron through purchase agreements they have entered into with the joint venture. The Company determined that, in regards to this variable interest entity ("VIE"), it and Micron are de facto agents (as that term is defined in The Accounting Standards Codification) and that Micron is the primary beneficiary of the VIE as it is the de facto agent within the aggregated group of de facto agents (i.e. the Company and Micron) that is the most closely associated with the VIE. The primary reasons the Company concluded that Micron is the most closely associated of the de facto agents to the VIE are that Micron is both the ultimate purchaser of substantially all of the products produced by the VIE and that it is the holder of decision making authority in the ordinary course of business.</w:t>
      </w:r>
    </w:p>
    <w:p>
      <w:pPr>
        <w:spacing w:after="0" w:line="255" w:lineRule="exact"/>
        <w:rPr>
          <w:sz w:val="20"/>
          <w:szCs w:val="20"/>
          <w:color w:val="auto"/>
        </w:rPr>
      </w:pPr>
    </w:p>
    <w:p>
      <w:pPr>
        <w:ind w:right="80" w:firstLine="270"/>
        <w:spacing w:after="0" w:line="256" w:lineRule="auto"/>
        <w:rPr>
          <w:sz w:val="20"/>
          <w:szCs w:val="20"/>
          <w:color w:val="auto"/>
        </w:rPr>
      </w:pPr>
      <w:r>
        <w:rPr>
          <w:rFonts w:ascii="Arial" w:cs="Arial" w:eastAsia="Arial" w:hAnsi="Arial"/>
          <w:sz w:val="18"/>
          <w:szCs w:val="18"/>
          <w:color w:val="auto"/>
        </w:rPr>
        <w:t>The Company has utilized MP Mask for both high-end IC photomask production and research and development purposes. MP Mask charges its variable interest holders based on their actual usage of its facility. MP Mask separately charges for any research and development activities it engages in at the requests of its owners. The Company recorded cost of sales of $1.2 million and $0.6 million and research and development expenses of $0.2 million and $0.5 million during the three month periods ended January 31, 2010 and February 1, 2009.</w:t>
      </w:r>
    </w:p>
    <w:p>
      <w:pPr>
        <w:spacing w:after="0" w:line="251" w:lineRule="exact"/>
        <w:rPr>
          <w:sz w:val="20"/>
          <w:szCs w:val="20"/>
          <w:color w:val="auto"/>
        </w:rPr>
      </w:pPr>
    </w:p>
    <w:p>
      <w:pPr>
        <w:ind w:right="20" w:firstLine="270"/>
        <w:spacing w:after="0" w:line="290" w:lineRule="auto"/>
        <w:rPr>
          <w:sz w:val="20"/>
          <w:szCs w:val="20"/>
          <w:color w:val="auto"/>
        </w:rPr>
      </w:pPr>
      <w:r>
        <w:rPr>
          <w:rFonts w:ascii="Arial" w:cs="Arial" w:eastAsia="Arial" w:hAnsi="Arial"/>
          <w:sz w:val="16"/>
          <w:szCs w:val="16"/>
          <w:color w:val="auto"/>
        </w:rPr>
        <w:t>MP Mask is governed by a Board of Managers, appointed by Micron and the Company. Since MP Mask's inception, Micron, as a result of its majority ownership, has appointed the majority of its managers. The number of managers appointed by each party is subject to change as ownership interests change. Under the operating agreement relating to the MP Mask joint venture, the Company may be required to make additional capital contributions to the joint venture up to the maximum amount defined in the operating agreement. However, should the Board of Managers determine that further additional funding is required, the joint venture shall pursue its own financing. If the joint venture is unable to obtain its own financing, it may request additional capital contributions from the Company. Should the Company choose not to make a requested contribution to the joint venture, its ownership interest may be reduced. The Company received no distributions and made no contributions to MP Mask during the three month periods ended January 31, 2010 and February 1, 2009.</w:t>
      </w:r>
    </w:p>
    <w:p>
      <w:pPr>
        <w:spacing w:after="0" w:line="226" w:lineRule="exact"/>
        <w:rPr>
          <w:sz w:val="20"/>
          <w:szCs w:val="20"/>
          <w:color w:val="auto"/>
        </w:rPr>
      </w:pPr>
    </w:p>
    <w:p>
      <w:pPr>
        <w:ind w:right="100" w:firstLine="270"/>
        <w:spacing w:after="0" w:line="268" w:lineRule="auto"/>
        <w:rPr>
          <w:sz w:val="20"/>
          <w:szCs w:val="20"/>
          <w:color w:val="auto"/>
        </w:rPr>
      </w:pPr>
      <w:r>
        <w:rPr>
          <w:rFonts w:ascii="Arial" w:cs="Arial" w:eastAsia="Arial" w:hAnsi="Arial"/>
          <w:sz w:val="18"/>
          <w:szCs w:val="18"/>
          <w:color w:val="auto"/>
        </w:rPr>
        <w:t>The Company's investment in the VIE, which represents its maximum exposure to loss, was $60.9 million at January 31, 2010 and November 1, 2009. These amounts are reported in the Company's condensed consolidated balance sheets as "Investment in joint venture".</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8"/>
        </w:trPr>
        <w:tc>
          <w:tcPr>
            <w:tcW w:w="7860" w:type="dxa"/>
            <w:vAlign w:val="bottom"/>
          </w:tcPr>
          <w:p>
            <w:pPr>
              <w:spacing w:after="0"/>
              <w:rPr>
                <w:sz w:val="20"/>
                <w:szCs w:val="20"/>
                <w:color w:val="auto"/>
              </w:rPr>
            </w:pPr>
            <w:r>
              <w:rPr>
                <w:rFonts w:ascii="Arial" w:cs="Arial" w:eastAsia="Arial" w:hAnsi="Arial"/>
                <w:sz w:val="18"/>
                <w:szCs w:val="18"/>
                <w:b w:val="1"/>
                <w:bCs w:val="1"/>
                <w:color w:val="auto"/>
              </w:rPr>
              <w:t>NOTE 4 - EARNINGS (LOSS) PER SHARE</w:t>
            </w: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7860" w:type="dxa"/>
            <w:vAlign w:val="bottom"/>
          </w:tcPr>
          <w:p>
            <w:pPr>
              <w:ind w:left="280"/>
              <w:spacing w:after="0"/>
              <w:rPr>
                <w:sz w:val="20"/>
                <w:szCs w:val="20"/>
                <w:color w:val="auto"/>
              </w:rPr>
            </w:pPr>
            <w:r>
              <w:rPr>
                <w:rFonts w:ascii="Arial" w:cs="Arial" w:eastAsia="Arial" w:hAnsi="Arial"/>
                <w:sz w:val="18"/>
                <w:szCs w:val="18"/>
                <w:color w:val="auto"/>
              </w:rPr>
              <w:t>The calculation of basic and diluted earnings (loss) per share is presented below.</w:t>
            </w: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7860" w:type="dxa"/>
            <w:vAlign w:val="bottom"/>
          </w:tcPr>
          <w:p>
            <w:pPr>
              <w:spacing w:after="0"/>
              <w:rPr>
                <w:sz w:val="24"/>
                <w:szCs w:val="24"/>
                <w:color w:val="auto"/>
              </w:rPr>
            </w:pPr>
          </w:p>
        </w:tc>
        <w:tc>
          <w:tcPr>
            <w:tcW w:w="2420" w:type="dxa"/>
            <w:vAlign w:val="bottom"/>
            <w:tcBorders>
              <w:bottom w:val="single" w:sz="8" w:color="auto"/>
            </w:tcBorders>
            <w:gridSpan w:val="5"/>
          </w:tcPr>
          <w:p>
            <w:pPr>
              <w:ind w:left="40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8"/>
        </w:trPr>
        <w:tc>
          <w:tcPr>
            <w:tcW w:w="7860" w:type="dxa"/>
            <w:vAlign w:val="bottom"/>
          </w:tcPr>
          <w:p>
            <w:pPr>
              <w:spacing w:after="0"/>
              <w:rPr>
                <w:sz w:val="19"/>
                <w:szCs w:val="19"/>
                <w:color w:val="auto"/>
              </w:rPr>
            </w:pPr>
          </w:p>
        </w:tc>
        <w:tc>
          <w:tcPr>
            <w:tcW w:w="1380" w:type="dxa"/>
            <w:vAlign w:val="bottom"/>
            <w:gridSpan w:val="3"/>
          </w:tcPr>
          <w:p>
            <w:pPr>
              <w:ind w:left="100"/>
              <w:spacing w:after="0"/>
              <w:rPr>
                <w:sz w:val="20"/>
                <w:szCs w:val="20"/>
                <w:color w:val="auto"/>
              </w:rPr>
            </w:pPr>
            <w:r>
              <w:rPr>
                <w:rFonts w:ascii="Arial" w:cs="Arial" w:eastAsia="Arial" w:hAnsi="Arial"/>
                <w:sz w:val="18"/>
                <w:szCs w:val="18"/>
                <w:b w:val="1"/>
                <w:bCs w:val="1"/>
                <w:color w:val="auto"/>
              </w:rPr>
              <w:t>January 31,</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February 1,</w:t>
            </w:r>
          </w:p>
        </w:tc>
        <w:tc>
          <w:tcPr>
            <w:tcW w:w="0" w:type="dxa"/>
            <w:vAlign w:val="bottom"/>
          </w:tcPr>
          <w:p>
            <w:pPr>
              <w:spacing w:after="0"/>
              <w:rPr>
                <w:sz w:val="1"/>
                <w:szCs w:val="1"/>
                <w:color w:val="auto"/>
              </w:rPr>
            </w:pPr>
          </w:p>
        </w:tc>
      </w:tr>
      <w:tr>
        <w:trPr>
          <w:trHeight w:val="251"/>
        </w:trPr>
        <w:tc>
          <w:tcPr>
            <w:tcW w:w="7860" w:type="dxa"/>
            <w:vAlign w:val="bottom"/>
            <w:tcBorders>
              <w:bottom w:val="single" w:sz="8" w:color="C0C0C0"/>
            </w:tcBorders>
          </w:tcPr>
          <w:p>
            <w:pPr>
              <w:spacing w:after="0"/>
              <w:rPr>
                <w:sz w:val="21"/>
                <w:szCs w:val="21"/>
                <w:color w:val="auto"/>
              </w:rPr>
            </w:pPr>
          </w:p>
        </w:tc>
        <w:tc>
          <w:tcPr>
            <w:tcW w:w="1100" w:type="dxa"/>
            <w:vAlign w:val="bottom"/>
            <w:tcBorders>
              <w:bottom w:val="single" w:sz="8" w:color="auto"/>
            </w:tcBorders>
            <w:gridSpan w:val="2"/>
          </w:tcPr>
          <w:p>
            <w:pPr>
              <w:jc w:val="right"/>
              <w:ind w:right="292"/>
              <w:spacing w:after="0"/>
              <w:rPr>
                <w:sz w:val="20"/>
                <w:szCs w:val="20"/>
                <w:color w:val="auto"/>
              </w:rPr>
            </w:pPr>
            <w:r>
              <w:rPr>
                <w:rFonts w:ascii="Arial" w:cs="Arial" w:eastAsia="Arial" w:hAnsi="Arial"/>
                <w:sz w:val="18"/>
                <w:szCs w:val="18"/>
                <w:b w:val="1"/>
                <w:bCs w:val="1"/>
                <w:color w:val="auto"/>
              </w:rPr>
              <w:t>2010</w:t>
            </w:r>
          </w:p>
        </w:tc>
        <w:tc>
          <w:tcPr>
            <w:tcW w:w="280" w:type="dxa"/>
            <w:vAlign w:val="bottom"/>
            <w:tcBorders>
              <w:bottom w:val="single" w:sz="8" w:color="C0C0C0"/>
            </w:tcBorders>
          </w:tcPr>
          <w:p>
            <w:pPr>
              <w:spacing w:after="0"/>
              <w:rPr>
                <w:sz w:val="21"/>
                <w:szCs w:val="21"/>
                <w:color w:val="auto"/>
              </w:rPr>
            </w:pPr>
          </w:p>
        </w:tc>
        <w:tc>
          <w:tcPr>
            <w:tcW w:w="104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43"/>
        </w:trPr>
        <w:tc>
          <w:tcPr>
            <w:tcW w:w="7860" w:type="dxa"/>
            <w:vAlign w:val="bottom"/>
            <w:shd w:val="clear" w:color="auto" w:fill="C0C0C0"/>
          </w:tcPr>
          <w:p>
            <w:pPr>
              <w:spacing w:after="0"/>
              <w:rPr>
                <w:sz w:val="20"/>
                <w:szCs w:val="20"/>
                <w:color w:val="auto"/>
              </w:rPr>
            </w:pPr>
            <w:r>
              <w:rPr>
                <w:rFonts w:ascii="Arial" w:cs="Arial" w:eastAsia="Arial" w:hAnsi="Arial"/>
                <w:sz w:val="18"/>
                <w:szCs w:val="18"/>
                <w:color w:val="auto"/>
              </w:rPr>
              <w:t>Net income (loss) attributable to Photronics, Inc.</w:t>
            </w:r>
          </w:p>
        </w:tc>
        <w:tc>
          <w:tcPr>
            <w:tcW w:w="500" w:type="dxa"/>
            <w:vAlign w:val="bottom"/>
            <w:shd w:val="clear" w:color="auto" w:fill="C0C0C0"/>
          </w:tcPr>
          <w:p>
            <w:pPr>
              <w:ind w:left="4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213</w:t>
            </w:r>
          </w:p>
        </w:tc>
        <w:tc>
          <w:tcPr>
            <w:tcW w:w="280" w:type="dxa"/>
            <w:vAlign w:val="bottom"/>
            <w:shd w:val="clear" w:color="auto" w:fill="C0C0C0"/>
          </w:tcPr>
          <w:p>
            <w:pPr>
              <w:spacing w:after="0"/>
              <w:rPr>
                <w:sz w:val="21"/>
                <w:szCs w:val="21"/>
                <w:color w:val="auto"/>
              </w:rPr>
            </w:pPr>
          </w:p>
        </w:tc>
        <w:tc>
          <w:tcPr>
            <w:tcW w:w="4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6"/>
              </w:rPr>
              <w:t>(10,233)</w:t>
            </w:r>
          </w:p>
        </w:tc>
        <w:tc>
          <w:tcPr>
            <w:tcW w:w="0" w:type="dxa"/>
            <w:vAlign w:val="bottom"/>
          </w:tcPr>
          <w:p>
            <w:pPr>
              <w:spacing w:after="0"/>
              <w:rPr>
                <w:sz w:val="1"/>
                <w:szCs w:val="1"/>
                <w:color w:val="auto"/>
              </w:rPr>
            </w:pPr>
          </w:p>
        </w:tc>
      </w:tr>
      <w:tr>
        <w:trPr>
          <w:trHeight w:val="235"/>
        </w:trPr>
        <w:tc>
          <w:tcPr>
            <w:tcW w:w="786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8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Fair value adjustment related to common stock warrants</w:t>
            </w:r>
          </w:p>
        </w:tc>
        <w:tc>
          <w:tcPr>
            <w:tcW w:w="500" w:type="dxa"/>
            <w:vAlign w:val="bottom"/>
            <w:tcBorders>
              <w:bottom w:val="single" w:sz="8" w:color="auto"/>
            </w:tcBorders>
            <w:shd w:val="clear" w:color="auto" w:fill="C0C0C0"/>
          </w:tcPr>
          <w:p>
            <w:pPr>
              <w:spacing w:after="0"/>
              <w:rPr>
                <w:sz w:val="21"/>
                <w:szCs w:val="21"/>
                <w:color w:val="auto"/>
              </w:rPr>
            </w:pPr>
          </w:p>
        </w:tc>
        <w:tc>
          <w:tcPr>
            <w:tcW w:w="6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(109)</w:t>
            </w:r>
          </w:p>
        </w:tc>
        <w:tc>
          <w:tcPr>
            <w:tcW w:w="280" w:type="dxa"/>
            <w:vAlign w:val="bottom"/>
            <w:shd w:val="clear" w:color="auto" w:fill="C0C0C0"/>
          </w:tcPr>
          <w:p>
            <w:pPr>
              <w:spacing w:after="0"/>
              <w:rPr>
                <w:sz w:val="21"/>
                <w:szCs w:val="21"/>
                <w:color w:val="auto"/>
              </w:rPr>
            </w:pPr>
          </w:p>
        </w:tc>
        <w:tc>
          <w:tcPr>
            <w:tcW w:w="400" w:type="dxa"/>
            <w:vAlign w:val="bottom"/>
            <w:tcBorders>
              <w:bottom w:val="single" w:sz="8" w:color="auto"/>
            </w:tcBorders>
            <w:shd w:val="clear" w:color="auto" w:fill="C0C0C0"/>
          </w:tcPr>
          <w:p>
            <w:pPr>
              <w:spacing w:after="0"/>
              <w:rPr>
                <w:sz w:val="21"/>
                <w:szCs w:val="21"/>
                <w:color w:val="auto"/>
              </w:rPr>
            </w:pPr>
          </w:p>
        </w:tc>
        <w:tc>
          <w:tcPr>
            <w:tcW w:w="6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86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Earnings (loss) for diluted earnings (loss) per share</w:t>
            </w:r>
          </w:p>
        </w:tc>
        <w:tc>
          <w:tcPr>
            <w:tcW w:w="5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104</w:t>
            </w:r>
          </w:p>
        </w:tc>
        <w:tc>
          <w:tcPr>
            <w:tcW w:w="280" w:type="dxa"/>
            <w:vAlign w:val="bottom"/>
            <w:tcBorders>
              <w:bottom w:val="single" w:sz="8" w:color="C0C0C0"/>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(10,233)</w:t>
            </w:r>
          </w:p>
        </w:tc>
        <w:tc>
          <w:tcPr>
            <w:tcW w:w="0" w:type="dxa"/>
            <w:vAlign w:val="bottom"/>
          </w:tcPr>
          <w:p>
            <w:pPr>
              <w:spacing w:after="0"/>
              <w:rPr>
                <w:sz w:val="1"/>
                <w:szCs w:val="1"/>
                <w:color w:val="auto"/>
              </w:rPr>
            </w:pPr>
          </w:p>
        </w:tc>
      </w:tr>
      <w:tr>
        <w:trPr>
          <w:trHeight w:val="230"/>
        </w:trPr>
        <w:tc>
          <w:tcPr>
            <w:tcW w:w="7860" w:type="dxa"/>
            <w:vAlign w:val="bottom"/>
            <w:shd w:val="clear" w:color="auto" w:fill="C0C0C0"/>
          </w:tcPr>
          <w:p>
            <w:pPr>
              <w:spacing w:after="0"/>
              <w:rPr>
                <w:sz w:val="20"/>
                <w:szCs w:val="20"/>
                <w:color w:val="auto"/>
              </w:rPr>
            </w:pPr>
            <w:r>
              <w:rPr>
                <w:rFonts w:ascii="Arial" w:cs="Arial" w:eastAsia="Arial" w:hAnsi="Arial"/>
                <w:sz w:val="18"/>
                <w:szCs w:val="18"/>
                <w:color w:val="auto"/>
              </w:rPr>
              <w:t>Weighted-average common shares computations:</w:t>
            </w:r>
          </w:p>
        </w:tc>
        <w:tc>
          <w:tcPr>
            <w:tcW w:w="50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400" w:type="dxa"/>
            <w:vAlign w:val="bottom"/>
            <w:shd w:val="clear" w:color="auto" w:fill="C0C0C0"/>
          </w:tcPr>
          <w:p>
            <w:pPr>
              <w:spacing w:after="0"/>
              <w:rPr>
                <w:sz w:val="19"/>
                <w:szCs w:val="19"/>
                <w:color w:val="auto"/>
              </w:rPr>
            </w:pPr>
          </w:p>
        </w:tc>
        <w:tc>
          <w:tcPr>
            <w:tcW w:w="64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860" w:type="dxa"/>
            <w:vAlign w:val="bottom"/>
          </w:tcPr>
          <w:p>
            <w:pPr>
              <w:ind w:left="320"/>
              <w:spacing w:after="0"/>
              <w:rPr>
                <w:sz w:val="20"/>
                <w:szCs w:val="20"/>
                <w:color w:val="auto"/>
              </w:rPr>
            </w:pPr>
            <w:r>
              <w:rPr>
                <w:rFonts w:ascii="Arial" w:cs="Arial" w:eastAsia="Arial" w:hAnsi="Arial"/>
                <w:sz w:val="18"/>
                <w:szCs w:val="18"/>
                <w:color w:val="auto"/>
              </w:rPr>
              <w:t>Weighted-average common shares used for</w:t>
            </w: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7860" w:type="dxa"/>
            <w:vAlign w:val="bottom"/>
          </w:tcPr>
          <w:p>
            <w:pPr>
              <w:ind w:left="620"/>
              <w:spacing w:after="0"/>
              <w:rPr>
                <w:sz w:val="20"/>
                <w:szCs w:val="20"/>
                <w:color w:val="auto"/>
              </w:rPr>
            </w:pPr>
            <w:r>
              <w:rPr>
                <w:rFonts w:ascii="Arial" w:cs="Arial" w:eastAsia="Arial" w:hAnsi="Arial"/>
                <w:sz w:val="18"/>
                <w:szCs w:val="18"/>
                <w:color w:val="auto"/>
              </w:rPr>
              <w:t>basic earnings (loss) per share</w:t>
            </w:r>
          </w:p>
        </w:tc>
        <w:tc>
          <w:tcPr>
            <w:tcW w:w="500" w:type="dxa"/>
            <w:vAlign w:val="bottom"/>
          </w:tcPr>
          <w:p>
            <w:pPr>
              <w:spacing w:after="0"/>
              <w:rPr>
                <w:sz w:val="21"/>
                <w:szCs w:val="21"/>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w w:val="83"/>
              </w:rPr>
              <w:t>53,102</w:t>
            </w: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w w:val="94"/>
              </w:rPr>
              <w:t>41,723</w:t>
            </w:r>
          </w:p>
        </w:tc>
        <w:tc>
          <w:tcPr>
            <w:tcW w:w="0" w:type="dxa"/>
            <w:vAlign w:val="bottom"/>
          </w:tcPr>
          <w:p>
            <w:pPr>
              <w:spacing w:after="0"/>
              <w:rPr>
                <w:sz w:val="1"/>
                <w:szCs w:val="1"/>
                <w:color w:val="auto"/>
              </w:rPr>
            </w:pPr>
          </w:p>
        </w:tc>
      </w:tr>
      <w:tr>
        <w:trPr>
          <w:trHeight w:val="251"/>
        </w:trPr>
        <w:tc>
          <w:tcPr>
            <w:tcW w:w="78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Effect of dilutive securities:</w:t>
            </w:r>
          </w:p>
        </w:tc>
        <w:tc>
          <w:tcPr>
            <w:tcW w:w="50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860" w:type="dxa"/>
            <w:vAlign w:val="bottom"/>
          </w:tcPr>
          <w:p>
            <w:pPr>
              <w:ind w:left="620"/>
              <w:spacing w:after="0"/>
              <w:rPr>
                <w:sz w:val="20"/>
                <w:szCs w:val="20"/>
                <w:color w:val="auto"/>
              </w:rPr>
            </w:pPr>
            <w:r>
              <w:rPr>
                <w:rFonts w:ascii="Arial" w:cs="Arial" w:eastAsia="Arial" w:hAnsi="Arial"/>
                <w:sz w:val="18"/>
                <w:szCs w:val="18"/>
                <w:color w:val="auto"/>
              </w:rPr>
              <w:t>Employee stock options and restricted shares</w:t>
            </w:r>
          </w:p>
        </w:tc>
        <w:tc>
          <w:tcPr>
            <w:tcW w:w="500" w:type="dxa"/>
            <w:vAlign w:val="bottom"/>
          </w:tcPr>
          <w:p>
            <w:pPr>
              <w:spacing w:after="0"/>
              <w:rPr>
                <w:sz w:val="20"/>
                <w:szCs w:val="20"/>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1"/>
        </w:trPr>
        <w:tc>
          <w:tcPr>
            <w:tcW w:w="7860" w:type="dxa"/>
            <w:vAlign w:val="bottom"/>
            <w:shd w:val="clear" w:color="auto" w:fill="C0C0C0"/>
          </w:tcPr>
          <w:p>
            <w:pPr>
              <w:ind w:left="620"/>
              <w:spacing w:after="0"/>
              <w:rPr>
                <w:sz w:val="20"/>
                <w:szCs w:val="20"/>
                <w:color w:val="auto"/>
              </w:rPr>
            </w:pPr>
            <w:r>
              <w:rPr>
                <w:rFonts w:ascii="Arial" w:cs="Arial" w:eastAsia="Arial" w:hAnsi="Arial"/>
                <w:sz w:val="18"/>
                <w:szCs w:val="18"/>
                <w:color w:val="auto"/>
              </w:rPr>
              <w:t>Common stock warrants</w:t>
            </w:r>
          </w:p>
        </w:tc>
        <w:tc>
          <w:tcPr>
            <w:tcW w:w="500" w:type="dxa"/>
            <w:vAlign w:val="bottom"/>
            <w:tcBorders>
              <w:bottom w:val="single" w:sz="8" w:color="auto"/>
            </w:tcBorders>
            <w:shd w:val="clear" w:color="auto" w:fill="C0C0C0"/>
          </w:tcPr>
          <w:p>
            <w:pPr>
              <w:spacing w:after="0"/>
              <w:rPr>
                <w:sz w:val="21"/>
                <w:szCs w:val="21"/>
                <w:color w:val="auto"/>
              </w:rPr>
            </w:pPr>
          </w:p>
        </w:tc>
        <w:tc>
          <w:tcPr>
            <w:tcW w:w="60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731</w:t>
            </w:r>
          </w:p>
        </w:tc>
        <w:tc>
          <w:tcPr>
            <w:tcW w:w="280" w:type="dxa"/>
            <w:vAlign w:val="bottom"/>
            <w:shd w:val="clear" w:color="auto" w:fill="C0C0C0"/>
          </w:tcPr>
          <w:p>
            <w:pPr>
              <w:spacing w:after="0"/>
              <w:rPr>
                <w:sz w:val="21"/>
                <w:szCs w:val="21"/>
                <w:color w:val="auto"/>
              </w:rPr>
            </w:pPr>
          </w:p>
        </w:tc>
        <w:tc>
          <w:tcPr>
            <w:tcW w:w="400" w:type="dxa"/>
            <w:vAlign w:val="bottom"/>
            <w:tcBorders>
              <w:bottom w:val="single" w:sz="8" w:color="auto"/>
            </w:tcBorders>
            <w:shd w:val="clear" w:color="auto" w:fill="C0C0C0"/>
          </w:tcPr>
          <w:p>
            <w:pPr>
              <w:spacing w:after="0"/>
              <w:rPr>
                <w:sz w:val="21"/>
                <w:szCs w:val="21"/>
                <w:color w:val="auto"/>
              </w:rPr>
            </w:pPr>
          </w:p>
        </w:tc>
        <w:tc>
          <w:tcPr>
            <w:tcW w:w="6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Potentially dilutive common shares</w:t>
            </w:r>
          </w:p>
        </w:tc>
        <w:tc>
          <w:tcPr>
            <w:tcW w:w="5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1,722</w:t>
            </w:r>
          </w:p>
        </w:tc>
        <w:tc>
          <w:tcPr>
            <w:tcW w:w="280" w:type="dxa"/>
            <w:vAlign w:val="bottom"/>
            <w:tcBorders>
              <w:bottom w:val="single" w:sz="8" w:color="C0C0C0"/>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7860" w:type="dxa"/>
            <w:vAlign w:val="bottom"/>
            <w:shd w:val="clear" w:color="auto" w:fill="C0C0C0"/>
          </w:tcPr>
          <w:p>
            <w:pPr>
              <w:spacing w:after="0"/>
              <w:rPr>
                <w:sz w:val="20"/>
                <w:szCs w:val="20"/>
                <w:color w:val="auto"/>
              </w:rPr>
            </w:pPr>
            <w:r>
              <w:rPr>
                <w:rFonts w:ascii="Arial" w:cs="Arial" w:eastAsia="Arial" w:hAnsi="Arial"/>
                <w:sz w:val="18"/>
                <w:szCs w:val="18"/>
                <w:color w:val="auto"/>
              </w:rPr>
              <w:t>Weighted-average common shares used for</w:t>
            </w:r>
          </w:p>
        </w:tc>
        <w:tc>
          <w:tcPr>
            <w:tcW w:w="500" w:type="dxa"/>
            <w:vAlign w:val="bottom"/>
            <w:shd w:val="clear" w:color="auto" w:fill="C0C0C0"/>
          </w:tcPr>
          <w:p>
            <w:pPr>
              <w:spacing w:after="0"/>
              <w:rPr>
                <w:sz w:val="18"/>
                <w:szCs w:val="18"/>
                <w:color w:val="auto"/>
              </w:rPr>
            </w:pPr>
          </w:p>
        </w:tc>
        <w:tc>
          <w:tcPr>
            <w:tcW w:w="600" w:type="dxa"/>
            <w:vAlign w:val="bottom"/>
            <w:vMerge w:val="restart"/>
            <w:shd w:val="clear" w:color="auto" w:fill="C0C0C0"/>
          </w:tcPr>
          <w:p>
            <w:pPr>
              <w:jc w:val="right"/>
              <w:ind w:right="32"/>
              <w:spacing w:after="0"/>
              <w:rPr>
                <w:sz w:val="20"/>
                <w:szCs w:val="20"/>
                <w:color w:val="auto"/>
              </w:rPr>
            </w:pPr>
            <w:r>
              <w:rPr>
                <w:rFonts w:ascii="Arial" w:cs="Arial" w:eastAsia="Arial" w:hAnsi="Arial"/>
                <w:sz w:val="18"/>
                <w:szCs w:val="18"/>
                <w:color w:val="auto"/>
                <w:w w:val="83"/>
              </w:rPr>
              <w:t>54,824</w:t>
            </w:r>
          </w:p>
        </w:tc>
        <w:tc>
          <w:tcPr>
            <w:tcW w:w="280" w:type="dxa"/>
            <w:vAlign w:val="bottom"/>
            <w:shd w:val="clear" w:color="auto" w:fill="C0C0C0"/>
          </w:tcPr>
          <w:p>
            <w:pPr>
              <w:spacing w:after="0"/>
              <w:rPr>
                <w:sz w:val="18"/>
                <w:szCs w:val="18"/>
                <w:color w:val="auto"/>
              </w:rPr>
            </w:pPr>
          </w:p>
        </w:tc>
        <w:tc>
          <w:tcPr>
            <w:tcW w:w="400" w:type="dxa"/>
            <w:vAlign w:val="bottom"/>
            <w:shd w:val="clear" w:color="auto" w:fill="C0C0C0"/>
          </w:tcPr>
          <w:p>
            <w:pPr>
              <w:spacing w:after="0"/>
              <w:rPr>
                <w:sz w:val="18"/>
                <w:szCs w:val="18"/>
                <w:color w:val="auto"/>
              </w:rPr>
            </w:pPr>
          </w:p>
        </w:tc>
        <w:tc>
          <w:tcPr>
            <w:tcW w:w="640" w:type="dxa"/>
            <w:vAlign w:val="bottom"/>
            <w:vMerge w:val="restart"/>
            <w:shd w:val="clear" w:color="auto" w:fill="C0C0C0"/>
          </w:tcPr>
          <w:p>
            <w:pPr>
              <w:jc w:val="right"/>
              <w:ind w:right="12"/>
              <w:spacing w:after="0"/>
              <w:rPr>
                <w:sz w:val="20"/>
                <w:szCs w:val="20"/>
                <w:color w:val="auto"/>
              </w:rPr>
            </w:pPr>
            <w:r>
              <w:rPr>
                <w:rFonts w:ascii="Arial" w:cs="Arial" w:eastAsia="Arial" w:hAnsi="Arial"/>
                <w:sz w:val="18"/>
                <w:szCs w:val="18"/>
                <w:color w:val="auto"/>
                <w:w w:val="94"/>
              </w:rPr>
              <w:t>41,723</w:t>
            </w:r>
          </w:p>
        </w:tc>
        <w:tc>
          <w:tcPr>
            <w:tcW w:w="0" w:type="dxa"/>
            <w:vAlign w:val="bottom"/>
          </w:tcPr>
          <w:p>
            <w:pPr>
              <w:spacing w:after="0"/>
              <w:rPr>
                <w:sz w:val="1"/>
                <w:szCs w:val="1"/>
                <w:color w:val="auto"/>
              </w:rPr>
            </w:pPr>
          </w:p>
        </w:tc>
      </w:tr>
      <w:tr>
        <w:trPr>
          <w:trHeight w:val="266"/>
        </w:trPr>
        <w:tc>
          <w:tcPr>
            <w:tcW w:w="7860" w:type="dxa"/>
            <w:vAlign w:val="bottom"/>
            <w:tcBorders>
              <w:bottom w:val="single" w:sz="8" w:color="C0C0C0"/>
            </w:tcBorders>
            <w:shd w:val="clear" w:color="auto" w:fill="C0C0C0"/>
          </w:tcPr>
          <w:p>
            <w:pPr>
              <w:ind w:left="320"/>
              <w:spacing w:after="0"/>
              <w:rPr>
                <w:sz w:val="20"/>
                <w:szCs w:val="20"/>
                <w:color w:val="auto"/>
              </w:rPr>
            </w:pPr>
            <w:r>
              <w:rPr>
                <w:rFonts w:ascii="Arial" w:cs="Arial" w:eastAsia="Arial" w:hAnsi="Arial"/>
                <w:sz w:val="18"/>
                <w:szCs w:val="18"/>
                <w:color w:val="auto"/>
              </w:rPr>
              <w:t>diluted earnings (loss) per share</w:t>
            </w:r>
          </w:p>
        </w:tc>
        <w:tc>
          <w:tcPr>
            <w:tcW w:w="500" w:type="dxa"/>
            <w:vAlign w:val="bottom"/>
            <w:tcBorders>
              <w:bottom w:val="single" w:sz="8" w:color="auto"/>
            </w:tcBorders>
            <w:shd w:val="clear" w:color="auto" w:fill="C0C0C0"/>
          </w:tcPr>
          <w:p>
            <w:pPr>
              <w:spacing w:after="0"/>
              <w:rPr>
                <w:sz w:val="23"/>
                <w:szCs w:val="23"/>
                <w:color w:val="auto"/>
              </w:rPr>
            </w:pPr>
          </w:p>
        </w:tc>
        <w:tc>
          <w:tcPr>
            <w:tcW w:w="600" w:type="dxa"/>
            <w:vAlign w:val="bottom"/>
            <w:tcBorders>
              <w:bottom w:val="single" w:sz="8" w:color="auto"/>
            </w:tcBorders>
            <w:vMerge w:val="continue"/>
            <w:shd w:val="clear" w:color="auto" w:fill="C0C0C0"/>
          </w:tcPr>
          <w:p>
            <w:pPr>
              <w:spacing w:after="0"/>
              <w:rPr>
                <w:sz w:val="23"/>
                <w:szCs w:val="23"/>
                <w:color w:val="auto"/>
              </w:rPr>
            </w:pPr>
          </w:p>
        </w:tc>
        <w:tc>
          <w:tcPr>
            <w:tcW w:w="280" w:type="dxa"/>
            <w:vAlign w:val="bottom"/>
            <w:tcBorders>
              <w:bottom w:val="single" w:sz="8" w:color="C0C0C0"/>
            </w:tcBorders>
            <w:shd w:val="clear" w:color="auto" w:fill="C0C0C0"/>
          </w:tcPr>
          <w:p>
            <w:pPr>
              <w:spacing w:after="0"/>
              <w:rPr>
                <w:sz w:val="23"/>
                <w:szCs w:val="23"/>
                <w:color w:val="auto"/>
              </w:rPr>
            </w:pPr>
          </w:p>
        </w:tc>
        <w:tc>
          <w:tcPr>
            <w:tcW w:w="400" w:type="dxa"/>
            <w:vAlign w:val="bottom"/>
            <w:tcBorders>
              <w:bottom w:val="single" w:sz="8" w:color="auto"/>
            </w:tcBorders>
            <w:shd w:val="clear" w:color="auto" w:fill="C0C0C0"/>
          </w:tcPr>
          <w:p>
            <w:pPr>
              <w:spacing w:after="0"/>
              <w:rPr>
                <w:sz w:val="23"/>
                <w:szCs w:val="23"/>
                <w:color w:val="auto"/>
              </w:rPr>
            </w:pPr>
          </w:p>
        </w:tc>
        <w:tc>
          <w:tcPr>
            <w:tcW w:w="640" w:type="dxa"/>
            <w:vAlign w:val="bottom"/>
            <w:tcBorders>
              <w:bottom w:val="single" w:sz="8" w:color="auto"/>
            </w:tcBorders>
            <w:vMerge w:val="continue"/>
            <w:shd w:val="clear" w:color="auto" w:fill="C0C0C0"/>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860" w:type="dxa"/>
            <w:vAlign w:val="bottom"/>
            <w:shd w:val="clear" w:color="auto" w:fill="C0C0C0"/>
          </w:tcPr>
          <w:p>
            <w:pPr>
              <w:spacing w:after="0"/>
              <w:rPr>
                <w:sz w:val="20"/>
                <w:szCs w:val="20"/>
                <w:color w:val="auto"/>
              </w:rPr>
            </w:pPr>
            <w:r>
              <w:rPr>
                <w:rFonts w:ascii="Arial" w:cs="Arial" w:eastAsia="Arial" w:hAnsi="Arial"/>
                <w:sz w:val="18"/>
                <w:szCs w:val="18"/>
                <w:color w:val="auto"/>
              </w:rPr>
              <w:t>Basic earnings (loss) per share</w:t>
            </w:r>
          </w:p>
        </w:tc>
        <w:tc>
          <w:tcPr>
            <w:tcW w:w="500" w:type="dxa"/>
            <w:vAlign w:val="bottom"/>
            <w:shd w:val="clear" w:color="auto" w:fill="C0C0C0"/>
          </w:tcPr>
          <w:p>
            <w:pPr>
              <w:ind w:left="4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0.00</w:t>
            </w:r>
          </w:p>
        </w:tc>
        <w:tc>
          <w:tcPr>
            <w:tcW w:w="280" w:type="dxa"/>
            <w:vAlign w:val="bottom"/>
            <w:shd w:val="clear" w:color="auto" w:fill="C0C0C0"/>
          </w:tcPr>
          <w:p>
            <w:pPr>
              <w:spacing w:after="0"/>
              <w:rPr>
                <w:sz w:val="21"/>
                <w:szCs w:val="21"/>
                <w:color w:val="auto"/>
              </w:rPr>
            </w:pPr>
          </w:p>
        </w:tc>
        <w:tc>
          <w:tcPr>
            <w:tcW w:w="4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28"/>
        </w:trPr>
        <w:tc>
          <w:tcPr>
            <w:tcW w:w="7860" w:type="dxa"/>
            <w:vAlign w:val="bottom"/>
          </w:tcPr>
          <w:p>
            <w:pPr>
              <w:spacing w:after="0"/>
              <w:rPr>
                <w:sz w:val="20"/>
                <w:szCs w:val="20"/>
                <w:color w:val="auto"/>
              </w:rPr>
            </w:pPr>
            <w:r>
              <w:rPr>
                <w:rFonts w:ascii="Arial" w:cs="Arial" w:eastAsia="Arial" w:hAnsi="Arial"/>
                <w:sz w:val="18"/>
                <w:szCs w:val="18"/>
                <w:color w:val="auto"/>
              </w:rPr>
              <w:t>Diluted earnings (loss) per share</w:t>
            </w:r>
          </w:p>
        </w:tc>
        <w:tc>
          <w:tcPr>
            <w:tcW w:w="500" w:type="dxa"/>
            <w:vAlign w:val="bottom"/>
          </w:tcPr>
          <w:p>
            <w:pPr>
              <w:ind w:left="40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0.00</w:t>
            </w:r>
          </w:p>
        </w:tc>
        <w:tc>
          <w:tcPr>
            <w:tcW w:w="2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bl>
    <w:p>
      <w:pPr>
        <w:spacing w:after="0" w:line="277" w:lineRule="exact"/>
        <w:rPr>
          <w:sz w:val="20"/>
          <w:szCs w:val="20"/>
          <w:color w:val="auto"/>
        </w:rPr>
      </w:pPr>
    </w:p>
    <w:p>
      <w:pPr>
        <w:ind w:firstLine="270"/>
        <w:spacing w:after="0" w:line="256" w:lineRule="auto"/>
        <w:rPr>
          <w:sz w:val="20"/>
          <w:szCs w:val="20"/>
          <w:color w:val="auto"/>
        </w:rPr>
      </w:pPr>
      <w:r>
        <w:rPr>
          <w:rFonts w:ascii="Arial" w:cs="Arial" w:eastAsia="Arial" w:hAnsi="Arial"/>
          <w:sz w:val="18"/>
          <w:szCs w:val="18"/>
          <w:color w:val="auto"/>
        </w:rPr>
        <w:t>The table below shows the outstanding weighted-average employee stock options, restricted shares and common stock warrants that were excluded from the calculation of diluted earnings per share because their exercise price exceeded the average market value of the common shares for the period or, under application of the treasury stock method, they were otherwise determined to be anti-dilutive. The table also shows convertible notes that, if converted, would have been anti-dilutive.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780" w:type="dxa"/>
            <w:vAlign w:val="bottom"/>
          </w:tcPr>
          <w:p>
            <w:pPr>
              <w:spacing w:after="0"/>
              <w:rPr>
                <w:sz w:val="20"/>
                <w:szCs w:val="20"/>
                <w:color w:val="auto"/>
              </w:rPr>
            </w:pPr>
          </w:p>
        </w:tc>
        <w:tc>
          <w:tcPr>
            <w:tcW w:w="206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8"/>
                <w:szCs w:val="18"/>
                <w:b w:val="1"/>
                <w:bCs w:val="1"/>
                <w:color w:val="auto"/>
              </w:rPr>
              <w:t>Three Months Ended</w:t>
            </w:r>
          </w:p>
        </w:tc>
      </w:tr>
      <w:tr>
        <w:trPr>
          <w:trHeight w:val="228"/>
        </w:trPr>
        <w:tc>
          <w:tcPr>
            <w:tcW w:w="878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January 31,</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0"/>
              </w:rPr>
              <w:t>February 1,</w:t>
            </w:r>
          </w:p>
        </w:tc>
      </w:tr>
      <w:tr>
        <w:trPr>
          <w:trHeight w:val="251"/>
        </w:trPr>
        <w:tc>
          <w:tcPr>
            <w:tcW w:w="8780" w:type="dxa"/>
            <w:vAlign w:val="bottom"/>
            <w:tcBorders>
              <w:bottom w:val="single" w:sz="8" w:color="C0C0C0"/>
            </w:tcBorders>
          </w:tcPr>
          <w:p>
            <w:pPr>
              <w:spacing w:after="0"/>
              <w:rPr>
                <w:sz w:val="21"/>
                <w:szCs w:val="21"/>
                <w:color w:val="auto"/>
              </w:rPr>
            </w:pPr>
          </w:p>
        </w:tc>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2010</w:t>
            </w:r>
          </w:p>
        </w:tc>
        <w:tc>
          <w:tcPr>
            <w:tcW w:w="260" w:type="dxa"/>
            <w:vAlign w:val="bottom"/>
            <w:tcBorders>
              <w:bottom w:val="single" w:sz="8" w:color="C0C0C0"/>
            </w:tcBorders>
          </w:tcPr>
          <w:p>
            <w:pPr>
              <w:spacing w:after="0"/>
              <w:rPr>
                <w:sz w:val="21"/>
                <w:szCs w:val="21"/>
                <w:color w:val="auto"/>
              </w:rPr>
            </w:pPr>
          </w:p>
        </w:tc>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2009</w:t>
            </w:r>
          </w:p>
        </w:tc>
      </w:tr>
      <w:tr>
        <w:trPr>
          <w:trHeight w:val="243"/>
        </w:trPr>
        <w:tc>
          <w:tcPr>
            <w:tcW w:w="8780" w:type="dxa"/>
            <w:vAlign w:val="bottom"/>
            <w:shd w:val="clear" w:color="auto" w:fill="C0C0C0"/>
          </w:tcPr>
          <w:p>
            <w:pPr>
              <w:spacing w:after="0"/>
              <w:rPr>
                <w:sz w:val="20"/>
                <w:szCs w:val="20"/>
                <w:color w:val="auto"/>
              </w:rPr>
            </w:pPr>
            <w:r>
              <w:rPr>
                <w:rFonts w:ascii="Arial" w:cs="Arial" w:eastAsia="Arial" w:hAnsi="Arial"/>
                <w:sz w:val="18"/>
                <w:szCs w:val="18"/>
                <w:color w:val="auto"/>
              </w:rPr>
              <w:t>Convertible notes</w:t>
            </w:r>
          </w:p>
        </w:tc>
        <w:tc>
          <w:tcPr>
            <w:tcW w:w="116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11,311</w:t>
            </w: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8780" w:type="dxa"/>
            <w:vAlign w:val="bottom"/>
          </w:tcPr>
          <w:p>
            <w:pPr>
              <w:spacing w:after="0"/>
              <w:rPr>
                <w:sz w:val="20"/>
                <w:szCs w:val="20"/>
                <w:color w:val="auto"/>
              </w:rPr>
            </w:pPr>
            <w:r>
              <w:rPr>
                <w:rFonts w:ascii="Arial" w:cs="Arial" w:eastAsia="Arial" w:hAnsi="Arial"/>
                <w:sz w:val="18"/>
                <w:szCs w:val="18"/>
                <w:color w:val="auto"/>
              </w:rPr>
              <w:t>Employee stock options and restricted shares</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2,460</w:t>
            </w:r>
          </w:p>
        </w:tc>
        <w:tc>
          <w:tcPr>
            <w:tcW w:w="900" w:type="dxa"/>
            <w:vAlign w:val="bottom"/>
          </w:tcPr>
          <w:p>
            <w:pPr>
              <w:jc w:val="right"/>
              <w:spacing w:after="0"/>
              <w:rPr>
                <w:sz w:val="20"/>
                <w:szCs w:val="20"/>
                <w:color w:val="auto"/>
              </w:rPr>
            </w:pPr>
            <w:r>
              <w:rPr>
                <w:rFonts w:ascii="Arial" w:cs="Arial" w:eastAsia="Arial" w:hAnsi="Arial"/>
                <w:sz w:val="18"/>
                <w:szCs w:val="18"/>
                <w:color w:val="auto"/>
              </w:rPr>
              <w:t>2,410</w:t>
            </w:r>
          </w:p>
        </w:tc>
      </w:tr>
      <w:tr>
        <w:trPr>
          <w:trHeight w:val="244"/>
        </w:trPr>
        <w:tc>
          <w:tcPr>
            <w:tcW w:w="8780" w:type="dxa"/>
            <w:vAlign w:val="bottom"/>
            <w:shd w:val="clear" w:color="auto" w:fill="C0C0C0"/>
          </w:tcPr>
          <w:p>
            <w:pPr>
              <w:spacing w:after="0"/>
              <w:rPr>
                <w:sz w:val="20"/>
                <w:szCs w:val="20"/>
                <w:color w:val="auto"/>
              </w:rPr>
            </w:pPr>
            <w:r>
              <w:rPr>
                <w:rFonts w:ascii="Arial" w:cs="Arial" w:eastAsia="Arial" w:hAnsi="Arial"/>
                <w:sz w:val="18"/>
                <w:szCs w:val="18"/>
                <w:color w:val="auto"/>
              </w:rPr>
              <w:t>Common stock warrants</w:t>
            </w:r>
          </w:p>
        </w:tc>
        <w:tc>
          <w:tcPr>
            <w:tcW w:w="9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8780" w:type="dxa"/>
            <w:vAlign w:val="bottom"/>
          </w:tcPr>
          <w:p>
            <w:pPr>
              <w:spacing w:after="0"/>
              <w:rPr>
                <w:sz w:val="20"/>
                <w:szCs w:val="20"/>
                <w:color w:val="auto"/>
              </w:rPr>
            </w:pPr>
            <w:r>
              <w:rPr>
                <w:rFonts w:ascii="Arial" w:cs="Arial" w:eastAsia="Arial" w:hAnsi="Arial"/>
                <w:sz w:val="18"/>
                <w:szCs w:val="18"/>
                <w:color w:val="auto"/>
              </w:rPr>
              <w:t>Total potentially dilutive shares excluded</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13,814</w:t>
            </w:r>
          </w:p>
        </w:tc>
        <w:tc>
          <w:tcPr>
            <w:tcW w:w="260" w:type="dxa"/>
            <w:vAlign w:val="bottom"/>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w:t>
            </w:r>
          </w:p>
        </w:tc>
      </w:tr>
    </w:tbl>
    <w:p>
      <w:pPr>
        <w:spacing w:after="0" w:line="262" w:lineRule="exact"/>
        <w:rPr>
          <w:sz w:val="20"/>
          <w:szCs w:val="20"/>
          <w:color w:val="auto"/>
        </w:rPr>
      </w:pPr>
    </w:p>
    <w:p>
      <w:pPr>
        <w:ind w:right="100" w:firstLine="270"/>
        <w:spacing w:after="0" w:line="259" w:lineRule="auto"/>
        <w:rPr>
          <w:sz w:val="20"/>
          <w:szCs w:val="20"/>
          <w:color w:val="auto"/>
        </w:rPr>
      </w:pPr>
      <w:r>
        <w:rPr>
          <w:rFonts w:ascii="Arial" w:cs="Arial" w:eastAsia="Arial" w:hAnsi="Arial"/>
          <w:sz w:val="18"/>
          <w:szCs w:val="18"/>
          <w:color w:val="auto"/>
        </w:rPr>
        <w:t>In periods in which the Company incurred a net loss, the assumed exercise of certain outstanding employee stock options and the vesting of restricted shares had an antidilutive effect. Had the Company recognized sufficient net income in the three month period ended February 1, 2009, there would have been 0.2 million of incremental weighted-average shares of these employee stock options and restricted shares.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5 - SHARE-BASED COMPENSATION PLANS</w:t>
      </w:r>
    </w:p>
    <w:p>
      <w:pPr>
        <w:spacing w:after="0" w:line="285" w:lineRule="exact"/>
        <w:rPr>
          <w:sz w:val="20"/>
          <w:szCs w:val="20"/>
          <w:color w:val="auto"/>
        </w:rPr>
      </w:pPr>
    </w:p>
    <w:p>
      <w:pPr>
        <w:ind w:firstLine="270"/>
        <w:spacing w:after="0" w:line="289" w:lineRule="auto"/>
        <w:rPr>
          <w:sz w:val="20"/>
          <w:szCs w:val="20"/>
          <w:color w:val="auto"/>
        </w:rPr>
      </w:pPr>
      <w:r>
        <w:rPr>
          <w:rFonts w:ascii="Arial" w:cs="Arial" w:eastAsia="Arial" w:hAnsi="Arial"/>
          <w:sz w:val="16"/>
          <w:szCs w:val="16"/>
          <w:color w:val="auto"/>
        </w:rPr>
        <w:t>In March 2007, shareholders approved a new share-based compensation plan ("Plan"), under which options, restricted stock, restricted stock units, stock appreciation rights, performance stock, performance units, and other awards based on, or related to, shares of the Company's common stock may be granted from shares authorized but unissued, shares previously issued and reacquired by the Company, or both. A maximum of three million shares of common stock may be issued under the Plan. Awards may be granted to officers, employees, directors, consultants, advisors, and independent contractors of the Company or its subsidiaries. The Plan, aspects of which are more fully described below, prohibits further awards from being issued under prior plans. The Company incurred compensation cost under the Plan of $0.5 million and $0.7 million for the three months ended January 31, 2010 and February 1, 2009, respectively. No share-based compensation cost was capitalized as part of inventory, no related income tax benefits were recorded, and no equity awards were settled in cash during the periods presented.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85"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color w:val="auto"/>
        </w:rPr>
        <w:t>Option awards generally vest in one to four years, and have a ten-year contractual term. All incentive and non-qualified stock option grants have an exercise price equal to the market value of the underlying common stock on the date of grant. The option and share awards provide for accelerated vesting if there is a change in control as defined in the Plan.</w:t>
      </w:r>
    </w:p>
    <w:p>
      <w:pPr>
        <w:spacing w:after="0" w:line="248" w:lineRule="exact"/>
        <w:rPr>
          <w:sz w:val="20"/>
          <w:szCs w:val="20"/>
          <w:color w:val="auto"/>
        </w:rPr>
      </w:pPr>
    </w:p>
    <w:p>
      <w:pPr>
        <w:ind w:right="20" w:firstLine="270"/>
        <w:spacing w:after="0" w:line="294" w:lineRule="auto"/>
        <w:rPr>
          <w:sz w:val="20"/>
          <w:szCs w:val="20"/>
          <w:color w:val="auto"/>
        </w:rPr>
      </w:pPr>
      <w:r>
        <w:rPr>
          <w:rFonts w:ascii="Arial" w:cs="Arial" w:eastAsia="Arial" w:hAnsi="Arial"/>
          <w:sz w:val="16"/>
          <w:szCs w:val="16"/>
          <w:color w:val="auto"/>
        </w:rPr>
        <w:t>The grant date fair value of options is based upon the closing price on the date of grant using the Black-Scholes option pricing model. Expected volatility is based on the historical volatility of the Company's stock. The Company uses historical option exercise behavior and employee termination data to estimate expected term, which represents the period of time that the options granted are expected to remain outstanding. The risk-free rate of return for the estimated term of the option is based on the U.S. Treasury yield curve in effect at the time of grant. Inputs used to calculate the grant date fair value of options issued during the three months ended January 31, 2010 and February 1, 2009 are presented in the following table.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00" w:type="dxa"/>
            <w:vAlign w:val="bottom"/>
          </w:tcPr>
          <w:p>
            <w:pPr>
              <w:spacing w:after="0"/>
              <w:rPr>
                <w:sz w:val="20"/>
                <w:szCs w:val="20"/>
                <w:color w:val="auto"/>
              </w:rPr>
            </w:pPr>
          </w:p>
        </w:tc>
        <w:tc>
          <w:tcPr>
            <w:tcW w:w="2660" w:type="dxa"/>
            <w:vAlign w:val="bottom"/>
            <w:tcBorders>
              <w:bottom w:val="single" w:sz="8" w:color="auto"/>
            </w:tcBorders>
            <w:gridSpan w:val="3"/>
          </w:tcPr>
          <w:p>
            <w:pPr>
              <w:jc w:val="right"/>
              <w:ind w:right="432"/>
              <w:spacing w:after="0"/>
              <w:rPr>
                <w:sz w:val="20"/>
                <w:szCs w:val="20"/>
                <w:color w:val="auto"/>
              </w:rPr>
            </w:pPr>
            <w:r>
              <w:rPr>
                <w:rFonts w:ascii="Arial" w:cs="Arial" w:eastAsia="Arial" w:hAnsi="Arial"/>
                <w:sz w:val="18"/>
                <w:szCs w:val="18"/>
                <w:b w:val="1"/>
                <w:bCs w:val="1"/>
                <w:color w:val="auto"/>
              </w:rPr>
              <w:t>Three Months Ended</w:t>
            </w:r>
          </w:p>
        </w:tc>
      </w:tr>
      <w:tr>
        <w:trPr>
          <w:trHeight w:val="228"/>
        </w:trPr>
        <w:tc>
          <w:tcPr>
            <w:tcW w:w="4200" w:type="dxa"/>
            <w:vAlign w:val="bottom"/>
          </w:tcPr>
          <w:p>
            <w:pPr>
              <w:spacing w:after="0"/>
              <w:rPr>
                <w:sz w:val="19"/>
                <w:szCs w:val="19"/>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January 31,</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0"/>
              </w:rPr>
              <w:t>February 1,</w:t>
            </w:r>
          </w:p>
        </w:tc>
      </w:tr>
      <w:tr>
        <w:trPr>
          <w:trHeight w:val="251"/>
        </w:trPr>
        <w:tc>
          <w:tcPr>
            <w:tcW w:w="4200" w:type="dxa"/>
            <w:vAlign w:val="bottom"/>
            <w:tcBorders>
              <w:bottom w:val="single" w:sz="8" w:color="C0C0C0"/>
            </w:tcBorders>
          </w:tcPr>
          <w:p>
            <w:pPr>
              <w:spacing w:after="0"/>
              <w:rPr>
                <w:sz w:val="21"/>
                <w:szCs w:val="21"/>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2010</w:t>
            </w:r>
          </w:p>
        </w:tc>
        <w:tc>
          <w:tcPr>
            <w:tcW w:w="280" w:type="dxa"/>
            <w:vAlign w:val="bottom"/>
            <w:tcBorders>
              <w:bottom w:val="single" w:sz="8" w:color="C0C0C0"/>
            </w:tcBorders>
          </w:tcPr>
          <w:p>
            <w:pPr>
              <w:spacing w:after="0"/>
              <w:rPr>
                <w:sz w:val="21"/>
                <w:szCs w:val="21"/>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2009</w:t>
            </w:r>
          </w:p>
        </w:tc>
      </w:tr>
      <w:tr>
        <w:trPr>
          <w:trHeight w:val="243"/>
        </w:trPr>
        <w:tc>
          <w:tcPr>
            <w:tcW w:w="4200" w:type="dxa"/>
            <w:vAlign w:val="bottom"/>
            <w:shd w:val="clear" w:color="auto" w:fill="C0C0C0"/>
          </w:tcPr>
          <w:p>
            <w:pPr>
              <w:spacing w:after="0"/>
              <w:rPr>
                <w:sz w:val="20"/>
                <w:szCs w:val="20"/>
                <w:color w:val="auto"/>
              </w:rPr>
            </w:pPr>
            <w:r>
              <w:rPr>
                <w:rFonts w:ascii="Arial" w:cs="Arial" w:eastAsia="Arial" w:hAnsi="Arial"/>
                <w:sz w:val="18"/>
                <w:szCs w:val="18"/>
                <w:color w:val="auto"/>
              </w:rPr>
              <w:t>Volatility</w:t>
            </w:r>
          </w:p>
        </w:tc>
        <w:tc>
          <w:tcPr>
            <w:tcW w:w="13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89.3%</w:t>
            </w:r>
          </w:p>
        </w:tc>
        <w:tc>
          <w:tcPr>
            <w:tcW w:w="280" w:type="dxa"/>
            <w:vAlign w:val="bottom"/>
            <w:shd w:val="clear" w:color="auto" w:fill="C0C0C0"/>
          </w:tcPr>
          <w:p>
            <w:pPr>
              <w:spacing w:after="0"/>
              <w:rPr>
                <w:sz w:val="21"/>
                <w:szCs w:val="21"/>
                <w:color w:val="auto"/>
              </w:rPr>
            </w:pPr>
          </w:p>
        </w:tc>
        <w:tc>
          <w:tcPr>
            <w:tcW w:w="108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69.7%</w:t>
            </w:r>
          </w:p>
        </w:tc>
      </w:tr>
      <w:tr>
        <w:trPr>
          <w:trHeight w:val="235"/>
        </w:trPr>
        <w:tc>
          <w:tcPr>
            <w:tcW w:w="4200" w:type="dxa"/>
            <w:vAlign w:val="bottom"/>
          </w:tcPr>
          <w:p>
            <w:pPr>
              <w:spacing w:after="0"/>
              <w:rPr>
                <w:sz w:val="20"/>
                <w:szCs w:val="20"/>
                <w:color w:val="auto"/>
              </w:rPr>
            </w:pPr>
            <w:r>
              <w:rPr>
                <w:rFonts w:ascii="Arial" w:cs="Arial" w:eastAsia="Arial" w:hAnsi="Arial"/>
                <w:sz w:val="18"/>
                <w:szCs w:val="18"/>
                <w:color w:val="auto"/>
              </w:rPr>
              <w:t>Risk free rate of return</w:t>
            </w: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2.2% - 2.4%</w:t>
            </w:r>
          </w:p>
        </w:tc>
        <w:tc>
          <w:tcPr>
            <w:tcW w:w="280" w:type="dxa"/>
            <w:vAlign w:val="bottom"/>
          </w:tcPr>
          <w:p>
            <w:pPr>
              <w:spacing w:after="0"/>
              <w:rPr>
                <w:sz w:val="20"/>
                <w:szCs w:val="20"/>
                <w:color w:val="auto"/>
              </w:rPr>
            </w:pP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2.5%</w:t>
            </w:r>
          </w:p>
        </w:tc>
      </w:tr>
      <w:tr>
        <w:trPr>
          <w:trHeight w:val="251"/>
        </w:trPr>
        <w:tc>
          <w:tcPr>
            <w:tcW w:w="4200" w:type="dxa"/>
            <w:vAlign w:val="bottom"/>
            <w:shd w:val="clear" w:color="auto" w:fill="C0C0C0"/>
          </w:tcPr>
          <w:p>
            <w:pPr>
              <w:spacing w:after="0"/>
              <w:rPr>
                <w:sz w:val="20"/>
                <w:szCs w:val="20"/>
                <w:color w:val="auto"/>
              </w:rPr>
            </w:pPr>
            <w:r>
              <w:rPr>
                <w:rFonts w:ascii="Arial" w:cs="Arial" w:eastAsia="Arial" w:hAnsi="Arial"/>
                <w:sz w:val="18"/>
                <w:szCs w:val="18"/>
                <w:color w:val="auto"/>
              </w:rPr>
              <w:t>Dividend yield</w:t>
            </w:r>
          </w:p>
        </w:tc>
        <w:tc>
          <w:tcPr>
            <w:tcW w:w="13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0.0%</w:t>
            </w:r>
          </w:p>
        </w:tc>
        <w:tc>
          <w:tcPr>
            <w:tcW w:w="280" w:type="dxa"/>
            <w:vAlign w:val="bottom"/>
            <w:shd w:val="clear" w:color="auto" w:fill="C0C0C0"/>
          </w:tcPr>
          <w:p>
            <w:pPr>
              <w:spacing w:after="0"/>
              <w:rPr>
                <w:sz w:val="21"/>
                <w:szCs w:val="21"/>
                <w:color w:val="auto"/>
              </w:rPr>
            </w:pPr>
          </w:p>
        </w:tc>
        <w:tc>
          <w:tcPr>
            <w:tcW w:w="108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0.0%</w:t>
            </w:r>
          </w:p>
        </w:tc>
      </w:tr>
      <w:tr>
        <w:trPr>
          <w:trHeight w:val="228"/>
        </w:trPr>
        <w:tc>
          <w:tcPr>
            <w:tcW w:w="4200" w:type="dxa"/>
            <w:vAlign w:val="bottom"/>
          </w:tcPr>
          <w:p>
            <w:pPr>
              <w:spacing w:after="0"/>
              <w:rPr>
                <w:sz w:val="20"/>
                <w:szCs w:val="20"/>
                <w:color w:val="auto"/>
              </w:rPr>
            </w:pPr>
            <w:r>
              <w:rPr>
                <w:rFonts w:ascii="Arial" w:cs="Arial" w:eastAsia="Arial" w:hAnsi="Arial"/>
                <w:sz w:val="18"/>
                <w:szCs w:val="18"/>
                <w:color w:val="auto"/>
              </w:rPr>
              <w:t>Expected term</w:t>
            </w: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4.5 years</w:t>
            </w:r>
          </w:p>
        </w:tc>
        <w:tc>
          <w:tcPr>
            <w:tcW w:w="1080" w:type="dxa"/>
            <w:vAlign w:val="bottom"/>
          </w:tcPr>
          <w:p>
            <w:pPr>
              <w:jc w:val="center"/>
              <w:spacing w:after="0"/>
              <w:rPr>
                <w:sz w:val="20"/>
                <w:szCs w:val="20"/>
                <w:color w:val="auto"/>
              </w:rPr>
            </w:pPr>
            <w:r>
              <w:rPr>
                <w:rFonts w:ascii="Arial" w:cs="Arial" w:eastAsia="Arial" w:hAnsi="Arial"/>
                <w:sz w:val="18"/>
                <w:szCs w:val="18"/>
                <w:color w:val="auto"/>
                <w:w w:val="86"/>
              </w:rPr>
              <w:t>4.7 years</w:t>
            </w:r>
          </w:p>
        </w:tc>
      </w:tr>
    </w:tbl>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560" w:type="dxa"/>
            <w:vAlign w:val="bottom"/>
          </w:tcPr>
          <w:p>
            <w:pPr>
              <w:ind w:left="340"/>
              <w:spacing w:after="0"/>
              <w:rPr>
                <w:sz w:val="20"/>
                <w:szCs w:val="20"/>
                <w:color w:val="auto"/>
              </w:rPr>
            </w:pPr>
            <w:r>
              <w:rPr>
                <w:rFonts w:ascii="Arial" w:cs="Arial" w:eastAsia="Arial" w:hAnsi="Arial"/>
                <w:sz w:val="18"/>
                <w:szCs w:val="18"/>
                <w:color w:val="auto"/>
                <w:w w:val="89"/>
              </w:rPr>
              <w:t>A summary of option awards under the plan as of January 31, 2010 is presented below.</w:t>
            </w: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73"/>
        </w:trPr>
        <w:tc>
          <w:tcPr>
            <w:tcW w:w="6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Weighted</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43"/>
        </w:trPr>
        <w:tc>
          <w:tcPr>
            <w:tcW w:w="6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Weighted</w:t>
            </w: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43"/>
        </w:trPr>
        <w:tc>
          <w:tcPr>
            <w:tcW w:w="6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4"/>
              </w:rPr>
              <w:t>Average</w:t>
            </w: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Remaining</w:t>
            </w:r>
          </w:p>
        </w:tc>
        <w:tc>
          <w:tcPr>
            <w:tcW w:w="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Aggregate</w:t>
            </w:r>
          </w:p>
        </w:tc>
      </w:tr>
      <w:tr>
        <w:trPr>
          <w:trHeight w:val="243"/>
        </w:trPr>
        <w:tc>
          <w:tcPr>
            <w:tcW w:w="6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6"/>
              </w:rPr>
              <w:t>Exercise</w:t>
            </w: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Contractual</w:t>
            </w:r>
          </w:p>
        </w:tc>
        <w:tc>
          <w:tcPr>
            <w:tcW w:w="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Intrinsic</w:t>
            </w:r>
          </w:p>
        </w:tc>
      </w:tr>
      <w:tr>
        <w:trPr>
          <w:trHeight w:val="252"/>
        </w:trPr>
        <w:tc>
          <w:tcPr>
            <w:tcW w:w="6560" w:type="dxa"/>
            <w:vAlign w:val="bottom"/>
            <w:tcBorders>
              <w:bottom w:val="single" w:sz="8" w:color="auto"/>
            </w:tcBorders>
          </w:tcPr>
          <w:p>
            <w:pPr>
              <w:ind w:left="2980"/>
              <w:spacing w:after="0"/>
              <w:rPr>
                <w:sz w:val="20"/>
                <w:szCs w:val="20"/>
                <w:color w:val="auto"/>
              </w:rPr>
            </w:pPr>
            <w:r>
              <w:rPr>
                <w:rFonts w:ascii="Arial" w:cs="Arial" w:eastAsia="Arial" w:hAnsi="Arial"/>
                <w:sz w:val="18"/>
                <w:szCs w:val="18"/>
                <w:b w:val="1"/>
                <w:bCs w:val="1"/>
                <w:color w:val="auto"/>
              </w:rPr>
              <w:t>Options</w:t>
            </w:r>
          </w:p>
        </w:tc>
        <w:tc>
          <w:tcPr>
            <w:tcW w:w="300" w:type="dxa"/>
            <w:vAlign w:val="bottom"/>
            <w:tcBorders>
              <w:bottom w:val="single" w:sz="8" w:color="C0C0C0"/>
            </w:tcBorders>
          </w:tcPr>
          <w:p>
            <w:pPr>
              <w:spacing w:after="0"/>
              <w:rPr>
                <w:sz w:val="21"/>
                <w:szCs w:val="21"/>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60" w:type="dxa"/>
            <w:vAlign w:val="bottom"/>
            <w:tcBorders>
              <w:bottom w:val="single" w:sz="8" w:color="C0C0C0"/>
            </w:tcBorders>
          </w:tcPr>
          <w:p>
            <w:pPr>
              <w:spacing w:after="0"/>
              <w:rPr>
                <w:sz w:val="21"/>
                <w:szCs w:val="21"/>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Price</w:t>
            </w:r>
          </w:p>
        </w:tc>
        <w:tc>
          <w:tcPr>
            <w:tcW w:w="260" w:type="dxa"/>
            <w:vAlign w:val="bottom"/>
            <w:tcBorders>
              <w:bottom w:val="single" w:sz="8" w:color="C0C0C0"/>
            </w:tcBorders>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Life</w:t>
            </w:r>
          </w:p>
        </w:tc>
        <w:tc>
          <w:tcPr>
            <w:tcW w:w="280" w:type="dxa"/>
            <w:vAlign w:val="bottom"/>
            <w:tcBorders>
              <w:bottom w:val="single" w:sz="8" w:color="C0C0C0"/>
            </w:tcBorders>
          </w:tcPr>
          <w:p>
            <w:pPr>
              <w:spacing w:after="0"/>
              <w:rPr>
                <w:sz w:val="21"/>
                <w:szCs w:val="21"/>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Value</w:t>
            </w:r>
          </w:p>
        </w:tc>
      </w:tr>
      <w:tr>
        <w:trPr>
          <w:trHeight w:val="243"/>
        </w:trPr>
        <w:tc>
          <w:tcPr>
            <w:tcW w:w="6560" w:type="dxa"/>
            <w:vAlign w:val="bottom"/>
            <w:shd w:val="clear" w:color="auto" w:fill="C0C0C0"/>
          </w:tcPr>
          <w:p>
            <w:pPr>
              <w:spacing w:after="0"/>
              <w:rPr>
                <w:sz w:val="20"/>
                <w:szCs w:val="20"/>
                <w:color w:val="auto"/>
              </w:rPr>
            </w:pPr>
            <w:r>
              <w:rPr>
                <w:rFonts w:ascii="Arial" w:cs="Arial" w:eastAsia="Arial" w:hAnsi="Arial"/>
                <w:sz w:val="18"/>
                <w:szCs w:val="18"/>
                <w:color w:val="auto"/>
              </w:rPr>
              <w:t>Outstanding at January 31, 2010</w:t>
            </w:r>
          </w:p>
        </w:tc>
        <w:tc>
          <w:tcPr>
            <w:tcW w:w="1280" w:type="dxa"/>
            <w:vAlign w:val="bottom"/>
            <w:gridSpan w:val="3"/>
            <w:shd w:val="clear" w:color="auto" w:fill="C0C0C0"/>
          </w:tcPr>
          <w:p>
            <w:pPr>
              <w:jc w:val="center"/>
              <w:spacing w:after="0"/>
              <w:rPr>
                <w:sz w:val="20"/>
                <w:szCs w:val="20"/>
                <w:color w:val="auto"/>
              </w:rPr>
            </w:pPr>
            <w:r>
              <w:rPr>
                <w:rFonts w:ascii="Arial" w:cs="Arial" w:eastAsia="Arial" w:hAnsi="Arial"/>
                <w:sz w:val="18"/>
                <w:szCs w:val="18"/>
                <w:color w:val="auto"/>
                <w:w w:val="89"/>
              </w:rPr>
              <w:t>4,133,652</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9.90</w:t>
            </w:r>
          </w:p>
        </w:tc>
        <w:tc>
          <w:tcPr>
            <w:tcW w:w="1200" w:type="dxa"/>
            <w:vAlign w:val="bottom"/>
            <w:gridSpan w:val="2"/>
            <w:shd w:val="clear" w:color="auto" w:fill="C0C0C0"/>
          </w:tcPr>
          <w:p>
            <w:pPr>
              <w:ind w:left="300"/>
              <w:spacing w:after="0"/>
              <w:rPr>
                <w:sz w:val="20"/>
                <w:szCs w:val="20"/>
                <w:color w:val="auto"/>
              </w:rPr>
            </w:pPr>
            <w:r>
              <w:rPr>
                <w:rFonts w:ascii="Arial" w:cs="Arial" w:eastAsia="Arial" w:hAnsi="Arial"/>
                <w:sz w:val="18"/>
                <w:szCs w:val="18"/>
                <w:color w:val="auto"/>
              </w:rPr>
              <w:t>6.9 years</w:t>
            </w:r>
          </w:p>
        </w:tc>
        <w:tc>
          <w:tcPr>
            <w:tcW w:w="3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4"/>
              </w:rPr>
              <w:t>4,030</w:t>
            </w:r>
          </w:p>
        </w:tc>
      </w:tr>
      <w:tr>
        <w:trPr>
          <w:trHeight w:val="228"/>
        </w:trPr>
        <w:tc>
          <w:tcPr>
            <w:tcW w:w="6560" w:type="dxa"/>
            <w:vAlign w:val="bottom"/>
          </w:tcPr>
          <w:p>
            <w:pPr>
              <w:spacing w:after="0"/>
              <w:rPr>
                <w:sz w:val="20"/>
                <w:szCs w:val="20"/>
                <w:color w:val="auto"/>
              </w:rPr>
            </w:pPr>
            <w:r>
              <w:rPr>
                <w:rFonts w:ascii="Arial" w:cs="Arial" w:eastAsia="Arial" w:hAnsi="Arial"/>
                <w:sz w:val="18"/>
                <w:szCs w:val="18"/>
                <w:color w:val="auto"/>
              </w:rPr>
              <w:t>Exercisable at January 31, 2010</w:t>
            </w:r>
          </w:p>
        </w:tc>
        <w:tc>
          <w:tcPr>
            <w:tcW w:w="1280" w:type="dxa"/>
            <w:vAlign w:val="bottom"/>
            <w:gridSpan w:val="3"/>
          </w:tcPr>
          <w:p>
            <w:pPr>
              <w:jc w:val="center"/>
              <w:spacing w:after="0"/>
              <w:rPr>
                <w:sz w:val="20"/>
                <w:szCs w:val="20"/>
                <w:color w:val="auto"/>
              </w:rPr>
            </w:pPr>
            <w:r>
              <w:rPr>
                <w:rFonts w:ascii="Arial" w:cs="Arial" w:eastAsia="Arial" w:hAnsi="Arial"/>
                <w:sz w:val="18"/>
                <w:szCs w:val="18"/>
                <w:color w:val="auto"/>
                <w:w w:val="89"/>
              </w:rPr>
              <w:t>2,105,830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16.26</w:t>
            </w: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4.8 years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912</w:t>
            </w:r>
          </w:p>
        </w:tc>
      </w:tr>
    </w:tbl>
    <w:p>
      <w:pPr>
        <w:spacing w:after="0" w:line="277" w:lineRule="exact"/>
        <w:rPr>
          <w:sz w:val="20"/>
          <w:szCs w:val="20"/>
          <w:color w:val="auto"/>
        </w:rPr>
      </w:pPr>
    </w:p>
    <w:p>
      <w:pPr>
        <w:ind w:right="140" w:firstLine="270"/>
        <w:spacing w:after="0" w:line="256" w:lineRule="auto"/>
        <w:rPr>
          <w:sz w:val="20"/>
          <w:szCs w:val="20"/>
          <w:color w:val="auto"/>
        </w:rPr>
      </w:pPr>
      <w:r>
        <w:rPr>
          <w:rFonts w:ascii="Arial" w:cs="Arial" w:eastAsia="Arial" w:hAnsi="Arial"/>
          <w:sz w:val="18"/>
          <w:szCs w:val="18"/>
          <w:color w:val="auto"/>
        </w:rPr>
        <w:t>There were 846,400 share options granted during the three months ended January 31, 2010 with a weighted-average grant date fair value of $2.97 per share and 1,343,250 share options granted during the three months ended February 1, 2009 with a weighted-average grant date fair value of $0.44 per share. As of January 31, 2010, the total unrecognized compensation cost related to non-vested option awards was approximately $3.0 million. That cost is expected to be recognized over a weighted-average amortization period of 3.3 years.</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40"/>
          </w:cols>
          <w:pgMar w:left="240" w:top="368" w:right="3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Restricted Stock</w:t>
      </w:r>
    </w:p>
    <w:p>
      <w:pPr>
        <w:spacing w:after="0" w:line="285" w:lineRule="exact"/>
        <w:rPr>
          <w:sz w:val="20"/>
          <w:szCs w:val="20"/>
          <w:color w:val="auto"/>
        </w:rPr>
      </w:pPr>
    </w:p>
    <w:p>
      <w:pPr>
        <w:ind w:firstLine="270"/>
        <w:spacing w:after="0" w:line="294" w:lineRule="auto"/>
        <w:rPr>
          <w:sz w:val="20"/>
          <w:szCs w:val="20"/>
          <w:color w:val="auto"/>
        </w:rPr>
      </w:pPr>
      <w:r>
        <w:rPr>
          <w:rFonts w:ascii="Arial" w:cs="Arial" w:eastAsia="Arial" w:hAnsi="Arial"/>
          <w:sz w:val="16"/>
          <w:szCs w:val="16"/>
          <w:color w:val="auto"/>
        </w:rPr>
        <w:t>The Company periodically grants restricted stock awards. The restrictions on these awards lapse over a service period that has ranged from less than one to eight years. No restricted stock awards were issued during the three months ended January 31, 2010, and 75,000 shares with a weighted-average grant date fair value of $0.76 per share were granted during the three months ended February 1, 2009. As of January 31, 2010, the total compensation cost related to nonvested restricted stock awards not yet recognized was approximately $1.7 million. That cost is expected to be recognized over a weighted-average amortization period of 3.5 years. A summary of the status of the Company's non-vested restricted shares as of January 31, 2010 is presented below.</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Weighted</w:t>
            </w:r>
          </w:p>
        </w:tc>
        <w:tc>
          <w:tcPr>
            <w:tcW w:w="840" w:type="dxa"/>
            <w:vAlign w:val="bottom"/>
          </w:tcPr>
          <w:p>
            <w:pPr>
              <w:spacing w:after="0"/>
              <w:rPr>
                <w:sz w:val="19"/>
                <w:szCs w:val="19"/>
                <w:color w:val="auto"/>
              </w:rPr>
            </w:pPr>
          </w:p>
        </w:tc>
      </w:tr>
      <w:tr>
        <w:trPr>
          <w:trHeight w:val="243"/>
        </w:trPr>
        <w:tc>
          <w:tcPr>
            <w:tcW w:w="6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c>
          <w:tcPr>
            <w:tcW w:w="840" w:type="dxa"/>
            <w:vAlign w:val="bottom"/>
          </w:tcPr>
          <w:p>
            <w:pPr>
              <w:spacing w:after="0"/>
              <w:rPr>
                <w:sz w:val="21"/>
                <w:szCs w:val="21"/>
                <w:color w:val="auto"/>
              </w:rPr>
            </w:pPr>
          </w:p>
        </w:tc>
      </w:tr>
      <w:tr>
        <w:trPr>
          <w:trHeight w:val="243"/>
        </w:trPr>
        <w:tc>
          <w:tcPr>
            <w:tcW w:w="6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Remaining</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5"/>
              </w:rPr>
              <w:t>Aggregate</w:t>
            </w:r>
          </w:p>
        </w:tc>
      </w:tr>
      <w:tr>
        <w:trPr>
          <w:trHeight w:val="243"/>
        </w:trPr>
        <w:tc>
          <w:tcPr>
            <w:tcW w:w="6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Contractual</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1"/>
              </w:rPr>
              <w:t>Intrinsic</w:t>
            </w:r>
          </w:p>
        </w:tc>
      </w:tr>
      <w:tr>
        <w:trPr>
          <w:trHeight w:val="252"/>
        </w:trPr>
        <w:tc>
          <w:tcPr>
            <w:tcW w:w="6000" w:type="dxa"/>
            <w:vAlign w:val="bottom"/>
            <w:tcBorders>
              <w:bottom w:val="single" w:sz="8" w:color="auto"/>
            </w:tcBorders>
          </w:tcPr>
          <w:p>
            <w:pPr>
              <w:ind w:left="2380"/>
              <w:spacing w:after="0"/>
              <w:rPr>
                <w:sz w:val="20"/>
                <w:szCs w:val="20"/>
                <w:color w:val="auto"/>
              </w:rPr>
            </w:pPr>
            <w:r>
              <w:rPr>
                <w:rFonts w:ascii="Arial" w:cs="Arial" w:eastAsia="Arial" w:hAnsi="Arial"/>
                <w:sz w:val="18"/>
                <w:szCs w:val="18"/>
                <w:b w:val="1"/>
                <w:bCs w:val="1"/>
                <w:color w:val="auto"/>
              </w:rPr>
              <w:t>Restricted Stock</w:t>
            </w:r>
          </w:p>
        </w:tc>
        <w:tc>
          <w:tcPr>
            <w:tcW w:w="260" w:type="dxa"/>
            <w:vAlign w:val="bottom"/>
            <w:tcBorders>
              <w:bottom w:val="single" w:sz="8" w:color="C0C0C0"/>
            </w:tcBorders>
          </w:tcPr>
          <w:p>
            <w:pPr>
              <w:spacing w:after="0"/>
              <w:rPr>
                <w:sz w:val="21"/>
                <w:szCs w:val="21"/>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Shares</w:t>
            </w:r>
          </w:p>
        </w:tc>
        <w:tc>
          <w:tcPr>
            <w:tcW w:w="280" w:type="dxa"/>
            <w:vAlign w:val="bottom"/>
            <w:tcBorders>
              <w:bottom w:val="single" w:sz="8" w:color="C0C0C0"/>
            </w:tcBorders>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Life</w:t>
            </w:r>
          </w:p>
        </w:tc>
        <w:tc>
          <w:tcPr>
            <w:tcW w:w="260" w:type="dxa"/>
            <w:vAlign w:val="bottom"/>
            <w:tcBorders>
              <w:bottom w:val="single" w:sz="8" w:color="C0C0C0"/>
            </w:tcBorders>
          </w:tcPr>
          <w:p>
            <w:pPr>
              <w:spacing w:after="0"/>
              <w:rPr>
                <w:sz w:val="21"/>
                <w:szCs w:val="21"/>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w:t>
            </w:r>
          </w:p>
        </w:tc>
      </w:tr>
      <w:tr>
        <w:trPr>
          <w:trHeight w:val="243"/>
        </w:trPr>
        <w:tc>
          <w:tcPr>
            <w:tcW w:w="626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Outstanding at January 31, 2010</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6"/>
              </w:rPr>
              <w:t>128,334</w:t>
            </w:r>
          </w:p>
        </w:tc>
        <w:tc>
          <w:tcPr>
            <w:tcW w:w="280" w:type="dxa"/>
            <w:vAlign w:val="bottom"/>
            <w:shd w:val="clear" w:color="auto" w:fill="C0C0C0"/>
          </w:tcPr>
          <w:p>
            <w:pPr>
              <w:spacing w:after="0"/>
              <w:rPr>
                <w:sz w:val="21"/>
                <w:szCs w:val="21"/>
                <w:color w:val="auto"/>
              </w:rPr>
            </w:pPr>
          </w:p>
        </w:tc>
        <w:tc>
          <w:tcPr>
            <w:tcW w:w="118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rPr>
              <w:t>3.4 years</w:t>
            </w: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$494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CONSOLIDATION, RESTRUCTURING AND RELATED CHARGES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Shanghai, China, Facility</w:t>
      </w:r>
    </w:p>
    <w:p>
      <w:pPr>
        <w:spacing w:after="0" w:line="279" w:lineRule="exact"/>
        <w:rPr>
          <w:sz w:val="20"/>
          <w:szCs w:val="20"/>
          <w:color w:val="auto"/>
        </w:rPr>
      </w:pPr>
    </w:p>
    <w:p>
      <w:pPr>
        <w:ind w:right="160" w:firstLine="270"/>
        <w:spacing w:after="0" w:line="256" w:lineRule="auto"/>
        <w:rPr>
          <w:sz w:val="20"/>
          <w:szCs w:val="20"/>
          <w:color w:val="auto"/>
        </w:rPr>
      </w:pPr>
      <w:r>
        <w:rPr>
          <w:rFonts w:ascii="Arial" w:cs="Arial" w:eastAsia="Arial" w:hAnsi="Arial"/>
          <w:sz w:val="18"/>
          <w:szCs w:val="18"/>
          <w:color w:val="auto"/>
        </w:rPr>
        <w:t>During the three months ended August 2, 2009, the Company ceased the manufacture of photomasks at its Shanghai, China, facility. In connection with this restructuring, the Company has recorded total restructure charges of $10.4 million through January 31, 2010, including $9.9 million for asset write-downs, principally related to the Company's manufacturing facility. The fair value of the assets written down was determined by management using a market approach. Approximately 75 employees were affected by this restructuring.</w:t>
      </w:r>
    </w:p>
    <w:p>
      <w:pPr>
        <w:spacing w:after="0" w:line="251" w:lineRule="exact"/>
        <w:rPr>
          <w:sz w:val="20"/>
          <w:szCs w:val="20"/>
          <w:color w:val="auto"/>
        </w:rPr>
      </w:pPr>
    </w:p>
    <w:p>
      <w:pPr>
        <w:ind w:right="220" w:firstLine="270"/>
        <w:spacing w:after="0" w:line="259" w:lineRule="auto"/>
        <w:rPr>
          <w:sz w:val="20"/>
          <w:szCs w:val="20"/>
          <w:color w:val="auto"/>
        </w:rPr>
      </w:pPr>
      <w:r>
        <w:rPr>
          <w:rFonts w:ascii="Arial" w:cs="Arial" w:eastAsia="Arial" w:hAnsi="Arial"/>
          <w:sz w:val="18"/>
          <w:szCs w:val="18"/>
          <w:color w:val="auto"/>
        </w:rPr>
        <w:t>The Company expects the total after tax cost of this restructure to range between $11 million to $13 million through its expected completion during fiscal 2010. The following table sets forth the Company's restructuring reserve related to its Shanghai, China, facility as of January 31, 2010, and reflects the activity affecting the reserve for the three months then ended.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60" w:type="dxa"/>
            <w:vAlign w:val="bottom"/>
            <w:gridSpan w:val="4"/>
          </w:tcPr>
          <w:p>
            <w:pPr>
              <w:ind w:left="60"/>
              <w:spacing w:after="0"/>
              <w:rPr>
                <w:sz w:val="20"/>
                <w:szCs w:val="20"/>
                <w:color w:val="auto"/>
              </w:rPr>
            </w:pPr>
            <w:r>
              <w:rPr>
                <w:rFonts w:ascii="Arial" w:cs="Arial" w:eastAsia="Arial" w:hAnsi="Arial"/>
                <w:sz w:val="18"/>
                <w:szCs w:val="18"/>
                <w:b w:val="1"/>
                <w:bCs w:val="1"/>
                <w:color w:val="auto"/>
              </w:rPr>
              <w:t>Three Months Ended</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492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4"/>
          </w:tcPr>
          <w:p>
            <w:pPr>
              <w:ind w:left="220"/>
              <w:spacing w:after="0"/>
              <w:rPr>
                <w:sz w:val="20"/>
                <w:szCs w:val="20"/>
                <w:color w:val="auto"/>
              </w:rPr>
            </w:pPr>
            <w:r>
              <w:rPr>
                <w:rFonts w:ascii="Arial" w:cs="Arial" w:eastAsia="Arial" w:hAnsi="Arial"/>
                <w:sz w:val="18"/>
                <w:szCs w:val="18"/>
                <w:b w:val="1"/>
                <w:bCs w:val="1"/>
                <w:color w:val="auto"/>
              </w:rPr>
              <w:t>January 31, 2010</w:t>
            </w:r>
          </w:p>
        </w:tc>
        <w:tc>
          <w:tcPr>
            <w:tcW w:w="10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8"/>
        </w:trPr>
        <w:tc>
          <w:tcPr>
            <w:tcW w:w="4920" w:type="dxa"/>
            <w:vAlign w:val="bottom"/>
          </w:tcPr>
          <w:p>
            <w:pPr>
              <w:spacing w:after="0"/>
              <w:rPr>
                <w:sz w:val="19"/>
                <w:szCs w:val="19"/>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November 2,</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0"/>
              </w:rPr>
              <w:t>January 31,</w:t>
            </w:r>
          </w:p>
        </w:tc>
        <w:tc>
          <w:tcPr>
            <w:tcW w:w="20" w:type="dxa"/>
            <w:vAlign w:val="bottom"/>
          </w:tcPr>
          <w:p>
            <w:pPr>
              <w:spacing w:after="0"/>
              <w:rPr>
                <w:sz w:val="19"/>
                <w:szCs w:val="19"/>
                <w:color w:val="auto"/>
              </w:rPr>
            </w:pPr>
          </w:p>
        </w:tc>
      </w:tr>
      <w:tr>
        <w:trPr>
          <w:trHeight w:val="251"/>
        </w:trPr>
        <w:tc>
          <w:tcPr>
            <w:tcW w:w="4920" w:type="dxa"/>
            <w:vAlign w:val="bottom"/>
          </w:tcPr>
          <w:p>
            <w:pPr>
              <w:spacing w:after="0"/>
              <w:rPr>
                <w:sz w:val="21"/>
                <w:szCs w:val="21"/>
                <w:color w:val="auto"/>
              </w:rPr>
            </w:pPr>
          </w:p>
        </w:tc>
        <w:tc>
          <w:tcPr>
            <w:tcW w:w="980" w:type="dxa"/>
            <w:vAlign w:val="bottom"/>
          </w:tcPr>
          <w:p>
            <w:pPr>
              <w:jc w:val="right"/>
              <w:ind w:right="232"/>
              <w:spacing w:after="0"/>
              <w:rPr>
                <w:sz w:val="20"/>
                <w:szCs w:val="20"/>
                <w:color w:val="auto"/>
              </w:rPr>
            </w:pPr>
            <w:r>
              <w:rPr>
                <w:rFonts w:ascii="Arial" w:cs="Arial" w:eastAsia="Arial" w:hAnsi="Arial"/>
                <w:sz w:val="18"/>
                <w:szCs w:val="18"/>
                <w:b w:val="1"/>
                <w:bCs w:val="1"/>
                <w:color w:val="auto"/>
              </w:rPr>
              <w:t>2009</w:t>
            </w:r>
          </w:p>
        </w:tc>
        <w:tc>
          <w:tcPr>
            <w:tcW w:w="260" w:type="dxa"/>
            <w:vAlign w:val="bottom"/>
          </w:tcPr>
          <w:p>
            <w:pPr>
              <w:spacing w:after="0"/>
              <w:rPr>
                <w:sz w:val="21"/>
                <w:szCs w:val="21"/>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b w:val="1"/>
                <w:bCs w:val="1"/>
                <w:color w:val="auto"/>
              </w:rPr>
              <w:t>Charges</w:t>
            </w:r>
          </w:p>
        </w:tc>
        <w:tc>
          <w:tcPr>
            <w:tcW w:w="940" w:type="dxa"/>
            <w:vAlign w:val="bottom"/>
            <w:gridSpan w:val="2"/>
          </w:tcPr>
          <w:p>
            <w:pPr>
              <w:ind w:left="40"/>
              <w:spacing w:after="0"/>
              <w:rPr>
                <w:sz w:val="20"/>
                <w:szCs w:val="20"/>
                <w:color w:val="auto"/>
              </w:rPr>
            </w:pPr>
            <w:r>
              <w:rPr>
                <w:rFonts w:ascii="Arial" w:cs="Arial" w:eastAsia="Arial" w:hAnsi="Arial"/>
                <w:sz w:val="18"/>
                <w:szCs w:val="18"/>
                <w:b w:val="1"/>
                <w:bCs w:val="1"/>
                <w:color w:val="auto"/>
              </w:rPr>
              <w:t>Utilized</w:t>
            </w:r>
          </w:p>
        </w:tc>
        <w:tc>
          <w:tcPr>
            <w:tcW w:w="1020" w:type="dxa"/>
            <w:vAlign w:val="bottom"/>
          </w:tcPr>
          <w:p>
            <w:pPr>
              <w:jc w:val="right"/>
              <w:ind w:right="252"/>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1"/>
                <w:szCs w:val="21"/>
                <w:color w:val="auto"/>
              </w:rPr>
            </w:pPr>
          </w:p>
        </w:tc>
      </w:tr>
      <w:tr>
        <w:trPr>
          <w:trHeight w:val="228"/>
        </w:trPr>
        <w:tc>
          <w:tcPr>
            <w:tcW w:w="492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Employee terminations</w:t>
            </w:r>
          </w:p>
        </w:tc>
        <w:tc>
          <w:tcPr>
            <w:tcW w:w="980" w:type="dxa"/>
            <w:vAlign w:val="bottom"/>
            <w:tcBorders>
              <w:top w:val="single" w:sz="8" w:color="auto"/>
            </w:tcBorders>
            <w:shd w:val="clear" w:color="auto" w:fill="C0C0C0"/>
          </w:tcPr>
          <w:p>
            <w:pPr>
              <w:spacing w:after="0"/>
              <w:rPr>
                <w:sz w:val="19"/>
                <w:szCs w:val="19"/>
                <w:color w:val="auto"/>
              </w:rPr>
            </w:pPr>
          </w:p>
        </w:tc>
        <w:tc>
          <w:tcPr>
            <w:tcW w:w="260" w:type="dxa"/>
            <w:vAlign w:val="bottom"/>
            <w:tcBorders>
              <w:top w:val="single" w:sz="8" w:color="C0C0C0"/>
            </w:tcBorders>
            <w:shd w:val="clear" w:color="auto" w:fill="C0C0C0"/>
          </w:tcPr>
          <w:p>
            <w:pPr>
              <w:spacing w:after="0"/>
              <w:rPr>
                <w:sz w:val="19"/>
                <w:szCs w:val="19"/>
                <w:color w:val="auto"/>
              </w:rPr>
            </w:pPr>
          </w:p>
        </w:tc>
        <w:tc>
          <w:tcPr>
            <w:tcW w:w="740" w:type="dxa"/>
            <w:vAlign w:val="bottom"/>
            <w:tcBorders>
              <w:top w:val="single" w:sz="8" w:color="auto"/>
            </w:tcBorders>
            <w:shd w:val="clear" w:color="auto" w:fill="C0C0C0"/>
          </w:tcPr>
          <w:p>
            <w:pPr>
              <w:spacing w:after="0"/>
              <w:rPr>
                <w:sz w:val="19"/>
                <w:szCs w:val="19"/>
                <w:color w:val="auto"/>
              </w:rPr>
            </w:pPr>
          </w:p>
        </w:tc>
        <w:tc>
          <w:tcPr>
            <w:tcW w:w="280" w:type="dxa"/>
            <w:vAlign w:val="bottom"/>
            <w:tcBorders>
              <w:top w:val="single" w:sz="8" w:color="C0C0C0"/>
            </w:tcBorders>
            <w:shd w:val="clear" w:color="auto" w:fill="C0C0C0"/>
          </w:tcPr>
          <w:p>
            <w:pPr>
              <w:spacing w:after="0"/>
              <w:rPr>
                <w:sz w:val="19"/>
                <w:szCs w:val="19"/>
                <w:color w:val="auto"/>
              </w:rPr>
            </w:pPr>
          </w:p>
        </w:tc>
        <w:tc>
          <w:tcPr>
            <w:tcW w:w="680" w:type="dxa"/>
            <w:vAlign w:val="bottom"/>
            <w:tcBorders>
              <w:top w:val="single" w:sz="8" w:color="auto"/>
            </w:tcBorders>
            <w:shd w:val="clear" w:color="auto" w:fill="C0C0C0"/>
          </w:tcPr>
          <w:p>
            <w:pPr>
              <w:spacing w:after="0"/>
              <w:rPr>
                <w:sz w:val="19"/>
                <w:szCs w:val="19"/>
                <w:color w:val="auto"/>
              </w:rPr>
            </w:pPr>
          </w:p>
        </w:tc>
        <w:tc>
          <w:tcPr>
            <w:tcW w:w="260" w:type="dxa"/>
            <w:vAlign w:val="bottom"/>
            <w:tcBorders>
              <w:top w:val="single" w:sz="8" w:color="C0C0C0"/>
            </w:tcBorders>
            <w:shd w:val="clear" w:color="auto" w:fill="C0C0C0"/>
          </w:tcPr>
          <w:p>
            <w:pPr>
              <w:spacing w:after="0"/>
              <w:rPr>
                <w:sz w:val="19"/>
                <w:szCs w:val="19"/>
                <w:color w:val="auto"/>
              </w:rPr>
            </w:pPr>
          </w:p>
        </w:tc>
        <w:tc>
          <w:tcPr>
            <w:tcW w:w="1020" w:type="dxa"/>
            <w:vAlign w:val="bottom"/>
            <w:tcBorders>
              <w:top w:val="single" w:sz="8" w:color="auto"/>
            </w:tcBorders>
            <w:shd w:val="clear" w:color="auto" w:fill="C0C0C0"/>
          </w:tcPr>
          <w:p>
            <w:pPr>
              <w:spacing w:after="0"/>
              <w:rPr>
                <w:sz w:val="19"/>
                <w:szCs w:val="19"/>
                <w:color w:val="auto"/>
              </w:rPr>
            </w:pPr>
          </w:p>
        </w:tc>
        <w:tc>
          <w:tcPr>
            <w:tcW w:w="20" w:type="dxa"/>
            <w:vAlign w:val="bottom"/>
          </w:tcPr>
          <w:p>
            <w:pPr>
              <w:spacing w:after="0"/>
              <w:rPr>
                <w:sz w:val="19"/>
                <w:szCs w:val="19"/>
                <w:color w:val="auto"/>
              </w:rPr>
            </w:pPr>
          </w:p>
        </w:tc>
      </w:tr>
      <w:tr>
        <w:trPr>
          <w:trHeight w:val="272"/>
        </w:trPr>
        <w:tc>
          <w:tcPr>
            <w:tcW w:w="4920" w:type="dxa"/>
            <w:vAlign w:val="bottom"/>
            <w:shd w:val="clear" w:color="auto" w:fill="C0C0C0"/>
          </w:tcPr>
          <w:p>
            <w:pPr>
              <w:ind w:left="340"/>
              <w:spacing w:after="0"/>
              <w:rPr>
                <w:sz w:val="20"/>
                <w:szCs w:val="20"/>
                <w:color w:val="auto"/>
              </w:rPr>
            </w:pPr>
            <w:r>
              <w:rPr>
                <w:rFonts w:ascii="Arial" w:cs="Arial" w:eastAsia="Arial" w:hAnsi="Arial"/>
                <w:sz w:val="18"/>
                <w:szCs w:val="18"/>
                <w:color w:val="auto"/>
              </w:rPr>
              <w:t>and other</w:t>
            </w:r>
          </w:p>
        </w:tc>
        <w:tc>
          <w:tcPr>
            <w:tcW w:w="124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$134</w:t>
            </w: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$193</w:t>
            </w:r>
          </w:p>
        </w:tc>
        <w:tc>
          <w:tcPr>
            <w:tcW w:w="280" w:type="dxa"/>
            <w:vAlign w:val="bottom"/>
            <w:shd w:val="clear" w:color="auto" w:fill="C0C0C0"/>
          </w:tcPr>
          <w:p>
            <w:pPr>
              <w:spacing w:after="0"/>
              <w:rPr>
                <w:sz w:val="23"/>
                <w:szCs w:val="23"/>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$(327)</w:t>
            </w:r>
          </w:p>
        </w:tc>
        <w:tc>
          <w:tcPr>
            <w:tcW w:w="260" w:type="dxa"/>
            <w:vAlign w:val="bottom"/>
            <w:shd w:val="clear" w:color="auto" w:fill="C0C0C0"/>
          </w:tcPr>
          <w:p>
            <w:pPr>
              <w:spacing w:after="0"/>
              <w:rPr>
                <w:sz w:val="23"/>
                <w:szCs w:val="23"/>
                <w:color w:val="auto"/>
              </w:rPr>
            </w:pPr>
          </w:p>
        </w:tc>
        <w:tc>
          <w:tcPr>
            <w:tcW w:w="10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23"/>
                <w:szCs w:val="23"/>
                <w:color w:val="auto"/>
              </w:rPr>
            </w:pPr>
          </w:p>
        </w:tc>
      </w:tr>
    </w:tbl>
    <w:p>
      <w:pPr>
        <w:spacing w:after="0" w:line="262"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During the three months ended January 31, 2010, the Company received a cash deposit of $4.2 million related to the sale of its Shanghai, China, facility.</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u w:val="single" w:color="auto"/>
          <w:color w:val="auto"/>
        </w:rPr>
        <w:t>Manchester, U.K., Facility</w:t>
      </w:r>
    </w:p>
    <w:p>
      <w:pPr>
        <w:spacing w:after="0" w:line="279" w:lineRule="exact"/>
        <w:rPr>
          <w:sz w:val="20"/>
          <w:szCs w:val="20"/>
          <w:color w:val="auto"/>
        </w:rPr>
      </w:pPr>
    </w:p>
    <w:p>
      <w:pPr>
        <w:ind w:firstLine="270"/>
        <w:spacing w:after="0" w:line="298" w:lineRule="auto"/>
        <w:rPr>
          <w:sz w:val="20"/>
          <w:szCs w:val="20"/>
          <w:color w:val="auto"/>
        </w:rPr>
      </w:pPr>
      <w:r>
        <w:rPr>
          <w:rFonts w:ascii="Arial" w:cs="Arial" w:eastAsia="Arial" w:hAnsi="Arial"/>
          <w:sz w:val="16"/>
          <w:szCs w:val="16"/>
          <w:color w:val="auto"/>
        </w:rPr>
        <w:t>During the three months ended February 1, 2009, the Company ceased the manufacture of photomasks at its Manchester, U.K., facility and, in connection therewith, incurred total restructuring charges of $3.3 million through its completion in the fourth quarter of fiscal 2009, primarily for employee termination costs and asset write-downs. Approximately 85 employees were affected by this restructuring. The following table sets forth the Company's 2009 restructuring reserve related to its Manchester, U.K., facility as of February 1, 2009, and reflects the activity affecting the reserve for the three months then ended.</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89"/>
              </w:rPr>
              <w:t>Three Months Ended</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498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8"/>
                <w:szCs w:val="18"/>
                <w:b w:val="1"/>
                <w:bCs w:val="1"/>
                <w:color w:val="auto"/>
                <w:w w:val="90"/>
              </w:rPr>
              <w:t>February 1, 2009</w:t>
            </w:r>
          </w:p>
        </w:tc>
        <w:tc>
          <w:tcPr>
            <w:tcW w:w="6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8"/>
        </w:trPr>
        <w:tc>
          <w:tcPr>
            <w:tcW w:w="4980" w:type="dxa"/>
            <w:vAlign w:val="bottom"/>
          </w:tcPr>
          <w:p>
            <w:pPr>
              <w:spacing w:after="0"/>
              <w:rPr>
                <w:sz w:val="19"/>
                <w:szCs w:val="19"/>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November 2,</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February 1,</w:t>
            </w:r>
          </w:p>
        </w:tc>
        <w:tc>
          <w:tcPr>
            <w:tcW w:w="20" w:type="dxa"/>
            <w:vAlign w:val="bottom"/>
          </w:tcPr>
          <w:p>
            <w:pPr>
              <w:spacing w:after="0"/>
              <w:rPr>
                <w:sz w:val="19"/>
                <w:szCs w:val="19"/>
                <w:color w:val="auto"/>
              </w:rPr>
            </w:pPr>
          </w:p>
        </w:tc>
      </w:tr>
      <w:tr>
        <w:trPr>
          <w:trHeight w:val="251"/>
        </w:trPr>
        <w:tc>
          <w:tcPr>
            <w:tcW w:w="4980" w:type="dxa"/>
            <w:vAlign w:val="bottom"/>
            <w:tcBorders>
              <w:bottom w:val="single" w:sz="8" w:color="C0C0C0"/>
            </w:tcBorders>
          </w:tcPr>
          <w:p>
            <w:pPr>
              <w:spacing w:after="0"/>
              <w:rPr>
                <w:sz w:val="21"/>
                <w:szCs w:val="21"/>
                <w:color w:val="auto"/>
              </w:rPr>
            </w:pPr>
          </w:p>
        </w:tc>
        <w:tc>
          <w:tcPr>
            <w:tcW w:w="9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2008</w:t>
            </w:r>
          </w:p>
        </w:tc>
        <w:tc>
          <w:tcPr>
            <w:tcW w:w="280" w:type="dxa"/>
            <w:vAlign w:val="bottom"/>
            <w:tcBorders>
              <w:bottom w:val="single" w:sz="8" w:color="C0C0C0"/>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Charges</w:t>
            </w:r>
          </w:p>
        </w:tc>
        <w:tc>
          <w:tcPr>
            <w:tcW w:w="280" w:type="dxa"/>
            <w:vAlign w:val="bottom"/>
            <w:tcBorders>
              <w:bottom w:val="single" w:sz="8" w:color="C0C0C0"/>
            </w:tcBorders>
          </w:tcPr>
          <w:p>
            <w:pPr>
              <w:spacing w:after="0"/>
              <w:rPr>
                <w:sz w:val="21"/>
                <w:szCs w:val="21"/>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Utilized</w:t>
            </w:r>
          </w:p>
        </w:tc>
        <w:tc>
          <w:tcPr>
            <w:tcW w:w="280" w:type="dxa"/>
            <w:vAlign w:val="bottom"/>
            <w:tcBorders>
              <w:bottom w:val="single" w:sz="8" w:color="C0C0C0"/>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2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980" w:type="dxa"/>
            <w:vAlign w:val="bottom"/>
            <w:shd w:val="clear" w:color="auto" w:fill="C0C0C0"/>
          </w:tcPr>
          <w:p>
            <w:pPr>
              <w:spacing w:after="0"/>
              <w:rPr>
                <w:sz w:val="20"/>
                <w:szCs w:val="20"/>
                <w:color w:val="auto"/>
              </w:rPr>
            </w:pPr>
            <w:r>
              <w:rPr>
                <w:rFonts w:ascii="Arial" w:cs="Arial" w:eastAsia="Arial" w:hAnsi="Arial"/>
                <w:sz w:val="18"/>
                <w:szCs w:val="18"/>
                <w:color w:val="auto"/>
              </w:rPr>
              <w:t>Employee terminations</w:t>
            </w:r>
          </w:p>
        </w:tc>
        <w:tc>
          <w:tcPr>
            <w:tcW w:w="122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 -</w:t>
            </w: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$1,063</w:t>
            </w:r>
          </w:p>
        </w:tc>
        <w:tc>
          <w:tcPr>
            <w:tcW w:w="28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$(1,063)</w:t>
            </w:r>
          </w:p>
        </w:tc>
        <w:tc>
          <w:tcPr>
            <w:tcW w:w="28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43"/>
        </w:trPr>
        <w:tc>
          <w:tcPr>
            <w:tcW w:w="49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gridSpan w:val="2"/>
          </w:tcPr>
          <w:p>
            <w:pPr>
              <w:spacing w:after="0"/>
              <w:rPr>
                <w:sz w:val="21"/>
                <w:szCs w:val="21"/>
                <w:color w:val="auto"/>
              </w:rPr>
            </w:pPr>
          </w:p>
        </w:tc>
      </w:tr>
      <w:tr>
        <w:trPr>
          <w:trHeight w:val="235"/>
        </w:trPr>
        <w:tc>
          <w:tcPr>
            <w:tcW w:w="4980" w:type="dxa"/>
            <w:vAlign w:val="bottom"/>
            <w:shd w:val="clear" w:color="auto" w:fill="C0C0C0"/>
          </w:tcPr>
          <w:p>
            <w:pPr>
              <w:spacing w:after="0"/>
              <w:rPr>
                <w:sz w:val="20"/>
                <w:szCs w:val="20"/>
                <w:color w:val="auto"/>
              </w:rPr>
            </w:pPr>
            <w:r>
              <w:rPr>
                <w:rFonts w:ascii="Arial" w:cs="Arial" w:eastAsia="Arial" w:hAnsi="Arial"/>
                <w:sz w:val="18"/>
                <w:szCs w:val="18"/>
                <w:color w:val="auto"/>
              </w:rPr>
              <w:t>Asset write-downs and other</w:t>
            </w:r>
          </w:p>
        </w:tc>
        <w:tc>
          <w:tcPr>
            <w:tcW w:w="122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617</w:t>
            </w:r>
          </w:p>
        </w:tc>
        <w:tc>
          <w:tcPr>
            <w:tcW w:w="280" w:type="dxa"/>
            <w:vAlign w:val="bottom"/>
            <w:shd w:val="clear" w:color="auto" w:fill="C0C0C0"/>
          </w:tcPr>
          <w:p>
            <w:pPr>
              <w:spacing w:after="0"/>
              <w:rPr>
                <w:sz w:val="20"/>
                <w:szCs w:val="20"/>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(463)</w:t>
            </w:r>
          </w:p>
        </w:tc>
        <w:tc>
          <w:tcPr>
            <w:tcW w:w="280" w:type="dxa"/>
            <w:vAlign w:val="bottom"/>
            <w:shd w:val="clear" w:color="auto" w:fill="C0C0C0"/>
          </w:tcPr>
          <w:p>
            <w:pPr>
              <w:spacing w:after="0"/>
              <w:rPr>
                <w:sz w:val="20"/>
                <w:szCs w:val="20"/>
                <w:color w:val="auto"/>
              </w:rPr>
            </w:pPr>
          </w:p>
        </w:tc>
        <w:tc>
          <w:tcPr>
            <w:tcW w:w="640" w:type="dxa"/>
            <w:vAlign w:val="bottom"/>
            <w:shd w:val="clear" w:color="auto" w:fill="C0C0C0"/>
          </w:tcPr>
          <w:p>
            <w:pPr>
              <w:spacing w:after="0"/>
              <w:rPr>
                <w:sz w:val="20"/>
                <w:szCs w:val="20"/>
                <w:color w:val="auto"/>
              </w:rPr>
            </w:pP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154</w:t>
            </w:r>
          </w:p>
        </w:tc>
        <w:tc>
          <w:tcPr>
            <w:tcW w:w="20" w:type="dxa"/>
            <w:vAlign w:val="bottom"/>
          </w:tcPr>
          <w:p>
            <w:pPr>
              <w:spacing w:after="0"/>
              <w:rPr>
                <w:sz w:val="20"/>
                <w:szCs w:val="20"/>
                <w:color w:val="auto"/>
              </w:rPr>
            </w:pPr>
          </w:p>
        </w:tc>
      </w:tr>
      <w:tr>
        <w:trPr>
          <w:trHeight w:val="21"/>
        </w:trPr>
        <w:tc>
          <w:tcPr>
            <w:tcW w:w="49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498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 -</w:t>
            </w:r>
          </w:p>
        </w:tc>
        <w:tc>
          <w:tcPr>
            <w:tcW w:w="660" w:type="dxa"/>
            <w:vAlign w:val="bottom"/>
          </w:tcPr>
          <w:p>
            <w:pPr>
              <w:jc w:val="right"/>
              <w:spacing w:after="0"/>
              <w:rPr>
                <w:sz w:val="20"/>
                <w:szCs w:val="20"/>
                <w:color w:val="auto"/>
              </w:rPr>
            </w:pPr>
            <w:r>
              <w:rPr>
                <w:rFonts w:ascii="Arial" w:cs="Arial" w:eastAsia="Arial" w:hAnsi="Arial"/>
                <w:sz w:val="18"/>
                <w:szCs w:val="18"/>
                <w:color w:val="auto"/>
              </w:rPr>
              <w:t>$1,680</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$(1,526)</w:t>
            </w: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154</w:t>
            </w:r>
          </w:p>
        </w:tc>
      </w:tr>
      <w:tr>
        <w:trPr>
          <w:trHeight w:val="35"/>
        </w:trPr>
        <w:tc>
          <w:tcPr>
            <w:tcW w:w="4980" w:type="dxa"/>
            <w:vAlign w:val="bottom"/>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shd w:val="clear" w:color="auto" w:fill="000000"/>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shd w:val="clear" w:color="auto" w:fill="000000"/>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shd w:val="clear" w:color="auto" w:fill="000000"/>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TAXES</w:t>
      </w:r>
    </w:p>
    <w:p>
      <w:pPr>
        <w:spacing w:after="0" w:line="285" w:lineRule="exact"/>
        <w:rPr>
          <w:sz w:val="20"/>
          <w:szCs w:val="20"/>
          <w:color w:val="auto"/>
        </w:rPr>
      </w:pPr>
    </w:p>
    <w:p>
      <w:pPr>
        <w:ind w:firstLine="270"/>
        <w:spacing w:after="0" w:line="298" w:lineRule="auto"/>
        <w:rPr>
          <w:sz w:val="20"/>
          <w:szCs w:val="20"/>
          <w:color w:val="auto"/>
        </w:rPr>
      </w:pPr>
      <w:r>
        <w:rPr>
          <w:rFonts w:ascii="Arial" w:cs="Arial" w:eastAsia="Arial" w:hAnsi="Arial"/>
          <w:sz w:val="16"/>
          <w:szCs w:val="16"/>
          <w:color w:val="auto"/>
        </w:rPr>
        <w:t>The effective income tax rate differs from the amount computed by applying the U.S. statutory rate of 35% to the income (loss) before income taxes primarily because income tax provisions incurred in jurisdictions where the Company generated income before income taxes were, due to valuation allowances, not significantly offset by income tax benefits in jurisdictions where the Company incurred losses before income taxes. Further, various investment tax credits have been utilized in Korea and Taiwan which reduced the Company's effective income tax rate.</w:t>
      </w:r>
    </w:p>
    <w:p>
      <w:pPr>
        <w:spacing w:after="0" w:line="221" w:lineRule="exact"/>
        <w:rPr>
          <w:sz w:val="20"/>
          <w:szCs w:val="20"/>
          <w:color w:val="auto"/>
        </w:rPr>
      </w:pPr>
    </w:p>
    <w:p>
      <w:pPr>
        <w:ind w:right="320" w:firstLine="270"/>
        <w:spacing w:after="0" w:line="259" w:lineRule="auto"/>
        <w:rPr>
          <w:sz w:val="20"/>
          <w:szCs w:val="20"/>
          <w:color w:val="auto"/>
        </w:rPr>
      </w:pPr>
      <w:r>
        <w:rPr>
          <w:rFonts w:ascii="Arial" w:cs="Arial" w:eastAsia="Arial" w:hAnsi="Arial"/>
          <w:sz w:val="18"/>
          <w:szCs w:val="18"/>
          <w:color w:val="auto"/>
        </w:rPr>
        <w:t>The Company accounts for uncertain tax positions by recording a liability for unrecognized tax benefits resulting from uncertain tax positions taken, or expected to be taken, in its tax returns. The Company recognizes any interest and penalties related to uncertain tax positions in the income tax provision in its condensed consolidated statement of operations.</w:t>
      </w:r>
    </w:p>
    <w:p>
      <w:pPr>
        <w:spacing w:after="0" w:line="248" w:lineRule="exact"/>
        <w:rPr>
          <w:sz w:val="20"/>
          <w:szCs w:val="20"/>
          <w:color w:val="auto"/>
        </w:rPr>
      </w:pPr>
    </w:p>
    <w:p>
      <w:pPr>
        <w:ind w:right="60" w:firstLine="270"/>
        <w:spacing w:after="0" w:line="256" w:lineRule="auto"/>
        <w:rPr>
          <w:sz w:val="20"/>
          <w:szCs w:val="20"/>
          <w:color w:val="auto"/>
        </w:rPr>
      </w:pPr>
      <w:r>
        <w:rPr>
          <w:rFonts w:ascii="Arial" w:cs="Arial" w:eastAsia="Arial" w:hAnsi="Arial"/>
          <w:sz w:val="18"/>
          <w:szCs w:val="18"/>
          <w:color w:val="auto"/>
        </w:rPr>
        <w:t>As of January 31, 2010 and November 1, 2009, the gross unrecognized tax benefits for income taxes associated with uncertain tax positions totaled approximately $2.0 million (including interest and penalties of $0.4 million). If recognized, the benefits would favorably impact the Company's effective tax rate in future periods. As of January 31, 2010, the Company believes it is not reasonably possible that the total amounts of unrecognized benefits will significantly increase or decrease in the next twelve months.</w:t>
      </w:r>
    </w:p>
    <w:p>
      <w:pPr>
        <w:spacing w:after="0" w:line="25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Currently, the statutes of limitations remain open subsequent to and including 2006 in the U.S., 2007 in the U.K., 2008 in Germany and 2005 in Korea.</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DERIVATIVE INSTRUMENTS AND HEDGING ACTIVITIES</w:t>
      </w:r>
    </w:p>
    <w:p>
      <w:pPr>
        <w:spacing w:after="0" w:line="285" w:lineRule="exact"/>
        <w:rPr>
          <w:sz w:val="20"/>
          <w:szCs w:val="20"/>
          <w:color w:val="auto"/>
        </w:rPr>
      </w:pPr>
    </w:p>
    <w:p>
      <w:pPr>
        <w:ind w:firstLine="270"/>
        <w:spacing w:after="0" w:line="291" w:lineRule="auto"/>
        <w:rPr>
          <w:sz w:val="20"/>
          <w:szCs w:val="20"/>
          <w:color w:val="auto"/>
        </w:rPr>
      </w:pPr>
      <w:r>
        <w:rPr>
          <w:rFonts w:ascii="Arial" w:cs="Arial" w:eastAsia="Arial" w:hAnsi="Arial"/>
          <w:sz w:val="16"/>
          <w:szCs w:val="16"/>
          <w:color w:val="auto"/>
        </w:rPr>
        <w:t>The Company utilizes derivative instruments to reduce its exposure to the effects of the variability of interest rates and foreign currencies on its financial performance when it believes such action is warranted. Historically, the Company has been a party to derivative instruments to hedge either the variability of cash flows of a prospective transaction or the fair value of a recorded asset or liability. In certain instances, the Company has designated these transactions as hedging instruments. However, whether or not a derivative was designated as being a hedging instrument, the Company's purpose for engaging in the derivative has always been for risk management (and not speculative) purposes. The Company has historically not been a party to a significant number of derivative instruments and does not expect its derivative activity to significantly increase in the foreseeable future.</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374" w:right="279" w:bottom="1440" w:gutter="0" w:footer="0" w:header="0"/>
        </w:sectPr>
      </w:pPr>
    </w:p>
    <w:bookmarkStart w:id="13" w:name="page14"/>
    <w:bookmarkEnd w:id="13"/>
    <w:p>
      <w:pPr>
        <w:ind w:right="420" w:firstLine="270"/>
        <w:spacing w:after="0" w:line="259" w:lineRule="auto"/>
        <w:rPr>
          <w:sz w:val="20"/>
          <w:szCs w:val="20"/>
          <w:color w:val="auto"/>
        </w:rPr>
      </w:pPr>
      <w:r>
        <w:rPr>
          <w:rFonts w:ascii="Arial" w:cs="Arial" w:eastAsia="Arial" w:hAnsi="Arial"/>
          <w:sz w:val="18"/>
          <w:szCs w:val="18"/>
          <w:color w:val="auto"/>
        </w:rPr>
        <w:t>In addition to the utilization of derivative instruments discussed above, the Company attempts to minimize its risk of foreign currency exchange rate variability by, whenever possible, procuring production materials within the same country that it will utilize the materials in manufacturing, and by selling to customers from manufacturing sites within the country in which the customers are located.</w:t>
      </w:r>
    </w:p>
    <w:p>
      <w:pPr>
        <w:spacing w:after="0" w:line="248" w:lineRule="exact"/>
        <w:rPr>
          <w:sz w:val="20"/>
          <w:szCs w:val="20"/>
          <w:color w:val="auto"/>
        </w:rPr>
      </w:pPr>
    </w:p>
    <w:p>
      <w:pPr>
        <w:ind w:right="60" w:firstLine="270"/>
        <w:spacing w:after="0" w:line="289" w:lineRule="auto"/>
        <w:rPr>
          <w:sz w:val="20"/>
          <w:szCs w:val="20"/>
          <w:color w:val="auto"/>
        </w:rPr>
      </w:pPr>
      <w:r>
        <w:rPr>
          <w:rFonts w:ascii="Arial" w:cs="Arial" w:eastAsia="Arial" w:hAnsi="Arial"/>
          <w:sz w:val="16"/>
          <w:szCs w:val="16"/>
          <w:color w:val="auto"/>
        </w:rPr>
        <w:t>On May 15, 2009, in connection with an amendment to its credit facility, the Company issued 2.1 million warrants, each exercisable for one share of the Company's common stock at an exercise price of $0.01 per share. Forty percent of the warrants were exercisable upon issuance, and the remaining balance was to become exercisable in twenty percent increments at various points in time after October 31, 2009. As a result of certain net cash settleable put provisions within the warrant agreement, the warrants were recorded as a liability in the Company's consolidated balance sheet. As of the issuance date and for future periods that such warrants remain outstanding, the Company has, and will continue to, adjust the liability based upon the current fair value of the warrants, with any changes in their fair value being recognized in earnings. Due to the warrants' exercise price of $0.01 per share, their fair value will approximate the market price of the Company's common stock. Approximately 1.2 million of these warrants were cancelled as a result of the Company's early repayment of certain amounts under its credit facility during the year ended November 1, 2009 and the associated liability was reduced accordingly.</w:t>
      </w:r>
    </w:p>
    <w:p>
      <w:pPr>
        <w:spacing w:after="0" w:line="226" w:lineRule="exact"/>
        <w:rPr>
          <w:sz w:val="20"/>
          <w:szCs w:val="20"/>
          <w:color w:val="auto"/>
        </w:rPr>
      </w:pPr>
    </w:p>
    <w:p>
      <w:pPr>
        <w:ind w:right="40" w:firstLine="270"/>
        <w:spacing w:after="0" w:line="256" w:lineRule="auto"/>
        <w:rPr>
          <w:sz w:val="20"/>
          <w:szCs w:val="20"/>
          <w:color w:val="auto"/>
        </w:rPr>
      </w:pPr>
      <w:r>
        <w:rPr>
          <w:rFonts w:ascii="Arial" w:cs="Arial" w:eastAsia="Arial" w:hAnsi="Arial"/>
          <w:sz w:val="18"/>
          <w:szCs w:val="18"/>
          <w:color w:val="auto"/>
        </w:rPr>
        <w:t>The Company was a party to two foreign currency forward contracts which expired during the year ended November 1, 2009, both of which were not accounted for as hedges, as they were economic hedges of intercompany loans denominated in U.S. dollars that were remeasured at fair value and recognized immediately in earnings. A portion of an existing loss on a cash flow hedge in the amount of $0.1 million is expected to be reclassified into earnings over the next twelve months.</w:t>
      </w:r>
    </w:p>
    <w:p>
      <w:pPr>
        <w:spacing w:after="0" w:line="251" w:lineRule="exact"/>
        <w:rPr>
          <w:sz w:val="20"/>
          <w:szCs w:val="20"/>
          <w:color w:val="auto"/>
        </w:rPr>
      </w:pPr>
    </w:p>
    <w:p>
      <w:pPr>
        <w:ind w:right="160" w:firstLine="270"/>
        <w:spacing w:after="0" w:line="268" w:lineRule="auto"/>
        <w:rPr>
          <w:sz w:val="20"/>
          <w:szCs w:val="20"/>
          <w:color w:val="auto"/>
        </w:rPr>
      </w:pPr>
      <w:r>
        <w:rPr>
          <w:rFonts w:ascii="Arial" w:cs="Arial" w:eastAsia="Arial" w:hAnsi="Arial"/>
          <w:sz w:val="18"/>
          <w:szCs w:val="18"/>
          <w:color w:val="auto"/>
        </w:rPr>
        <w:t>The table below presents the effect of derivative instruments on the Company's condensed consolidated balance sheets at January 31, 2010 and November 1, 2009.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Derivatives</w:t>
            </w:r>
          </w:p>
        </w:tc>
        <w:tc>
          <w:tcPr>
            <w:tcW w:w="4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43"/>
        </w:trPr>
        <w:tc>
          <w:tcPr>
            <w:tcW w:w="28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Not Designated</w:t>
            </w:r>
          </w:p>
        </w:tc>
        <w:tc>
          <w:tcPr>
            <w:tcW w:w="4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2"/>
        </w:trPr>
        <w:tc>
          <w:tcPr>
            <w:tcW w:w="28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as Hedging</w:t>
            </w:r>
          </w:p>
        </w:tc>
        <w:tc>
          <w:tcPr>
            <w:tcW w:w="4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60" w:type="dxa"/>
            <w:vAlign w:val="bottom"/>
            <w:tcBorders>
              <w:bottom w:val="single" w:sz="8" w:color="auto"/>
            </w:tcBorders>
            <w:gridSpan w:val="3"/>
          </w:tcPr>
          <w:p>
            <w:pPr>
              <w:jc w:val="right"/>
              <w:ind w:right="812"/>
              <w:spacing w:after="0"/>
              <w:rPr>
                <w:sz w:val="20"/>
                <w:szCs w:val="20"/>
                <w:color w:val="auto"/>
              </w:rPr>
            </w:pPr>
            <w:r>
              <w:rPr>
                <w:rFonts w:ascii="Arial" w:cs="Arial" w:eastAsia="Arial" w:hAnsi="Arial"/>
                <w:sz w:val="18"/>
                <w:szCs w:val="18"/>
                <w:b w:val="1"/>
                <w:bCs w:val="1"/>
                <w:color w:val="auto"/>
              </w:rPr>
              <w:t>Fair Value at</w:t>
            </w:r>
          </w:p>
        </w:tc>
      </w:tr>
      <w:tr>
        <w:trPr>
          <w:trHeight w:val="228"/>
        </w:trPr>
        <w:tc>
          <w:tcPr>
            <w:tcW w:w="28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Instruments Under</w:t>
            </w:r>
          </w:p>
        </w:tc>
        <w:tc>
          <w:tcPr>
            <w:tcW w:w="4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January 31,</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6"/>
              </w:rPr>
              <w:t>November 1,</w:t>
            </w:r>
          </w:p>
        </w:tc>
      </w:tr>
      <w:tr>
        <w:trPr>
          <w:trHeight w:val="251"/>
        </w:trPr>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ASC 815</w:t>
            </w:r>
          </w:p>
        </w:tc>
        <w:tc>
          <w:tcPr>
            <w:tcW w:w="260" w:type="dxa"/>
            <w:vAlign w:val="bottom"/>
            <w:tcBorders>
              <w:bottom w:val="single" w:sz="8" w:color="C0C0C0"/>
            </w:tcBorders>
          </w:tcPr>
          <w:p>
            <w:pPr>
              <w:spacing w:after="0"/>
              <w:rPr>
                <w:sz w:val="21"/>
                <w:szCs w:val="21"/>
                <w:color w:val="auto"/>
              </w:rPr>
            </w:pPr>
          </w:p>
        </w:tc>
        <w:tc>
          <w:tcPr>
            <w:tcW w:w="4960" w:type="dxa"/>
            <w:vAlign w:val="bottom"/>
            <w:tcBorders>
              <w:bottom w:val="single" w:sz="8" w:color="auto"/>
            </w:tcBorders>
          </w:tcPr>
          <w:p>
            <w:pPr>
              <w:ind w:left="1600"/>
              <w:spacing w:after="0"/>
              <w:rPr>
                <w:sz w:val="20"/>
                <w:szCs w:val="20"/>
                <w:color w:val="auto"/>
              </w:rPr>
            </w:pPr>
            <w:r>
              <w:rPr>
                <w:rFonts w:ascii="Arial" w:cs="Arial" w:eastAsia="Arial" w:hAnsi="Arial"/>
                <w:sz w:val="18"/>
                <w:szCs w:val="18"/>
                <w:b w:val="1"/>
                <w:bCs w:val="1"/>
                <w:color w:val="auto"/>
              </w:rPr>
              <w:t>Balance Sheet Location</w:t>
            </w:r>
          </w:p>
        </w:tc>
        <w:tc>
          <w:tcPr>
            <w:tcW w:w="280" w:type="dxa"/>
            <w:vAlign w:val="bottom"/>
            <w:tcBorders>
              <w:bottom w:val="single" w:sz="8" w:color="C0C0C0"/>
            </w:tcBorders>
          </w:tcPr>
          <w:p>
            <w:pPr>
              <w:spacing w:after="0"/>
              <w:rPr>
                <w:sz w:val="21"/>
                <w:szCs w:val="21"/>
                <w:color w:val="auto"/>
              </w:rPr>
            </w:pPr>
          </w:p>
        </w:tc>
        <w:tc>
          <w:tcPr>
            <w:tcW w:w="12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2010</w:t>
            </w:r>
          </w:p>
        </w:tc>
        <w:tc>
          <w:tcPr>
            <w:tcW w:w="260" w:type="dxa"/>
            <w:vAlign w:val="bottom"/>
            <w:tcBorders>
              <w:bottom w:val="single" w:sz="8" w:color="C0C0C0"/>
            </w:tcBorders>
          </w:tcPr>
          <w:p>
            <w:pPr>
              <w:spacing w:after="0"/>
              <w:rPr>
                <w:sz w:val="21"/>
                <w:szCs w:val="21"/>
                <w:color w:val="auto"/>
              </w:rPr>
            </w:pPr>
          </w:p>
        </w:tc>
        <w:tc>
          <w:tcPr>
            <w:tcW w:w="12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2009</w:t>
            </w:r>
          </w:p>
        </w:tc>
      </w:tr>
      <w:tr>
        <w:trPr>
          <w:trHeight w:val="243"/>
        </w:trPr>
        <w:tc>
          <w:tcPr>
            <w:tcW w:w="284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Warrants on common stock</w:t>
            </w:r>
          </w:p>
        </w:tc>
        <w:tc>
          <w:tcPr>
            <w:tcW w:w="524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Other liabilities</w:t>
            </w:r>
          </w:p>
        </w:tc>
        <w:tc>
          <w:tcPr>
            <w:tcW w:w="150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$2,228</w:t>
            </w:r>
          </w:p>
        </w:tc>
        <w:tc>
          <w:tcPr>
            <w:tcW w:w="1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$3,205</w:t>
            </w:r>
          </w:p>
        </w:tc>
      </w:tr>
    </w:tbl>
    <w:p>
      <w:pPr>
        <w:spacing w:after="0" w:line="262" w:lineRule="exact"/>
        <w:rPr>
          <w:sz w:val="20"/>
          <w:szCs w:val="20"/>
          <w:color w:val="auto"/>
        </w:rPr>
      </w:pPr>
    </w:p>
    <w:p>
      <w:pPr>
        <w:ind w:right="180" w:firstLine="270"/>
        <w:spacing w:after="0" w:line="268" w:lineRule="auto"/>
        <w:rPr>
          <w:sz w:val="20"/>
          <w:szCs w:val="20"/>
          <w:color w:val="auto"/>
        </w:rPr>
      </w:pPr>
      <w:r>
        <w:rPr>
          <w:rFonts w:ascii="Arial" w:cs="Arial" w:eastAsia="Arial" w:hAnsi="Arial"/>
          <w:sz w:val="18"/>
          <w:szCs w:val="18"/>
          <w:color w:val="auto"/>
        </w:rPr>
        <w:t>The table below presents the effect of derivative instruments on the Company's condensed consolidated statements of operations for the three month periods ended January 31, 2010 and February 1, 2009.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87"/>
              </w:rPr>
              <w:t>Derivatives</w:t>
            </w:r>
          </w:p>
        </w:tc>
        <w:tc>
          <w:tcPr>
            <w:tcW w:w="28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7"/>
              </w:rPr>
              <w:t>Amount of Gain (Loss) Recognized</w:t>
            </w:r>
          </w:p>
        </w:tc>
        <w:tc>
          <w:tcPr>
            <w:tcW w:w="600" w:type="dxa"/>
            <w:vAlign w:val="bottom"/>
          </w:tcPr>
          <w:p>
            <w:pPr>
              <w:spacing w:after="0"/>
              <w:rPr>
                <w:sz w:val="19"/>
                <w:szCs w:val="19"/>
                <w:color w:val="auto"/>
              </w:rPr>
            </w:pPr>
          </w:p>
        </w:tc>
      </w:tr>
      <w:tr>
        <w:trPr>
          <w:trHeight w:val="252"/>
        </w:trPr>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87"/>
              </w:rPr>
              <w:t>Not Designated</w:t>
            </w:r>
          </w:p>
        </w:tc>
        <w:tc>
          <w:tcPr>
            <w:tcW w:w="280" w:type="dxa"/>
            <w:vAlign w:val="bottom"/>
          </w:tcPr>
          <w:p>
            <w:pPr>
              <w:spacing w:after="0"/>
              <w:rPr>
                <w:sz w:val="21"/>
                <w:szCs w:val="21"/>
                <w:color w:val="auto"/>
              </w:rPr>
            </w:pPr>
          </w:p>
        </w:tc>
        <w:tc>
          <w:tcPr>
            <w:tcW w:w="5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Location of Gain (Loss)</w:t>
            </w:r>
          </w:p>
        </w:tc>
        <w:tc>
          <w:tcPr>
            <w:tcW w:w="2520" w:type="dxa"/>
            <w:vAlign w:val="bottom"/>
            <w:tcBorders>
              <w:bottom w:val="single" w:sz="8" w:color="auto"/>
            </w:tcBorders>
            <w:gridSpan w:val="4"/>
          </w:tcPr>
          <w:p>
            <w:pPr>
              <w:jc w:val="center"/>
              <w:ind w:left="172"/>
              <w:spacing w:after="0"/>
              <w:rPr>
                <w:sz w:val="20"/>
                <w:szCs w:val="20"/>
                <w:color w:val="auto"/>
              </w:rPr>
            </w:pPr>
            <w:r>
              <w:rPr>
                <w:rFonts w:ascii="Arial" w:cs="Arial" w:eastAsia="Arial" w:hAnsi="Arial"/>
                <w:sz w:val="18"/>
                <w:szCs w:val="18"/>
                <w:b w:val="1"/>
                <w:bCs w:val="1"/>
                <w:color w:val="auto"/>
                <w:w w:val="87"/>
              </w:rPr>
              <w:t>in Income on Derivatives</w:t>
            </w:r>
          </w:p>
        </w:tc>
        <w:tc>
          <w:tcPr>
            <w:tcW w:w="260" w:type="dxa"/>
            <w:vAlign w:val="bottom"/>
            <w:tcBorders>
              <w:bottom w:val="single" w:sz="8" w:color="auto"/>
            </w:tcBorders>
          </w:tcPr>
          <w:p>
            <w:pPr>
              <w:spacing w:after="0"/>
              <w:rPr>
                <w:sz w:val="21"/>
                <w:szCs w:val="21"/>
                <w:color w:val="auto"/>
              </w:rPr>
            </w:pPr>
          </w:p>
        </w:tc>
        <w:tc>
          <w:tcPr>
            <w:tcW w:w="600" w:type="dxa"/>
            <w:vAlign w:val="bottom"/>
          </w:tcPr>
          <w:p>
            <w:pPr>
              <w:spacing w:after="0"/>
              <w:rPr>
                <w:sz w:val="21"/>
                <w:szCs w:val="21"/>
                <w:color w:val="auto"/>
              </w:rPr>
            </w:pPr>
          </w:p>
        </w:tc>
      </w:tr>
      <w:tr>
        <w:trPr>
          <w:trHeight w:val="237"/>
        </w:trPr>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86"/>
              </w:rPr>
              <w:t>as Hedging</w:t>
            </w:r>
          </w:p>
        </w:tc>
        <w:tc>
          <w:tcPr>
            <w:tcW w:w="280" w:type="dxa"/>
            <w:vAlign w:val="bottom"/>
          </w:tcPr>
          <w:p>
            <w:pPr>
              <w:spacing w:after="0"/>
              <w:rPr>
                <w:sz w:val="20"/>
                <w:szCs w:val="20"/>
                <w:color w:val="auto"/>
              </w:rPr>
            </w:pPr>
          </w:p>
        </w:tc>
        <w:tc>
          <w:tcPr>
            <w:tcW w:w="5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Recognized in</w:t>
            </w:r>
          </w:p>
        </w:tc>
        <w:tc>
          <w:tcPr>
            <w:tcW w:w="2520" w:type="dxa"/>
            <w:vAlign w:val="bottom"/>
            <w:tcBorders>
              <w:bottom w:val="single" w:sz="8" w:color="auto"/>
            </w:tcBorders>
            <w:gridSpan w:val="4"/>
          </w:tcPr>
          <w:p>
            <w:pPr>
              <w:jc w:val="center"/>
              <w:ind w:left="172"/>
              <w:spacing w:after="0"/>
              <w:rPr>
                <w:sz w:val="20"/>
                <w:szCs w:val="20"/>
                <w:color w:val="auto"/>
              </w:rPr>
            </w:pPr>
            <w:r>
              <w:rPr>
                <w:rFonts w:ascii="Arial" w:cs="Arial" w:eastAsia="Arial" w:hAnsi="Arial"/>
                <w:sz w:val="18"/>
                <w:szCs w:val="18"/>
                <w:b w:val="1"/>
                <w:bCs w:val="1"/>
                <w:color w:val="auto"/>
                <w:w w:val="88"/>
              </w:rPr>
              <w:t>Three Months Ended</w:t>
            </w:r>
          </w:p>
        </w:tc>
        <w:tc>
          <w:tcPr>
            <w:tcW w:w="260" w:type="dxa"/>
            <w:vAlign w:val="bottom"/>
            <w:tcBorders>
              <w:bottom w:val="single" w:sz="8" w:color="auto"/>
            </w:tcBorders>
          </w:tcPr>
          <w:p>
            <w:pPr>
              <w:spacing w:after="0"/>
              <w:rPr>
                <w:sz w:val="20"/>
                <w:szCs w:val="20"/>
                <w:color w:val="auto"/>
              </w:rPr>
            </w:pPr>
          </w:p>
        </w:tc>
        <w:tc>
          <w:tcPr>
            <w:tcW w:w="600" w:type="dxa"/>
            <w:vAlign w:val="bottom"/>
          </w:tcPr>
          <w:p>
            <w:pPr>
              <w:spacing w:after="0"/>
              <w:rPr>
                <w:sz w:val="20"/>
                <w:szCs w:val="20"/>
                <w:color w:val="auto"/>
              </w:rPr>
            </w:pPr>
          </w:p>
        </w:tc>
      </w:tr>
      <w:tr>
        <w:trPr>
          <w:trHeight w:val="228"/>
        </w:trPr>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89"/>
              </w:rPr>
              <w:t>Instruments Under</w:t>
            </w:r>
          </w:p>
        </w:tc>
        <w:tc>
          <w:tcPr>
            <w:tcW w:w="280" w:type="dxa"/>
            <w:vAlign w:val="bottom"/>
          </w:tcPr>
          <w:p>
            <w:pPr>
              <w:spacing w:after="0"/>
              <w:rPr>
                <w:sz w:val="19"/>
                <w:szCs w:val="19"/>
                <w:color w:val="auto"/>
              </w:rPr>
            </w:pPr>
          </w:p>
        </w:tc>
        <w:tc>
          <w:tcPr>
            <w:tcW w:w="5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Income on</w:t>
            </w:r>
          </w:p>
        </w:tc>
        <w:tc>
          <w:tcPr>
            <w:tcW w:w="1600" w:type="dxa"/>
            <w:vAlign w:val="bottom"/>
            <w:gridSpan w:val="3"/>
          </w:tcPr>
          <w:p>
            <w:pPr>
              <w:ind w:left="220"/>
              <w:spacing w:after="0"/>
              <w:rPr>
                <w:sz w:val="20"/>
                <w:szCs w:val="20"/>
                <w:color w:val="auto"/>
              </w:rPr>
            </w:pPr>
            <w:r>
              <w:rPr>
                <w:rFonts w:ascii="Arial" w:cs="Arial" w:eastAsia="Arial" w:hAnsi="Arial"/>
                <w:sz w:val="18"/>
                <w:szCs w:val="18"/>
                <w:b w:val="1"/>
                <w:bCs w:val="1"/>
                <w:color w:val="auto"/>
              </w:rPr>
              <w:t>January 31,</w:t>
            </w:r>
          </w:p>
        </w:tc>
        <w:tc>
          <w:tcPr>
            <w:tcW w:w="118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February 1,</w:t>
            </w:r>
          </w:p>
        </w:tc>
        <w:tc>
          <w:tcPr>
            <w:tcW w:w="600" w:type="dxa"/>
            <w:vAlign w:val="bottom"/>
          </w:tcPr>
          <w:p>
            <w:pPr>
              <w:spacing w:after="0"/>
              <w:rPr>
                <w:sz w:val="19"/>
                <w:szCs w:val="19"/>
                <w:color w:val="auto"/>
              </w:rPr>
            </w:pPr>
          </w:p>
        </w:tc>
      </w:tr>
      <w:tr>
        <w:trPr>
          <w:trHeight w:val="251"/>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ASC 815</w:t>
            </w:r>
          </w:p>
        </w:tc>
        <w:tc>
          <w:tcPr>
            <w:tcW w:w="280" w:type="dxa"/>
            <w:vAlign w:val="bottom"/>
            <w:tcBorders>
              <w:bottom w:val="single" w:sz="8" w:color="C0C0C0"/>
            </w:tcBorders>
          </w:tcPr>
          <w:p>
            <w:pPr>
              <w:spacing w:after="0"/>
              <w:rPr>
                <w:sz w:val="21"/>
                <w:szCs w:val="21"/>
                <w:color w:val="auto"/>
              </w:rPr>
            </w:pPr>
          </w:p>
        </w:tc>
        <w:tc>
          <w:tcPr>
            <w:tcW w:w="5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Derivatives</w:t>
            </w:r>
          </w:p>
        </w:tc>
        <w:tc>
          <w:tcPr>
            <w:tcW w:w="280" w:type="dxa"/>
            <w:vAlign w:val="bottom"/>
            <w:tcBorders>
              <w:bottom w:val="single" w:sz="8" w:color="C0C0C0"/>
            </w:tcBorders>
          </w:tcPr>
          <w:p>
            <w:pPr>
              <w:spacing w:after="0"/>
              <w:rPr>
                <w:sz w:val="21"/>
                <w:szCs w:val="21"/>
                <w:color w:val="auto"/>
              </w:rPr>
            </w:pPr>
          </w:p>
        </w:tc>
        <w:tc>
          <w:tcPr>
            <w:tcW w:w="10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2010</w:t>
            </w:r>
          </w:p>
        </w:tc>
        <w:tc>
          <w:tcPr>
            <w:tcW w:w="260" w:type="dxa"/>
            <w:vAlign w:val="bottom"/>
            <w:tcBorders>
              <w:bottom w:val="single" w:sz="8" w:color="auto"/>
            </w:tcBorders>
          </w:tcPr>
          <w:p>
            <w:pPr>
              <w:spacing w:after="0"/>
              <w:rPr>
                <w:sz w:val="21"/>
                <w:szCs w:val="21"/>
                <w:color w:val="auto"/>
              </w:rPr>
            </w:pPr>
          </w:p>
        </w:tc>
        <w:tc>
          <w:tcPr>
            <w:tcW w:w="280" w:type="dxa"/>
            <w:vAlign w:val="bottom"/>
            <w:tcBorders>
              <w:bottom w:val="single" w:sz="8" w:color="C0C0C0"/>
            </w:tcBorders>
          </w:tcPr>
          <w:p>
            <w:pPr>
              <w:spacing w:after="0"/>
              <w:rPr>
                <w:sz w:val="21"/>
                <w:szCs w:val="21"/>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2009</w:t>
            </w:r>
          </w:p>
        </w:tc>
        <w:tc>
          <w:tcPr>
            <w:tcW w:w="260" w:type="dxa"/>
            <w:vAlign w:val="bottom"/>
            <w:tcBorders>
              <w:bottom w:val="single" w:sz="8" w:color="auto"/>
            </w:tcBorders>
          </w:tcPr>
          <w:p>
            <w:pPr>
              <w:spacing w:after="0"/>
              <w:rPr>
                <w:sz w:val="21"/>
                <w:szCs w:val="21"/>
                <w:color w:val="auto"/>
              </w:rPr>
            </w:pPr>
          </w:p>
        </w:tc>
        <w:tc>
          <w:tcPr>
            <w:tcW w:w="600" w:type="dxa"/>
            <w:vAlign w:val="bottom"/>
          </w:tcPr>
          <w:p>
            <w:pPr>
              <w:spacing w:after="0"/>
              <w:rPr>
                <w:sz w:val="21"/>
                <w:szCs w:val="21"/>
                <w:color w:val="auto"/>
              </w:rPr>
            </w:pPr>
          </w:p>
        </w:tc>
      </w:tr>
      <w:tr>
        <w:trPr>
          <w:trHeight w:val="243"/>
        </w:trPr>
        <w:tc>
          <w:tcPr>
            <w:tcW w:w="2500" w:type="dxa"/>
            <w:vAlign w:val="bottom"/>
            <w:shd w:val="clear" w:color="auto" w:fill="C0C0C0"/>
          </w:tcPr>
          <w:p>
            <w:pPr>
              <w:spacing w:after="0"/>
              <w:rPr>
                <w:sz w:val="20"/>
                <w:szCs w:val="20"/>
                <w:color w:val="auto"/>
              </w:rPr>
            </w:pPr>
            <w:r>
              <w:rPr>
                <w:rFonts w:ascii="Arial" w:cs="Arial" w:eastAsia="Arial" w:hAnsi="Arial"/>
                <w:sz w:val="18"/>
                <w:szCs w:val="18"/>
                <w:color w:val="auto"/>
              </w:rPr>
              <w:t>Warrants on common stock</w:t>
            </w:r>
          </w:p>
        </w:tc>
        <w:tc>
          <w:tcPr>
            <w:tcW w:w="5560" w:type="dxa"/>
            <w:vAlign w:val="bottom"/>
            <w:gridSpan w:val="3"/>
            <w:shd w:val="clear" w:color="auto" w:fill="C0C0C0"/>
          </w:tcPr>
          <w:p>
            <w:pPr>
              <w:ind w:left="280"/>
              <w:spacing w:after="0"/>
              <w:rPr>
                <w:sz w:val="20"/>
                <w:szCs w:val="20"/>
                <w:color w:val="auto"/>
              </w:rPr>
            </w:pPr>
            <w:r>
              <w:rPr>
                <w:rFonts w:ascii="Arial" w:cs="Arial" w:eastAsia="Arial" w:hAnsi="Arial"/>
                <w:sz w:val="18"/>
                <w:szCs w:val="18"/>
                <w:color w:val="auto"/>
              </w:rPr>
              <w:t>Investment and other income (expense), net</w:t>
            </w: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109</w:t>
            </w:r>
          </w:p>
        </w:tc>
        <w:tc>
          <w:tcPr>
            <w:tcW w:w="280" w:type="dxa"/>
            <w:vAlign w:val="bottom"/>
            <w:shd w:val="clear" w:color="auto" w:fill="C0C0C0"/>
          </w:tcPr>
          <w:p>
            <w:pPr>
              <w:spacing w:after="0"/>
              <w:rPr>
                <w:sz w:val="21"/>
                <w:szCs w:val="21"/>
                <w:color w:val="auto"/>
              </w:rPr>
            </w:pP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r>
      <w:tr>
        <w:trPr>
          <w:trHeight w:val="243"/>
        </w:trPr>
        <w:tc>
          <w:tcPr>
            <w:tcW w:w="2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43"/>
        </w:trPr>
        <w:tc>
          <w:tcPr>
            <w:tcW w:w="2500" w:type="dxa"/>
            <w:vAlign w:val="bottom"/>
            <w:shd w:val="clear" w:color="auto" w:fill="C0C0C0"/>
          </w:tcPr>
          <w:p>
            <w:pPr>
              <w:spacing w:after="0"/>
              <w:rPr>
                <w:sz w:val="20"/>
                <w:szCs w:val="20"/>
                <w:color w:val="auto"/>
              </w:rPr>
            </w:pPr>
            <w:r>
              <w:rPr>
                <w:rFonts w:ascii="Arial" w:cs="Arial" w:eastAsia="Arial" w:hAnsi="Arial"/>
                <w:sz w:val="18"/>
                <w:szCs w:val="18"/>
                <w:color w:val="auto"/>
              </w:rPr>
              <w:t>Foreign exchange contracts</w:t>
            </w:r>
          </w:p>
        </w:tc>
        <w:tc>
          <w:tcPr>
            <w:tcW w:w="5560" w:type="dxa"/>
            <w:vAlign w:val="bottom"/>
            <w:gridSpan w:val="3"/>
            <w:shd w:val="clear" w:color="auto" w:fill="C0C0C0"/>
          </w:tcPr>
          <w:p>
            <w:pPr>
              <w:ind w:left="280"/>
              <w:spacing w:after="0"/>
              <w:rPr>
                <w:sz w:val="20"/>
                <w:szCs w:val="20"/>
                <w:color w:val="auto"/>
              </w:rPr>
            </w:pPr>
            <w:r>
              <w:rPr>
                <w:rFonts w:ascii="Arial" w:cs="Arial" w:eastAsia="Arial" w:hAnsi="Arial"/>
                <w:sz w:val="18"/>
                <w:szCs w:val="18"/>
                <w:color w:val="auto"/>
              </w:rPr>
              <w:t>Investment and other income (expense), net</w:t>
            </w: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spacing w:after="0"/>
              <w:rPr>
                <w:sz w:val="21"/>
                <w:szCs w:val="21"/>
                <w:color w:val="auto"/>
              </w:rPr>
            </w:pP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518</w:t>
            </w:r>
          </w:p>
        </w:tc>
        <w:tc>
          <w:tcPr>
            <w:tcW w:w="600" w:type="dxa"/>
            <w:vAlign w:val="bottom"/>
          </w:tcPr>
          <w:p>
            <w:pPr>
              <w:spacing w:after="0"/>
              <w:rPr>
                <w:sz w:val="21"/>
                <w:szCs w:val="21"/>
                <w:color w:val="auto"/>
              </w:rPr>
            </w:pPr>
          </w:p>
        </w:tc>
      </w:tr>
      <w:tr>
        <w:trPr>
          <w:trHeight w:val="457"/>
        </w:trPr>
        <w:tc>
          <w:tcPr>
            <w:tcW w:w="2500" w:type="dxa"/>
            <w:vAlign w:val="bottom"/>
          </w:tcPr>
          <w:p>
            <w:pPr>
              <w:spacing w:after="0"/>
              <w:rPr>
                <w:sz w:val="24"/>
                <w:szCs w:val="24"/>
                <w:color w:val="auto"/>
              </w:rPr>
            </w:pPr>
          </w:p>
        </w:tc>
        <w:tc>
          <w:tcPr>
            <w:tcW w:w="5280" w:type="dxa"/>
            <w:vAlign w:val="bottom"/>
            <w:gridSpan w:val="2"/>
          </w:tcPr>
          <w:p>
            <w:pPr>
              <w:jc w:val="right"/>
              <w:ind w:right="1892"/>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63"/>
        </w:trPr>
        <w:tc>
          <w:tcPr>
            <w:tcW w:w="25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0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401" w:right="2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28"/>
        </w:trPr>
        <w:tc>
          <w:tcPr>
            <w:tcW w:w="6680" w:type="dxa"/>
            <w:vAlign w:val="bottom"/>
          </w:tcPr>
          <w:p>
            <w:pPr>
              <w:spacing w:after="0"/>
              <w:rPr>
                <w:sz w:val="20"/>
                <w:szCs w:val="20"/>
                <w:color w:val="auto"/>
              </w:rPr>
            </w:pPr>
            <w:r>
              <w:rPr>
                <w:rFonts w:ascii="Arial" w:cs="Arial" w:eastAsia="Arial" w:hAnsi="Arial"/>
                <w:sz w:val="18"/>
                <w:szCs w:val="18"/>
                <w:b w:val="1"/>
                <w:bCs w:val="1"/>
                <w:color w:val="auto"/>
              </w:rPr>
              <w:t>NOTE 9 - LONG-TERM BORROWINGS</w:t>
            </w: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86"/>
        </w:trPr>
        <w:tc>
          <w:tcPr>
            <w:tcW w:w="6680" w:type="dxa"/>
            <w:vAlign w:val="bottom"/>
          </w:tcPr>
          <w:p>
            <w:pPr>
              <w:ind w:left="280"/>
              <w:spacing w:after="0"/>
              <w:rPr>
                <w:sz w:val="20"/>
                <w:szCs w:val="20"/>
                <w:color w:val="auto"/>
              </w:rPr>
            </w:pPr>
            <w:r>
              <w:rPr>
                <w:rFonts w:ascii="Arial" w:cs="Arial" w:eastAsia="Arial" w:hAnsi="Arial"/>
                <w:sz w:val="18"/>
                <w:szCs w:val="18"/>
                <w:color w:val="auto"/>
              </w:rPr>
              <w:t>Long-term borrowings consist of the following:</w:t>
            </w: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73"/>
        </w:trPr>
        <w:tc>
          <w:tcPr>
            <w:tcW w:w="6680" w:type="dxa"/>
            <w:vAlign w:val="bottom"/>
          </w:tcPr>
          <w:p>
            <w:pPr>
              <w:spacing w:after="0"/>
              <w:rPr>
                <w:sz w:val="24"/>
                <w:szCs w:val="24"/>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b w:val="1"/>
                <w:bCs w:val="1"/>
                <w:color w:val="auto"/>
              </w:rPr>
              <w:t>January 31,</w:t>
            </w:r>
          </w:p>
        </w:tc>
        <w:tc>
          <w:tcPr>
            <w:tcW w:w="118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w w:val="96"/>
              </w:rPr>
              <w:t>November 1,</w:t>
            </w:r>
          </w:p>
        </w:tc>
      </w:tr>
      <w:tr>
        <w:trPr>
          <w:trHeight w:val="252"/>
        </w:trPr>
        <w:tc>
          <w:tcPr>
            <w:tcW w:w="6680" w:type="dxa"/>
            <w:vAlign w:val="bottom"/>
            <w:tcBorders>
              <w:bottom w:val="single" w:sz="8" w:color="C0C0C0"/>
            </w:tcBorders>
          </w:tcPr>
          <w:p>
            <w:pPr>
              <w:spacing w:after="0"/>
              <w:rPr>
                <w:sz w:val="21"/>
                <w:szCs w:val="21"/>
                <w:color w:val="auto"/>
              </w:rPr>
            </w:pPr>
          </w:p>
        </w:tc>
        <w:tc>
          <w:tcPr>
            <w:tcW w:w="102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b w:val="1"/>
                <w:bCs w:val="1"/>
                <w:color w:val="auto"/>
              </w:rPr>
              <w:t>2010</w:t>
            </w:r>
          </w:p>
        </w:tc>
        <w:tc>
          <w:tcPr>
            <w:tcW w:w="260" w:type="dxa"/>
            <w:vAlign w:val="bottom"/>
            <w:tcBorders>
              <w:bottom w:val="single" w:sz="8" w:color="C0C0C0"/>
            </w:tcBorders>
          </w:tcPr>
          <w:p>
            <w:pPr>
              <w:spacing w:after="0"/>
              <w:rPr>
                <w:sz w:val="21"/>
                <w:szCs w:val="21"/>
                <w:color w:val="auto"/>
              </w:rPr>
            </w:pPr>
          </w:p>
        </w:tc>
        <w:tc>
          <w:tcPr>
            <w:tcW w:w="1180" w:type="dxa"/>
            <w:vAlign w:val="bottom"/>
            <w:tcBorders>
              <w:bottom w:val="single" w:sz="8" w:color="auto"/>
            </w:tcBorders>
            <w:gridSpan w:val="2"/>
          </w:tcPr>
          <w:p>
            <w:pPr>
              <w:jc w:val="right"/>
              <w:ind w:right="332"/>
              <w:spacing w:after="0"/>
              <w:rPr>
                <w:sz w:val="20"/>
                <w:szCs w:val="20"/>
                <w:color w:val="auto"/>
              </w:rPr>
            </w:pPr>
            <w:r>
              <w:rPr>
                <w:rFonts w:ascii="Arial" w:cs="Arial" w:eastAsia="Arial" w:hAnsi="Arial"/>
                <w:sz w:val="18"/>
                <w:szCs w:val="18"/>
                <w:b w:val="1"/>
                <w:bCs w:val="1"/>
                <w:color w:val="auto"/>
              </w:rPr>
              <w:t>2009</w:t>
            </w:r>
          </w:p>
        </w:tc>
      </w:tr>
      <w:tr>
        <w:trPr>
          <w:trHeight w:val="214"/>
        </w:trPr>
        <w:tc>
          <w:tcPr>
            <w:tcW w:w="6680" w:type="dxa"/>
            <w:vAlign w:val="bottom"/>
            <w:shd w:val="clear" w:color="auto" w:fill="C0C0C0"/>
          </w:tcPr>
          <w:p>
            <w:pPr>
              <w:spacing w:after="0"/>
              <w:rPr>
                <w:sz w:val="20"/>
                <w:szCs w:val="20"/>
                <w:color w:val="auto"/>
              </w:rPr>
            </w:pPr>
            <w:r>
              <w:rPr>
                <w:rFonts w:ascii="Arial" w:cs="Arial" w:eastAsia="Arial" w:hAnsi="Arial"/>
                <w:sz w:val="18"/>
                <w:szCs w:val="18"/>
                <w:color w:val="auto"/>
              </w:rPr>
              <w:t>5.5% convertible senior notes due</w:t>
            </w:r>
          </w:p>
        </w:tc>
        <w:tc>
          <w:tcPr>
            <w:tcW w:w="440" w:type="dxa"/>
            <w:vAlign w:val="bottom"/>
            <w:shd w:val="clear" w:color="auto" w:fill="C0C0C0"/>
          </w:tcPr>
          <w:p>
            <w:pPr>
              <w:spacing w:after="0"/>
              <w:rPr>
                <w:sz w:val="18"/>
                <w:szCs w:val="18"/>
                <w:color w:val="auto"/>
              </w:rPr>
            </w:pPr>
          </w:p>
        </w:tc>
        <w:tc>
          <w:tcPr>
            <w:tcW w:w="580" w:type="dxa"/>
            <w:vAlign w:val="bottom"/>
            <w:shd w:val="clear" w:color="auto" w:fill="C0C0C0"/>
          </w:tcPr>
          <w:p>
            <w:pPr>
              <w:spacing w:after="0"/>
              <w:rPr>
                <w:sz w:val="18"/>
                <w:szCs w:val="18"/>
                <w:color w:val="auto"/>
              </w:rPr>
            </w:pPr>
          </w:p>
        </w:tc>
        <w:tc>
          <w:tcPr>
            <w:tcW w:w="260" w:type="dxa"/>
            <w:vAlign w:val="bottom"/>
            <w:shd w:val="clear" w:color="auto" w:fill="C0C0C0"/>
          </w:tcPr>
          <w:p>
            <w:pPr>
              <w:spacing w:after="0"/>
              <w:rPr>
                <w:sz w:val="18"/>
                <w:szCs w:val="18"/>
                <w:color w:val="auto"/>
              </w:rPr>
            </w:pPr>
          </w:p>
        </w:tc>
        <w:tc>
          <w:tcPr>
            <w:tcW w:w="600" w:type="dxa"/>
            <w:vAlign w:val="bottom"/>
            <w:shd w:val="clear" w:color="auto" w:fill="C0C0C0"/>
          </w:tcPr>
          <w:p>
            <w:pPr>
              <w:spacing w:after="0"/>
              <w:rPr>
                <w:sz w:val="18"/>
                <w:szCs w:val="18"/>
                <w:color w:val="auto"/>
              </w:rPr>
            </w:pPr>
          </w:p>
        </w:tc>
        <w:tc>
          <w:tcPr>
            <w:tcW w:w="580" w:type="dxa"/>
            <w:vAlign w:val="bottom"/>
            <w:shd w:val="clear" w:color="auto" w:fill="C0C0C0"/>
          </w:tcPr>
          <w:p>
            <w:pPr>
              <w:spacing w:after="0"/>
              <w:rPr>
                <w:sz w:val="18"/>
                <w:szCs w:val="18"/>
                <w:color w:val="auto"/>
              </w:rPr>
            </w:pPr>
          </w:p>
        </w:tc>
      </w:tr>
      <w:tr>
        <w:trPr>
          <w:trHeight w:val="259"/>
        </w:trPr>
        <w:tc>
          <w:tcPr>
            <w:tcW w:w="66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on October 1, 2014</w:t>
            </w:r>
          </w:p>
        </w:tc>
        <w:tc>
          <w:tcPr>
            <w:tcW w:w="440" w:type="dxa"/>
            <w:vAlign w:val="bottom"/>
            <w:shd w:val="clear" w:color="auto" w:fill="C0C0C0"/>
          </w:tcPr>
          <w:p>
            <w:pPr>
              <w:ind w:left="34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57,500</w:t>
            </w: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57,500</w:t>
            </w:r>
          </w:p>
        </w:tc>
      </w:tr>
      <w:tr>
        <w:trPr>
          <w:trHeight w:val="228"/>
        </w:trPr>
        <w:tc>
          <w:tcPr>
            <w:tcW w:w="6680" w:type="dxa"/>
            <w:vAlign w:val="bottom"/>
          </w:tcPr>
          <w:p>
            <w:pPr>
              <w:spacing w:after="0"/>
              <w:rPr>
                <w:sz w:val="20"/>
                <w:szCs w:val="20"/>
                <w:color w:val="auto"/>
              </w:rPr>
            </w:pPr>
            <w:r>
              <w:rPr>
                <w:rFonts w:ascii="Arial" w:cs="Arial" w:eastAsia="Arial" w:hAnsi="Arial"/>
                <w:sz w:val="18"/>
                <w:szCs w:val="18"/>
                <w:color w:val="auto"/>
              </w:rPr>
              <w:t>Borrowings under revolving credit facility, which</w:t>
            </w: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43"/>
        </w:trPr>
        <w:tc>
          <w:tcPr>
            <w:tcW w:w="6680" w:type="dxa"/>
            <w:vAlign w:val="bottom"/>
          </w:tcPr>
          <w:p>
            <w:pPr>
              <w:ind w:left="340"/>
              <w:spacing w:after="0"/>
              <w:rPr>
                <w:sz w:val="20"/>
                <w:szCs w:val="20"/>
                <w:color w:val="auto"/>
              </w:rPr>
            </w:pPr>
            <w:r>
              <w:rPr>
                <w:rFonts w:ascii="Arial" w:cs="Arial" w:eastAsia="Arial" w:hAnsi="Arial"/>
                <w:sz w:val="18"/>
                <w:szCs w:val="18"/>
                <w:color w:val="auto"/>
              </w:rPr>
              <w:t>bore interest at a variable rate, as defined (8.0% at</w:t>
            </w: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51"/>
        </w:trPr>
        <w:tc>
          <w:tcPr>
            <w:tcW w:w="6680" w:type="dxa"/>
            <w:vAlign w:val="bottom"/>
          </w:tcPr>
          <w:p>
            <w:pPr>
              <w:ind w:left="340"/>
              <w:spacing w:after="0"/>
              <w:rPr>
                <w:sz w:val="20"/>
                <w:szCs w:val="20"/>
                <w:color w:val="auto"/>
              </w:rPr>
            </w:pPr>
            <w:r>
              <w:rPr>
                <w:rFonts w:ascii="Arial" w:cs="Arial" w:eastAsia="Arial" w:hAnsi="Arial"/>
                <w:sz w:val="18"/>
                <w:szCs w:val="18"/>
                <w:color w:val="auto"/>
              </w:rPr>
              <w:t>January 31, 2010 and November 1, 2009)</w:t>
            </w:r>
          </w:p>
        </w:tc>
        <w:tc>
          <w:tcPr>
            <w:tcW w:w="44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2,568</w:t>
            </w:r>
          </w:p>
        </w:tc>
        <w:tc>
          <w:tcPr>
            <w:tcW w:w="6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2,568</w:t>
            </w:r>
          </w:p>
        </w:tc>
      </w:tr>
      <w:tr>
        <w:trPr>
          <w:trHeight w:val="235"/>
        </w:trPr>
        <w:tc>
          <w:tcPr>
            <w:tcW w:w="6680" w:type="dxa"/>
            <w:vAlign w:val="bottom"/>
            <w:shd w:val="clear" w:color="auto" w:fill="C0C0C0"/>
          </w:tcPr>
          <w:p>
            <w:pPr>
              <w:spacing w:after="0"/>
              <w:rPr>
                <w:sz w:val="20"/>
                <w:szCs w:val="20"/>
                <w:color w:val="auto"/>
              </w:rPr>
            </w:pPr>
            <w:r>
              <w:rPr>
                <w:rFonts w:ascii="Arial" w:cs="Arial" w:eastAsia="Arial" w:hAnsi="Arial"/>
                <w:sz w:val="18"/>
                <w:szCs w:val="18"/>
                <w:color w:val="auto"/>
              </w:rPr>
              <w:t>Term loan which bore interest at a variable rate</w:t>
            </w:r>
          </w:p>
        </w:tc>
        <w:tc>
          <w:tcPr>
            <w:tcW w:w="440" w:type="dxa"/>
            <w:vAlign w:val="bottom"/>
            <w:shd w:val="clear" w:color="auto" w:fill="C0C0C0"/>
          </w:tcPr>
          <w:p>
            <w:pPr>
              <w:spacing w:after="0"/>
              <w:rPr>
                <w:sz w:val="20"/>
                <w:szCs w:val="20"/>
                <w:color w:val="auto"/>
              </w:rPr>
            </w:pPr>
          </w:p>
        </w:tc>
        <w:tc>
          <w:tcPr>
            <w:tcW w:w="58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600" w:type="dxa"/>
            <w:vAlign w:val="bottom"/>
            <w:shd w:val="clear" w:color="auto" w:fill="C0C0C0"/>
          </w:tcPr>
          <w:p>
            <w:pPr>
              <w:spacing w:after="0"/>
              <w:rPr>
                <w:sz w:val="20"/>
                <w:szCs w:val="20"/>
                <w:color w:val="auto"/>
              </w:rPr>
            </w:pPr>
          </w:p>
        </w:tc>
        <w:tc>
          <w:tcPr>
            <w:tcW w:w="580" w:type="dxa"/>
            <w:vAlign w:val="bottom"/>
            <w:shd w:val="clear" w:color="auto" w:fill="C0C0C0"/>
          </w:tcPr>
          <w:p>
            <w:pPr>
              <w:spacing w:after="0"/>
              <w:rPr>
                <w:sz w:val="20"/>
                <w:szCs w:val="20"/>
                <w:color w:val="auto"/>
              </w:rPr>
            </w:pPr>
          </w:p>
        </w:tc>
      </w:tr>
      <w:tr>
        <w:trPr>
          <w:trHeight w:val="243"/>
        </w:trPr>
        <w:tc>
          <w:tcPr>
            <w:tcW w:w="6680" w:type="dxa"/>
            <w:vAlign w:val="bottom"/>
            <w:shd w:val="clear" w:color="auto" w:fill="C0C0C0"/>
          </w:tcPr>
          <w:p>
            <w:pPr>
              <w:ind w:left="340"/>
              <w:spacing w:after="0"/>
              <w:rPr>
                <w:sz w:val="20"/>
                <w:szCs w:val="20"/>
                <w:color w:val="auto"/>
              </w:rPr>
            </w:pPr>
            <w:r>
              <w:rPr>
                <w:rFonts w:ascii="Arial" w:cs="Arial" w:eastAsia="Arial" w:hAnsi="Arial"/>
                <w:sz w:val="18"/>
                <w:szCs w:val="18"/>
                <w:color w:val="auto"/>
              </w:rPr>
              <w:t>as defined (8.0% at January 31, 2010 and</w:t>
            </w:r>
          </w:p>
        </w:tc>
        <w:tc>
          <w:tcPr>
            <w:tcW w:w="44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r>
      <w:tr>
        <w:trPr>
          <w:trHeight w:val="259"/>
        </w:trPr>
        <w:tc>
          <w:tcPr>
            <w:tcW w:w="6680" w:type="dxa"/>
            <w:vAlign w:val="bottom"/>
            <w:shd w:val="clear" w:color="auto" w:fill="C0C0C0"/>
          </w:tcPr>
          <w:p>
            <w:pPr>
              <w:ind w:left="340"/>
              <w:spacing w:after="0"/>
              <w:rPr>
                <w:sz w:val="20"/>
                <w:szCs w:val="20"/>
                <w:color w:val="auto"/>
              </w:rPr>
            </w:pPr>
            <w:r>
              <w:rPr>
                <w:rFonts w:ascii="Arial" w:cs="Arial" w:eastAsia="Arial" w:hAnsi="Arial"/>
                <w:sz w:val="18"/>
                <w:szCs w:val="18"/>
                <w:color w:val="auto"/>
              </w:rPr>
              <w:t>November 1, 2009)</w:t>
            </w:r>
          </w:p>
        </w:tc>
        <w:tc>
          <w:tcPr>
            <w:tcW w:w="440" w:type="dxa"/>
            <w:vAlign w:val="bottom"/>
            <w:shd w:val="clear" w:color="auto" w:fill="C0C0C0"/>
          </w:tcPr>
          <w:p>
            <w:pPr>
              <w:spacing w:after="0"/>
              <w:rPr>
                <w:sz w:val="22"/>
                <w:szCs w:val="22"/>
                <w:color w:val="auto"/>
              </w:rPr>
            </w:pPr>
          </w:p>
        </w:tc>
        <w:tc>
          <w:tcPr>
            <w:tcW w:w="84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22,136</w:t>
            </w:r>
          </w:p>
        </w:tc>
        <w:tc>
          <w:tcPr>
            <w:tcW w:w="600" w:type="dxa"/>
            <w:vAlign w:val="bottom"/>
            <w:shd w:val="clear" w:color="auto" w:fill="C0C0C0"/>
          </w:tcPr>
          <w:p>
            <w:pPr>
              <w:spacing w:after="0"/>
              <w:rPr>
                <w:sz w:val="22"/>
                <w:szCs w:val="22"/>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27,204</w:t>
            </w:r>
          </w:p>
        </w:tc>
      </w:tr>
      <w:tr>
        <w:trPr>
          <w:trHeight w:val="228"/>
        </w:trPr>
        <w:tc>
          <w:tcPr>
            <w:tcW w:w="6680" w:type="dxa"/>
            <w:vAlign w:val="bottom"/>
          </w:tcPr>
          <w:p>
            <w:pPr>
              <w:spacing w:after="0"/>
              <w:rPr>
                <w:sz w:val="20"/>
                <w:szCs w:val="20"/>
                <w:color w:val="auto"/>
              </w:rPr>
            </w:pPr>
            <w:r>
              <w:rPr>
                <w:rFonts w:ascii="Arial" w:cs="Arial" w:eastAsia="Arial" w:hAnsi="Arial"/>
                <w:sz w:val="18"/>
                <w:szCs w:val="18"/>
                <w:color w:val="auto"/>
              </w:rPr>
              <w:t>8.0% capital lease obligation payable through</w:t>
            </w: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51"/>
        </w:trPr>
        <w:tc>
          <w:tcPr>
            <w:tcW w:w="6680" w:type="dxa"/>
            <w:vAlign w:val="bottom"/>
          </w:tcPr>
          <w:p>
            <w:pPr>
              <w:ind w:left="340"/>
              <w:spacing w:after="0"/>
              <w:rPr>
                <w:sz w:val="20"/>
                <w:szCs w:val="20"/>
                <w:color w:val="auto"/>
              </w:rPr>
            </w:pPr>
            <w:r>
              <w:rPr>
                <w:rFonts w:ascii="Arial" w:cs="Arial" w:eastAsia="Arial" w:hAnsi="Arial"/>
                <w:sz w:val="18"/>
                <w:szCs w:val="18"/>
                <w:color w:val="auto"/>
              </w:rPr>
              <w:t>January 2013</w:t>
            </w:r>
          </w:p>
        </w:tc>
        <w:tc>
          <w:tcPr>
            <w:tcW w:w="44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21,015</w:t>
            </w:r>
          </w:p>
        </w:tc>
        <w:tc>
          <w:tcPr>
            <w:tcW w:w="6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22,552</w:t>
            </w:r>
          </w:p>
        </w:tc>
      </w:tr>
      <w:tr>
        <w:trPr>
          <w:trHeight w:val="235"/>
        </w:trPr>
        <w:tc>
          <w:tcPr>
            <w:tcW w:w="6680" w:type="dxa"/>
            <w:vAlign w:val="bottom"/>
            <w:shd w:val="clear" w:color="auto" w:fill="C0C0C0"/>
          </w:tcPr>
          <w:p>
            <w:pPr>
              <w:spacing w:after="0"/>
              <w:rPr>
                <w:sz w:val="20"/>
                <w:szCs w:val="20"/>
                <w:color w:val="auto"/>
              </w:rPr>
            </w:pPr>
            <w:r>
              <w:rPr>
                <w:rFonts w:ascii="Arial" w:cs="Arial" w:eastAsia="Arial" w:hAnsi="Arial"/>
                <w:sz w:val="18"/>
                <w:szCs w:val="18"/>
                <w:color w:val="auto"/>
              </w:rPr>
              <w:t>5.6% capital lease obligation payable through</w:t>
            </w:r>
          </w:p>
        </w:tc>
        <w:tc>
          <w:tcPr>
            <w:tcW w:w="440" w:type="dxa"/>
            <w:vAlign w:val="bottom"/>
            <w:shd w:val="clear" w:color="auto" w:fill="C0C0C0"/>
          </w:tcPr>
          <w:p>
            <w:pPr>
              <w:spacing w:after="0"/>
              <w:rPr>
                <w:sz w:val="20"/>
                <w:szCs w:val="20"/>
                <w:color w:val="auto"/>
              </w:rPr>
            </w:pPr>
          </w:p>
        </w:tc>
        <w:tc>
          <w:tcPr>
            <w:tcW w:w="58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600" w:type="dxa"/>
            <w:vAlign w:val="bottom"/>
            <w:shd w:val="clear" w:color="auto" w:fill="C0C0C0"/>
          </w:tcPr>
          <w:p>
            <w:pPr>
              <w:spacing w:after="0"/>
              <w:rPr>
                <w:sz w:val="20"/>
                <w:szCs w:val="20"/>
                <w:color w:val="auto"/>
              </w:rPr>
            </w:pPr>
          </w:p>
        </w:tc>
        <w:tc>
          <w:tcPr>
            <w:tcW w:w="580" w:type="dxa"/>
            <w:vAlign w:val="bottom"/>
            <w:shd w:val="clear" w:color="auto" w:fill="C0C0C0"/>
          </w:tcPr>
          <w:p>
            <w:pPr>
              <w:spacing w:after="0"/>
              <w:rPr>
                <w:sz w:val="20"/>
                <w:szCs w:val="20"/>
                <w:color w:val="auto"/>
              </w:rPr>
            </w:pPr>
          </w:p>
        </w:tc>
      </w:tr>
      <w:tr>
        <w:trPr>
          <w:trHeight w:val="259"/>
        </w:trPr>
        <w:tc>
          <w:tcPr>
            <w:tcW w:w="66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October 2012</w:t>
            </w:r>
          </w:p>
        </w:tc>
        <w:tc>
          <w:tcPr>
            <w:tcW w:w="440" w:type="dxa"/>
            <w:vAlign w:val="bottom"/>
            <w:shd w:val="clear" w:color="auto" w:fill="C0C0C0"/>
          </w:tcPr>
          <w:p>
            <w:pPr>
              <w:spacing w:after="0"/>
              <w:rPr>
                <w:sz w:val="22"/>
                <w:szCs w:val="22"/>
                <w:color w:val="auto"/>
              </w:rPr>
            </w:pPr>
          </w:p>
        </w:tc>
        <w:tc>
          <w:tcPr>
            <w:tcW w:w="84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11,968</w:t>
            </w:r>
          </w:p>
        </w:tc>
        <w:tc>
          <w:tcPr>
            <w:tcW w:w="600" w:type="dxa"/>
            <w:vAlign w:val="bottom"/>
            <w:shd w:val="clear" w:color="auto" w:fill="C0C0C0"/>
          </w:tcPr>
          <w:p>
            <w:pPr>
              <w:spacing w:after="0"/>
              <w:rPr>
                <w:sz w:val="22"/>
                <w:szCs w:val="22"/>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12,614</w:t>
            </w:r>
          </w:p>
        </w:tc>
      </w:tr>
      <w:tr>
        <w:trPr>
          <w:trHeight w:val="237"/>
        </w:trPr>
        <w:tc>
          <w:tcPr>
            <w:tcW w:w="668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4.75% financing loan with customer</w:t>
            </w:r>
          </w:p>
        </w:tc>
        <w:tc>
          <w:tcPr>
            <w:tcW w:w="4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3,737</w:t>
            </w:r>
          </w:p>
        </w:tc>
        <w:tc>
          <w:tcPr>
            <w:tcW w:w="260" w:type="dxa"/>
            <w:vAlign w:val="bottom"/>
            <w:tcBorders>
              <w:bottom w:val="single" w:sz="8" w:color="C0C0C0"/>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680" w:type="dxa"/>
            <w:vAlign w:val="bottom"/>
            <w:shd w:val="clear" w:color="auto" w:fill="C0C0C0"/>
          </w:tcPr>
          <w:p>
            <w:pPr>
              <w:spacing w:after="0"/>
              <w:rPr>
                <w:sz w:val="21"/>
                <w:szCs w:val="21"/>
                <w:color w:val="auto"/>
              </w:rPr>
            </w:pPr>
          </w:p>
        </w:tc>
        <w:tc>
          <w:tcPr>
            <w:tcW w:w="440" w:type="dxa"/>
            <w:vAlign w:val="bottom"/>
            <w:shd w:val="clear" w:color="auto" w:fill="C0C0C0"/>
          </w:tcPr>
          <w:p>
            <w:pPr>
              <w:spacing w:after="0"/>
              <w:rPr>
                <w:sz w:val="21"/>
                <w:szCs w:val="21"/>
                <w:color w:val="auto"/>
              </w:rPr>
            </w:pPr>
          </w:p>
        </w:tc>
        <w:tc>
          <w:tcPr>
            <w:tcW w:w="84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w w:val="86"/>
              </w:rPr>
              <w:t>118,924</w:t>
            </w:r>
          </w:p>
        </w:tc>
        <w:tc>
          <w:tcPr>
            <w:tcW w:w="600" w:type="dxa"/>
            <w:vAlign w:val="bottom"/>
            <w:shd w:val="clear" w:color="auto" w:fill="C0C0C0"/>
          </w:tcPr>
          <w:p>
            <w:pPr>
              <w:spacing w:after="0"/>
              <w:rPr>
                <w:sz w:val="21"/>
                <w:szCs w:val="21"/>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6"/>
              </w:rPr>
              <w:t>122,438</w:t>
            </w:r>
          </w:p>
        </w:tc>
      </w:tr>
      <w:tr>
        <w:trPr>
          <w:trHeight w:val="237"/>
        </w:trPr>
        <w:tc>
          <w:tcPr>
            <w:tcW w:w="668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Less current portion</w:t>
            </w:r>
          </w:p>
        </w:tc>
        <w:tc>
          <w:tcPr>
            <w:tcW w:w="4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11,376</w:t>
            </w:r>
          </w:p>
        </w:tc>
        <w:tc>
          <w:tcPr>
            <w:tcW w:w="260" w:type="dxa"/>
            <w:vAlign w:val="bottom"/>
            <w:tcBorders>
              <w:bottom w:val="single" w:sz="8" w:color="C0C0C0"/>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10,301</w:t>
            </w:r>
          </w:p>
        </w:tc>
      </w:tr>
      <w:tr>
        <w:trPr>
          <w:trHeight w:val="250"/>
        </w:trPr>
        <w:tc>
          <w:tcPr>
            <w:tcW w:w="6680" w:type="dxa"/>
            <w:vAlign w:val="bottom"/>
            <w:tcBorders>
              <w:bottom w:val="single" w:sz="8" w:color="C0C0C0"/>
            </w:tcBorders>
            <w:shd w:val="clear" w:color="auto" w:fill="C0C0C0"/>
          </w:tcPr>
          <w:p>
            <w:pPr>
              <w:spacing w:after="0"/>
              <w:rPr>
                <w:sz w:val="21"/>
                <w:szCs w:val="21"/>
                <w:color w:val="auto"/>
              </w:rPr>
            </w:pPr>
          </w:p>
        </w:tc>
        <w:tc>
          <w:tcPr>
            <w:tcW w:w="440" w:type="dxa"/>
            <w:vAlign w:val="bottom"/>
            <w:tcBorders>
              <w:bottom w:val="single" w:sz="8" w:color="auto"/>
            </w:tcBorders>
            <w:shd w:val="clear" w:color="auto" w:fill="C0C0C0"/>
          </w:tcPr>
          <w:p>
            <w:pPr>
              <w:ind w:left="34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86"/>
              </w:rPr>
              <w:t>107,548</w:t>
            </w:r>
          </w:p>
        </w:tc>
        <w:tc>
          <w:tcPr>
            <w:tcW w:w="260" w:type="dxa"/>
            <w:vAlign w:val="bottom"/>
            <w:tcBorders>
              <w:bottom w:val="single" w:sz="8" w:color="C0C0C0"/>
            </w:tcBorders>
            <w:shd w:val="clear" w:color="auto" w:fill="C0C0C0"/>
          </w:tcPr>
          <w:p>
            <w:pPr>
              <w:spacing w:after="0"/>
              <w:rPr>
                <w:sz w:val="21"/>
                <w:szCs w:val="21"/>
                <w:color w:val="auto"/>
              </w:rPr>
            </w:pPr>
          </w:p>
        </w:tc>
        <w:tc>
          <w:tcPr>
            <w:tcW w:w="6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86"/>
              </w:rPr>
              <w:t>112,137</w:t>
            </w:r>
          </w:p>
        </w:tc>
      </w:tr>
    </w:tbl>
    <w:p>
      <w:pPr>
        <w:spacing w:after="0" w:line="262" w:lineRule="exact"/>
        <w:rPr>
          <w:sz w:val="20"/>
          <w:szCs w:val="20"/>
          <w:color w:val="auto"/>
        </w:rPr>
      </w:pPr>
    </w:p>
    <w:p>
      <w:pPr>
        <w:ind w:firstLine="270"/>
        <w:spacing w:after="0" w:line="294" w:lineRule="auto"/>
        <w:rPr>
          <w:sz w:val="20"/>
          <w:szCs w:val="20"/>
          <w:color w:val="auto"/>
        </w:rPr>
      </w:pPr>
      <w:r>
        <w:rPr>
          <w:rFonts w:ascii="Arial" w:cs="Arial" w:eastAsia="Arial" w:hAnsi="Arial"/>
          <w:sz w:val="16"/>
          <w:szCs w:val="16"/>
          <w:color w:val="auto"/>
        </w:rPr>
        <w:t>On February 12, 2010, the Company amended its revolving credit facility, which was originally established on June 6, 2007, to a three-year $50 million revolving credit facility ("the credit facility") with an expansion option up to $65 million. At the time of the amendment, the then existing revolving credit facility and term loan were repaid in full with borrowings from the credit facility of $20.8 million, resulting in an unused commitment of $29.2 million. Both the revolving credit facility and the term loan outstanding balances as of January 31, 2010 have been classified as long-term. The credit facility bears interest at LIBOR plus a spread, as defined in the agreement based upon the Company's total leverage ratio (4.0% spread as of February 12, 2010).</w:t>
      </w:r>
    </w:p>
    <w:p>
      <w:pPr>
        <w:spacing w:after="0" w:line="224" w:lineRule="exact"/>
        <w:rPr>
          <w:sz w:val="20"/>
          <w:szCs w:val="20"/>
          <w:color w:val="auto"/>
        </w:rPr>
      </w:pPr>
    </w:p>
    <w:p>
      <w:pPr>
        <w:jc w:val="both"/>
        <w:ind w:right="80" w:firstLine="270"/>
        <w:spacing w:after="0" w:line="306" w:lineRule="auto"/>
        <w:rPr>
          <w:sz w:val="20"/>
          <w:szCs w:val="20"/>
          <w:color w:val="auto"/>
        </w:rPr>
      </w:pPr>
      <w:r>
        <w:rPr>
          <w:rFonts w:ascii="Arial" w:cs="Arial" w:eastAsia="Arial" w:hAnsi="Arial"/>
          <w:sz w:val="16"/>
          <w:szCs w:val="16"/>
          <w:color w:val="auto"/>
        </w:rPr>
        <w:t>The credit facility, which matures on February 12, 2013, is secured by substantially all of the Company's assets in the United States as well as common stock the Company owns in certain of its foreign subsidiaries. The credit facility includes the following financial covenants: fixed charge coverage ratio, total leverage ratio, minimum unrestricted cash balance, and maximum capital expenditures, all as defined in the agreement.</w:t>
      </w:r>
    </w:p>
    <w:p>
      <w:pPr>
        <w:spacing w:after="0" w:line="215" w:lineRule="exact"/>
        <w:rPr>
          <w:sz w:val="20"/>
          <w:szCs w:val="20"/>
          <w:color w:val="auto"/>
        </w:rPr>
      </w:pPr>
    </w:p>
    <w:p>
      <w:pPr>
        <w:ind w:right="60" w:firstLine="270"/>
        <w:spacing w:after="0" w:line="288" w:lineRule="auto"/>
        <w:rPr>
          <w:sz w:val="20"/>
          <w:szCs w:val="20"/>
          <w:color w:val="auto"/>
        </w:rPr>
      </w:pPr>
      <w:r>
        <w:rPr>
          <w:rFonts w:ascii="Arial" w:cs="Arial" w:eastAsia="Arial" w:hAnsi="Arial"/>
          <w:sz w:val="16"/>
          <w:szCs w:val="16"/>
          <w:color w:val="auto"/>
        </w:rPr>
        <w:t>In May 2009, the Company amended its then existing revolving credit facility and entered into a warrant agreement with its lenders for 2.1 million shares of its common stock. Forty percent of the warrants were exercisable upon issuance while the remaining warrants were cancelled as a result of the Company's September 2009 early repayment of a portion of the outstanding balance under its June 6, 2007 credit agreement. As of January 31, 2010, approximately 0.3 million warrants have been exercised, including 0.2 million of which were exercised during the quarter ended January 31, 2010. The warrants, approximately 0.6 million of which remained outstanding at January 31, 2010, are exercisable for one share of the Company's common stock, at an exercise price of $.01 per share. The warrant agreement also included a net cash settleable put provision exercisable starting in May 2012 and a call provision exercisable starting in May 2013, both of which were exercisable only if the Company's common stock was not traded on a national exchange or, in the case of the put provision, such repurchase does not create a default under the credit facility or any refinancing of it. As a result of the aforementioned net cash settleable put provisions, the warrants were initially recorded as a liability (included in other liabilities) and were subsequently reported at their fair value.</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15" w:name="page16"/>
    <w:bookmarkEnd w:id="15"/>
    <w:p>
      <w:pPr>
        <w:ind w:firstLine="270"/>
        <w:spacing w:after="0" w:line="306" w:lineRule="auto"/>
        <w:rPr>
          <w:sz w:val="20"/>
          <w:szCs w:val="20"/>
          <w:color w:val="auto"/>
        </w:rPr>
      </w:pPr>
      <w:r>
        <w:rPr>
          <w:rFonts w:ascii="Arial" w:cs="Arial" w:eastAsia="Arial" w:hAnsi="Arial"/>
          <w:sz w:val="16"/>
          <w:szCs w:val="16"/>
          <w:color w:val="auto"/>
        </w:rPr>
        <w:t>In addition to the former credit facility discussed above, the Company also entered into a term loan agreement with an aggregate commitment of $27.2 million in the U.S. dated on June 8, 2009. This loan, at January 31, 2010, had an outstanding balance of $22.1 million, all of which has been classified as long-term as it was repaid in February 2010 with funds under its credit facility which are due on a long-term basis.</w:t>
      </w:r>
    </w:p>
    <w:p>
      <w:pPr>
        <w:spacing w:after="0" w:line="215" w:lineRule="exact"/>
        <w:rPr>
          <w:sz w:val="20"/>
          <w:szCs w:val="20"/>
          <w:color w:val="auto"/>
        </w:rPr>
      </w:pPr>
    </w:p>
    <w:p>
      <w:pPr>
        <w:ind w:right="20" w:firstLine="270"/>
        <w:spacing w:after="0" w:line="294" w:lineRule="auto"/>
        <w:rPr>
          <w:sz w:val="20"/>
          <w:szCs w:val="20"/>
          <w:color w:val="auto"/>
        </w:rPr>
      </w:pPr>
      <w:r>
        <w:rPr>
          <w:rFonts w:ascii="Arial" w:cs="Arial" w:eastAsia="Arial" w:hAnsi="Arial"/>
          <w:sz w:val="16"/>
          <w:szCs w:val="16"/>
          <w:color w:val="auto"/>
        </w:rPr>
        <w:t>On September 11, 2009, the Company sold, through a public offering, $57.5 million aggregate principal amount of 5.5% convertible senior notes which mature on October 1, 2014. Note holders may convert each $1,000 principal amount of notes to 196.7052 shares of stock (equivalent to an initial conversion price of approximately $5.08 per share of common stock) on September 30, 2014. The conversion rate may be increased in the event of a make-whole fundamental change (as defined in the prospectus supplement filed by the Company on September 11, 2009) and the Company may not redeem the notes prior to their maturity date. The net proceeds of the convertible senior notes offering were approximately $54.9 million.</w:t>
      </w:r>
    </w:p>
    <w:p>
      <w:pPr>
        <w:spacing w:after="0" w:line="224" w:lineRule="exact"/>
        <w:rPr>
          <w:sz w:val="20"/>
          <w:szCs w:val="20"/>
          <w:color w:val="auto"/>
        </w:rPr>
      </w:pPr>
    </w:p>
    <w:p>
      <w:pPr>
        <w:ind w:right="220" w:firstLine="270"/>
        <w:spacing w:after="0" w:line="268" w:lineRule="auto"/>
        <w:rPr>
          <w:sz w:val="20"/>
          <w:szCs w:val="20"/>
          <w:color w:val="auto"/>
        </w:rPr>
      </w:pPr>
      <w:r>
        <w:rPr>
          <w:rFonts w:ascii="Arial" w:cs="Arial" w:eastAsia="Arial" w:hAnsi="Arial"/>
          <w:sz w:val="18"/>
          <w:szCs w:val="18"/>
          <w:color w:val="auto"/>
        </w:rPr>
        <w:t>In January, 2010, the Company borrowed $3.7 million from a customer to purchase manufacturing equipment. This loan bears interest at 4.75% and will be repaid with product supplied to the customer. The Company estimates that the loan will be fully repaid by December 2014.</w:t>
      </w:r>
    </w:p>
    <w:p>
      <w:pPr>
        <w:spacing w:after="0" w:line="240" w:lineRule="exact"/>
        <w:rPr>
          <w:sz w:val="20"/>
          <w:szCs w:val="20"/>
          <w:color w:val="auto"/>
        </w:rPr>
      </w:pPr>
    </w:p>
    <w:p>
      <w:pPr>
        <w:ind w:right="60" w:firstLine="270"/>
        <w:spacing w:after="0" w:line="253" w:lineRule="auto"/>
        <w:rPr>
          <w:sz w:val="20"/>
          <w:szCs w:val="20"/>
          <w:color w:val="auto"/>
        </w:rPr>
      </w:pPr>
      <w:r>
        <w:rPr>
          <w:rFonts w:ascii="Arial" w:cs="Arial" w:eastAsia="Arial" w:hAnsi="Arial"/>
          <w:sz w:val="18"/>
          <w:szCs w:val="18"/>
          <w:color w:val="auto"/>
        </w:rPr>
        <w:t>In the first quarter of 2008 a capital lease agreement commenced for the U.S. nanoFab facility which bore interest at 8%. This lease was cancelled in the third fiscal quarter of 2009, at which time the Company and Micron (the lessor) entered into a new lease agreement for the facility. Under the provisions of the new lease agreement, quarterly lease payments were reduced from $3.8 million to $2.0 million, the term of the lease was extended from December 31, 2012 to December 31, 2014, and ownership of the property will not transfer to the Company at the end of the lease term. As a result of the new lease agreement, the Company reduced its lease obligation and the carrying value of its assets under capital leases by approximately $28 million. The lease will continue to be accounted for as a capital lease until the end of its original lease term. For the additional two years of the new lease term, the lease will be accounted for as an operating lease. As of January 31, 2010, total capital lease amounts payable were $23.8 million, of which $21.0 million represented principal and $2.8 million represented interest.</w:t>
      </w:r>
    </w:p>
    <w:p>
      <w:pPr>
        <w:spacing w:after="0" w:line="253" w:lineRule="exact"/>
        <w:rPr>
          <w:sz w:val="20"/>
          <w:szCs w:val="20"/>
          <w:color w:val="auto"/>
        </w:rPr>
      </w:pPr>
    </w:p>
    <w:p>
      <w:pPr>
        <w:ind w:right="140" w:firstLine="270"/>
        <w:spacing w:after="0" w:line="259" w:lineRule="auto"/>
        <w:rPr>
          <w:sz w:val="20"/>
          <w:szCs w:val="20"/>
          <w:color w:val="auto"/>
        </w:rPr>
      </w:pPr>
      <w:r>
        <w:rPr>
          <w:rFonts w:ascii="Arial" w:cs="Arial" w:eastAsia="Arial" w:hAnsi="Arial"/>
          <w:sz w:val="18"/>
          <w:szCs w:val="18"/>
          <w:color w:val="auto"/>
        </w:rPr>
        <w:t>In October 2007, the Company entered into a capital lease agreement in the amount of $19.9 million associated with certain equipment. Under the capital lease agreement, the Company is required to maintain the equipment in good working condition, and is required to comply with certain non-financial covenants. Payments under the lease are $0.4 million per month over a 5-year term at a 5.6% interest rate.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COMMON STOCK WARRANTS</w:t>
      </w:r>
    </w:p>
    <w:p>
      <w:pPr>
        <w:spacing w:after="0" w:line="285" w:lineRule="exact"/>
        <w:rPr>
          <w:sz w:val="20"/>
          <w:szCs w:val="20"/>
          <w:color w:val="auto"/>
        </w:rPr>
      </w:pPr>
    </w:p>
    <w:p>
      <w:pPr>
        <w:ind w:right="100" w:firstLine="270"/>
        <w:spacing w:after="0" w:line="253" w:lineRule="auto"/>
        <w:rPr>
          <w:sz w:val="20"/>
          <w:szCs w:val="20"/>
          <w:color w:val="auto"/>
        </w:rPr>
      </w:pPr>
      <w:r>
        <w:rPr>
          <w:rFonts w:ascii="Arial" w:cs="Arial" w:eastAsia="Arial" w:hAnsi="Arial"/>
          <w:sz w:val="18"/>
          <w:szCs w:val="18"/>
          <w:color w:val="auto"/>
        </w:rPr>
        <w:t>On September 10, 2009 the Company entered into two warrant agreements with Intel Capital Corporation to purchase a total of 750,000 shares of the Company's common stock. Under one warrant agreement 500,000 shares of the Company's common stock can be purchased at an exercise price of $4.15 per share and under the second warrant agreement 250,000 shares of the Company's common stock can be purchased at an exercise price of $5.08 per share. The warrant agreements expire on September 10, 2014. Also on September 10, 2009 the Company and Intel Corporation entered into an agreement to share technical and operations information regarding the development of the Company's products, the capabilities of the Company's photomask manufacturing lines and the alignment of photomask toolsets. Intel Capital Corporation also invested in the Company's convertible debt offering. The warrants were recorded at their fair value on their date of grant, which was determined using the Black-Scholes option pricing model. As of January 31, 2010, none of the warrants had been exercised.</w:t>
      </w:r>
    </w:p>
    <w:p>
      <w:pPr>
        <w:spacing w:after="0" w:line="253" w:lineRule="exact"/>
        <w:rPr>
          <w:sz w:val="20"/>
          <w:szCs w:val="20"/>
          <w:color w:val="auto"/>
        </w:rPr>
      </w:pPr>
    </w:p>
    <w:p>
      <w:pPr>
        <w:ind w:right="140" w:firstLine="270"/>
        <w:spacing w:after="0" w:line="268" w:lineRule="auto"/>
        <w:rPr>
          <w:sz w:val="20"/>
          <w:szCs w:val="20"/>
          <w:color w:val="auto"/>
        </w:rPr>
      </w:pPr>
      <w:r>
        <w:rPr>
          <w:rFonts w:ascii="Arial" w:cs="Arial" w:eastAsia="Arial" w:hAnsi="Arial"/>
          <w:sz w:val="18"/>
          <w:szCs w:val="18"/>
          <w:color w:val="auto"/>
        </w:rPr>
        <w:t>In conjunction with an amendment to its credit facility on May 15, 2009, the Company also entered into a warrant agreement with its lenders. See Note 9 for further discussion of these warrants.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11 - FAIR VALUE MEASUREMENTS</w:t>
      </w:r>
    </w:p>
    <w:p>
      <w:pPr>
        <w:spacing w:after="0" w:line="285" w:lineRule="exact"/>
        <w:rPr>
          <w:sz w:val="20"/>
          <w:szCs w:val="20"/>
          <w:color w:val="auto"/>
        </w:rPr>
      </w:pPr>
    </w:p>
    <w:p>
      <w:pPr>
        <w:ind w:firstLine="270"/>
        <w:spacing w:after="0" w:line="291" w:lineRule="auto"/>
        <w:rPr>
          <w:sz w:val="20"/>
          <w:szCs w:val="20"/>
          <w:color w:val="auto"/>
        </w:rPr>
      </w:pPr>
      <w:r>
        <w:rPr>
          <w:rFonts w:ascii="Arial" w:cs="Arial" w:eastAsia="Arial" w:hAnsi="Arial"/>
          <w:sz w:val="16"/>
          <w:szCs w:val="16"/>
          <w:color w:val="auto"/>
        </w:rPr>
        <w:t>Fair value, as defined in accounting guidance, is the price that would be received to sell an asset or transfer a liability in an orderly transaction between market participants at the measurement date. An "orderly transaction" is a transaction that assumes exposure to the market for a period prior to the measurement date to allow for marketing activities that are usual and customary for transactions involving such assets or liabilities (i.e. it is not a forced transaction). The transaction to sell an asset or transfer a liability is a hypothetical transaction at the measurement date, considered from the perspective of a market participant that holds the asset or owes the liability. Therefore, the objective of a fair value measurement is to determine the price that would be received to sell the asset or paid to transfer the liability (an exit price) at the measurement date.</w:t>
      </w:r>
    </w:p>
    <w:p>
      <w:pPr>
        <w:spacing w:after="0" w:line="228" w:lineRule="exact"/>
        <w:rPr>
          <w:sz w:val="20"/>
          <w:szCs w:val="20"/>
          <w:color w:val="auto"/>
        </w:rPr>
      </w:pPr>
    </w:p>
    <w:p>
      <w:pPr>
        <w:jc w:val="both"/>
        <w:ind w:right="260" w:firstLine="270"/>
        <w:spacing w:after="0" w:line="335" w:lineRule="auto"/>
        <w:rPr>
          <w:sz w:val="20"/>
          <w:szCs w:val="20"/>
          <w:color w:val="auto"/>
        </w:rPr>
      </w:pPr>
      <w:r>
        <w:rPr>
          <w:rFonts w:ascii="Arial" w:cs="Arial" w:eastAsia="Arial" w:hAnsi="Arial"/>
          <w:sz w:val="15"/>
          <w:szCs w:val="15"/>
          <w:color w:val="auto"/>
        </w:rPr>
        <w:t>A fair value measurement further assumes that the hypothetical transaction occurs in the principal (or if no principal market exists, the most advantageous) market for the asset or liability. Further, a fair value measurement assumes a transaction involving the highest and best use of an asset and the consideration of assumptions that would be made by market participants when pricing an asset or liability, such as transfer restrictions or non-performance risk.</w:t>
      </w:r>
    </w:p>
    <w:p>
      <w:pPr>
        <w:spacing w:after="0" w:line="196" w:lineRule="exact"/>
        <w:rPr>
          <w:sz w:val="20"/>
          <w:szCs w:val="20"/>
          <w:color w:val="auto"/>
        </w:rPr>
      </w:pPr>
    </w:p>
    <w:p>
      <w:pPr>
        <w:ind w:right="60" w:firstLine="270"/>
        <w:spacing w:after="0" w:line="290" w:lineRule="auto"/>
        <w:rPr>
          <w:sz w:val="20"/>
          <w:szCs w:val="20"/>
          <w:color w:val="auto"/>
        </w:rPr>
      </w:pPr>
      <w:r>
        <w:rPr>
          <w:rFonts w:ascii="Arial" w:cs="Arial" w:eastAsia="Arial" w:hAnsi="Arial"/>
          <w:sz w:val="16"/>
          <w:szCs w:val="16"/>
          <w:color w:val="auto"/>
        </w:rPr>
        <w:t>The Company follows a fair value hierarchy that prioritizes the inputs to valuation techniques used to measure fair value into three broad levels. This fair value hierarchy gives the highest priority to unadjusted, quoted market prices in active markets for identical assets or liabilities (including when the liabilities are traded as assets) while giving the lowest priority to unobservable inputs, which are inputs that reflect the Company's assumptions about the factors that market participants would use in valuing assets or liabilities, based upon the best information available under existing circumstances. In cases when the inputs used to measure fair value fall in different levels of the fair value hierarchy, the level within which the fair value measurement in its entirety falls is determined based on the lowest level input that is significant to the fair value measurement in its entirety. Assessing the significance of a particular input to the fair value measurement in its entirety requires judgment, including the consideration of factors specific to the asset or liability. The hierarchy consists of the following three levels:</w:t>
      </w:r>
    </w:p>
    <w:p>
      <w:pPr>
        <w:spacing w:after="0" w:line="226"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Inputs are prices in active markets that are accessible at the measurement date.</w:t>
      </w:r>
    </w:p>
    <w:p>
      <w:pPr>
        <w:spacing w:after="0" w:line="279" w:lineRule="exact"/>
        <w:rPr>
          <w:sz w:val="20"/>
          <w:szCs w:val="20"/>
          <w:color w:val="auto"/>
        </w:rPr>
      </w:pPr>
    </w:p>
    <w:p>
      <w:pPr>
        <w:ind w:right="120" w:firstLine="270"/>
        <w:spacing w:after="0" w:line="268" w:lineRule="auto"/>
        <w:rPr>
          <w:sz w:val="20"/>
          <w:szCs w:val="20"/>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 xml:space="preserve"> - Inputs other than quoted prices included within Level 1 are observable for the asset or liability, either directly or indirectly. The Company's Level 2 liability consists of its common stock warrants which are reported in other liabilities.</w:t>
      </w:r>
    </w:p>
    <w:p>
      <w:pPr>
        <w:spacing w:after="0" w:line="240" w:lineRule="exact"/>
        <w:rPr>
          <w:sz w:val="20"/>
          <w:szCs w:val="20"/>
          <w:color w:val="auto"/>
        </w:rPr>
      </w:pPr>
    </w:p>
    <w:p>
      <w:pPr>
        <w:ind w:right="60" w:firstLine="270"/>
        <w:spacing w:after="0" w:line="268"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Inputs are unobservable inputs for the asset or liability. The Company's Level 3 assets consist of a foreign bond fund that is reported in other current assets.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27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tables below present assets and liabilities as of January 31, 2010 and November 1, 2009 that are measured at fair value on a recurring basis.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4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ind w:left="440"/>
              <w:spacing w:after="0"/>
              <w:rPr>
                <w:sz w:val="20"/>
                <w:szCs w:val="20"/>
                <w:color w:val="auto"/>
              </w:rPr>
            </w:pPr>
            <w:r>
              <w:rPr>
                <w:rFonts w:ascii="Arial" w:cs="Arial" w:eastAsia="Arial" w:hAnsi="Arial"/>
                <w:sz w:val="18"/>
                <w:szCs w:val="18"/>
                <w:b w:val="1"/>
                <w:bCs w:val="1"/>
                <w:color w:val="auto"/>
              </w:rPr>
              <w:t>January 31, 2010</w:t>
            </w: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r>
      <w:tr>
        <w:trPr>
          <w:trHeight w:val="228"/>
        </w:trPr>
        <w:tc>
          <w:tcPr>
            <w:tcW w:w="6040" w:type="dxa"/>
            <w:vAlign w:val="bottom"/>
          </w:tcPr>
          <w:p>
            <w:pPr>
              <w:spacing w:after="0"/>
              <w:rPr>
                <w:sz w:val="19"/>
                <w:szCs w:val="19"/>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Quoted</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42"/>
        </w:trPr>
        <w:tc>
          <w:tcPr>
            <w:tcW w:w="6040" w:type="dxa"/>
            <w:vAlign w:val="bottom"/>
          </w:tcPr>
          <w:p>
            <w:pPr>
              <w:spacing w:after="0"/>
              <w:rPr>
                <w:sz w:val="21"/>
                <w:szCs w:val="21"/>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Prices</w:t>
            </w: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43"/>
        </w:trPr>
        <w:tc>
          <w:tcPr>
            <w:tcW w:w="6040" w:type="dxa"/>
            <w:vAlign w:val="bottom"/>
          </w:tcPr>
          <w:p>
            <w:pPr>
              <w:spacing w:after="0"/>
              <w:rPr>
                <w:sz w:val="21"/>
                <w:szCs w:val="21"/>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 Active</w:t>
            </w:r>
          </w:p>
        </w:tc>
        <w:tc>
          <w:tcPr>
            <w:tcW w:w="12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Significant</w:t>
            </w: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43"/>
        </w:trPr>
        <w:tc>
          <w:tcPr>
            <w:tcW w:w="6040" w:type="dxa"/>
            <w:vAlign w:val="bottom"/>
          </w:tcPr>
          <w:p>
            <w:pPr>
              <w:spacing w:after="0"/>
              <w:rPr>
                <w:sz w:val="21"/>
                <w:szCs w:val="21"/>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Markets</w:t>
            </w:r>
          </w:p>
        </w:tc>
        <w:tc>
          <w:tcPr>
            <w:tcW w:w="840" w:type="dxa"/>
            <w:vAlign w:val="bottom"/>
          </w:tcPr>
          <w:p>
            <w:pPr>
              <w:jc w:val="center"/>
              <w:ind w:left="92"/>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6"/>
              </w:rPr>
              <w:t>Significant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43"/>
        </w:trPr>
        <w:tc>
          <w:tcPr>
            <w:tcW w:w="6040" w:type="dxa"/>
            <w:vAlign w:val="bottom"/>
          </w:tcPr>
          <w:p>
            <w:pPr>
              <w:spacing w:after="0"/>
              <w:rPr>
                <w:sz w:val="21"/>
                <w:szCs w:val="21"/>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for Identical</w:t>
            </w:r>
          </w:p>
        </w:tc>
        <w:tc>
          <w:tcPr>
            <w:tcW w:w="12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Observable</w:t>
            </w:r>
          </w:p>
        </w:tc>
        <w:tc>
          <w:tcPr>
            <w:tcW w:w="13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Unobservable</w:t>
            </w: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43"/>
        </w:trPr>
        <w:tc>
          <w:tcPr>
            <w:tcW w:w="6040" w:type="dxa"/>
            <w:vAlign w:val="bottom"/>
          </w:tcPr>
          <w:p>
            <w:pPr>
              <w:spacing w:after="0"/>
              <w:rPr>
                <w:sz w:val="21"/>
                <w:szCs w:val="21"/>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Instruments</w:t>
            </w:r>
          </w:p>
        </w:tc>
        <w:tc>
          <w:tcPr>
            <w:tcW w:w="840" w:type="dxa"/>
            <w:vAlign w:val="bottom"/>
          </w:tcPr>
          <w:p>
            <w:pPr>
              <w:jc w:val="center"/>
              <w:ind w:left="92"/>
              <w:spacing w:after="0"/>
              <w:rPr>
                <w:sz w:val="20"/>
                <w:szCs w:val="20"/>
                <w:color w:val="auto"/>
              </w:rPr>
            </w:pPr>
            <w:r>
              <w:rPr>
                <w:rFonts w:ascii="Arial" w:cs="Arial" w:eastAsia="Arial" w:hAnsi="Arial"/>
                <w:sz w:val="18"/>
                <w:szCs w:val="18"/>
                <w:b w:val="1"/>
                <w:bCs w:val="1"/>
                <w:color w:val="auto"/>
                <w:w w:val="92"/>
              </w:rPr>
              <w:t>Inputs</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8"/>
              </w:rPr>
              <w:t>Inputs</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52"/>
        </w:trPr>
        <w:tc>
          <w:tcPr>
            <w:tcW w:w="6040" w:type="dxa"/>
            <w:vAlign w:val="bottom"/>
            <w:tcBorders>
              <w:bottom w:val="single" w:sz="8" w:color="C0C0C0"/>
            </w:tcBorders>
          </w:tcPr>
          <w:p>
            <w:pPr>
              <w:spacing w:after="0"/>
              <w:rPr>
                <w:sz w:val="21"/>
                <w:szCs w:val="21"/>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(Level 1)</w:t>
            </w:r>
          </w:p>
        </w:tc>
        <w:tc>
          <w:tcPr>
            <w:tcW w:w="260" w:type="dxa"/>
            <w:vAlign w:val="bottom"/>
            <w:tcBorders>
              <w:bottom w:val="single" w:sz="8" w:color="C0C0C0"/>
            </w:tcBorders>
          </w:tcPr>
          <w:p>
            <w:pPr>
              <w:spacing w:after="0"/>
              <w:rPr>
                <w:sz w:val="21"/>
                <w:szCs w:val="21"/>
                <w:color w:val="auto"/>
              </w:rPr>
            </w:pPr>
          </w:p>
        </w:tc>
        <w:tc>
          <w:tcPr>
            <w:tcW w:w="840" w:type="dxa"/>
            <w:vAlign w:val="bottom"/>
            <w:tcBorders>
              <w:bottom w:val="single" w:sz="8" w:color="auto"/>
            </w:tcBorders>
          </w:tcPr>
          <w:p>
            <w:pPr>
              <w:jc w:val="center"/>
              <w:ind w:left="92"/>
              <w:spacing w:after="0"/>
              <w:rPr>
                <w:sz w:val="20"/>
                <w:szCs w:val="20"/>
                <w:color w:val="auto"/>
              </w:rPr>
            </w:pPr>
            <w:r>
              <w:rPr>
                <w:rFonts w:ascii="Arial" w:cs="Arial" w:eastAsia="Arial" w:hAnsi="Arial"/>
                <w:sz w:val="18"/>
                <w:szCs w:val="18"/>
                <w:b w:val="1"/>
                <w:bCs w:val="1"/>
                <w:color w:val="auto"/>
                <w:w w:val="90"/>
              </w:rPr>
              <w:t>(Level 2)</w:t>
            </w:r>
          </w:p>
        </w:tc>
        <w:tc>
          <w:tcPr>
            <w:tcW w:w="160" w:type="dxa"/>
            <w:vAlign w:val="bottom"/>
            <w:tcBorders>
              <w:bottom w:val="single" w:sz="8" w:color="auto"/>
            </w:tcBorders>
          </w:tcPr>
          <w:p>
            <w:pPr>
              <w:spacing w:after="0"/>
              <w:rPr>
                <w:sz w:val="21"/>
                <w:szCs w:val="21"/>
                <w:color w:val="auto"/>
              </w:rPr>
            </w:pPr>
          </w:p>
        </w:tc>
        <w:tc>
          <w:tcPr>
            <w:tcW w:w="280" w:type="dxa"/>
            <w:vAlign w:val="bottom"/>
            <w:tcBorders>
              <w:bottom w:val="single" w:sz="8" w:color="C0C0C0"/>
            </w:tcBorders>
          </w:tcPr>
          <w:p>
            <w:pPr>
              <w:spacing w:after="0"/>
              <w:rPr>
                <w:sz w:val="21"/>
                <w:szCs w:val="21"/>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(Level 3)</w:t>
            </w:r>
          </w:p>
        </w:tc>
        <w:tc>
          <w:tcPr>
            <w:tcW w:w="80" w:type="dxa"/>
            <w:vAlign w:val="bottom"/>
            <w:tcBorders>
              <w:bottom w:val="single" w:sz="8" w:color="auto"/>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90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Total</w:t>
            </w:r>
          </w:p>
        </w:tc>
      </w:tr>
      <w:tr>
        <w:trPr>
          <w:trHeight w:val="237"/>
        </w:trPr>
        <w:tc>
          <w:tcPr>
            <w:tcW w:w="6040" w:type="dxa"/>
            <w:vAlign w:val="bottom"/>
            <w:shd w:val="clear" w:color="auto" w:fill="C0C0C0"/>
          </w:tcPr>
          <w:p>
            <w:pPr>
              <w:spacing w:after="0"/>
              <w:rPr>
                <w:sz w:val="20"/>
                <w:szCs w:val="20"/>
                <w:color w:val="auto"/>
              </w:rPr>
            </w:pPr>
            <w:r>
              <w:rPr>
                <w:rFonts w:ascii="Arial" w:cs="Arial" w:eastAsia="Arial" w:hAnsi="Arial"/>
                <w:sz w:val="18"/>
                <w:szCs w:val="18"/>
                <w:color w:val="auto"/>
              </w:rPr>
              <w:t>Foreign bond fund</w:t>
            </w:r>
          </w:p>
        </w:tc>
        <w:tc>
          <w:tcPr>
            <w:tcW w:w="10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 -</w:t>
            </w:r>
          </w:p>
        </w:tc>
        <w:tc>
          <w:tcPr>
            <w:tcW w:w="260" w:type="dxa"/>
            <w:vAlign w:val="bottom"/>
            <w:shd w:val="clear" w:color="auto" w:fill="C0C0C0"/>
          </w:tcPr>
          <w:p>
            <w:pPr>
              <w:spacing w:after="0"/>
              <w:rPr>
                <w:sz w:val="20"/>
                <w:szCs w:val="20"/>
                <w:color w:val="auto"/>
              </w:rPr>
            </w:pPr>
          </w:p>
        </w:tc>
        <w:tc>
          <w:tcPr>
            <w:tcW w:w="840" w:type="dxa"/>
            <w:vAlign w:val="bottom"/>
            <w:tcBorders>
              <w:bottom w:val="single" w:sz="8" w:color="auto"/>
            </w:tcBorders>
            <w:shd w:val="clear" w:color="auto" w:fill="C0C0C0"/>
          </w:tcPr>
          <w:p>
            <w:pPr>
              <w:ind w:left="3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0C0C0"/>
          </w:tcPr>
          <w:p>
            <w:pPr>
              <w:jc w:val="right"/>
              <w:ind w:right="18"/>
              <w:spacing w:after="0"/>
              <w:rPr>
                <w:sz w:val="20"/>
                <w:szCs w:val="20"/>
                <w:color w:val="auto"/>
              </w:rPr>
            </w:pPr>
            <w:r>
              <w:rPr>
                <w:rFonts w:ascii="Arial" w:cs="Arial" w:eastAsia="Arial" w:hAnsi="Arial"/>
                <w:sz w:val="16"/>
                <w:szCs w:val="16"/>
                <w:color w:val="auto"/>
                <w:w w:val="74"/>
              </w:rPr>
              <w:t>-</w:t>
            </w:r>
          </w:p>
        </w:tc>
        <w:tc>
          <w:tcPr>
            <w:tcW w:w="280" w:type="dxa"/>
            <w:vAlign w:val="bottom"/>
            <w:shd w:val="clear" w:color="auto" w:fill="C0C0C0"/>
          </w:tcPr>
          <w:p>
            <w:pPr>
              <w:spacing w:after="0"/>
              <w:rPr>
                <w:sz w:val="20"/>
                <w:szCs w:val="20"/>
                <w:color w:val="auto"/>
              </w:rPr>
            </w:pPr>
          </w:p>
        </w:tc>
        <w:tc>
          <w:tcPr>
            <w:tcW w:w="1040" w:type="dxa"/>
            <w:vAlign w:val="bottom"/>
            <w:tcBorders>
              <w:bottom w:val="single" w:sz="8" w:color="auto"/>
            </w:tcBorders>
            <w:gridSpan w:val="2"/>
            <w:shd w:val="clear" w:color="auto" w:fill="C0C0C0"/>
          </w:tcPr>
          <w:p>
            <w:pPr>
              <w:jc w:val="right"/>
              <w:spacing w:after="0"/>
              <w:rPr>
                <w:sz w:val="20"/>
                <w:szCs w:val="20"/>
                <w:color w:val="auto"/>
              </w:rPr>
            </w:pPr>
            <w:r>
              <w:rPr>
                <w:rFonts w:ascii="Arial" w:cs="Arial" w:eastAsia="Arial" w:hAnsi="Arial"/>
                <w:sz w:val="18"/>
                <w:szCs w:val="18"/>
                <w:color w:val="auto"/>
              </w:rPr>
              <w:t>$150</w:t>
            </w:r>
          </w:p>
        </w:tc>
        <w:tc>
          <w:tcPr>
            <w:tcW w:w="260" w:type="dxa"/>
            <w:vAlign w:val="bottom"/>
            <w:shd w:val="clear" w:color="auto" w:fill="C0C0C0"/>
          </w:tcPr>
          <w:p>
            <w:pPr>
              <w:spacing w:after="0"/>
              <w:rPr>
                <w:sz w:val="20"/>
                <w:szCs w:val="20"/>
                <w:color w:val="auto"/>
              </w:rPr>
            </w:pPr>
          </w:p>
        </w:tc>
        <w:tc>
          <w:tcPr>
            <w:tcW w:w="420" w:type="dxa"/>
            <w:vAlign w:val="bottom"/>
            <w:tcBorders>
              <w:bottom w:val="single" w:sz="8" w:color="auto"/>
            </w:tcBorders>
            <w:shd w:val="clear" w:color="auto" w:fill="C0C0C0"/>
          </w:tcPr>
          <w:p>
            <w:pPr>
              <w:ind w:left="24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150</w:t>
            </w:r>
          </w:p>
        </w:tc>
      </w:tr>
      <w:tr>
        <w:trPr>
          <w:trHeight w:val="250"/>
        </w:trPr>
        <w:tc>
          <w:tcPr>
            <w:tcW w:w="604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Total assets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260" w:type="dxa"/>
            <w:vAlign w:val="bottom"/>
            <w:tcBorders>
              <w:bottom w:val="single" w:sz="8" w:color="C0C0C0"/>
            </w:tcBorders>
          </w:tcPr>
          <w:p>
            <w:pPr>
              <w:spacing w:after="0"/>
              <w:rPr>
                <w:sz w:val="21"/>
                <w:szCs w:val="21"/>
                <w:color w:val="auto"/>
              </w:rPr>
            </w:pPr>
          </w:p>
        </w:tc>
        <w:tc>
          <w:tcPr>
            <w:tcW w:w="8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C0C0C0"/>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$150</w:t>
            </w:r>
          </w:p>
        </w:tc>
        <w:tc>
          <w:tcPr>
            <w:tcW w:w="260" w:type="dxa"/>
            <w:vAlign w:val="bottom"/>
            <w:tcBorders>
              <w:bottom w:val="single" w:sz="8" w:color="C0C0C0"/>
            </w:tcBorders>
          </w:tcPr>
          <w:p>
            <w:pPr>
              <w:spacing w:after="0"/>
              <w:rPr>
                <w:sz w:val="21"/>
                <w:szCs w:val="21"/>
                <w:color w:val="auto"/>
              </w:rPr>
            </w:pPr>
          </w:p>
        </w:tc>
        <w:tc>
          <w:tcPr>
            <w:tcW w:w="4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150</w:t>
            </w:r>
          </w:p>
        </w:tc>
      </w:tr>
      <w:tr>
        <w:trPr>
          <w:trHeight w:val="237"/>
        </w:trPr>
        <w:tc>
          <w:tcPr>
            <w:tcW w:w="6040" w:type="dxa"/>
            <w:vAlign w:val="bottom"/>
            <w:shd w:val="clear" w:color="auto" w:fill="C0C0C0"/>
          </w:tcPr>
          <w:p>
            <w:pPr>
              <w:spacing w:after="0"/>
              <w:rPr>
                <w:sz w:val="20"/>
                <w:szCs w:val="20"/>
                <w:color w:val="auto"/>
              </w:rPr>
            </w:pPr>
            <w:r>
              <w:rPr>
                <w:rFonts w:ascii="Arial" w:cs="Arial" w:eastAsia="Arial" w:hAnsi="Arial"/>
                <w:sz w:val="18"/>
                <w:szCs w:val="18"/>
                <w:color w:val="auto"/>
              </w:rPr>
              <w:t>Common stock warrants</w:t>
            </w:r>
          </w:p>
        </w:tc>
        <w:tc>
          <w:tcPr>
            <w:tcW w:w="10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 -</w:t>
            </w:r>
          </w:p>
        </w:tc>
        <w:tc>
          <w:tcPr>
            <w:tcW w:w="260" w:type="dxa"/>
            <w:vAlign w:val="bottom"/>
            <w:shd w:val="clear" w:color="auto" w:fill="C0C0C0"/>
          </w:tcPr>
          <w:p>
            <w:pPr>
              <w:spacing w:after="0"/>
              <w:rPr>
                <w:sz w:val="20"/>
                <w:szCs w:val="20"/>
                <w:color w:val="auto"/>
              </w:rPr>
            </w:pPr>
          </w:p>
        </w:tc>
        <w:tc>
          <w:tcPr>
            <w:tcW w:w="1000" w:type="dxa"/>
            <w:vAlign w:val="bottom"/>
            <w:tcBorders>
              <w:bottom w:val="single" w:sz="8" w:color="auto"/>
            </w:tcBorders>
            <w:gridSpan w:val="2"/>
            <w:shd w:val="clear" w:color="auto" w:fill="C0C0C0"/>
          </w:tcPr>
          <w:p>
            <w:pPr>
              <w:ind w:left="360"/>
              <w:spacing w:after="0"/>
              <w:rPr>
                <w:sz w:val="20"/>
                <w:szCs w:val="20"/>
                <w:color w:val="auto"/>
              </w:rPr>
            </w:pPr>
            <w:r>
              <w:rPr>
                <w:rFonts w:ascii="Arial" w:cs="Arial" w:eastAsia="Arial" w:hAnsi="Arial"/>
                <w:sz w:val="18"/>
                <w:szCs w:val="18"/>
                <w:color w:val="auto"/>
                <w:w w:val="92"/>
              </w:rPr>
              <w:t>$(2,228)</w:t>
            </w:r>
          </w:p>
        </w:tc>
        <w:tc>
          <w:tcPr>
            <w:tcW w:w="280" w:type="dxa"/>
            <w:vAlign w:val="bottom"/>
            <w:shd w:val="clear" w:color="auto" w:fill="C0C0C0"/>
          </w:tcPr>
          <w:p>
            <w:pPr>
              <w:spacing w:after="0"/>
              <w:rPr>
                <w:sz w:val="20"/>
                <w:szCs w:val="20"/>
                <w:color w:val="auto"/>
              </w:rPr>
            </w:pPr>
          </w:p>
        </w:tc>
        <w:tc>
          <w:tcPr>
            <w:tcW w:w="96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0C0C0"/>
          </w:tcPr>
          <w:p>
            <w:pPr>
              <w:spacing w:after="0"/>
              <w:rPr>
                <w:sz w:val="20"/>
                <w:szCs w:val="20"/>
                <w:color w:val="auto"/>
              </w:rPr>
            </w:pPr>
          </w:p>
        </w:tc>
        <w:tc>
          <w:tcPr>
            <w:tcW w:w="900" w:type="dxa"/>
            <w:vAlign w:val="bottom"/>
            <w:tcBorders>
              <w:bottom w:val="single" w:sz="8" w:color="auto"/>
            </w:tcBorders>
            <w:gridSpan w:val="2"/>
            <w:shd w:val="clear" w:color="auto" w:fill="C0C0C0"/>
          </w:tcPr>
          <w:p>
            <w:pPr>
              <w:ind w:left="240"/>
              <w:spacing w:after="0"/>
              <w:rPr>
                <w:sz w:val="20"/>
                <w:szCs w:val="20"/>
                <w:color w:val="auto"/>
              </w:rPr>
            </w:pPr>
            <w:r>
              <w:rPr>
                <w:rFonts w:ascii="Arial" w:cs="Arial" w:eastAsia="Arial" w:hAnsi="Arial"/>
                <w:sz w:val="18"/>
                <w:szCs w:val="18"/>
                <w:color w:val="auto"/>
                <w:w w:val="95"/>
              </w:rPr>
              <w:t>$(2,228)</w:t>
            </w:r>
          </w:p>
        </w:tc>
      </w:tr>
      <w:tr>
        <w:trPr>
          <w:trHeight w:val="250"/>
        </w:trPr>
        <w:tc>
          <w:tcPr>
            <w:tcW w:w="6040" w:type="dxa"/>
            <w:vAlign w:val="bottom"/>
          </w:tcPr>
          <w:p>
            <w:pPr>
              <w:spacing w:after="0"/>
              <w:rPr>
                <w:sz w:val="20"/>
                <w:szCs w:val="20"/>
                <w:color w:val="auto"/>
              </w:rPr>
            </w:pPr>
            <w:r>
              <w:rPr>
                <w:rFonts w:ascii="Arial" w:cs="Arial" w:eastAsia="Arial" w:hAnsi="Arial"/>
                <w:sz w:val="18"/>
                <w:szCs w:val="18"/>
                <w:color w:val="auto"/>
              </w:rPr>
              <w:t>Total liabilities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w w:val="92"/>
              </w:rPr>
              <w:t>$(2,228)</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w w:val="95"/>
              </w:rPr>
              <w:t>$(2,228)</w:t>
            </w:r>
          </w:p>
        </w:tc>
      </w:tr>
      <w:tr>
        <w:trPr>
          <w:trHeight w:val="466"/>
        </w:trPr>
        <w:tc>
          <w:tcPr>
            <w:tcW w:w="604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ind w:left="400"/>
              <w:spacing w:after="0"/>
              <w:rPr>
                <w:sz w:val="20"/>
                <w:szCs w:val="20"/>
                <w:color w:val="auto"/>
              </w:rPr>
            </w:pPr>
            <w:r>
              <w:rPr>
                <w:rFonts w:ascii="Arial" w:cs="Arial" w:eastAsia="Arial" w:hAnsi="Arial"/>
                <w:sz w:val="18"/>
                <w:szCs w:val="18"/>
                <w:b w:val="1"/>
                <w:bCs w:val="1"/>
                <w:color w:val="auto"/>
              </w:rPr>
              <w:t>November 1, 2009</w:t>
            </w: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r>
        <w:trPr>
          <w:trHeight w:val="228"/>
        </w:trPr>
        <w:tc>
          <w:tcPr>
            <w:tcW w:w="6040" w:type="dxa"/>
            <w:vAlign w:val="bottom"/>
          </w:tcPr>
          <w:p>
            <w:pPr>
              <w:spacing w:after="0"/>
              <w:rPr>
                <w:sz w:val="19"/>
                <w:szCs w:val="19"/>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Quoted</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42"/>
        </w:trPr>
        <w:tc>
          <w:tcPr>
            <w:tcW w:w="6040" w:type="dxa"/>
            <w:vAlign w:val="bottom"/>
          </w:tcPr>
          <w:p>
            <w:pPr>
              <w:spacing w:after="0"/>
              <w:rPr>
                <w:sz w:val="21"/>
                <w:szCs w:val="21"/>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Prices</w:t>
            </w: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43"/>
        </w:trPr>
        <w:tc>
          <w:tcPr>
            <w:tcW w:w="6040" w:type="dxa"/>
            <w:vAlign w:val="bottom"/>
          </w:tcPr>
          <w:p>
            <w:pPr>
              <w:spacing w:after="0"/>
              <w:rPr>
                <w:sz w:val="21"/>
                <w:szCs w:val="21"/>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 Active</w:t>
            </w:r>
          </w:p>
        </w:tc>
        <w:tc>
          <w:tcPr>
            <w:tcW w:w="12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Significant</w:t>
            </w: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43"/>
        </w:trPr>
        <w:tc>
          <w:tcPr>
            <w:tcW w:w="6040" w:type="dxa"/>
            <w:vAlign w:val="bottom"/>
          </w:tcPr>
          <w:p>
            <w:pPr>
              <w:spacing w:after="0"/>
              <w:rPr>
                <w:sz w:val="21"/>
                <w:szCs w:val="21"/>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Markets</w:t>
            </w:r>
          </w:p>
        </w:tc>
        <w:tc>
          <w:tcPr>
            <w:tcW w:w="840" w:type="dxa"/>
            <w:vAlign w:val="bottom"/>
          </w:tcPr>
          <w:p>
            <w:pPr>
              <w:jc w:val="center"/>
              <w:ind w:left="92"/>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6"/>
              </w:rPr>
              <w:t>Significant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43"/>
        </w:trPr>
        <w:tc>
          <w:tcPr>
            <w:tcW w:w="6040" w:type="dxa"/>
            <w:vAlign w:val="bottom"/>
          </w:tcPr>
          <w:p>
            <w:pPr>
              <w:spacing w:after="0"/>
              <w:rPr>
                <w:sz w:val="21"/>
                <w:szCs w:val="21"/>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for Identical</w:t>
            </w:r>
          </w:p>
        </w:tc>
        <w:tc>
          <w:tcPr>
            <w:tcW w:w="12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Observable</w:t>
            </w:r>
          </w:p>
        </w:tc>
        <w:tc>
          <w:tcPr>
            <w:tcW w:w="13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Unobservable</w:t>
            </w: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43"/>
        </w:trPr>
        <w:tc>
          <w:tcPr>
            <w:tcW w:w="6040" w:type="dxa"/>
            <w:vAlign w:val="bottom"/>
          </w:tcPr>
          <w:p>
            <w:pPr>
              <w:spacing w:after="0"/>
              <w:rPr>
                <w:sz w:val="21"/>
                <w:szCs w:val="21"/>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Instruments</w:t>
            </w:r>
          </w:p>
        </w:tc>
        <w:tc>
          <w:tcPr>
            <w:tcW w:w="840" w:type="dxa"/>
            <w:vAlign w:val="bottom"/>
          </w:tcPr>
          <w:p>
            <w:pPr>
              <w:jc w:val="center"/>
              <w:ind w:left="92"/>
              <w:spacing w:after="0"/>
              <w:rPr>
                <w:sz w:val="20"/>
                <w:szCs w:val="20"/>
                <w:color w:val="auto"/>
              </w:rPr>
            </w:pPr>
            <w:r>
              <w:rPr>
                <w:rFonts w:ascii="Arial" w:cs="Arial" w:eastAsia="Arial" w:hAnsi="Arial"/>
                <w:sz w:val="18"/>
                <w:szCs w:val="18"/>
                <w:b w:val="1"/>
                <w:bCs w:val="1"/>
                <w:color w:val="auto"/>
                <w:w w:val="92"/>
              </w:rPr>
              <w:t>Inputs</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8"/>
              </w:rPr>
              <w:t>Inputs</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52"/>
        </w:trPr>
        <w:tc>
          <w:tcPr>
            <w:tcW w:w="6040" w:type="dxa"/>
            <w:vAlign w:val="bottom"/>
            <w:tcBorders>
              <w:bottom w:val="single" w:sz="8" w:color="C0C0C0"/>
            </w:tcBorders>
          </w:tcPr>
          <w:p>
            <w:pPr>
              <w:spacing w:after="0"/>
              <w:rPr>
                <w:sz w:val="21"/>
                <w:szCs w:val="21"/>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(Level 1)</w:t>
            </w:r>
          </w:p>
        </w:tc>
        <w:tc>
          <w:tcPr>
            <w:tcW w:w="260" w:type="dxa"/>
            <w:vAlign w:val="bottom"/>
            <w:tcBorders>
              <w:bottom w:val="single" w:sz="8" w:color="C0C0C0"/>
            </w:tcBorders>
          </w:tcPr>
          <w:p>
            <w:pPr>
              <w:spacing w:after="0"/>
              <w:rPr>
                <w:sz w:val="21"/>
                <w:szCs w:val="21"/>
                <w:color w:val="auto"/>
              </w:rPr>
            </w:pPr>
          </w:p>
        </w:tc>
        <w:tc>
          <w:tcPr>
            <w:tcW w:w="840" w:type="dxa"/>
            <w:vAlign w:val="bottom"/>
            <w:tcBorders>
              <w:bottom w:val="single" w:sz="8" w:color="auto"/>
            </w:tcBorders>
          </w:tcPr>
          <w:p>
            <w:pPr>
              <w:jc w:val="center"/>
              <w:ind w:left="92"/>
              <w:spacing w:after="0"/>
              <w:rPr>
                <w:sz w:val="20"/>
                <w:szCs w:val="20"/>
                <w:color w:val="auto"/>
              </w:rPr>
            </w:pPr>
            <w:r>
              <w:rPr>
                <w:rFonts w:ascii="Arial" w:cs="Arial" w:eastAsia="Arial" w:hAnsi="Arial"/>
                <w:sz w:val="18"/>
                <w:szCs w:val="18"/>
                <w:b w:val="1"/>
                <w:bCs w:val="1"/>
                <w:color w:val="auto"/>
                <w:w w:val="90"/>
              </w:rPr>
              <w:t>(Level 2)</w:t>
            </w:r>
          </w:p>
        </w:tc>
        <w:tc>
          <w:tcPr>
            <w:tcW w:w="160" w:type="dxa"/>
            <w:vAlign w:val="bottom"/>
            <w:tcBorders>
              <w:bottom w:val="single" w:sz="8" w:color="auto"/>
            </w:tcBorders>
          </w:tcPr>
          <w:p>
            <w:pPr>
              <w:spacing w:after="0"/>
              <w:rPr>
                <w:sz w:val="21"/>
                <w:szCs w:val="21"/>
                <w:color w:val="auto"/>
              </w:rPr>
            </w:pPr>
          </w:p>
        </w:tc>
        <w:tc>
          <w:tcPr>
            <w:tcW w:w="280" w:type="dxa"/>
            <w:vAlign w:val="bottom"/>
            <w:tcBorders>
              <w:bottom w:val="single" w:sz="8" w:color="C0C0C0"/>
            </w:tcBorders>
          </w:tcPr>
          <w:p>
            <w:pPr>
              <w:spacing w:after="0"/>
              <w:rPr>
                <w:sz w:val="21"/>
                <w:szCs w:val="21"/>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(Level 3)</w:t>
            </w:r>
          </w:p>
        </w:tc>
        <w:tc>
          <w:tcPr>
            <w:tcW w:w="80" w:type="dxa"/>
            <w:vAlign w:val="bottom"/>
            <w:tcBorders>
              <w:bottom w:val="single" w:sz="8" w:color="auto"/>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90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Total</w:t>
            </w:r>
          </w:p>
        </w:tc>
      </w:tr>
      <w:tr>
        <w:trPr>
          <w:trHeight w:val="237"/>
        </w:trPr>
        <w:tc>
          <w:tcPr>
            <w:tcW w:w="6040" w:type="dxa"/>
            <w:vAlign w:val="bottom"/>
            <w:shd w:val="clear" w:color="auto" w:fill="C0C0C0"/>
          </w:tcPr>
          <w:p>
            <w:pPr>
              <w:spacing w:after="0"/>
              <w:rPr>
                <w:sz w:val="20"/>
                <w:szCs w:val="20"/>
                <w:color w:val="auto"/>
              </w:rPr>
            </w:pPr>
            <w:r>
              <w:rPr>
                <w:rFonts w:ascii="Arial" w:cs="Arial" w:eastAsia="Arial" w:hAnsi="Arial"/>
                <w:sz w:val="18"/>
                <w:szCs w:val="18"/>
                <w:color w:val="auto"/>
              </w:rPr>
              <w:t>Foreign bond fund</w:t>
            </w:r>
          </w:p>
        </w:tc>
        <w:tc>
          <w:tcPr>
            <w:tcW w:w="10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 -</w:t>
            </w:r>
          </w:p>
        </w:tc>
        <w:tc>
          <w:tcPr>
            <w:tcW w:w="260" w:type="dxa"/>
            <w:vAlign w:val="bottom"/>
            <w:shd w:val="clear" w:color="auto" w:fill="C0C0C0"/>
          </w:tcPr>
          <w:p>
            <w:pPr>
              <w:spacing w:after="0"/>
              <w:rPr>
                <w:sz w:val="20"/>
                <w:szCs w:val="20"/>
                <w:color w:val="auto"/>
              </w:rPr>
            </w:pPr>
          </w:p>
        </w:tc>
        <w:tc>
          <w:tcPr>
            <w:tcW w:w="840" w:type="dxa"/>
            <w:vAlign w:val="bottom"/>
            <w:tcBorders>
              <w:bottom w:val="single" w:sz="8" w:color="auto"/>
            </w:tcBorders>
            <w:shd w:val="clear" w:color="auto" w:fill="C0C0C0"/>
          </w:tcPr>
          <w:p>
            <w:pPr>
              <w:ind w:left="3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0C0C0"/>
          </w:tcPr>
          <w:p>
            <w:pPr>
              <w:jc w:val="right"/>
              <w:ind w:right="18"/>
              <w:spacing w:after="0"/>
              <w:rPr>
                <w:sz w:val="20"/>
                <w:szCs w:val="20"/>
                <w:color w:val="auto"/>
              </w:rPr>
            </w:pPr>
            <w:r>
              <w:rPr>
                <w:rFonts w:ascii="Arial" w:cs="Arial" w:eastAsia="Arial" w:hAnsi="Arial"/>
                <w:sz w:val="16"/>
                <w:szCs w:val="16"/>
                <w:color w:val="auto"/>
                <w:w w:val="74"/>
              </w:rPr>
              <w:t>-</w:t>
            </w:r>
          </w:p>
        </w:tc>
        <w:tc>
          <w:tcPr>
            <w:tcW w:w="280" w:type="dxa"/>
            <w:vAlign w:val="bottom"/>
            <w:shd w:val="clear" w:color="auto" w:fill="C0C0C0"/>
          </w:tcPr>
          <w:p>
            <w:pPr>
              <w:spacing w:after="0"/>
              <w:rPr>
                <w:sz w:val="20"/>
                <w:szCs w:val="20"/>
                <w:color w:val="auto"/>
              </w:rPr>
            </w:pPr>
          </w:p>
        </w:tc>
        <w:tc>
          <w:tcPr>
            <w:tcW w:w="1040" w:type="dxa"/>
            <w:vAlign w:val="bottom"/>
            <w:tcBorders>
              <w:bottom w:val="single" w:sz="8" w:color="auto"/>
            </w:tcBorders>
            <w:gridSpan w:val="2"/>
            <w:shd w:val="clear" w:color="auto" w:fill="C0C0C0"/>
          </w:tcPr>
          <w:p>
            <w:pPr>
              <w:jc w:val="right"/>
              <w:spacing w:after="0"/>
              <w:rPr>
                <w:sz w:val="20"/>
                <w:szCs w:val="20"/>
                <w:color w:val="auto"/>
              </w:rPr>
            </w:pPr>
            <w:r>
              <w:rPr>
                <w:rFonts w:ascii="Arial" w:cs="Arial" w:eastAsia="Arial" w:hAnsi="Arial"/>
                <w:sz w:val="18"/>
                <w:szCs w:val="18"/>
                <w:color w:val="auto"/>
              </w:rPr>
              <w:t>$148</w:t>
            </w:r>
          </w:p>
        </w:tc>
        <w:tc>
          <w:tcPr>
            <w:tcW w:w="260" w:type="dxa"/>
            <w:vAlign w:val="bottom"/>
            <w:shd w:val="clear" w:color="auto" w:fill="C0C0C0"/>
          </w:tcPr>
          <w:p>
            <w:pPr>
              <w:spacing w:after="0"/>
              <w:rPr>
                <w:sz w:val="20"/>
                <w:szCs w:val="20"/>
                <w:color w:val="auto"/>
              </w:rPr>
            </w:pPr>
          </w:p>
        </w:tc>
        <w:tc>
          <w:tcPr>
            <w:tcW w:w="420" w:type="dxa"/>
            <w:vAlign w:val="bottom"/>
            <w:tcBorders>
              <w:bottom w:val="single" w:sz="8" w:color="auto"/>
            </w:tcBorders>
            <w:shd w:val="clear" w:color="auto" w:fill="C0C0C0"/>
          </w:tcPr>
          <w:p>
            <w:pPr>
              <w:ind w:left="24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148</w:t>
            </w:r>
          </w:p>
        </w:tc>
      </w:tr>
      <w:tr>
        <w:trPr>
          <w:trHeight w:val="250"/>
        </w:trPr>
        <w:tc>
          <w:tcPr>
            <w:tcW w:w="604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Total assets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260" w:type="dxa"/>
            <w:vAlign w:val="bottom"/>
            <w:tcBorders>
              <w:bottom w:val="single" w:sz="8" w:color="C0C0C0"/>
            </w:tcBorders>
          </w:tcPr>
          <w:p>
            <w:pPr>
              <w:spacing w:after="0"/>
              <w:rPr>
                <w:sz w:val="21"/>
                <w:szCs w:val="21"/>
                <w:color w:val="auto"/>
              </w:rPr>
            </w:pPr>
          </w:p>
        </w:tc>
        <w:tc>
          <w:tcPr>
            <w:tcW w:w="8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C0C0C0"/>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$148</w:t>
            </w:r>
          </w:p>
        </w:tc>
        <w:tc>
          <w:tcPr>
            <w:tcW w:w="260" w:type="dxa"/>
            <w:vAlign w:val="bottom"/>
            <w:tcBorders>
              <w:bottom w:val="single" w:sz="8" w:color="C0C0C0"/>
            </w:tcBorders>
          </w:tcPr>
          <w:p>
            <w:pPr>
              <w:spacing w:after="0"/>
              <w:rPr>
                <w:sz w:val="21"/>
                <w:szCs w:val="21"/>
                <w:color w:val="auto"/>
              </w:rPr>
            </w:pPr>
          </w:p>
        </w:tc>
        <w:tc>
          <w:tcPr>
            <w:tcW w:w="4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148</w:t>
            </w:r>
          </w:p>
        </w:tc>
      </w:tr>
      <w:tr>
        <w:trPr>
          <w:trHeight w:val="237"/>
        </w:trPr>
        <w:tc>
          <w:tcPr>
            <w:tcW w:w="6040" w:type="dxa"/>
            <w:vAlign w:val="bottom"/>
            <w:shd w:val="clear" w:color="auto" w:fill="C0C0C0"/>
          </w:tcPr>
          <w:p>
            <w:pPr>
              <w:spacing w:after="0"/>
              <w:rPr>
                <w:sz w:val="20"/>
                <w:szCs w:val="20"/>
                <w:color w:val="auto"/>
              </w:rPr>
            </w:pPr>
            <w:r>
              <w:rPr>
                <w:rFonts w:ascii="Arial" w:cs="Arial" w:eastAsia="Arial" w:hAnsi="Arial"/>
                <w:sz w:val="18"/>
                <w:szCs w:val="18"/>
                <w:color w:val="auto"/>
              </w:rPr>
              <w:t>Common stock warrants</w:t>
            </w:r>
          </w:p>
        </w:tc>
        <w:tc>
          <w:tcPr>
            <w:tcW w:w="10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 -</w:t>
            </w:r>
          </w:p>
        </w:tc>
        <w:tc>
          <w:tcPr>
            <w:tcW w:w="260" w:type="dxa"/>
            <w:vAlign w:val="bottom"/>
            <w:shd w:val="clear" w:color="auto" w:fill="C0C0C0"/>
          </w:tcPr>
          <w:p>
            <w:pPr>
              <w:spacing w:after="0"/>
              <w:rPr>
                <w:sz w:val="20"/>
                <w:szCs w:val="20"/>
                <w:color w:val="auto"/>
              </w:rPr>
            </w:pPr>
          </w:p>
        </w:tc>
        <w:tc>
          <w:tcPr>
            <w:tcW w:w="1000" w:type="dxa"/>
            <w:vAlign w:val="bottom"/>
            <w:tcBorders>
              <w:bottom w:val="single" w:sz="8" w:color="auto"/>
            </w:tcBorders>
            <w:gridSpan w:val="2"/>
            <w:shd w:val="clear" w:color="auto" w:fill="C0C0C0"/>
          </w:tcPr>
          <w:p>
            <w:pPr>
              <w:ind w:left="360"/>
              <w:spacing w:after="0"/>
              <w:rPr>
                <w:sz w:val="20"/>
                <w:szCs w:val="20"/>
                <w:color w:val="auto"/>
              </w:rPr>
            </w:pPr>
            <w:r>
              <w:rPr>
                <w:rFonts w:ascii="Arial" w:cs="Arial" w:eastAsia="Arial" w:hAnsi="Arial"/>
                <w:sz w:val="18"/>
                <w:szCs w:val="18"/>
                <w:color w:val="auto"/>
                <w:w w:val="92"/>
              </w:rPr>
              <w:t>$(3,205)</w:t>
            </w:r>
          </w:p>
        </w:tc>
        <w:tc>
          <w:tcPr>
            <w:tcW w:w="280" w:type="dxa"/>
            <w:vAlign w:val="bottom"/>
            <w:shd w:val="clear" w:color="auto" w:fill="C0C0C0"/>
          </w:tcPr>
          <w:p>
            <w:pPr>
              <w:spacing w:after="0"/>
              <w:rPr>
                <w:sz w:val="20"/>
                <w:szCs w:val="20"/>
                <w:color w:val="auto"/>
              </w:rPr>
            </w:pPr>
          </w:p>
        </w:tc>
        <w:tc>
          <w:tcPr>
            <w:tcW w:w="96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0C0C0"/>
          </w:tcPr>
          <w:p>
            <w:pPr>
              <w:spacing w:after="0"/>
              <w:rPr>
                <w:sz w:val="20"/>
                <w:szCs w:val="20"/>
                <w:color w:val="auto"/>
              </w:rPr>
            </w:pPr>
          </w:p>
        </w:tc>
        <w:tc>
          <w:tcPr>
            <w:tcW w:w="900" w:type="dxa"/>
            <w:vAlign w:val="bottom"/>
            <w:tcBorders>
              <w:bottom w:val="single" w:sz="8" w:color="auto"/>
            </w:tcBorders>
            <w:gridSpan w:val="2"/>
            <w:shd w:val="clear" w:color="auto" w:fill="C0C0C0"/>
          </w:tcPr>
          <w:p>
            <w:pPr>
              <w:ind w:left="240"/>
              <w:spacing w:after="0"/>
              <w:rPr>
                <w:sz w:val="20"/>
                <w:szCs w:val="20"/>
                <w:color w:val="auto"/>
              </w:rPr>
            </w:pPr>
            <w:r>
              <w:rPr>
                <w:rFonts w:ascii="Arial" w:cs="Arial" w:eastAsia="Arial" w:hAnsi="Arial"/>
                <w:sz w:val="18"/>
                <w:szCs w:val="18"/>
                <w:color w:val="auto"/>
                <w:w w:val="95"/>
              </w:rPr>
              <w:t>$(3,205)</w:t>
            </w:r>
          </w:p>
        </w:tc>
      </w:tr>
      <w:tr>
        <w:trPr>
          <w:trHeight w:val="250"/>
        </w:trPr>
        <w:tc>
          <w:tcPr>
            <w:tcW w:w="6040" w:type="dxa"/>
            <w:vAlign w:val="bottom"/>
          </w:tcPr>
          <w:p>
            <w:pPr>
              <w:spacing w:after="0"/>
              <w:rPr>
                <w:sz w:val="20"/>
                <w:szCs w:val="20"/>
                <w:color w:val="auto"/>
              </w:rPr>
            </w:pPr>
            <w:r>
              <w:rPr>
                <w:rFonts w:ascii="Arial" w:cs="Arial" w:eastAsia="Arial" w:hAnsi="Arial"/>
                <w:sz w:val="18"/>
                <w:szCs w:val="18"/>
                <w:color w:val="auto"/>
              </w:rPr>
              <w:t>Total liabilities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21"/>
                <w:szCs w:val="21"/>
                <w:color w:val="auto"/>
              </w:rPr>
            </w:pPr>
          </w:p>
        </w:tc>
        <w:tc>
          <w:tcPr>
            <w:tcW w:w="100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w w:val="92"/>
              </w:rPr>
              <w:t>$(3,205)</w:t>
            </w:r>
          </w:p>
        </w:tc>
        <w:tc>
          <w:tcPr>
            <w:tcW w:w="280" w:type="dxa"/>
            <w:vAlign w:val="bottom"/>
          </w:tcPr>
          <w:p>
            <w:pPr>
              <w:spacing w:after="0"/>
              <w:rPr>
                <w:sz w:val="21"/>
                <w:szCs w:val="21"/>
                <w:color w:val="auto"/>
              </w:rPr>
            </w:pPr>
          </w:p>
        </w:tc>
        <w:tc>
          <w:tcPr>
            <w:tcW w:w="9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1"/>
                <w:szCs w:val="21"/>
                <w:color w:val="auto"/>
              </w:rPr>
            </w:pPr>
          </w:p>
        </w:tc>
        <w:tc>
          <w:tcPr>
            <w:tcW w:w="90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w w:val="95"/>
              </w:rPr>
              <w:t>$(3,205)</w:t>
            </w:r>
          </w:p>
        </w:tc>
      </w:tr>
    </w:tbl>
    <w:p>
      <w:pPr>
        <w:spacing w:after="0" w:line="262" w:lineRule="exact"/>
        <w:rPr>
          <w:sz w:val="20"/>
          <w:szCs w:val="20"/>
          <w:color w:val="auto"/>
        </w:rPr>
      </w:pPr>
    </w:p>
    <w:p>
      <w:pPr>
        <w:ind w:right="40" w:firstLine="270"/>
        <w:spacing w:after="0" w:line="306" w:lineRule="auto"/>
        <w:rPr>
          <w:sz w:val="20"/>
          <w:szCs w:val="20"/>
          <w:color w:val="auto"/>
        </w:rPr>
      </w:pPr>
      <w:r>
        <w:rPr>
          <w:rFonts w:ascii="Arial" w:cs="Arial" w:eastAsia="Arial" w:hAnsi="Arial"/>
          <w:sz w:val="16"/>
          <w:szCs w:val="16"/>
          <w:color w:val="auto"/>
        </w:rPr>
        <w:t>The foreign bond fund above represents the Company's investment in a fund for which there is currently no active market. The fair value presented represents the Company's estimate of its value based upon management's judgment. The fair value of the warrant liability was determined using the Black-Scholes option pricing model. Significant inputs to the model include the market price and volatility of the Company's common stock at the measurement date.</w:t>
      </w:r>
    </w:p>
    <w:p>
      <w:pPr>
        <w:spacing w:after="0" w:line="215"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Any unrealized losses, other than credit losses, which would be reported in the condensed consolidated statements of operations, related to the foreign bond fund would be included in accumulated other comprehensive income. Gains or losses related to fair value adjustments to the warrant liability are included in other income (expense), net.</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386080</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74"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279" w:lineRule="exact"/>
        <w:rPr>
          <w:sz w:val="20"/>
          <w:szCs w:val="20"/>
          <w:color w:val="auto"/>
        </w:rPr>
      </w:pPr>
    </w:p>
    <w:p>
      <w:pPr>
        <w:ind w:right="120" w:firstLine="270"/>
        <w:spacing w:after="0" w:line="255" w:lineRule="auto"/>
        <w:rPr>
          <w:sz w:val="20"/>
          <w:szCs w:val="20"/>
          <w:color w:val="auto"/>
        </w:rPr>
      </w:pPr>
      <w:r>
        <w:rPr>
          <w:rFonts w:ascii="Arial" w:cs="Arial" w:eastAsia="Arial" w:hAnsi="Arial"/>
          <w:sz w:val="18"/>
          <w:szCs w:val="18"/>
          <w:color w:val="auto"/>
        </w:rPr>
        <w:t>The Company, as permitted under accounting guidance issued in 2008, deferred the effective date for applying fair value guidance to nonfinancial assets and liabilities that are measured at fair value on a nonrecurring basis until November 2, 2009. As a result of this election, certain long-lived assets that, in fiscal year 2009 and in connection with the Company's restructuring initiatives, were measured at fair value on a nonrecurring basis did not have fair value disclosure provisions applied to them. The Company, as of January 31, 2010, did not have any nonfinancial assets or liabilities measured at fair value on a nonrecurring basis.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Other Financial Instruments</w:t>
      </w:r>
    </w:p>
    <w:p>
      <w:pPr>
        <w:spacing w:after="0" w:line="279" w:lineRule="exact"/>
        <w:rPr>
          <w:sz w:val="20"/>
          <w:szCs w:val="20"/>
          <w:color w:val="auto"/>
        </w:rPr>
      </w:pPr>
    </w:p>
    <w:p>
      <w:pPr>
        <w:ind w:right="120" w:firstLine="270"/>
        <w:spacing w:after="0" w:line="256" w:lineRule="auto"/>
        <w:rPr>
          <w:sz w:val="20"/>
          <w:szCs w:val="20"/>
          <w:color w:val="auto"/>
        </w:rPr>
      </w:pPr>
      <w:r>
        <w:rPr>
          <w:rFonts w:ascii="Arial" w:cs="Arial" w:eastAsia="Arial" w:hAnsi="Arial"/>
          <w:sz w:val="18"/>
          <w:szCs w:val="18"/>
          <w:color w:val="auto"/>
        </w:rPr>
        <w:t>The fair values of the Company's cash and cash equivalents, accounts receivable, accounts payable, and certain other current assets and current liabilities approximate their carrying value due to their short-term maturities. The fair value of the Company's variable rate long-term debt approximates its carrying value due to the variable nature of the underlying interest rates. As of January 31, 2010, the estimated fair value of the Company's outstanding 5.5% convertible senior notes was approximately $59.9 million.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GEOGRAPHIC INFORMATION</w:t>
      </w:r>
    </w:p>
    <w:p>
      <w:pPr>
        <w:spacing w:after="0" w:line="285" w:lineRule="exact"/>
        <w:rPr>
          <w:sz w:val="20"/>
          <w:szCs w:val="20"/>
          <w:color w:val="auto"/>
        </w:rPr>
      </w:pPr>
    </w:p>
    <w:p>
      <w:pPr>
        <w:ind w:firstLine="270"/>
        <w:spacing w:after="0" w:line="256" w:lineRule="auto"/>
        <w:rPr>
          <w:sz w:val="20"/>
          <w:szCs w:val="20"/>
          <w:color w:val="auto"/>
        </w:rPr>
      </w:pPr>
      <w:r>
        <w:rPr>
          <w:rFonts w:ascii="Arial" w:cs="Arial" w:eastAsia="Arial" w:hAnsi="Arial"/>
          <w:sz w:val="18"/>
          <w:szCs w:val="18"/>
          <w:color w:val="auto"/>
        </w:rPr>
        <w:t>The Company operates as a single operating segment as a manufacturer of photomasks, which are high precision quartz plates containing microscopic images of electronic circuits for use in the fabrication of semiconductors. Geographic net sales are based primarily on where the Company's manufacturing facility is located. The Company's net sales for the three months ended January 31, 2010 and February 1, 2009 and its long-lived assets by geographic area as of January 31, 2010, and November 1, 2009, are presented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160" w:type="dxa"/>
            <w:vAlign w:val="bottom"/>
          </w:tcPr>
          <w:p>
            <w:pPr>
              <w:spacing w:after="0"/>
              <w:rPr>
                <w:sz w:val="20"/>
                <w:szCs w:val="20"/>
                <w:color w:val="auto"/>
              </w:rPr>
            </w:pPr>
          </w:p>
        </w:tc>
        <w:tc>
          <w:tcPr>
            <w:tcW w:w="21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8"/>
        </w:trPr>
        <w:tc>
          <w:tcPr>
            <w:tcW w:w="4160" w:type="dxa"/>
            <w:vAlign w:val="bottom"/>
          </w:tcPr>
          <w:p>
            <w:pPr>
              <w:spacing w:after="0"/>
              <w:rPr>
                <w:sz w:val="19"/>
                <w:szCs w:val="19"/>
                <w:color w:val="auto"/>
              </w:rPr>
            </w:pPr>
          </w:p>
        </w:tc>
        <w:tc>
          <w:tcPr>
            <w:tcW w:w="1500" w:type="dxa"/>
            <w:vAlign w:val="bottom"/>
            <w:gridSpan w:val="3"/>
          </w:tcPr>
          <w:p>
            <w:pPr>
              <w:ind w:left="180"/>
              <w:spacing w:after="0"/>
              <w:rPr>
                <w:sz w:val="20"/>
                <w:szCs w:val="20"/>
                <w:color w:val="auto"/>
              </w:rPr>
            </w:pPr>
            <w:r>
              <w:rPr>
                <w:rFonts w:ascii="Arial" w:cs="Arial" w:eastAsia="Arial" w:hAnsi="Arial"/>
                <w:sz w:val="18"/>
                <w:szCs w:val="18"/>
                <w:b w:val="1"/>
                <w:bCs w:val="1"/>
                <w:color w:val="auto"/>
              </w:rPr>
              <w:t>January 31,</w:t>
            </w:r>
          </w:p>
        </w:tc>
        <w:tc>
          <w:tcPr>
            <w:tcW w:w="120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February 1,</w:t>
            </w:r>
          </w:p>
        </w:tc>
        <w:tc>
          <w:tcPr>
            <w:tcW w:w="20" w:type="dxa"/>
            <w:vAlign w:val="bottom"/>
          </w:tcPr>
          <w:p>
            <w:pPr>
              <w:spacing w:after="0"/>
              <w:rPr>
                <w:sz w:val="19"/>
                <w:szCs w:val="19"/>
                <w:color w:val="auto"/>
              </w:rPr>
            </w:pPr>
          </w:p>
        </w:tc>
      </w:tr>
      <w:tr>
        <w:trPr>
          <w:trHeight w:val="251"/>
        </w:trPr>
        <w:tc>
          <w:tcPr>
            <w:tcW w:w="4160" w:type="dxa"/>
            <w:vAlign w:val="bottom"/>
            <w:tcBorders>
              <w:bottom w:val="single" w:sz="8" w:color="C0C0C0"/>
            </w:tcBorders>
          </w:tcPr>
          <w:p>
            <w:pPr>
              <w:spacing w:after="0"/>
              <w:rPr>
                <w:sz w:val="21"/>
                <w:szCs w:val="21"/>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2010</w:t>
            </w:r>
          </w:p>
        </w:tc>
        <w:tc>
          <w:tcPr>
            <w:tcW w:w="260" w:type="dxa"/>
            <w:vAlign w:val="bottom"/>
            <w:tcBorders>
              <w:bottom w:val="single" w:sz="8" w:color="C0C0C0"/>
            </w:tcBorders>
          </w:tcPr>
          <w:p>
            <w:pPr>
              <w:spacing w:after="0"/>
              <w:rPr>
                <w:sz w:val="21"/>
                <w:szCs w:val="21"/>
                <w:color w:val="auto"/>
              </w:rPr>
            </w:pPr>
          </w:p>
        </w:tc>
        <w:tc>
          <w:tcPr>
            <w:tcW w:w="1200" w:type="dxa"/>
            <w:vAlign w:val="bottom"/>
            <w:tcBorders>
              <w:bottom w:val="single" w:sz="8" w:color="auto"/>
            </w:tcBorders>
            <w:gridSpan w:val="2"/>
          </w:tcPr>
          <w:p>
            <w:pPr>
              <w:jc w:val="right"/>
              <w:ind w:right="332"/>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1"/>
                <w:szCs w:val="21"/>
                <w:color w:val="auto"/>
              </w:rPr>
            </w:pPr>
          </w:p>
        </w:tc>
      </w:tr>
      <w:tr>
        <w:trPr>
          <w:trHeight w:val="230"/>
        </w:trPr>
        <w:tc>
          <w:tcPr>
            <w:tcW w:w="416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Net sales</w:t>
            </w:r>
          </w:p>
        </w:tc>
        <w:tc>
          <w:tcPr>
            <w:tcW w:w="700" w:type="dxa"/>
            <w:vAlign w:val="bottom"/>
            <w:shd w:val="clear" w:color="auto" w:fill="C0C0C0"/>
          </w:tcPr>
          <w:p>
            <w:pPr>
              <w:spacing w:after="0"/>
              <w:rPr>
                <w:sz w:val="19"/>
                <w:szCs w:val="19"/>
                <w:color w:val="auto"/>
              </w:rPr>
            </w:pPr>
          </w:p>
        </w:tc>
        <w:tc>
          <w:tcPr>
            <w:tcW w:w="54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680" w:type="dxa"/>
            <w:vAlign w:val="bottom"/>
            <w:shd w:val="clear" w:color="auto" w:fill="C0C0C0"/>
          </w:tcPr>
          <w:p>
            <w:pPr>
              <w:spacing w:after="0"/>
              <w:rPr>
                <w:sz w:val="19"/>
                <w:szCs w:val="19"/>
                <w:color w:val="auto"/>
              </w:rPr>
            </w:pPr>
          </w:p>
        </w:tc>
        <w:tc>
          <w:tcPr>
            <w:tcW w:w="52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r>
      <w:tr>
        <w:trPr>
          <w:trHeight w:val="235"/>
        </w:trPr>
        <w:tc>
          <w:tcPr>
            <w:tcW w:w="4160" w:type="dxa"/>
            <w:vAlign w:val="bottom"/>
          </w:tcPr>
          <w:p>
            <w:pPr>
              <w:ind w:left="320"/>
              <w:spacing w:after="0"/>
              <w:rPr>
                <w:sz w:val="20"/>
                <w:szCs w:val="20"/>
                <w:color w:val="auto"/>
              </w:rPr>
            </w:pPr>
            <w:r>
              <w:rPr>
                <w:rFonts w:ascii="Arial" w:cs="Arial" w:eastAsia="Arial" w:hAnsi="Arial"/>
                <w:sz w:val="18"/>
                <w:szCs w:val="18"/>
                <w:color w:val="auto"/>
              </w:rPr>
              <w:t>Asia</w:t>
            </w:r>
          </w:p>
        </w:tc>
        <w:tc>
          <w:tcPr>
            <w:tcW w:w="700" w:type="dxa"/>
            <w:vAlign w:val="bottom"/>
          </w:tcPr>
          <w:p>
            <w:pPr>
              <w:jc w:val="center"/>
              <w:ind w:left="432"/>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60,807</w:t>
            </w: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56,240</w:t>
            </w:r>
          </w:p>
        </w:tc>
      </w:tr>
      <w:tr>
        <w:trPr>
          <w:trHeight w:val="251"/>
        </w:trPr>
        <w:tc>
          <w:tcPr>
            <w:tcW w:w="41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Europe</w:t>
            </w:r>
          </w:p>
        </w:tc>
        <w:tc>
          <w:tcPr>
            <w:tcW w:w="700" w:type="dxa"/>
            <w:vAlign w:val="bottom"/>
            <w:shd w:val="clear" w:color="auto" w:fill="C0C0C0"/>
          </w:tcPr>
          <w:p>
            <w:pPr>
              <w:spacing w:after="0"/>
              <w:rPr>
                <w:sz w:val="21"/>
                <w:szCs w:val="21"/>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9,518</w:t>
            </w:r>
          </w:p>
        </w:tc>
        <w:tc>
          <w:tcPr>
            <w:tcW w:w="26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8,750</w:t>
            </w:r>
          </w:p>
        </w:tc>
        <w:tc>
          <w:tcPr>
            <w:tcW w:w="20" w:type="dxa"/>
            <w:vAlign w:val="bottom"/>
          </w:tcPr>
          <w:p>
            <w:pPr>
              <w:spacing w:after="0"/>
              <w:rPr>
                <w:sz w:val="21"/>
                <w:szCs w:val="21"/>
                <w:color w:val="auto"/>
              </w:rPr>
            </w:pPr>
          </w:p>
        </w:tc>
      </w:tr>
      <w:tr>
        <w:trPr>
          <w:trHeight w:val="237"/>
        </w:trPr>
        <w:tc>
          <w:tcPr>
            <w:tcW w:w="4160" w:type="dxa"/>
            <w:vAlign w:val="bottom"/>
          </w:tcPr>
          <w:p>
            <w:pPr>
              <w:ind w:left="320"/>
              <w:spacing w:after="0"/>
              <w:rPr>
                <w:sz w:val="20"/>
                <w:szCs w:val="20"/>
                <w:color w:val="auto"/>
              </w:rPr>
            </w:pPr>
            <w:r>
              <w:rPr>
                <w:rFonts w:ascii="Arial" w:cs="Arial" w:eastAsia="Arial" w:hAnsi="Arial"/>
                <w:sz w:val="18"/>
                <w:szCs w:val="18"/>
                <w:color w:val="auto"/>
              </w:rPr>
              <w:t>North America</w:t>
            </w:r>
          </w:p>
        </w:tc>
        <w:tc>
          <w:tcPr>
            <w:tcW w:w="7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27,872</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23,052</w:t>
            </w:r>
          </w:p>
        </w:tc>
      </w:tr>
      <w:tr>
        <w:trPr>
          <w:trHeight w:val="250"/>
        </w:trPr>
        <w:tc>
          <w:tcPr>
            <w:tcW w:w="4160" w:type="dxa"/>
            <w:vAlign w:val="bottom"/>
            <w:tcBorders>
              <w:top w:val="single" w:sz="8" w:color="C0C0C0"/>
              <w:bottom w:val="single" w:sz="8" w:color="C0C0C0"/>
            </w:tcBorders>
            <w:shd w:val="clear" w:color="auto" w:fill="C0C0C0"/>
          </w:tcPr>
          <w:p>
            <w:pPr>
              <w:spacing w:after="0"/>
              <w:rPr>
                <w:sz w:val="21"/>
                <w:szCs w:val="21"/>
                <w:color w:val="auto"/>
              </w:rPr>
            </w:pPr>
          </w:p>
        </w:tc>
        <w:tc>
          <w:tcPr>
            <w:tcW w:w="700" w:type="dxa"/>
            <w:vAlign w:val="bottom"/>
            <w:tcBorders>
              <w:top w:val="single" w:sz="8" w:color="auto"/>
              <w:bottom w:val="single" w:sz="8" w:color="auto"/>
            </w:tcBorders>
            <w:shd w:val="clear" w:color="auto" w:fill="C0C0C0"/>
          </w:tcPr>
          <w:p>
            <w:pPr>
              <w:jc w:val="center"/>
              <w:ind w:left="432"/>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4"/>
              </w:rPr>
              <w:t>98,197</w:t>
            </w:r>
          </w:p>
        </w:tc>
        <w:tc>
          <w:tcPr>
            <w:tcW w:w="260" w:type="dxa"/>
            <w:vAlign w:val="bottom"/>
            <w:tcBorders>
              <w:top w:val="single" w:sz="8" w:color="C0C0C0"/>
              <w:bottom w:val="single" w:sz="8" w:color="auto"/>
            </w:tcBorders>
            <w:shd w:val="clear" w:color="auto" w:fill="C0C0C0"/>
          </w:tcPr>
          <w:p>
            <w:pPr>
              <w:spacing w:after="0"/>
              <w:rPr>
                <w:sz w:val="21"/>
                <w:szCs w:val="21"/>
                <w:color w:val="auto"/>
              </w:rPr>
            </w:pPr>
          </w:p>
        </w:tc>
        <w:tc>
          <w:tcPr>
            <w:tcW w:w="6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0"/>
              </w:rPr>
              <w:t>88,042</w:t>
            </w:r>
          </w:p>
        </w:tc>
        <w:tc>
          <w:tcPr>
            <w:tcW w:w="20" w:type="dxa"/>
            <w:vAlign w:val="bottom"/>
          </w:tcPr>
          <w:p>
            <w:pPr>
              <w:spacing w:after="0"/>
              <w:rPr>
                <w:sz w:val="21"/>
                <w:szCs w:val="21"/>
                <w:color w:val="auto"/>
              </w:rPr>
            </w:pPr>
          </w:p>
        </w:tc>
      </w:tr>
    </w:tbl>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160" w:type="dxa"/>
            <w:vAlign w:val="bottom"/>
          </w:tcPr>
          <w:p>
            <w:pPr>
              <w:spacing w:after="0"/>
              <w:rPr>
                <w:sz w:val="20"/>
                <w:szCs w:val="20"/>
                <w:color w:val="auto"/>
              </w:rPr>
            </w:pPr>
          </w:p>
        </w:tc>
        <w:tc>
          <w:tcPr>
            <w:tcW w:w="1580" w:type="dxa"/>
            <w:vAlign w:val="bottom"/>
            <w:tcBorders>
              <w:bottom w:val="single" w:sz="8" w:color="auto"/>
            </w:tcBorders>
            <w:gridSpan w:val="3"/>
          </w:tcPr>
          <w:p>
            <w:pPr>
              <w:ind w:left="1160"/>
              <w:spacing w:after="0"/>
              <w:rPr>
                <w:sz w:val="20"/>
                <w:szCs w:val="20"/>
                <w:color w:val="auto"/>
              </w:rPr>
            </w:pPr>
            <w:r>
              <w:rPr>
                <w:rFonts w:ascii="Arial" w:cs="Arial" w:eastAsia="Arial" w:hAnsi="Arial"/>
                <w:sz w:val="18"/>
                <w:szCs w:val="18"/>
                <w:b w:val="1"/>
                <w:bCs w:val="1"/>
                <w:color w:val="auto"/>
                <w:w w:val="88"/>
              </w:rPr>
              <w:t>As of</w:t>
            </w:r>
          </w:p>
        </w:tc>
        <w:tc>
          <w:tcPr>
            <w:tcW w:w="1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8"/>
        </w:trPr>
        <w:tc>
          <w:tcPr>
            <w:tcW w:w="4160" w:type="dxa"/>
            <w:vAlign w:val="bottom"/>
          </w:tcPr>
          <w:p>
            <w:pPr>
              <w:spacing w:after="0"/>
              <w:rPr>
                <w:sz w:val="19"/>
                <w:szCs w:val="19"/>
                <w:color w:val="auto"/>
              </w:rPr>
            </w:pPr>
          </w:p>
        </w:tc>
        <w:tc>
          <w:tcPr>
            <w:tcW w:w="1580" w:type="dxa"/>
            <w:vAlign w:val="bottom"/>
            <w:gridSpan w:val="3"/>
          </w:tcPr>
          <w:p>
            <w:pPr>
              <w:ind w:left="180"/>
              <w:spacing w:after="0"/>
              <w:rPr>
                <w:sz w:val="20"/>
                <w:szCs w:val="20"/>
                <w:color w:val="auto"/>
              </w:rPr>
            </w:pPr>
            <w:r>
              <w:rPr>
                <w:rFonts w:ascii="Arial" w:cs="Arial" w:eastAsia="Arial" w:hAnsi="Arial"/>
                <w:sz w:val="18"/>
                <w:szCs w:val="18"/>
                <w:b w:val="1"/>
                <w:bCs w:val="1"/>
                <w:color w:val="auto"/>
              </w:rPr>
              <w:t>January 31,</w:t>
            </w:r>
          </w:p>
        </w:tc>
        <w:tc>
          <w:tcPr>
            <w:tcW w:w="1120" w:type="dxa"/>
            <w:vAlign w:val="bottom"/>
          </w:tcPr>
          <w:p>
            <w:pPr>
              <w:jc w:val="right"/>
              <w:ind w:right="32"/>
              <w:spacing w:after="0"/>
              <w:rPr>
                <w:sz w:val="20"/>
                <w:szCs w:val="20"/>
                <w:color w:val="auto"/>
              </w:rPr>
            </w:pPr>
            <w:r>
              <w:rPr>
                <w:rFonts w:ascii="Arial" w:cs="Arial" w:eastAsia="Arial" w:hAnsi="Arial"/>
                <w:sz w:val="18"/>
                <w:szCs w:val="18"/>
                <w:b w:val="1"/>
                <w:bCs w:val="1"/>
                <w:color w:val="auto"/>
                <w:w w:val="90"/>
              </w:rPr>
              <w:t>November 1,</w:t>
            </w:r>
          </w:p>
        </w:tc>
        <w:tc>
          <w:tcPr>
            <w:tcW w:w="20" w:type="dxa"/>
            <w:vAlign w:val="bottom"/>
          </w:tcPr>
          <w:p>
            <w:pPr>
              <w:spacing w:after="0"/>
              <w:rPr>
                <w:sz w:val="19"/>
                <w:szCs w:val="19"/>
                <w:color w:val="auto"/>
              </w:rPr>
            </w:pPr>
          </w:p>
        </w:tc>
      </w:tr>
      <w:tr>
        <w:trPr>
          <w:trHeight w:val="251"/>
        </w:trPr>
        <w:tc>
          <w:tcPr>
            <w:tcW w:w="4160" w:type="dxa"/>
            <w:vAlign w:val="bottom"/>
            <w:tcBorders>
              <w:bottom w:val="single" w:sz="8" w:color="C0C0C0"/>
            </w:tcBorders>
          </w:tcPr>
          <w:p>
            <w:pPr>
              <w:spacing w:after="0"/>
              <w:rPr>
                <w:sz w:val="21"/>
                <w:szCs w:val="21"/>
                <w:color w:val="auto"/>
              </w:rPr>
            </w:pPr>
          </w:p>
        </w:tc>
        <w:tc>
          <w:tcPr>
            <w:tcW w:w="12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2010</w:t>
            </w:r>
          </w:p>
        </w:tc>
        <w:tc>
          <w:tcPr>
            <w:tcW w:w="260" w:type="dxa"/>
            <w:vAlign w:val="bottom"/>
            <w:tcBorders>
              <w:bottom w:val="single" w:sz="8" w:color="C0C0C0"/>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1"/>
                <w:szCs w:val="21"/>
                <w:color w:val="auto"/>
              </w:rPr>
            </w:pPr>
          </w:p>
        </w:tc>
      </w:tr>
      <w:tr>
        <w:trPr>
          <w:trHeight w:val="230"/>
        </w:trPr>
        <w:tc>
          <w:tcPr>
            <w:tcW w:w="416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Long-lived assets</w:t>
            </w:r>
          </w:p>
        </w:tc>
        <w:tc>
          <w:tcPr>
            <w:tcW w:w="124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112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r>
      <w:tr>
        <w:trPr>
          <w:trHeight w:val="235"/>
        </w:trPr>
        <w:tc>
          <w:tcPr>
            <w:tcW w:w="4160" w:type="dxa"/>
            <w:vAlign w:val="bottom"/>
          </w:tcPr>
          <w:p>
            <w:pPr>
              <w:ind w:left="320"/>
              <w:spacing w:after="0"/>
              <w:rPr>
                <w:sz w:val="20"/>
                <w:szCs w:val="20"/>
                <w:color w:val="auto"/>
              </w:rPr>
            </w:pPr>
            <w:r>
              <w:rPr>
                <w:rFonts w:ascii="Arial" w:cs="Arial" w:eastAsia="Arial" w:hAnsi="Arial"/>
                <w:sz w:val="18"/>
                <w:szCs w:val="18"/>
                <w:color w:val="auto"/>
              </w:rPr>
              <w:t>Asia</w:t>
            </w:r>
          </w:p>
        </w:tc>
        <w:tc>
          <w:tcPr>
            <w:tcW w:w="1240" w:type="dxa"/>
            <w:vAlign w:val="bottom"/>
          </w:tcPr>
          <w:p>
            <w:pPr>
              <w:jc w:val="right"/>
              <w:spacing w:after="0"/>
              <w:rPr>
                <w:sz w:val="20"/>
                <w:szCs w:val="20"/>
                <w:color w:val="auto"/>
              </w:rPr>
            </w:pPr>
            <w:r>
              <w:rPr>
                <w:rFonts w:ascii="Arial" w:cs="Arial" w:eastAsia="Arial" w:hAnsi="Arial"/>
                <w:sz w:val="18"/>
                <w:szCs w:val="18"/>
                <w:color w:val="auto"/>
              </w:rPr>
              <w:t>$205,958</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$199,179</w:t>
            </w:r>
          </w:p>
        </w:tc>
      </w:tr>
      <w:tr>
        <w:trPr>
          <w:trHeight w:val="251"/>
        </w:trPr>
        <w:tc>
          <w:tcPr>
            <w:tcW w:w="41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Europe</w:t>
            </w:r>
          </w:p>
        </w:tc>
        <w:tc>
          <w:tcPr>
            <w:tcW w:w="1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16,434</w:t>
            </w:r>
          </w:p>
        </w:tc>
        <w:tc>
          <w:tcPr>
            <w:tcW w:w="26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1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9,579</w:t>
            </w:r>
          </w:p>
        </w:tc>
        <w:tc>
          <w:tcPr>
            <w:tcW w:w="20" w:type="dxa"/>
            <w:vAlign w:val="bottom"/>
          </w:tcPr>
          <w:p>
            <w:pPr>
              <w:spacing w:after="0"/>
              <w:rPr>
                <w:sz w:val="21"/>
                <w:szCs w:val="21"/>
                <w:color w:val="auto"/>
              </w:rPr>
            </w:pPr>
          </w:p>
        </w:tc>
      </w:tr>
      <w:tr>
        <w:trPr>
          <w:trHeight w:val="237"/>
        </w:trPr>
        <w:tc>
          <w:tcPr>
            <w:tcW w:w="4160" w:type="dxa"/>
            <w:vAlign w:val="bottom"/>
          </w:tcPr>
          <w:p>
            <w:pPr>
              <w:ind w:left="320"/>
              <w:spacing w:after="0"/>
              <w:rPr>
                <w:sz w:val="20"/>
                <w:szCs w:val="20"/>
                <w:color w:val="auto"/>
              </w:rPr>
            </w:pPr>
            <w:r>
              <w:rPr>
                <w:rFonts w:ascii="Arial" w:cs="Arial" w:eastAsia="Arial" w:hAnsi="Arial"/>
                <w:sz w:val="18"/>
                <w:szCs w:val="18"/>
                <w:color w:val="auto"/>
              </w:rPr>
              <w:t>North America</w:t>
            </w:r>
          </w:p>
        </w:tc>
        <w:tc>
          <w:tcPr>
            <w:tcW w:w="1240" w:type="dxa"/>
            <w:vAlign w:val="bottom"/>
          </w:tcPr>
          <w:p>
            <w:pPr>
              <w:jc w:val="right"/>
              <w:spacing w:after="0"/>
              <w:rPr>
                <w:sz w:val="20"/>
                <w:szCs w:val="20"/>
                <w:color w:val="auto"/>
              </w:rPr>
            </w:pPr>
            <w:r>
              <w:rPr>
                <w:rFonts w:ascii="Arial" w:cs="Arial" w:eastAsia="Arial" w:hAnsi="Arial"/>
                <w:sz w:val="18"/>
                <w:szCs w:val="18"/>
                <w:color w:val="auto"/>
              </w:rPr>
              <w:t>132,009</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139,131</w:t>
            </w:r>
          </w:p>
        </w:tc>
      </w:tr>
      <w:tr>
        <w:trPr>
          <w:trHeight w:val="250"/>
        </w:trPr>
        <w:tc>
          <w:tcPr>
            <w:tcW w:w="4160" w:type="dxa"/>
            <w:vAlign w:val="bottom"/>
            <w:tcBorders>
              <w:top w:val="single" w:sz="8" w:color="C0C0C0"/>
              <w:bottom w:val="single" w:sz="8" w:color="C0C0C0"/>
            </w:tcBorders>
            <w:shd w:val="clear" w:color="auto" w:fill="C0C0C0"/>
          </w:tcPr>
          <w:p>
            <w:pPr>
              <w:spacing w:after="0"/>
              <w:rPr>
                <w:sz w:val="21"/>
                <w:szCs w:val="21"/>
                <w:color w:val="auto"/>
              </w:rPr>
            </w:pPr>
          </w:p>
        </w:tc>
        <w:tc>
          <w:tcPr>
            <w:tcW w:w="12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$354,401</w:t>
            </w:r>
          </w:p>
        </w:tc>
        <w:tc>
          <w:tcPr>
            <w:tcW w:w="260" w:type="dxa"/>
            <w:vAlign w:val="bottom"/>
            <w:tcBorders>
              <w:top w:val="single" w:sz="8" w:color="C0C0C0"/>
              <w:bottom w:val="single" w:sz="8" w:color="C0C0C0"/>
            </w:tcBorders>
            <w:shd w:val="clear" w:color="auto" w:fill="C0C0C0"/>
          </w:tcPr>
          <w:p>
            <w:pPr>
              <w:spacing w:after="0"/>
              <w:rPr>
                <w:sz w:val="21"/>
                <w:szCs w:val="21"/>
                <w:color w:val="auto"/>
              </w:rPr>
            </w:pPr>
          </w:p>
        </w:tc>
        <w:tc>
          <w:tcPr>
            <w:tcW w:w="80" w:type="dxa"/>
            <w:vAlign w:val="bottom"/>
            <w:tcBorders>
              <w:top w:val="single" w:sz="8" w:color="auto"/>
              <w:bottom w:val="single" w:sz="8" w:color="auto"/>
            </w:tcBorders>
            <w:shd w:val="clear" w:color="auto" w:fill="C0C0C0"/>
          </w:tcPr>
          <w:p>
            <w:pPr>
              <w:spacing w:after="0"/>
              <w:rPr>
                <w:sz w:val="21"/>
                <w:szCs w:val="21"/>
                <w:color w:val="auto"/>
              </w:rPr>
            </w:pPr>
          </w:p>
        </w:tc>
        <w:tc>
          <w:tcPr>
            <w:tcW w:w="112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$347,889</w:t>
            </w:r>
          </w:p>
        </w:tc>
        <w:tc>
          <w:tcPr>
            <w:tcW w:w="20" w:type="dxa"/>
            <w:vAlign w:val="bottom"/>
          </w:tcPr>
          <w:p>
            <w:pPr>
              <w:spacing w:after="0"/>
              <w:rPr>
                <w:sz w:val="21"/>
                <w:szCs w:val="21"/>
                <w:color w:val="auto"/>
              </w:rPr>
            </w:pPr>
          </w:p>
        </w:tc>
      </w:tr>
    </w:tbl>
    <w:p>
      <w:pPr>
        <w:spacing w:after="0" w:line="262" w:lineRule="exact"/>
        <w:rPr>
          <w:sz w:val="20"/>
          <w:szCs w:val="20"/>
          <w:color w:val="auto"/>
        </w:rPr>
      </w:pPr>
    </w:p>
    <w:p>
      <w:pPr>
        <w:ind w:right="560" w:firstLine="270"/>
        <w:spacing w:after="0" w:line="268" w:lineRule="auto"/>
        <w:rPr>
          <w:sz w:val="20"/>
          <w:szCs w:val="20"/>
          <w:color w:val="auto"/>
        </w:rPr>
      </w:pPr>
      <w:r>
        <w:rPr>
          <w:rFonts w:ascii="Arial" w:cs="Arial" w:eastAsia="Arial" w:hAnsi="Arial"/>
          <w:sz w:val="18"/>
          <w:szCs w:val="18"/>
          <w:color w:val="auto"/>
        </w:rPr>
        <w:t>The Company is typically impacted during its first fiscal quarter by the North American and European holiday periods as some customers reduce their effective workdays and orders during this period.</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74"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28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As of January 31, 2010, the Company had commitments outstanding for capital expenditures of approximately $23 million.</w:t>
      </w:r>
    </w:p>
    <w:p>
      <w:pPr>
        <w:spacing w:after="0" w:line="279" w:lineRule="exact"/>
        <w:rPr>
          <w:sz w:val="20"/>
          <w:szCs w:val="20"/>
          <w:color w:val="auto"/>
        </w:rPr>
      </w:pPr>
    </w:p>
    <w:p>
      <w:pPr>
        <w:ind w:right="200" w:firstLine="270"/>
        <w:spacing w:after="0" w:line="268" w:lineRule="auto"/>
        <w:rPr>
          <w:sz w:val="20"/>
          <w:szCs w:val="20"/>
          <w:color w:val="auto"/>
        </w:rPr>
      </w:pPr>
      <w:r>
        <w:rPr>
          <w:rFonts w:ascii="Arial" w:cs="Arial" w:eastAsia="Arial" w:hAnsi="Arial"/>
          <w:sz w:val="18"/>
          <w:szCs w:val="18"/>
          <w:color w:val="auto"/>
        </w:rPr>
        <w:t>The Company is subject to various claims that arise in the ordinary course of business. The Company believes such claims, individually or in the aggregate, will not have a material adverse effect on the business of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RECENT ACCOUNTING PRONOUNCEMENTS</w:t>
      </w:r>
    </w:p>
    <w:p>
      <w:pPr>
        <w:spacing w:after="0" w:line="285" w:lineRule="exact"/>
        <w:rPr>
          <w:sz w:val="20"/>
          <w:szCs w:val="20"/>
          <w:color w:val="auto"/>
        </w:rPr>
      </w:pPr>
    </w:p>
    <w:p>
      <w:pPr>
        <w:ind w:right="60" w:firstLine="270"/>
        <w:spacing w:after="0" w:line="288" w:lineRule="auto"/>
        <w:rPr>
          <w:sz w:val="20"/>
          <w:szCs w:val="20"/>
          <w:color w:val="auto"/>
        </w:rPr>
      </w:pPr>
      <w:r>
        <w:rPr>
          <w:rFonts w:ascii="Arial" w:cs="Arial" w:eastAsia="Arial" w:hAnsi="Arial"/>
          <w:sz w:val="16"/>
          <w:szCs w:val="16"/>
          <w:color w:val="auto"/>
        </w:rPr>
        <w:t>In January 2010, the Financial Accounting Standards Board ("FASB") issued updated guidance to improve disclosures related to fair value measurements. The amended guidance includes new requirements to separately disclose transfers in and out of Level 1 and Level 2, and to present separately information about purchases, sales, issuances, and settlements in the reconciliation of Level 3 fair value measurements. The guidance also clarifies existing disclosures by changing the level of disaggregation of fair value measurements to the class of asset or liability, which is often a subset of a line item within the statement of financial position. In addition, the guidance requires reporting entities to provide disclosures about inputs and valuation techniques for both recurring and nonrecurring fair value measurements. The guidance is effective for interim and annual periods beginning after December 15, 2009, except for the disclosures about purchases, sales, issuances, and settlements in the roll forward of activity in Level 3, which are effective for interim and annual periods beginning after December 15, 2010. The Company does not expect that the adoption of this updated guidance related to fair value measurements will have a material impact on its consolidated financial statements.</w:t>
      </w:r>
    </w:p>
    <w:p>
      <w:pPr>
        <w:spacing w:after="0" w:line="228" w:lineRule="exact"/>
        <w:rPr>
          <w:sz w:val="20"/>
          <w:szCs w:val="20"/>
          <w:color w:val="auto"/>
        </w:rPr>
      </w:pPr>
    </w:p>
    <w:p>
      <w:pPr>
        <w:ind w:right="40" w:firstLine="270"/>
        <w:spacing w:after="0" w:line="288" w:lineRule="auto"/>
        <w:rPr>
          <w:sz w:val="20"/>
          <w:szCs w:val="20"/>
          <w:color w:val="auto"/>
        </w:rPr>
      </w:pPr>
      <w:r>
        <w:rPr>
          <w:rFonts w:ascii="Arial" w:cs="Arial" w:eastAsia="Arial" w:hAnsi="Arial"/>
          <w:sz w:val="16"/>
          <w:szCs w:val="16"/>
          <w:color w:val="auto"/>
        </w:rPr>
        <w:t>In September 2009, the FASB issued revised guidance for multiple-deliverable revenue arrangements. This guidance changes the criteria for separating consideration in multiple-deliverable arrangements by establishing a selling price hierarchy for determining the selling price of a deliverable. Under the revised guidance, the selling price for each deliverable in a multiple-deliverable arrangement will, in order of preference and when available, be based on vendor specific objective evidence, third party evidence, or estimated selling price. The revised guidance prescribes that an estimated selling price be determined in a manner that is consistent with that used to determine the price to sell the deliverable on a stand alone basis, eliminates the residual method of allocation, and requires that arrangement consideration be allocated at the inception of the arrangement to all deliverables using the relative selling price method. The revised guidance also significantly expands the disclosures related to multiple-deliverable arrangements, and is effective prospectively for revenue arrangements entered into or materially modified in fiscal years beginning on or after June 15, 2010, with early adoption permitted. The Company does not expect that the adoption of the revised guidance will have a material impact on its consolidated financial statements.</w:t>
      </w:r>
    </w:p>
    <w:p>
      <w:pPr>
        <w:spacing w:after="0" w:line="228" w:lineRule="exact"/>
        <w:rPr>
          <w:sz w:val="20"/>
          <w:szCs w:val="20"/>
          <w:color w:val="auto"/>
        </w:rPr>
      </w:pPr>
    </w:p>
    <w:p>
      <w:pPr>
        <w:ind w:firstLine="270"/>
        <w:spacing w:after="0" w:line="310" w:lineRule="auto"/>
        <w:rPr>
          <w:sz w:val="20"/>
          <w:szCs w:val="20"/>
          <w:color w:val="auto"/>
        </w:rPr>
      </w:pPr>
      <w:r>
        <w:rPr>
          <w:rFonts w:ascii="Arial" w:cs="Arial" w:eastAsia="Arial" w:hAnsi="Arial"/>
          <w:sz w:val="15"/>
          <w:szCs w:val="15"/>
          <w:color w:val="auto"/>
        </w:rPr>
        <w:t>In June 2009, the FASB issued amended standards for determining whether to consolidate a variable interest entity. The amended standards require an enterprise to perform an analysis to determine whether its variable interest or interests give it a controlling financial interest in a variable interest entity. This analysis is performed in order to identify the primary beneficiary of the variable interest entity as being the enterprise that has certain characteristics described in the amended standards. The amended standards, in addition to other requirements, require an enterprise to assess whether it has an implicit financial responsibility to ensure that a variable interest entity operates as designed when determining whether it has the power to direct the activities of the variable interest entity that most significantly impact the entity's financial performance and, mandates ongoing reassessments of whether an enterprise is the primary beneficiary of a variable interest entity. These amended standards are effective for financial statements issued for fiscal years beginning after November 15, 2009 and interim financial statements within those fiscal years. The Company is currently evaluating the impact, if any, this guidance will have on its consolidated financial statements.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5" w:lineRule="exact"/>
        <w:rPr>
          <w:sz w:val="20"/>
          <w:szCs w:val="20"/>
          <w:color w:val="auto"/>
        </w:rPr>
      </w:pPr>
    </w:p>
    <w:p>
      <w:pPr>
        <w:ind w:right="200" w:firstLine="270"/>
        <w:spacing w:after="0" w:line="298" w:lineRule="auto"/>
        <w:rPr>
          <w:sz w:val="20"/>
          <w:szCs w:val="20"/>
          <w:color w:val="auto"/>
        </w:rPr>
      </w:pPr>
      <w:r>
        <w:rPr>
          <w:rFonts w:ascii="Arial" w:cs="Arial" w:eastAsia="Arial" w:hAnsi="Arial"/>
          <w:sz w:val="16"/>
          <w:szCs w:val="16"/>
          <w:color w:val="auto"/>
        </w:rPr>
        <w:t>Management's discussion and analysis ("MD&amp;A") of the Company's financial condition, business results and outlook should be read in conjunction with its condensed consolidated financial statements and related notes. Various segments of this MD&amp;A contain forward-looking statements, all of which are presented based on current expectations and may be adversely affected by uncertainties and risk factors (presented throughout this filing and in the Company's Annual Report on Form 10-K for the fiscal 2009 year), that may cause actual results to materially differ from these expectations.</w:t>
      </w:r>
    </w:p>
    <w:p>
      <w:pPr>
        <w:spacing w:after="0" w:line="221" w:lineRule="exact"/>
        <w:rPr>
          <w:sz w:val="20"/>
          <w:szCs w:val="20"/>
          <w:color w:val="auto"/>
        </w:rPr>
      </w:pPr>
    </w:p>
    <w:p>
      <w:pPr>
        <w:ind w:right="20" w:firstLine="270"/>
        <w:spacing w:after="0" w:line="286" w:lineRule="auto"/>
        <w:rPr>
          <w:sz w:val="20"/>
          <w:szCs w:val="20"/>
          <w:color w:val="auto"/>
        </w:rPr>
      </w:pPr>
      <w:r>
        <w:rPr>
          <w:rFonts w:ascii="Arial" w:cs="Arial" w:eastAsia="Arial" w:hAnsi="Arial"/>
          <w:sz w:val="16"/>
          <w:szCs w:val="16"/>
          <w:color w:val="auto"/>
        </w:rPr>
        <w:t>The Company sells substantially all of its photomasks to semiconductor designers and manufacturers, and manufacturers of FPDs. Photomask technology is also being applied to the fabrication of other higher performance electronic products such as photonics, micro-electronic mechanical systems and certain nanotechnology applications. Thus, the Company's selling cycle is tightly interwoven with the development and release of new semiconductor designs and flat panel applications, particularly as it relates to the semiconductor industry's migration to more advanced design methodologies and fabrication processes. The Company believes that the demand for photomasks primarily depends on design activity rather than sales volumes from products produced using photomask technologies. Consequently, an increase in semiconductor or FPD sales does not necessarily result in a corresponding increase in photomask sales. In addition, the reduced use of customized ICs, reductions in design complexity, other changes in the technology or methods of manufacturing or designing semiconductors, or a slowdown in the introduction of new semiconductor or FPD designs could reduce demand for photomasks even if demand for semiconductors and FPDs increases. Advances in semiconductor and photomask design and semiconductor production methods could reduce the demand for photomasks. Historically, the semiconductor industry has been volatile, with sharp periodic downturns and slowdowns. These downturns have been characterized by, among other things, diminished product demand, excess production capacity and accelerated erosion of selling prices. The semiconductor industry experienced a downturn in 2008 that continued into 2009, which had a negative impact on the Company's 2009 operating results. The Company's 2009 operating results were also negatively impacted by the global recession, which could also impact the Company's 2010 operating results.</w:t>
      </w:r>
    </w:p>
    <w:p>
      <w:pPr>
        <w:spacing w:after="0" w:line="229" w:lineRule="exact"/>
        <w:rPr>
          <w:sz w:val="20"/>
          <w:szCs w:val="20"/>
          <w:color w:val="auto"/>
        </w:rPr>
      </w:pPr>
    </w:p>
    <w:p>
      <w:pPr>
        <w:ind w:firstLine="270"/>
        <w:spacing w:after="0" w:line="290" w:lineRule="auto"/>
        <w:rPr>
          <w:sz w:val="20"/>
          <w:szCs w:val="20"/>
          <w:color w:val="auto"/>
        </w:rPr>
      </w:pPr>
      <w:r>
        <w:rPr>
          <w:rFonts w:ascii="Arial" w:cs="Arial" w:eastAsia="Arial" w:hAnsi="Arial"/>
          <w:sz w:val="16"/>
          <w:szCs w:val="16"/>
          <w:color w:val="auto"/>
        </w:rPr>
        <w:t>The global semiconductor industry is driven by end markets which have been closely tied to consumer driven applications of high performance semiconductor devices including, but not limited to, communications and mobile computing solutions. The Company is typically required to fulfill its customer orders within a short period of time, sometimes within 24 hours. This results in the Company having a minimal level of back-log orders, typically one to two weeks. The Company cannot predict the timing of the industry's transition to volume production of next generation technology nodes or the timing of up and down cycles with precise accuracy, but believes that such transitions and cycles will continue into the future, beneficially and adversely affecting its business, financial condition and operating results in the near term. The Company's ability to remain successful in these environments is based upon achieving its goals of being a service and technology leader, an efficient solutions supplier, and a company able to continually reinvest in its global infrastructure.</w:t>
      </w:r>
    </w:p>
    <w:p>
      <w:pPr>
        <w:spacing w:after="0" w:line="226" w:lineRule="exact"/>
        <w:rPr>
          <w:sz w:val="20"/>
          <w:szCs w:val="20"/>
          <w:color w:val="auto"/>
        </w:rPr>
      </w:pPr>
    </w:p>
    <w:p>
      <w:pPr>
        <w:ind w:right="260" w:firstLine="270"/>
        <w:spacing w:after="0" w:line="256" w:lineRule="auto"/>
        <w:rPr>
          <w:sz w:val="20"/>
          <w:szCs w:val="20"/>
          <w:color w:val="auto"/>
        </w:rPr>
      </w:pPr>
      <w:r>
        <w:rPr>
          <w:rFonts w:ascii="Arial" w:cs="Arial" w:eastAsia="Arial" w:hAnsi="Arial"/>
          <w:sz w:val="18"/>
          <w:szCs w:val="18"/>
          <w:color w:val="auto"/>
        </w:rPr>
        <w:t>The effects of the weakened global economy and the tightened credit market are also making it increasingly difficult for the Company to obtain external sources of financing to fund its operations. The Company faces challenges in the current and near term that require it to continue to make significant improvements in its competitiveness. The Company continues to evaluate financing alternatives, delay capital expenditures and evaluate further cost reduction initiatives.</w:t>
      </w:r>
    </w:p>
    <w:p>
      <w:pPr>
        <w:spacing w:after="0" w:line="251" w:lineRule="exact"/>
        <w:rPr>
          <w:sz w:val="20"/>
          <w:szCs w:val="20"/>
          <w:color w:val="auto"/>
        </w:rPr>
      </w:pPr>
    </w:p>
    <w:p>
      <w:pPr>
        <w:ind w:right="260" w:firstLine="270"/>
        <w:spacing w:after="0" w:line="291" w:lineRule="auto"/>
        <w:rPr>
          <w:sz w:val="20"/>
          <w:szCs w:val="20"/>
          <w:color w:val="auto"/>
        </w:rPr>
      </w:pPr>
      <w:r>
        <w:rPr>
          <w:rFonts w:ascii="Arial" w:cs="Arial" w:eastAsia="Arial" w:hAnsi="Arial"/>
          <w:sz w:val="16"/>
          <w:szCs w:val="16"/>
          <w:color w:val="auto"/>
        </w:rPr>
        <w:t>The Company's ability to comply with the financial and other covenants in its debt agreements may be affected by worsening economic or business conditions, or other events. Existing covenant restrictions limit the Company's ability to obtain additional debt financing and should the Company be unable to meet one or more of these covenants the Company's lenders may require the Company to repay its outstanding balances prior to the expiration date of the agreements. The Company cannot assure that additional sources of financing would be available to the Company to pay off its long-term borrowings to avoid default. Should the Company default on any of its long-term borrowings, a cross default would occur on its other long-term borrowings, unless amended or waived. As of January 31, 2010, the Company was in compliance with its debt covenants.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Material Changes in Results of Operations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January 31, 2010 versus February 1, 2009</w:t>
      </w:r>
    </w:p>
    <w:p>
      <w:pPr>
        <w:spacing w:after="0" w:line="2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represents selected operating information expressed as a percentage of net sales.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960" w:type="dxa"/>
            <w:vAlign w:val="bottom"/>
          </w:tcPr>
          <w:p>
            <w:pPr>
              <w:spacing w:after="0"/>
              <w:rPr>
                <w:sz w:val="20"/>
                <w:szCs w:val="20"/>
                <w:color w:val="auto"/>
              </w:rPr>
            </w:pPr>
          </w:p>
        </w:tc>
        <w:tc>
          <w:tcPr>
            <w:tcW w:w="2180" w:type="dxa"/>
            <w:vAlign w:val="bottom"/>
            <w:tcBorders>
              <w:bottom w:val="single" w:sz="8" w:color="auto"/>
            </w:tcBorders>
            <w:gridSpan w:val="3"/>
          </w:tcPr>
          <w:p>
            <w:pPr>
              <w:jc w:val="right"/>
              <w:ind w:right="212"/>
              <w:spacing w:after="0"/>
              <w:rPr>
                <w:sz w:val="20"/>
                <w:szCs w:val="20"/>
                <w:color w:val="auto"/>
              </w:rPr>
            </w:pPr>
            <w:r>
              <w:rPr>
                <w:rFonts w:ascii="Arial" w:cs="Arial" w:eastAsia="Arial" w:hAnsi="Arial"/>
                <w:sz w:val="18"/>
                <w:szCs w:val="18"/>
                <w:b w:val="1"/>
                <w:bCs w:val="1"/>
                <w:color w:val="auto"/>
              </w:rPr>
              <w:t>Three Months Ended</w:t>
            </w:r>
          </w:p>
        </w:tc>
      </w:tr>
      <w:tr>
        <w:trPr>
          <w:trHeight w:val="228"/>
        </w:trPr>
        <w:tc>
          <w:tcPr>
            <w:tcW w:w="696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January 31,</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92"/>
              </w:rPr>
              <w:t>February 1,</w:t>
            </w:r>
          </w:p>
        </w:tc>
      </w:tr>
      <w:tr>
        <w:trPr>
          <w:trHeight w:val="251"/>
        </w:trPr>
        <w:tc>
          <w:tcPr>
            <w:tcW w:w="6960" w:type="dxa"/>
            <w:vAlign w:val="bottom"/>
            <w:tcBorders>
              <w:bottom w:val="single" w:sz="8" w:color="C0C0C0"/>
            </w:tcBorders>
          </w:tcPr>
          <w:p>
            <w:pPr>
              <w:spacing w:after="0"/>
              <w:rPr>
                <w:sz w:val="21"/>
                <w:szCs w:val="21"/>
                <w:color w:val="auto"/>
              </w:rPr>
            </w:pPr>
          </w:p>
        </w:tc>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2010</w:t>
            </w:r>
          </w:p>
        </w:tc>
        <w:tc>
          <w:tcPr>
            <w:tcW w:w="320" w:type="dxa"/>
            <w:vAlign w:val="bottom"/>
            <w:tcBorders>
              <w:bottom w:val="single" w:sz="8" w:color="C0C0C0"/>
            </w:tcBorders>
          </w:tcPr>
          <w:p>
            <w:pPr>
              <w:spacing w:after="0"/>
              <w:rPr>
                <w:sz w:val="21"/>
                <w:szCs w:val="21"/>
                <w:color w:val="auto"/>
              </w:rPr>
            </w:pPr>
          </w:p>
        </w:tc>
        <w:tc>
          <w:tcPr>
            <w:tcW w:w="9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2009</w:t>
            </w:r>
          </w:p>
        </w:tc>
      </w:tr>
      <w:tr>
        <w:trPr>
          <w:trHeight w:val="243"/>
        </w:trPr>
        <w:tc>
          <w:tcPr>
            <w:tcW w:w="6960" w:type="dxa"/>
            <w:vAlign w:val="bottom"/>
            <w:shd w:val="clear" w:color="auto" w:fill="C0C0C0"/>
          </w:tcPr>
          <w:p>
            <w:pPr>
              <w:spacing w:after="0"/>
              <w:rPr>
                <w:sz w:val="20"/>
                <w:szCs w:val="20"/>
                <w:color w:val="auto"/>
              </w:rPr>
            </w:pPr>
            <w:r>
              <w:rPr>
                <w:rFonts w:ascii="Arial" w:cs="Arial" w:eastAsia="Arial" w:hAnsi="Arial"/>
                <w:sz w:val="18"/>
                <w:szCs w:val="18"/>
                <w:color w:val="auto"/>
              </w:rPr>
              <w:t>Net sales</w:t>
            </w: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0C0C0"/>
          </w:tcPr>
          <w:p>
            <w:pPr>
              <w:spacing w:after="0"/>
              <w:rPr>
                <w:sz w:val="21"/>
                <w:szCs w:val="21"/>
                <w:color w:val="auto"/>
              </w:rPr>
            </w:pPr>
          </w:p>
        </w:tc>
        <w:tc>
          <w:tcPr>
            <w:tcW w:w="9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100.0%</w:t>
            </w:r>
          </w:p>
        </w:tc>
      </w:tr>
      <w:tr>
        <w:trPr>
          <w:trHeight w:val="237"/>
        </w:trPr>
        <w:tc>
          <w:tcPr>
            <w:tcW w:w="696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Cost of sales</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(81.5)</w:t>
            </w:r>
          </w:p>
        </w:tc>
        <w:tc>
          <w:tcPr>
            <w:tcW w:w="320" w:type="dxa"/>
            <w:vAlign w:val="bottom"/>
            <w:tcBorders>
              <w:bottom w:val="single" w:sz="8" w:color="C0C0C0"/>
            </w:tcBorders>
          </w:tcPr>
          <w:p>
            <w:pPr>
              <w:spacing w:after="0"/>
              <w:rPr>
                <w:sz w:val="20"/>
                <w:szCs w:val="20"/>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(88.0)</w:t>
            </w:r>
          </w:p>
        </w:tc>
      </w:tr>
      <w:tr>
        <w:trPr>
          <w:trHeight w:val="243"/>
        </w:trPr>
        <w:tc>
          <w:tcPr>
            <w:tcW w:w="6960" w:type="dxa"/>
            <w:vAlign w:val="bottom"/>
            <w:shd w:val="clear" w:color="auto" w:fill="C0C0C0"/>
          </w:tcPr>
          <w:p>
            <w:pPr>
              <w:spacing w:after="0"/>
              <w:rPr>
                <w:sz w:val="20"/>
                <w:szCs w:val="20"/>
                <w:color w:val="auto"/>
              </w:rPr>
            </w:pPr>
            <w:r>
              <w:rPr>
                <w:rFonts w:ascii="Arial" w:cs="Arial" w:eastAsia="Arial" w:hAnsi="Arial"/>
                <w:sz w:val="18"/>
                <w:szCs w:val="18"/>
                <w:color w:val="auto"/>
              </w:rPr>
              <w:t>Gross margin</w:t>
            </w:r>
          </w:p>
        </w:tc>
        <w:tc>
          <w:tcPr>
            <w:tcW w:w="90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18.5</w:t>
            </w:r>
          </w:p>
        </w:tc>
        <w:tc>
          <w:tcPr>
            <w:tcW w:w="32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12.0</w:t>
            </w:r>
          </w:p>
        </w:tc>
      </w:tr>
      <w:tr>
        <w:trPr>
          <w:trHeight w:val="235"/>
        </w:trPr>
        <w:tc>
          <w:tcPr>
            <w:tcW w:w="69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20"/>
                <w:szCs w:val="20"/>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(11.8)</w:t>
            </w:r>
          </w:p>
        </w:tc>
      </w:tr>
      <w:tr>
        <w:trPr>
          <w:trHeight w:val="251"/>
        </w:trPr>
        <w:tc>
          <w:tcPr>
            <w:tcW w:w="6960" w:type="dxa"/>
            <w:vAlign w:val="bottom"/>
            <w:shd w:val="clear" w:color="auto" w:fill="C0C0C0"/>
          </w:tcPr>
          <w:p>
            <w:pPr>
              <w:spacing w:after="0"/>
              <w:rPr>
                <w:sz w:val="20"/>
                <w:szCs w:val="20"/>
                <w:color w:val="auto"/>
              </w:rPr>
            </w:pPr>
            <w:r>
              <w:rPr>
                <w:rFonts w:ascii="Arial" w:cs="Arial" w:eastAsia="Arial" w:hAnsi="Arial"/>
                <w:sz w:val="18"/>
                <w:szCs w:val="18"/>
                <w:color w:val="auto"/>
              </w:rPr>
              <w:t>Research and development expenses</w:t>
            </w:r>
          </w:p>
        </w:tc>
        <w:tc>
          <w:tcPr>
            <w:tcW w:w="9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(4.0)</w:t>
            </w:r>
          </w:p>
        </w:tc>
        <w:tc>
          <w:tcPr>
            <w:tcW w:w="32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(4.1)</w:t>
            </w:r>
          </w:p>
        </w:tc>
      </w:tr>
      <w:tr>
        <w:trPr>
          <w:trHeight w:val="237"/>
        </w:trPr>
        <w:tc>
          <w:tcPr>
            <w:tcW w:w="696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Consolidation, restructuring and related charges</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(0.2)</w:t>
            </w:r>
          </w:p>
        </w:tc>
        <w:tc>
          <w:tcPr>
            <w:tcW w:w="320" w:type="dxa"/>
            <w:vAlign w:val="bottom"/>
            <w:tcBorders>
              <w:bottom w:val="single" w:sz="8" w:color="C0C0C0"/>
            </w:tcBorders>
          </w:tcPr>
          <w:p>
            <w:pPr>
              <w:spacing w:after="0"/>
              <w:rPr>
                <w:sz w:val="20"/>
                <w:szCs w:val="20"/>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(1.9)</w:t>
            </w:r>
          </w:p>
        </w:tc>
      </w:tr>
      <w:tr>
        <w:trPr>
          <w:trHeight w:val="243"/>
        </w:trPr>
        <w:tc>
          <w:tcPr>
            <w:tcW w:w="6960" w:type="dxa"/>
            <w:vAlign w:val="bottom"/>
            <w:shd w:val="clear" w:color="auto" w:fill="C0C0C0"/>
          </w:tcPr>
          <w:p>
            <w:pPr>
              <w:spacing w:after="0"/>
              <w:rPr>
                <w:sz w:val="20"/>
                <w:szCs w:val="20"/>
                <w:color w:val="auto"/>
              </w:rPr>
            </w:pPr>
            <w:r>
              <w:rPr>
                <w:rFonts w:ascii="Arial" w:cs="Arial" w:eastAsia="Arial" w:hAnsi="Arial"/>
                <w:sz w:val="18"/>
                <w:szCs w:val="18"/>
                <w:color w:val="auto"/>
              </w:rPr>
              <w:t>Operating income (loss)</w:t>
            </w:r>
          </w:p>
        </w:tc>
        <w:tc>
          <w:tcPr>
            <w:tcW w:w="90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3.9</w:t>
            </w:r>
          </w:p>
        </w:tc>
        <w:tc>
          <w:tcPr>
            <w:tcW w:w="32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(5.8)</w:t>
            </w:r>
          </w:p>
        </w:tc>
      </w:tr>
      <w:tr>
        <w:trPr>
          <w:trHeight w:val="237"/>
        </w:trPr>
        <w:tc>
          <w:tcPr>
            <w:tcW w:w="696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Other expense, net</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w:t>
            </w:r>
          </w:p>
        </w:tc>
        <w:tc>
          <w:tcPr>
            <w:tcW w:w="320" w:type="dxa"/>
            <w:vAlign w:val="bottom"/>
            <w:tcBorders>
              <w:bottom w:val="single" w:sz="8" w:color="C0C0C0"/>
            </w:tcBorders>
          </w:tcPr>
          <w:p>
            <w:pPr>
              <w:spacing w:after="0"/>
              <w:rPr>
                <w:sz w:val="20"/>
                <w:szCs w:val="20"/>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(4.1)</w:t>
            </w:r>
          </w:p>
        </w:tc>
      </w:tr>
      <w:tr>
        <w:trPr>
          <w:trHeight w:val="243"/>
        </w:trPr>
        <w:tc>
          <w:tcPr>
            <w:tcW w:w="6960" w:type="dxa"/>
            <w:vAlign w:val="bottom"/>
            <w:shd w:val="clear" w:color="auto" w:fill="C0C0C0"/>
          </w:tcPr>
          <w:p>
            <w:pPr>
              <w:spacing w:after="0"/>
              <w:rPr>
                <w:sz w:val="20"/>
                <w:szCs w:val="20"/>
                <w:color w:val="auto"/>
              </w:rPr>
            </w:pPr>
            <w:r>
              <w:rPr>
                <w:rFonts w:ascii="Arial" w:cs="Arial" w:eastAsia="Arial" w:hAnsi="Arial"/>
                <w:sz w:val="18"/>
                <w:szCs w:val="18"/>
                <w:color w:val="auto"/>
              </w:rPr>
              <w:t>Net income (loss) before income taxes</w:t>
            </w:r>
          </w:p>
        </w:tc>
        <w:tc>
          <w:tcPr>
            <w:tcW w:w="90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(9.9)</w:t>
            </w:r>
          </w:p>
        </w:tc>
      </w:tr>
      <w:tr>
        <w:trPr>
          <w:trHeight w:val="237"/>
        </w:trPr>
        <w:tc>
          <w:tcPr>
            <w:tcW w:w="696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Income tax provision</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w:t>
            </w:r>
          </w:p>
        </w:tc>
        <w:tc>
          <w:tcPr>
            <w:tcW w:w="320" w:type="dxa"/>
            <w:vAlign w:val="bottom"/>
            <w:tcBorders>
              <w:bottom w:val="single" w:sz="8" w:color="C0C0C0"/>
            </w:tcBorders>
          </w:tcPr>
          <w:p>
            <w:pPr>
              <w:spacing w:after="0"/>
              <w:rPr>
                <w:sz w:val="20"/>
                <w:szCs w:val="20"/>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(1.4)</w:t>
            </w:r>
          </w:p>
        </w:tc>
      </w:tr>
      <w:tr>
        <w:trPr>
          <w:trHeight w:val="243"/>
        </w:trPr>
        <w:tc>
          <w:tcPr>
            <w:tcW w:w="6960" w:type="dxa"/>
            <w:vAlign w:val="bottom"/>
            <w:shd w:val="clear" w:color="auto" w:fill="C0C0C0"/>
          </w:tcPr>
          <w:p>
            <w:pPr>
              <w:spacing w:after="0"/>
              <w:rPr>
                <w:sz w:val="20"/>
                <w:szCs w:val="20"/>
                <w:color w:val="auto"/>
              </w:rPr>
            </w:pPr>
            <w:r>
              <w:rPr>
                <w:rFonts w:ascii="Arial" w:cs="Arial" w:eastAsia="Arial" w:hAnsi="Arial"/>
                <w:sz w:val="18"/>
                <w:szCs w:val="18"/>
                <w:color w:val="auto"/>
              </w:rPr>
              <w:t>Net income (loss)</w:t>
            </w:r>
          </w:p>
        </w:tc>
        <w:tc>
          <w:tcPr>
            <w:tcW w:w="90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0.4</w:t>
            </w:r>
          </w:p>
        </w:tc>
        <w:tc>
          <w:tcPr>
            <w:tcW w:w="320" w:type="dxa"/>
            <w:vAlign w:val="bottom"/>
            <w:shd w:val="clear" w:color="auto" w:fill="C0C0C0"/>
          </w:tcPr>
          <w:p>
            <w:pPr>
              <w:spacing w:after="0"/>
              <w:rPr>
                <w:sz w:val="21"/>
                <w:szCs w:val="21"/>
                <w:color w:val="auto"/>
              </w:rPr>
            </w:pPr>
          </w:p>
        </w:tc>
        <w:tc>
          <w:tcPr>
            <w:tcW w:w="96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(11.3)</w:t>
            </w:r>
          </w:p>
        </w:tc>
      </w:tr>
      <w:tr>
        <w:trPr>
          <w:trHeight w:val="237"/>
        </w:trPr>
        <w:tc>
          <w:tcPr>
            <w:tcW w:w="696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Net income attributable to noncontrolling interests</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(0.2)</w:t>
            </w:r>
          </w:p>
        </w:tc>
        <w:tc>
          <w:tcPr>
            <w:tcW w:w="320" w:type="dxa"/>
            <w:vAlign w:val="bottom"/>
            <w:tcBorders>
              <w:bottom w:val="single" w:sz="8" w:color="C0C0C0"/>
            </w:tcBorders>
          </w:tcPr>
          <w:p>
            <w:pPr>
              <w:spacing w:after="0"/>
              <w:rPr>
                <w:sz w:val="20"/>
                <w:szCs w:val="20"/>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(0.3)</w:t>
            </w:r>
          </w:p>
        </w:tc>
      </w:tr>
      <w:tr>
        <w:trPr>
          <w:trHeight w:val="250"/>
        </w:trPr>
        <w:tc>
          <w:tcPr>
            <w:tcW w:w="696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Net income (loss) attributable to Photronics, Inc.</w:t>
            </w:r>
          </w:p>
        </w:tc>
        <w:tc>
          <w:tcPr>
            <w:tcW w:w="9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0.2%</w:t>
            </w:r>
          </w:p>
        </w:tc>
        <w:tc>
          <w:tcPr>
            <w:tcW w:w="320" w:type="dxa"/>
            <w:vAlign w:val="bottom"/>
            <w:tcBorders>
              <w:bottom w:val="single" w:sz="8" w:color="C0C0C0"/>
            </w:tcBorders>
            <w:shd w:val="clear" w:color="auto" w:fill="C0C0C0"/>
          </w:tcPr>
          <w:p>
            <w:pPr>
              <w:spacing w:after="0"/>
              <w:rPr>
                <w:sz w:val="21"/>
                <w:szCs w:val="21"/>
                <w:color w:val="auto"/>
              </w:rPr>
            </w:pPr>
          </w:p>
        </w:tc>
        <w:tc>
          <w:tcPr>
            <w:tcW w:w="9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(11.6)%</w:t>
            </w:r>
          </w:p>
        </w:tc>
      </w:tr>
    </w:tbl>
    <w:p>
      <w:pPr>
        <w:spacing w:after="0" w:line="262" w:lineRule="exact"/>
        <w:rPr>
          <w:sz w:val="20"/>
          <w:szCs w:val="20"/>
          <w:color w:val="auto"/>
        </w:rPr>
      </w:pPr>
    </w:p>
    <w:p>
      <w:pPr>
        <w:ind w:right="260" w:firstLine="270"/>
        <w:spacing w:after="0" w:line="268" w:lineRule="auto"/>
        <w:rPr>
          <w:sz w:val="20"/>
          <w:szCs w:val="20"/>
          <w:color w:val="auto"/>
        </w:rPr>
      </w:pPr>
      <w:r>
        <w:rPr>
          <w:rFonts w:ascii="Arial" w:cs="Arial" w:eastAsia="Arial" w:hAnsi="Arial"/>
          <w:sz w:val="18"/>
          <w:szCs w:val="18"/>
          <w:color w:val="auto"/>
        </w:rPr>
        <w:t>Note: All of the following tabular comparisons, unless otherwise indicated, are for the three months ended January 31, 2010 (Q1-10) and February 1, 2009 (Q1-09) in millions of dollars.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360" w:type="dxa"/>
            <w:vAlign w:val="bottom"/>
          </w:tcPr>
          <w:p>
            <w:pPr>
              <w:spacing w:after="0"/>
              <w:rPr>
                <w:sz w:val="20"/>
                <w:szCs w:val="20"/>
                <w:color w:val="auto"/>
              </w:rPr>
            </w:pPr>
          </w:p>
        </w:tc>
        <w:tc>
          <w:tcPr>
            <w:tcW w:w="2200" w:type="dxa"/>
            <w:vAlign w:val="bottom"/>
            <w:gridSpan w:val="4"/>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580" w:type="dxa"/>
            <w:vAlign w:val="bottom"/>
          </w:tcPr>
          <w:p>
            <w:pPr>
              <w:spacing w:after="0"/>
              <w:rPr>
                <w:sz w:val="20"/>
                <w:szCs w:val="20"/>
                <w:color w:val="auto"/>
              </w:rPr>
            </w:pPr>
          </w:p>
        </w:tc>
      </w:tr>
      <w:tr>
        <w:trPr>
          <w:trHeight w:val="214"/>
        </w:trPr>
        <w:tc>
          <w:tcPr>
            <w:tcW w:w="63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4"/>
              </w:rPr>
              <w:t>Percent</w:t>
            </w:r>
          </w:p>
        </w:tc>
      </w:tr>
      <w:tr>
        <w:trPr>
          <w:trHeight w:val="252"/>
        </w:trPr>
        <w:tc>
          <w:tcPr>
            <w:tcW w:w="6360" w:type="dxa"/>
            <w:vAlign w:val="bottom"/>
            <w:tcBorders>
              <w:bottom w:val="single" w:sz="8" w:color="C0C0C0"/>
            </w:tcBorders>
          </w:tcPr>
          <w:p>
            <w:pPr>
              <w:spacing w:after="0"/>
              <w:rPr>
                <w:sz w:val="21"/>
                <w:szCs w:val="21"/>
                <w:color w:val="auto"/>
              </w:rPr>
            </w:pPr>
          </w:p>
        </w:tc>
        <w:tc>
          <w:tcPr>
            <w:tcW w:w="7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Q1-10</w:t>
            </w:r>
          </w:p>
        </w:tc>
        <w:tc>
          <w:tcPr>
            <w:tcW w:w="320" w:type="dxa"/>
            <w:vAlign w:val="bottom"/>
            <w:tcBorders>
              <w:bottom w:val="single" w:sz="8" w:color="C0C0C0"/>
            </w:tcBorders>
          </w:tcPr>
          <w:p>
            <w:pPr>
              <w:spacing w:after="0"/>
              <w:rPr>
                <w:sz w:val="21"/>
                <w:szCs w:val="21"/>
                <w:color w:val="auto"/>
              </w:rPr>
            </w:pPr>
          </w:p>
        </w:tc>
        <w:tc>
          <w:tcPr>
            <w:tcW w:w="7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Q1-09</w:t>
            </w:r>
          </w:p>
        </w:tc>
        <w:tc>
          <w:tcPr>
            <w:tcW w:w="320" w:type="dxa"/>
            <w:vAlign w:val="bottom"/>
            <w:tcBorders>
              <w:bottom w:val="single" w:sz="8" w:color="C0C0C0"/>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Change</w:t>
            </w:r>
          </w:p>
        </w:tc>
      </w:tr>
      <w:tr>
        <w:trPr>
          <w:trHeight w:val="243"/>
        </w:trPr>
        <w:tc>
          <w:tcPr>
            <w:tcW w:w="6360" w:type="dxa"/>
            <w:vAlign w:val="bottom"/>
            <w:shd w:val="clear" w:color="auto" w:fill="C0C0C0"/>
          </w:tcPr>
          <w:p>
            <w:pPr>
              <w:spacing w:after="0"/>
              <w:rPr>
                <w:sz w:val="20"/>
                <w:szCs w:val="20"/>
                <w:color w:val="auto"/>
              </w:rPr>
            </w:pPr>
            <w:r>
              <w:rPr>
                <w:rFonts w:ascii="Arial" w:cs="Arial" w:eastAsia="Arial" w:hAnsi="Arial"/>
                <w:sz w:val="18"/>
                <w:szCs w:val="18"/>
                <w:color w:val="auto"/>
              </w:rPr>
              <w:t>IC</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$74.5</w:t>
            </w:r>
          </w:p>
        </w:tc>
        <w:tc>
          <w:tcPr>
            <w:tcW w:w="320" w:type="dxa"/>
            <w:vAlign w:val="bottom"/>
            <w:shd w:val="clear" w:color="auto" w:fill="C0C0C0"/>
          </w:tcPr>
          <w:p>
            <w:pPr>
              <w:spacing w:after="0"/>
              <w:rPr>
                <w:sz w:val="21"/>
                <w:szCs w:val="21"/>
                <w:color w:val="auto"/>
              </w:rPr>
            </w:pPr>
          </w:p>
        </w:tc>
        <w:tc>
          <w:tcPr>
            <w:tcW w:w="1100" w:type="dxa"/>
            <w:vAlign w:val="bottom"/>
            <w:gridSpan w:val="2"/>
            <w:shd w:val="clear" w:color="auto" w:fill="C0C0C0"/>
          </w:tcPr>
          <w:p>
            <w:pPr>
              <w:jc w:val="right"/>
              <w:ind w:right="320"/>
              <w:spacing w:after="0"/>
              <w:rPr>
                <w:sz w:val="20"/>
                <w:szCs w:val="20"/>
                <w:color w:val="auto"/>
              </w:rPr>
            </w:pPr>
            <w:r>
              <w:rPr>
                <w:rFonts w:ascii="Arial" w:cs="Arial" w:eastAsia="Arial" w:hAnsi="Arial"/>
                <w:sz w:val="18"/>
                <w:szCs w:val="18"/>
                <w:color w:val="auto"/>
              </w:rPr>
              <w:t>$63.6</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17.1%</w:t>
            </w:r>
          </w:p>
        </w:tc>
      </w:tr>
      <w:tr>
        <w:trPr>
          <w:trHeight w:val="237"/>
        </w:trPr>
        <w:tc>
          <w:tcPr>
            <w:tcW w:w="636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FPD</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320" w:type="dxa"/>
            <w:vAlign w:val="bottom"/>
            <w:tcBorders>
              <w:bottom w:val="single" w:sz="8" w:color="C0C0C0"/>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320" w:type="dxa"/>
            <w:vAlign w:val="bottom"/>
            <w:tcBorders>
              <w:bottom w:val="single" w:sz="8" w:color="C0C0C0"/>
            </w:tcBorders>
          </w:tcPr>
          <w:p>
            <w:pPr>
              <w:spacing w:after="0"/>
              <w:rPr>
                <w:sz w:val="20"/>
                <w:szCs w:val="20"/>
                <w:color w:val="auto"/>
              </w:rPr>
            </w:pPr>
          </w:p>
        </w:tc>
        <w:tc>
          <w:tcPr>
            <w:tcW w:w="580" w:type="dxa"/>
            <w:vAlign w:val="bottom"/>
            <w:tcBorders>
              <w:bottom w:val="single" w:sz="8" w:color="C0C0C0"/>
            </w:tcBorders>
          </w:tcPr>
          <w:p>
            <w:pPr>
              <w:jc w:val="right"/>
              <w:spacing w:after="0"/>
              <w:rPr>
                <w:sz w:val="20"/>
                <w:szCs w:val="20"/>
                <w:color w:val="auto"/>
              </w:rPr>
            </w:pPr>
            <w:r>
              <w:rPr>
                <w:rFonts w:ascii="Arial" w:cs="Arial" w:eastAsia="Arial" w:hAnsi="Arial"/>
                <w:sz w:val="18"/>
                <w:szCs w:val="18"/>
                <w:color w:val="auto"/>
              </w:rPr>
              <w:t>(3.0)%</w:t>
            </w:r>
          </w:p>
        </w:tc>
      </w:tr>
      <w:tr>
        <w:trPr>
          <w:trHeight w:val="250"/>
        </w:trPr>
        <w:tc>
          <w:tcPr>
            <w:tcW w:w="636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Total net sales</w:t>
            </w: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$98.2</w:t>
            </w:r>
          </w:p>
        </w:tc>
        <w:tc>
          <w:tcPr>
            <w:tcW w:w="320" w:type="dxa"/>
            <w:vAlign w:val="bottom"/>
            <w:tcBorders>
              <w:bottom w:val="single" w:sz="8" w:color="C0C0C0"/>
            </w:tcBorders>
            <w:shd w:val="clear" w:color="auto" w:fill="C0C0C0"/>
          </w:tcPr>
          <w:p>
            <w:pPr>
              <w:spacing w:after="0"/>
              <w:rPr>
                <w:sz w:val="21"/>
                <w:szCs w:val="21"/>
                <w:color w:val="auto"/>
              </w:rPr>
            </w:pP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$88.0</w:t>
            </w:r>
          </w:p>
        </w:tc>
        <w:tc>
          <w:tcPr>
            <w:tcW w:w="320" w:type="dxa"/>
            <w:vAlign w:val="bottom"/>
            <w:tcBorders>
              <w:bottom w:val="single" w:sz="8" w:color="C0C0C0"/>
            </w:tcBorders>
            <w:shd w:val="clear" w:color="auto" w:fill="C0C0C0"/>
          </w:tcPr>
          <w:p>
            <w:pPr>
              <w:spacing w:after="0"/>
              <w:rPr>
                <w:sz w:val="21"/>
                <w:szCs w:val="21"/>
                <w:color w:val="auto"/>
              </w:rPr>
            </w:pPr>
          </w:p>
        </w:tc>
        <w:tc>
          <w:tcPr>
            <w:tcW w:w="5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8"/>
                <w:szCs w:val="18"/>
                <w:color w:val="auto"/>
              </w:rPr>
              <w:t>11.5%</w:t>
            </w:r>
          </w:p>
        </w:tc>
      </w:tr>
    </w:tbl>
    <w:p>
      <w:pPr>
        <w:spacing w:after="0" w:line="262" w:lineRule="exact"/>
        <w:rPr>
          <w:sz w:val="20"/>
          <w:szCs w:val="20"/>
          <w:color w:val="auto"/>
        </w:rPr>
      </w:pPr>
    </w:p>
    <w:p>
      <w:pPr>
        <w:ind w:firstLine="270"/>
        <w:spacing w:after="0" w:line="288" w:lineRule="auto"/>
        <w:rPr>
          <w:sz w:val="20"/>
          <w:szCs w:val="20"/>
          <w:color w:val="auto"/>
        </w:rPr>
      </w:pPr>
      <w:r>
        <w:rPr>
          <w:rFonts w:ascii="Arial" w:cs="Arial" w:eastAsia="Arial" w:hAnsi="Arial"/>
          <w:sz w:val="16"/>
          <w:szCs w:val="16"/>
          <w:color w:val="auto"/>
        </w:rPr>
        <w:t>Net sales for Q1-10 increased 11.5% to $98.2 million as compared to $88.0 million for Q1-09. The increase is related to increased IC sales, primarily due to increased high-end and mainstream unit demand, as well as higher average selling prices (ASPs) for high-end IC products. Revenues attributable to high-end products were $24.3 million in Q1-10 and $18.6 million in Q1-09. High-end photomask applications, which typically have higher ASPs, include mask sets for 65 nanometer and below for IC products and G7 and above technologies for FPD products. The Company's quarterly revenues can be affected by the seasonal purchasing of its customers. The Company is typically impacted during its first fiscal quarter by the North American and European holiday periods as some customers reduce their effective workdays and orders during this period. This seasonality was experienced to a greater than normal extent during Q1-09 as many of the Company's customers placed their fabs on extended shutdowns. By geographic area, net sales in Asia increased $4.6 million or 8.1%, North American sales increased $4.8 million or 20.9%, and European sales increased $0.8 million or 8.8%. As a percent of total net sales, net sales in Q1-10 in Asia were 62%, North America 28%, and Europe 10%; and net sales in Q1-09 in Asia were 64%, North America 26%, and Europe 10%.</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22"/>
        </w:trPr>
        <w:tc>
          <w:tcPr>
            <w:tcW w:w="6540" w:type="dxa"/>
            <w:vAlign w:val="bottom"/>
          </w:tcPr>
          <w:p>
            <w:pPr>
              <w:spacing w:after="0"/>
              <w:rPr>
                <w:sz w:val="20"/>
                <w:szCs w:val="20"/>
                <w:color w:val="auto"/>
              </w:rPr>
            </w:pPr>
            <w:r>
              <w:rPr>
                <w:rFonts w:ascii="Arial" w:cs="Arial" w:eastAsia="Arial" w:hAnsi="Arial"/>
                <w:sz w:val="18"/>
                <w:szCs w:val="18"/>
                <w:b w:val="1"/>
                <w:bCs w:val="1"/>
                <w:i w:val="1"/>
                <w:iCs w:val="1"/>
                <w:color w:val="auto"/>
              </w:rPr>
              <w:t>Gross Margin</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82"/>
        </w:trPr>
        <w:tc>
          <w:tcPr>
            <w:tcW w:w="6540" w:type="dxa"/>
            <w:vAlign w:val="bottom"/>
          </w:tcPr>
          <w:p>
            <w:pPr>
              <w:spacing w:after="0"/>
              <w:rPr>
                <w:sz w:val="24"/>
                <w:szCs w:val="24"/>
                <w:color w:val="auto"/>
              </w:rPr>
            </w:pPr>
          </w:p>
        </w:tc>
        <w:tc>
          <w:tcPr>
            <w:tcW w:w="2020" w:type="dxa"/>
            <w:vAlign w:val="bottom"/>
            <w:gridSpan w:val="4"/>
          </w:tcPr>
          <w:p>
            <w:pPr>
              <w:ind w:left="40"/>
              <w:spacing w:after="0"/>
              <w:rPr>
                <w:sz w:val="20"/>
                <w:szCs w:val="20"/>
                <w:color w:val="auto"/>
              </w:rPr>
            </w:pPr>
            <w:r>
              <w:rPr>
                <w:rFonts w:ascii="Arial" w:cs="Arial" w:eastAsia="Arial" w:hAnsi="Arial"/>
                <w:sz w:val="18"/>
                <w:szCs w:val="18"/>
                <w:b w:val="1"/>
                <w:bCs w:val="1"/>
                <w:color w:val="auto"/>
              </w:rPr>
              <w:t>Three Months Ended</w:t>
            </w:r>
          </w:p>
        </w:tc>
        <w:tc>
          <w:tcPr>
            <w:tcW w:w="580" w:type="dxa"/>
            <w:vAlign w:val="bottom"/>
          </w:tcPr>
          <w:p>
            <w:pPr>
              <w:spacing w:after="0"/>
              <w:rPr>
                <w:sz w:val="24"/>
                <w:szCs w:val="24"/>
                <w:color w:val="auto"/>
              </w:rPr>
            </w:pPr>
          </w:p>
        </w:tc>
      </w:tr>
      <w:tr>
        <w:trPr>
          <w:trHeight w:val="214"/>
        </w:trPr>
        <w:tc>
          <w:tcPr>
            <w:tcW w:w="65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4"/>
              </w:rPr>
              <w:t>Percent</w:t>
            </w:r>
          </w:p>
        </w:tc>
      </w:tr>
      <w:tr>
        <w:trPr>
          <w:trHeight w:val="252"/>
        </w:trPr>
        <w:tc>
          <w:tcPr>
            <w:tcW w:w="6540" w:type="dxa"/>
            <w:vAlign w:val="bottom"/>
          </w:tcPr>
          <w:p>
            <w:pPr>
              <w:spacing w:after="0"/>
              <w:rPr>
                <w:sz w:val="21"/>
                <w:szCs w:val="21"/>
                <w:color w:val="auto"/>
              </w:rPr>
            </w:pPr>
          </w:p>
        </w:tc>
        <w:tc>
          <w:tcPr>
            <w:tcW w:w="1000" w:type="dxa"/>
            <w:vAlign w:val="bottom"/>
            <w:gridSpan w:val="2"/>
          </w:tcPr>
          <w:p>
            <w:pPr>
              <w:ind w:left="100"/>
              <w:spacing w:after="0"/>
              <w:rPr>
                <w:sz w:val="20"/>
                <w:szCs w:val="20"/>
                <w:color w:val="auto"/>
              </w:rPr>
            </w:pPr>
            <w:r>
              <w:rPr>
                <w:rFonts w:ascii="Arial" w:cs="Arial" w:eastAsia="Arial" w:hAnsi="Arial"/>
                <w:sz w:val="18"/>
                <w:szCs w:val="18"/>
                <w:b w:val="1"/>
                <w:bCs w:val="1"/>
                <w:color w:val="auto"/>
              </w:rPr>
              <w:t>Q1-10</w:t>
            </w: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rPr>
              <w:t>Q1-09</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4"/>
              </w:rPr>
              <w:t>Change</w:t>
            </w:r>
          </w:p>
        </w:tc>
      </w:tr>
      <w:tr>
        <w:trPr>
          <w:trHeight w:val="243"/>
        </w:trPr>
        <w:tc>
          <w:tcPr>
            <w:tcW w:w="654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Gross margin</w:t>
            </w:r>
          </w:p>
        </w:tc>
        <w:tc>
          <w:tcPr>
            <w:tcW w:w="68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$18.2</w:t>
            </w:r>
          </w:p>
        </w:tc>
        <w:tc>
          <w:tcPr>
            <w:tcW w:w="320" w:type="dxa"/>
            <w:vAlign w:val="bottom"/>
            <w:tcBorders>
              <w:top w:val="single" w:sz="8" w:color="C0C0C0"/>
            </w:tcBorders>
            <w:shd w:val="clear" w:color="auto" w:fill="C0C0C0"/>
          </w:tcPr>
          <w:p>
            <w:pPr>
              <w:spacing w:after="0"/>
              <w:rPr>
                <w:sz w:val="21"/>
                <w:szCs w:val="21"/>
                <w:color w:val="auto"/>
              </w:rPr>
            </w:pPr>
          </w:p>
        </w:tc>
        <w:tc>
          <w:tcPr>
            <w:tcW w:w="700" w:type="dxa"/>
            <w:vAlign w:val="bottom"/>
            <w:tcBorders>
              <w:top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$10.6</w:t>
            </w:r>
          </w:p>
        </w:tc>
        <w:tc>
          <w:tcPr>
            <w:tcW w:w="320" w:type="dxa"/>
            <w:vAlign w:val="bottom"/>
            <w:tcBorders>
              <w:top w:val="single" w:sz="8" w:color="C0C0C0"/>
            </w:tcBorders>
            <w:shd w:val="clear" w:color="auto" w:fill="C0C0C0"/>
          </w:tcPr>
          <w:p>
            <w:pPr>
              <w:spacing w:after="0"/>
              <w:rPr>
                <w:sz w:val="21"/>
                <w:szCs w:val="21"/>
                <w:color w:val="auto"/>
              </w:rPr>
            </w:pPr>
          </w:p>
        </w:tc>
        <w:tc>
          <w:tcPr>
            <w:tcW w:w="58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72.1%</w:t>
            </w:r>
          </w:p>
        </w:tc>
      </w:tr>
      <w:tr>
        <w:trPr>
          <w:trHeight w:val="228"/>
        </w:trPr>
        <w:tc>
          <w:tcPr>
            <w:tcW w:w="654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680" w:type="dxa"/>
            <w:vAlign w:val="bottom"/>
          </w:tcPr>
          <w:p>
            <w:pPr>
              <w:jc w:val="right"/>
              <w:spacing w:after="0"/>
              <w:rPr>
                <w:sz w:val="20"/>
                <w:szCs w:val="20"/>
                <w:color w:val="auto"/>
              </w:rPr>
            </w:pPr>
            <w:r>
              <w:rPr>
                <w:rFonts w:ascii="Arial" w:cs="Arial" w:eastAsia="Arial" w:hAnsi="Arial"/>
                <w:sz w:val="18"/>
                <w:szCs w:val="18"/>
                <w:color w:val="auto"/>
              </w:rPr>
              <w:t>18.5%</w:t>
            </w: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12.0%</w:t>
            </w: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r>
    </w:tbl>
    <w:p>
      <w:pPr>
        <w:spacing w:after="0" w:line="277" w:lineRule="exact"/>
        <w:rPr>
          <w:sz w:val="20"/>
          <w:szCs w:val="20"/>
          <w:color w:val="auto"/>
        </w:rPr>
      </w:pPr>
    </w:p>
    <w:p>
      <w:pPr>
        <w:ind w:right="100" w:firstLine="270"/>
        <w:spacing w:after="0" w:line="256" w:lineRule="auto"/>
        <w:rPr>
          <w:sz w:val="20"/>
          <w:szCs w:val="20"/>
          <w:color w:val="auto"/>
        </w:rPr>
      </w:pPr>
      <w:r>
        <w:rPr>
          <w:rFonts w:ascii="Arial" w:cs="Arial" w:eastAsia="Arial" w:hAnsi="Arial"/>
          <w:sz w:val="18"/>
          <w:szCs w:val="18"/>
          <w:color w:val="auto"/>
        </w:rPr>
        <w:t>Gross margin percentage increased to 18.5% in Q1-10 as compared to 12.0% in Q1-09 as a result of increased sales in all geographic regions, including high-end, and as a result of reduced costs associated with the 2009 closures of the Company's manufacturing facilities in Manchester, U.K. and Shanghai, China. The Company operates in a high fixed cost environment and, to the extent that the Company's revenues and utilization increase or decrease, gross margin will generally be positively or negatively impacted.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520" w:type="dxa"/>
            <w:vAlign w:val="bottom"/>
          </w:tcPr>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482"/>
        </w:trPr>
        <w:tc>
          <w:tcPr>
            <w:tcW w:w="6520" w:type="dxa"/>
            <w:vAlign w:val="bottom"/>
          </w:tcPr>
          <w:p>
            <w:pPr>
              <w:spacing w:after="0"/>
              <w:rPr>
                <w:sz w:val="24"/>
                <w:szCs w:val="24"/>
                <w:color w:val="auto"/>
              </w:rPr>
            </w:pPr>
          </w:p>
        </w:tc>
        <w:tc>
          <w:tcPr>
            <w:tcW w:w="2020" w:type="dxa"/>
            <w:vAlign w:val="bottom"/>
            <w:gridSpan w:val="4"/>
          </w:tcPr>
          <w:p>
            <w:pPr>
              <w:ind w:left="60"/>
              <w:spacing w:after="0"/>
              <w:rPr>
                <w:sz w:val="20"/>
                <w:szCs w:val="20"/>
                <w:color w:val="auto"/>
              </w:rPr>
            </w:pPr>
            <w:r>
              <w:rPr>
                <w:rFonts w:ascii="Arial" w:cs="Arial" w:eastAsia="Arial" w:hAnsi="Arial"/>
                <w:sz w:val="18"/>
                <w:szCs w:val="18"/>
                <w:b w:val="1"/>
                <w:bCs w:val="1"/>
                <w:color w:val="auto"/>
              </w:rPr>
              <w:t>Three Months Ended</w:t>
            </w:r>
          </w:p>
        </w:tc>
        <w:tc>
          <w:tcPr>
            <w:tcW w:w="600" w:type="dxa"/>
            <w:vAlign w:val="bottom"/>
          </w:tcPr>
          <w:p>
            <w:pPr>
              <w:spacing w:after="0"/>
              <w:rPr>
                <w:sz w:val="24"/>
                <w:szCs w:val="24"/>
                <w:color w:val="auto"/>
              </w:rPr>
            </w:pPr>
          </w:p>
        </w:tc>
      </w:tr>
      <w:tr>
        <w:trPr>
          <w:trHeight w:val="214"/>
        </w:trPr>
        <w:tc>
          <w:tcPr>
            <w:tcW w:w="65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4"/>
              </w:rPr>
              <w:t>Percent</w:t>
            </w:r>
          </w:p>
        </w:tc>
      </w:tr>
      <w:tr>
        <w:trPr>
          <w:trHeight w:val="252"/>
        </w:trPr>
        <w:tc>
          <w:tcPr>
            <w:tcW w:w="6520" w:type="dxa"/>
            <w:vAlign w:val="bottom"/>
          </w:tcPr>
          <w:p>
            <w:pPr>
              <w:spacing w:after="0"/>
              <w:rPr>
                <w:sz w:val="21"/>
                <w:szCs w:val="21"/>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rPr>
              <w:t>Q1-10</w:t>
            </w:r>
          </w:p>
        </w:tc>
        <w:tc>
          <w:tcPr>
            <w:tcW w:w="1000" w:type="dxa"/>
            <w:vAlign w:val="bottom"/>
            <w:gridSpan w:val="2"/>
          </w:tcPr>
          <w:p>
            <w:pPr>
              <w:ind w:left="100"/>
              <w:spacing w:after="0"/>
              <w:rPr>
                <w:sz w:val="20"/>
                <w:szCs w:val="20"/>
                <w:color w:val="auto"/>
              </w:rPr>
            </w:pPr>
            <w:r>
              <w:rPr>
                <w:rFonts w:ascii="Arial" w:cs="Arial" w:eastAsia="Arial" w:hAnsi="Arial"/>
                <w:sz w:val="18"/>
                <w:szCs w:val="18"/>
                <w:b w:val="1"/>
                <w:bCs w:val="1"/>
                <w:color w:val="auto"/>
              </w:rPr>
              <w:t>Q1-09</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4"/>
              </w:rPr>
              <w:t>Change</w:t>
            </w:r>
          </w:p>
        </w:tc>
      </w:tr>
      <w:tr>
        <w:trPr>
          <w:trHeight w:val="243"/>
        </w:trPr>
        <w:tc>
          <w:tcPr>
            <w:tcW w:w="652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S, G &amp; A expenses</w:t>
            </w:r>
          </w:p>
        </w:tc>
        <w:tc>
          <w:tcPr>
            <w:tcW w:w="68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$10.1</w:t>
            </w:r>
          </w:p>
        </w:tc>
        <w:tc>
          <w:tcPr>
            <w:tcW w:w="340" w:type="dxa"/>
            <w:vAlign w:val="bottom"/>
            <w:tcBorders>
              <w:top w:val="single" w:sz="8" w:color="C0C0C0"/>
            </w:tcBorders>
            <w:shd w:val="clear" w:color="auto" w:fill="C0C0C0"/>
          </w:tcPr>
          <w:p>
            <w:pPr>
              <w:spacing w:after="0"/>
              <w:rPr>
                <w:sz w:val="21"/>
                <w:szCs w:val="21"/>
                <w:color w:val="auto"/>
              </w:rPr>
            </w:pPr>
          </w:p>
        </w:tc>
        <w:tc>
          <w:tcPr>
            <w:tcW w:w="680" w:type="dxa"/>
            <w:vAlign w:val="bottom"/>
            <w:tcBorders>
              <w:top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$10.4</w:t>
            </w:r>
          </w:p>
        </w:tc>
        <w:tc>
          <w:tcPr>
            <w:tcW w:w="320" w:type="dxa"/>
            <w:vAlign w:val="bottom"/>
            <w:tcBorders>
              <w:top w:val="single" w:sz="8" w:color="C0C0C0"/>
            </w:tcBorders>
            <w:shd w:val="clear" w:color="auto" w:fill="C0C0C0"/>
          </w:tcPr>
          <w:p>
            <w:pPr>
              <w:spacing w:after="0"/>
              <w:rPr>
                <w:sz w:val="21"/>
                <w:szCs w:val="21"/>
                <w:color w:val="auto"/>
              </w:rPr>
            </w:pPr>
          </w:p>
        </w:tc>
        <w:tc>
          <w:tcPr>
            <w:tcW w:w="60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(2.4)%</w:t>
            </w:r>
          </w:p>
        </w:tc>
      </w:tr>
      <w:tr>
        <w:trPr>
          <w:trHeight w:val="228"/>
        </w:trPr>
        <w:tc>
          <w:tcPr>
            <w:tcW w:w="652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680" w:type="dxa"/>
            <w:vAlign w:val="bottom"/>
          </w:tcPr>
          <w:p>
            <w:pPr>
              <w:jc w:val="right"/>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11.8%</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r>
    </w:tbl>
    <w:p>
      <w:pPr>
        <w:spacing w:after="0" w:line="277" w:lineRule="exact"/>
        <w:rPr>
          <w:sz w:val="20"/>
          <w:szCs w:val="20"/>
          <w:color w:val="auto"/>
        </w:rPr>
      </w:pPr>
    </w:p>
    <w:p>
      <w:pPr>
        <w:ind w:right="240" w:firstLine="270"/>
        <w:spacing w:after="0" w:line="268" w:lineRule="auto"/>
        <w:rPr>
          <w:sz w:val="20"/>
          <w:szCs w:val="20"/>
          <w:color w:val="auto"/>
        </w:rPr>
      </w:pPr>
      <w:r>
        <w:rPr>
          <w:rFonts w:ascii="Arial" w:cs="Arial" w:eastAsia="Arial" w:hAnsi="Arial"/>
          <w:sz w:val="18"/>
          <w:szCs w:val="18"/>
          <w:color w:val="auto"/>
        </w:rPr>
        <w:t>Selling, general and administrative expenses decreased $0.3 million to $10.1 million in Q1-10 as compared to $10.4 million in Q1-09, primarily due to cost reduction programs.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400" w:type="dxa"/>
            <w:vAlign w:val="bottom"/>
          </w:tcPr>
          <w:p>
            <w:pPr>
              <w:spacing w:after="0"/>
              <w:rPr>
                <w:sz w:val="20"/>
                <w:szCs w:val="20"/>
                <w:color w:val="auto"/>
              </w:rPr>
            </w:pPr>
            <w:r>
              <w:rPr>
                <w:rFonts w:ascii="Arial" w:cs="Arial" w:eastAsia="Arial" w:hAnsi="Arial"/>
                <w:sz w:val="18"/>
                <w:szCs w:val="18"/>
                <w:b w:val="1"/>
                <w:bCs w:val="1"/>
                <w:i w:val="1"/>
                <w:iCs w:val="1"/>
                <w:color w:val="auto"/>
              </w:rPr>
              <w:t>Research and Development</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82"/>
        </w:trPr>
        <w:tc>
          <w:tcPr>
            <w:tcW w:w="6400" w:type="dxa"/>
            <w:vAlign w:val="bottom"/>
          </w:tcPr>
          <w:p>
            <w:pPr>
              <w:spacing w:after="0"/>
              <w:rPr>
                <w:sz w:val="24"/>
                <w:szCs w:val="24"/>
                <w:color w:val="auto"/>
              </w:rPr>
            </w:pPr>
          </w:p>
        </w:tc>
        <w:tc>
          <w:tcPr>
            <w:tcW w:w="2180" w:type="dxa"/>
            <w:vAlign w:val="bottom"/>
            <w:gridSpan w:val="4"/>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24"/>
                <w:szCs w:val="24"/>
                <w:color w:val="auto"/>
              </w:rPr>
            </w:pPr>
          </w:p>
        </w:tc>
      </w:tr>
      <w:tr>
        <w:trPr>
          <w:trHeight w:val="214"/>
        </w:trPr>
        <w:tc>
          <w:tcPr>
            <w:tcW w:w="64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b w:val="1"/>
                <w:bCs w:val="1"/>
                <w:color w:val="auto"/>
                <w:w w:val="81"/>
              </w:rPr>
              <w:t>Percent</w:t>
            </w:r>
          </w:p>
        </w:tc>
      </w:tr>
      <w:tr>
        <w:trPr>
          <w:trHeight w:val="252"/>
        </w:trPr>
        <w:tc>
          <w:tcPr>
            <w:tcW w:w="6400" w:type="dxa"/>
            <w:vAlign w:val="bottom"/>
          </w:tcPr>
          <w:p>
            <w:pPr>
              <w:spacing w:after="0"/>
              <w:rPr>
                <w:sz w:val="21"/>
                <w:szCs w:val="21"/>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Q1-10</w:t>
            </w: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Q1-09</w:t>
            </w:r>
          </w:p>
        </w:tc>
        <w:tc>
          <w:tcPr>
            <w:tcW w:w="560" w:type="dxa"/>
            <w:vAlign w:val="bottom"/>
          </w:tcPr>
          <w:p>
            <w:pPr>
              <w:spacing w:after="0"/>
              <w:rPr>
                <w:sz w:val="20"/>
                <w:szCs w:val="20"/>
                <w:color w:val="auto"/>
              </w:rPr>
            </w:pPr>
            <w:r>
              <w:rPr>
                <w:rFonts w:ascii="Arial" w:cs="Arial" w:eastAsia="Arial" w:hAnsi="Arial"/>
                <w:sz w:val="18"/>
                <w:szCs w:val="18"/>
                <w:b w:val="1"/>
                <w:bCs w:val="1"/>
                <w:color w:val="auto"/>
                <w:w w:val="81"/>
              </w:rPr>
              <w:t>Change</w:t>
            </w:r>
          </w:p>
        </w:tc>
      </w:tr>
      <w:tr>
        <w:trPr>
          <w:trHeight w:val="243"/>
        </w:trPr>
        <w:tc>
          <w:tcPr>
            <w:tcW w:w="640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R&amp;D expenses</w:t>
            </w:r>
          </w:p>
        </w:tc>
        <w:tc>
          <w:tcPr>
            <w:tcW w:w="760" w:type="dxa"/>
            <w:vAlign w:val="bottom"/>
            <w:tcBorders>
              <w:top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$4.0</w:t>
            </w:r>
          </w:p>
        </w:tc>
        <w:tc>
          <w:tcPr>
            <w:tcW w:w="320" w:type="dxa"/>
            <w:vAlign w:val="bottom"/>
            <w:tcBorders>
              <w:top w:val="single" w:sz="8" w:color="C0C0C0"/>
            </w:tcBorders>
            <w:shd w:val="clear" w:color="auto" w:fill="C0C0C0"/>
          </w:tcPr>
          <w:p>
            <w:pPr>
              <w:spacing w:after="0"/>
              <w:rPr>
                <w:sz w:val="21"/>
                <w:szCs w:val="21"/>
                <w:color w:val="auto"/>
              </w:rPr>
            </w:pPr>
          </w:p>
        </w:tc>
        <w:tc>
          <w:tcPr>
            <w:tcW w:w="760" w:type="dxa"/>
            <w:vAlign w:val="bottom"/>
            <w:tcBorders>
              <w:top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$3.6</w:t>
            </w:r>
          </w:p>
        </w:tc>
        <w:tc>
          <w:tcPr>
            <w:tcW w:w="340" w:type="dxa"/>
            <w:vAlign w:val="bottom"/>
            <w:tcBorders>
              <w:top w:val="single" w:sz="8" w:color="C0C0C0"/>
            </w:tcBorders>
            <w:shd w:val="clear" w:color="auto" w:fill="C0C0C0"/>
          </w:tcPr>
          <w:p>
            <w:pPr>
              <w:spacing w:after="0"/>
              <w:rPr>
                <w:sz w:val="21"/>
                <w:szCs w:val="21"/>
                <w:color w:val="auto"/>
              </w:rPr>
            </w:pPr>
          </w:p>
        </w:tc>
        <w:tc>
          <w:tcPr>
            <w:tcW w:w="56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9.1%</w:t>
            </w:r>
          </w:p>
        </w:tc>
      </w:tr>
      <w:tr>
        <w:trPr>
          <w:trHeight w:val="228"/>
        </w:trPr>
        <w:tc>
          <w:tcPr>
            <w:tcW w:w="640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760" w:type="dxa"/>
            <w:vAlign w:val="bottom"/>
          </w:tcPr>
          <w:p>
            <w:pPr>
              <w:jc w:val="right"/>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r>
    </w:tbl>
    <w:p>
      <w:pPr>
        <w:spacing w:after="0" w:line="277" w:lineRule="exact"/>
        <w:rPr>
          <w:sz w:val="20"/>
          <w:szCs w:val="20"/>
          <w:color w:val="auto"/>
        </w:rPr>
      </w:pPr>
    </w:p>
    <w:p>
      <w:pPr>
        <w:ind w:right="40" w:firstLine="270"/>
        <w:spacing w:after="0" w:line="259" w:lineRule="auto"/>
        <w:rPr>
          <w:sz w:val="20"/>
          <w:szCs w:val="20"/>
          <w:color w:val="auto"/>
        </w:rPr>
      </w:pPr>
      <w:r>
        <w:rPr>
          <w:rFonts w:ascii="Arial" w:cs="Arial" w:eastAsia="Arial" w:hAnsi="Arial"/>
          <w:sz w:val="18"/>
          <w:szCs w:val="18"/>
          <w:color w:val="auto"/>
        </w:rPr>
        <w:t>Research and development expenses consist primarily of global development efforts relating to high-end process technologies for advanced sub-wavelength reticle solutions for IC and FPD technologies. Research and development expenses increased $0.4 million in Q1-10 as compared to Q1-09, primarily as a result of increased expenditures in Asia.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640" w:type="dxa"/>
            <w:vAlign w:val="bottom"/>
          </w:tcPr>
          <w:p>
            <w:pPr>
              <w:spacing w:after="0"/>
              <w:rPr>
                <w:sz w:val="20"/>
                <w:szCs w:val="20"/>
                <w:color w:val="auto"/>
              </w:rPr>
            </w:pPr>
            <w:r>
              <w:rPr>
                <w:rFonts w:ascii="Arial" w:cs="Arial" w:eastAsia="Arial" w:hAnsi="Arial"/>
                <w:sz w:val="18"/>
                <w:szCs w:val="18"/>
                <w:b w:val="1"/>
                <w:bCs w:val="1"/>
                <w:i w:val="1"/>
                <w:iCs w:val="1"/>
                <w:color w:val="auto"/>
              </w:rPr>
              <w:t>Consolidation, Restructuring and Related Charges</w:t>
            </w: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2"/>
        </w:trPr>
        <w:tc>
          <w:tcPr>
            <w:tcW w:w="4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2"/>
              </w:rPr>
              <w:t>Three Months Ended</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640" w:type="dxa"/>
            <w:vAlign w:val="bottom"/>
            <w:tcBorders>
              <w:bottom w:val="single" w:sz="8" w:color="C0C0C0"/>
            </w:tcBorders>
          </w:tcPr>
          <w:p>
            <w:pPr>
              <w:spacing w:after="0"/>
              <w:rPr>
                <w:sz w:val="20"/>
                <w:szCs w:val="20"/>
                <w:color w:val="auto"/>
              </w:rPr>
            </w:pPr>
          </w:p>
        </w:tc>
        <w:tc>
          <w:tcPr>
            <w:tcW w:w="132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Q1-10</w:t>
            </w:r>
          </w:p>
        </w:tc>
        <w:tc>
          <w:tcPr>
            <w:tcW w:w="320" w:type="dxa"/>
            <w:vAlign w:val="bottom"/>
            <w:tcBorders>
              <w:bottom w:val="single" w:sz="8" w:color="C0C0C0"/>
            </w:tcBorders>
          </w:tcPr>
          <w:p>
            <w:pPr>
              <w:spacing w:after="0"/>
              <w:rPr>
                <w:sz w:val="20"/>
                <w:szCs w:val="20"/>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Q1-09</w:t>
            </w:r>
          </w:p>
        </w:tc>
        <w:tc>
          <w:tcPr>
            <w:tcW w:w="3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40" w:type="dxa"/>
            <w:vAlign w:val="bottom"/>
            <w:shd w:val="clear" w:color="auto" w:fill="C0C0C0"/>
          </w:tcPr>
          <w:p>
            <w:pPr>
              <w:spacing w:after="0"/>
              <w:rPr>
                <w:sz w:val="20"/>
                <w:szCs w:val="20"/>
                <w:color w:val="auto"/>
              </w:rPr>
            </w:pPr>
            <w:r>
              <w:rPr>
                <w:rFonts w:ascii="Arial" w:cs="Arial" w:eastAsia="Arial" w:hAnsi="Arial"/>
                <w:sz w:val="18"/>
                <w:szCs w:val="18"/>
                <w:color w:val="auto"/>
              </w:rPr>
              <w:t>Employee terminations</w:t>
            </w:r>
          </w:p>
        </w:tc>
        <w:tc>
          <w:tcPr>
            <w:tcW w:w="2660" w:type="dxa"/>
            <w:vAlign w:val="bottom"/>
            <w:gridSpan w:val="4"/>
            <w:shd w:val="clear" w:color="auto" w:fill="C0C0C0"/>
          </w:tcPr>
          <w:p>
            <w:pPr>
              <w:jc w:val="right"/>
              <w:ind w:right="320"/>
              <w:spacing w:after="0"/>
              <w:rPr>
                <w:sz w:val="20"/>
                <w:szCs w:val="20"/>
                <w:color w:val="auto"/>
              </w:rPr>
            </w:pPr>
            <w:r>
              <w:rPr>
                <w:rFonts w:ascii="Arial" w:cs="Arial" w:eastAsia="Arial" w:hAnsi="Arial"/>
                <w:sz w:val="18"/>
                <w:szCs w:val="18"/>
                <w:color w:val="auto"/>
              </w:rPr>
              <w:t>$0.2</w:t>
            </w: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w:t>
            </w:r>
          </w:p>
        </w:tc>
        <w:tc>
          <w:tcPr>
            <w:tcW w:w="3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4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Asset write-downs</w:t>
            </w:r>
          </w:p>
        </w:tc>
        <w:tc>
          <w:tcPr>
            <w:tcW w:w="1640" w:type="dxa"/>
            <w:vAlign w:val="bottom"/>
            <w:tcBorders>
              <w:bottom w:val="single" w:sz="8" w:color="C0C0C0"/>
            </w:tcBorders>
            <w:gridSpan w:val="2"/>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0C0C0"/>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3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640" w:type="dxa"/>
            <w:vAlign w:val="bottom"/>
            <w:shd w:val="clear" w:color="auto" w:fill="C0C0C0"/>
          </w:tcPr>
          <w:p>
            <w:pPr>
              <w:spacing w:after="0"/>
              <w:rPr>
                <w:sz w:val="20"/>
                <w:szCs w:val="20"/>
                <w:color w:val="auto"/>
              </w:rPr>
            </w:pPr>
            <w:r>
              <w:rPr>
                <w:rFonts w:ascii="Arial" w:cs="Arial" w:eastAsia="Arial" w:hAnsi="Arial"/>
                <w:sz w:val="18"/>
                <w:szCs w:val="18"/>
                <w:color w:val="auto"/>
              </w:rPr>
              <w:t>Total consolidation, restructuring</w:t>
            </w:r>
          </w:p>
        </w:tc>
        <w:tc>
          <w:tcPr>
            <w:tcW w:w="1320" w:type="dxa"/>
            <w:vAlign w:val="bottom"/>
            <w:shd w:val="clear" w:color="auto" w:fill="C0C0C0"/>
          </w:tcPr>
          <w:p>
            <w:pPr>
              <w:spacing w:after="0"/>
              <w:rPr>
                <w:sz w:val="18"/>
                <w:szCs w:val="18"/>
                <w:color w:val="auto"/>
              </w:rPr>
            </w:pPr>
          </w:p>
        </w:tc>
        <w:tc>
          <w:tcPr>
            <w:tcW w:w="1340" w:type="dxa"/>
            <w:vAlign w:val="bottom"/>
            <w:gridSpan w:val="3"/>
            <w:vMerge w:val="restart"/>
            <w:shd w:val="clear" w:color="auto" w:fill="C0C0C0"/>
          </w:tcPr>
          <w:p>
            <w:pPr>
              <w:jc w:val="right"/>
              <w:ind w:right="320"/>
              <w:spacing w:after="0"/>
              <w:rPr>
                <w:sz w:val="20"/>
                <w:szCs w:val="20"/>
                <w:color w:val="auto"/>
              </w:rPr>
            </w:pPr>
            <w:r>
              <w:rPr>
                <w:rFonts w:ascii="Arial" w:cs="Arial" w:eastAsia="Arial" w:hAnsi="Arial"/>
                <w:sz w:val="18"/>
                <w:szCs w:val="18"/>
                <w:color w:val="auto"/>
              </w:rPr>
              <w:t>$0.2</w:t>
            </w:r>
          </w:p>
        </w:tc>
        <w:tc>
          <w:tcPr>
            <w:tcW w:w="680" w:type="dxa"/>
            <w:vAlign w:val="bottom"/>
            <w:vMerge w:val="restart"/>
            <w:shd w:val="clear" w:color="auto" w:fill="C0C0C0"/>
          </w:tcPr>
          <w:p>
            <w:pPr>
              <w:jc w:val="right"/>
              <w:spacing w:after="0"/>
              <w:rPr>
                <w:sz w:val="20"/>
                <w:szCs w:val="20"/>
                <w:color w:val="auto"/>
              </w:rPr>
            </w:pPr>
            <w:r>
              <w:rPr>
                <w:rFonts w:ascii="Arial" w:cs="Arial" w:eastAsia="Arial" w:hAnsi="Arial"/>
                <w:sz w:val="18"/>
                <w:szCs w:val="18"/>
                <w:color w:val="auto"/>
              </w:rPr>
              <w:t>$1.7</w:t>
            </w: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4640" w:type="dxa"/>
            <w:vAlign w:val="bottom"/>
            <w:shd w:val="clear" w:color="auto" w:fill="C0C0C0"/>
          </w:tcPr>
          <w:p>
            <w:pPr>
              <w:ind w:left="340"/>
              <w:spacing w:after="0"/>
              <w:rPr>
                <w:sz w:val="20"/>
                <w:szCs w:val="20"/>
                <w:color w:val="auto"/>
              </w:rPr>
            </w:pPr>
            <w:r>
              <w:rPr>
                <w:rFonts w:ascii="Arial" w:cs="Arial" w:eastAsia="Arial" w:hAnsi="Arial"/>
                <w:sz w:val="18"/>
                <w:szCs w:val="18"/>
                <w:color w:val="auto"/>
              </w:rPr>
              <w:t>and related charges</w:t>
            </w:r>
          </w:p>
        </w:tc>
        <w:tc>
          <w:tcPr>
            <w:tcW w:w="1320" w:type="dxa"/>
            <w:vAlign w:val="bottom"/>
            <w:shd w:val="clear" w:color="auto" w:fill="C0C0C0"/>
          </w:tcPr>
          <w:p>
            <w:pPr>
              <w:spacing w:after="0"/>
              <w:rPr>
                <w:sz w:val="24"/>
                <w:szCs w:val="24"/>
                <w:color w:val="auto"/>
              </w:rPr>
            </w:pPr>
          </w:p>
        </w:tc>
        <w:tc>
          <w:tcPr>
            <w:tcW w:w="1340" w:type="dxa"/>
            <w:vAlign w:val="bottom"/>
            <w:gridSpan w:val="3"/>
            <w:vMerge w:val="continue"/>
            <w:shd w:val="clear" w:color="auto" w:fill="C0C0C0"/>
          </w:tcPr>
          <w:p>
            <w:pPr>
              <w:spacing w:after="0"/>
              <w:rPr>
                <w:sz w:val="24"/>
                <w:szCs w:val="24"/>
                <w:color w:val="auto"/>
              </w:rPr>
            </w:pPr>
          </w:p>
        </w:tc>
        <w:tc>
          <w:tcPr>
            <w:tcW w:w="680" w:type="dxa"/>
            <w:vAlign w:val="bottom"/>
            <w:vMerge w:val="continue"/>
            <w:shd w:val="clear" w:color="auto" w:fill="C0C0C0"/>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640" w:type="dxa"/>
            <w:vAlign w:val="bottom"/>
            <w:tcBorders>
              <w:top w:val="single" w:sz="8" w:color="C0C0C0"/>
            </w:tcBorders>
          </w:tcPr>
          <w:p>
            <w:pPr>
              <w:spacing w:after="0"/>
              <w:rPr>
                <w:sz w:val="24"/>
                <w:szCs w:val="24"/>
                <w:color w:val="auto"/>
              </w:rPr>
            </w:pPr>
          </w:p>
        </w:tc>
        <w:tc>
          <w:tcPr>
            <w:tcW w:w="1320" w:type="dxa"/>
            <w:vAlign w:val="bottom"/>
            <w:tcBorders>
              <w:top w:val="single" w:sz="8" w:color="C0C0C0"/>
            </w:tcBorders>
          </w:tcPr>
          <w:p>
            <w:pPr>
              <w:jc w:val="right"/>
              <w:ind w:right="72"/>
              <w:spacing w:after="0"/>
              <w:rPr>
                <w:sz w:val="20"/>
                <w:szCs w:val="20"/>
                <w:color w:val="auto"/>
              </w:rPr>
            </w:pPr>
            <w:r>
              <w:rPr>
                <w:rFonts w:ascii="Arial" w:cs="Arial" w:eastAsia="Arial" w:hAnsi="Arial"/>
                <w:sz w:val="18"/>
                <w:szCs w:val="18"/>
                <w:color w:val="auto"/>
              </w:rPr>
              <w:t>23</w:t>
            </w:r>
          </w:p>
        </w:tc>
        <w:tc>
          <w:tcPr>
            <w:tcW w:w="320" w:type="dxa"/>
            <w:vAlign w:val="bottom"/>
            <w:tcBorders>
              <w:top w:val="single" w:sz="8" w:color="C0C0C0"/>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20" w:type="dxa"/>
            <w:vAlign w:val="bottom"/>
            <w:tcBorders>
              <w:top w:val="single" w:sz="8" w:color="C0C0C0"/>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464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34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74" w:right="21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u w:val="single" w:color="auto"/>
          <w:color w:val="auto"/>
        </w:rPr>
        <w:t>Shanghai, China, Facility</w:t>
      </w:r>
    </w:p>
    <w:p>
      <w:pPr>
        <w:spacing w:after="0" w:line="279" w:lineRule="exact"/>
        <w:rPr>
          <w:sz w:val="20"/>
          <w:szCs w:val="20"/>
          <w:color w:val="auto"/>
        </w:rPr>
      </w:pPr>
    </w:p>
    <w:p>
      <w:pPr>
        <w:ind w:right="60" w:firstLine="270"/>
        <w:spacing w:after="0" w:line="294" w:lineRule="auto"/>
        <w:rPr>
          <w:sz w:val="20"/>
          <w:szCs w:val="20"/>
          <w:color w:val="auto"/>
        </w:rPr>
      </w:pPr>
      <w:r>
        <w:rPr>
          <w:rFonts w:ascii="Arial" w:cs="Arial" w:eastAsia="Arial" w:hAnsi="Arial"/>
          <w:sz w:val="16"/>
          <w:szCs w:val="16"/>
          <w:color w:val="auto"/>
        </w:rPr>
        <w:t>During the three months ended August 2, 2009, the Company ceased the manufacture of photomasks at its Shanghai, China, facility. In connection with this restructuring, the Company has recorded total restructure charges of $10.4 million through January 31, 2010, including $9.9 million for asset write-downs, principally related to the Company's manufacturing facility. The fair value of the assets written down was determined by management using a market approach. Approximately 75 employees were affected by this restructuring. The Company expects the total after tax cost of this restructure to range between $11 million to $13 million through its expected completion during fiscal 2010.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Manchester, U.K., Facility</w:t>
      </w:r>
    </w:p>
    <w:p>
      <w:pPr>
        <w:spacing w:after="0" w:line="279" w:lineRule="exact"/>
        <w:rPr>
          <w:sz w:val="20"/>
          <w:szCs w:val="20"/>
          <w:color w:val="auto"/>
        </w:rPr>
      </w:pPr>
    </w:p>
    <w:p>
      <w:pPr>
        <w:ind w:right="60" w:firstLine="270"/>
        <w:spacing w:after="0" w:line="259" w:lineRule="auto"/>
        <w:rPr>
          <w:sz w:val="20"/>
          <w:szCs w:val="20"/>
          <w:color w:val="auto"/>
        </w:rPr>
      </w:pPr>
      <w:r>
        <w:rPr>
          <w:rFonts w:ascii="Arial" w:cs="Arial" w:eastAsia="Arial" w:hAnsi="Arial"/>
          <w:sz w:val="18"/>
          <w:szCs w:val="18"/>
          <w:color w:val="auto"/>
        </w:rPr>
        <w:t>During the three months ended February 1, 2009, the Company ceased the manufacture of photomasks at its Manchester, U.K., facility, and in connection therewith incurred total restructuring charges of $3.3 million through its completion in the fourth quarter of fiscal 2009, primarily for employee termination costs and asset write-downs. Approximately 85 employees were affected by this restructuring.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960" w:type="dxa"/>
            <w:vAlign w:val="bottom"/>
          </w:tcPr>
          <w:p>
            <w:pPr>
              <w:spacing w:after="0"/>
              <w:rPr>
                <w:sz w:val="20"/>
                <w:szCs w:val="20"/>
                <w:color w:val="auto"/>
              </w:rPr>
            </w:pPr>
            <w:r>
              <w:rPr>
                <w:rFonts w:ascii="Arial" w:cs="Arial" w:eastAsia="Arial" w:hAnsi="Arial"/>
                <w:sz w:val="18"/>
                <w:szCs w:val="18"/>
                <w:b w:val="1"/>
                <w:bCs w:val="1"/>
                <w:i w:val="1"/>
                <w:iCs w:val="1"/>
                <w:color w:val="auto"/>
              </w:rPr>
              <w:t>Other Income (Expense), net</w:t>
            </w: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482"/>
        </w:trPr>
        <w:tc>
          <w:tcPr>
            <w:tcW w:w="5960" w:type="dxa"/>
            <w:vAlign w:val="bottom"/>
          </w:tcPr>
          <w:p>
            <w:pPr>
              <w:spacing w:after="0"/>
              <w:rPr>
                <w:sz w:val="24"/>
                <w:szCs w:val="24"/>
                <w:color w:val="auto"/>
              </w:rPr>
            </w:pPr>
          </w:p>
        </w:tc>
        <w:tc>
          <w:tcPr>
            <w:tcW w:w="202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w w:val="99"/>
              </w:rPr>
              <w:t>Three Months Ended</w:t>
            </w:r>
          </w:p>
        </w:tc>
      </w:tr>
      <w:tr>
        <w:trPr>
          <w:trHeight w:val="237"/>
        </w:trPr>
        <w:tc>
          <w:tcPr>
            <w:tcW w:w="5960" w:type="dxa"/>
            <w:vAlign w:val="bottom"/>
          </w:tcPr>
          <w:p>
            <w:pPr>
              <w:spacing w:after="0"/>
              <w:rPr>
                <w:sz w:val="20"/>
                <w:szCs w:val="20"/>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Q1-10</w:t>
            </w:r>
          </w:p>
        </w:tc>
        <w:tc>
          <w:tcPr>
            <w:tcW w:w="840" w:type="dxa"/>
            <w:vAlign w:val="bottom"/>
          </w:tcPr>
          <w:p>
            <w:pPr>
              <w:jc w:val="right"/>
              <w:ind w:right="92"/>
              <w:spacing w:after="0"/>
              <w:rPr>
                <w:sz w:val="20"/>
                <w:szCs w:val="20"/>
                <w:color w:val="auto"/>
              </w:rPr>
            </w:pPr>
            <w:r>
              <w:rPr>
                <w:rFonts w:ascii="Arial" w:cs="Arial" w:eastAsia="Arial" w:hAnsi="Arial"/>
                <w:sz w:val="18"/>
                <w:szCs w:val="18"/>
                <w:b w:val="1"/>
                <w:bCs w:val="1"/>
                <w:color w:val="auto"/>
              </w:rPr>
              <w:t>Q1-09</w:t>
            </w:r>
          </w:p>
        </w:tc>
      </w:tr>
      <w:tr>
        <w:trPr>
          <w:trHeight w:val="243"/>
        </w:trPr>
        <w:tc>
          <w:tcPr>
            <w:tcW w:w="596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Interest expense</w:t>
            </w:r>
          </w:p>
        </w:tc>
        <w:tc>
          <w:tcPr>
            <w:tcW w:w="86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$(2.9)</w:t>
            </w:r>
          </w:p>
        </w:tc>
        <w:tc>
          <w:tcPr>
            <w:tcW w:w="320" w:type="dxa"/>
            <w:vAlign w:val="bottom"/>
            <w:tcBorders>
              <w:top w:val="single" w:sz="8" w:color="C0C0C0"/>
            </w:tcBorders>
            <w:shd w:val="clear" w:color="auto" w:fill="C0C0C0"/>
          </w:tcPr>
          <w:p>
            <w:pPr>
              <w:spacing w:after="0"/>
              <w:rPr>
                <w:sz w:val="21"/>
                <w:szCs w:val="21"/>
                <w:color w:val="auto"/>
              </w:rPr>
            </w:pPr>
          </w:p>
        </w:tc>
        <w:tc>
          <w:tcPr>
            <w:tcW w:w="84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$(4.6)</w:t>
            </w:r>
          </w:p>
        </w:tc>
      </w:tr>
      <w:tr>
        <w:trPr>
          <w:trHeight w:val="237"/>
        </w:trPr>
        <w:tc>
          <w:tcPr>
            <w:tcW w:w="596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Investment and other income, net</w:t>
            </w: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0.4</w:t>
            </w:r>
          </w:p>
        </w:tc>
        <w:tc>
          <w:tcPr>
            <w:tcW w:w="320" w:type="dxa"/>
            <w:vAlign w:val="bottom"/>
            <w:tcBorders>
              <w:bottom w:val="single" w:sz="8" w:color="C0C0C0"/>
            </w:tcBorders>
          </w:tcPr>
          <w:p>
            <w:pPr>
              <w:spacing w:after="0"/>
              <w:rPr>
                <w:sz w:val="20"/>
                <w:szCs w:val="20"/>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w:t>
            </w:r>
          </w:p>
        </w:tc>
      </w:tr>
      <w:tr>
        <w:trPr>
          <w:trHeight w:val="250"/>
        </w:trPr>
        <w:tc>
          <w:tcPr>
            <w:tcW w:w="596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Other expense, net</w:t>
            </w:r>
          </w:p>
        </w:tc>
        <w:tc>
          <w:tcPr>
            <w:tcW w:w="8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$(2.5)</w:t>
            </w:r>
          </w:p>
        </w:tc>
        <w:tc>
          <w:tcPr>
            <w:tcW w:w="320" w:type="dxa"/>
            <w:vAlign w:val="bottom"/>
            <w:tcBorders>
              <w:bottom w:val="single" w:sz="8" w:color="C0C0C0"/>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$(3.6)</w:t>
            </w:r>
          </w:p>
        </w:tc>
      </w:tr>
    </w:tbl>
    <w:p>
      <w:pPr>
        <w:spacing w:after="0" w:line="262" w:lineRule="exact"/>
        <w:rPr>
          <w:sz w:val="20"/>
          <w:szCs w:val="20"/>
          <w:color w:val="auto"/>
        </w:rPr>
      </w:pPr>
    </w:p>
    <w:p>
      <w:pPr>
        <w:jc w:val="both"/>
        <w:ind w:right="40" w:firstLine="270"/>
        <w:spacing w:after="0" w:line="256" w:lineRule="auto"/>
        <w:rPr>
          <w:sz w:val="20"/>
          <w:szCs w:val="20"/>
          <w:color w:val="auto"/>
        </w:rPr>
      </w:pPr>
      <w:r>
        <w:rPr>
          <w:rFonts w:ascii="Arial" w:cs="Arial" w:eastAsia="Arial" w:hAnsi="Arial"/>
          <w:sz w:val="18"/>
          <w:szCs w:val="18"/>
          <w:color w:val="auto"/>
        </w:rPr>
        <w:t>Interest expense decreased in Q1-10 as compared to Q1-09 primarily as a result of lower debt levels and lower average interest rates on the Company's long-term borrowings. The outstanding balance of the Company's variable rate debt and related higher interest costs were reduced substantially during the three month period ended November 1, 2009 with net proceeds from its common stock and convertible debt offerings. Investment and other income, net, decreased primarily due to less favorable foreign currency transaction results.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60" w:lineRule="exact"/>
        <w:rPr>
          <w:sz w:val="20"/>
          <w:szCs w:val="20"/>
          <w:color w:val="auto"/>
        </w:rPr>
      </w:pPr>
    </w:p>
    <w:p>
      <w:pPr>
        <w:ind w:left="6340"/>
        <w:spacing w:after="0"/>
        <w:rPr>
          <w:sz w:val="20"/>
          <w:szCs w:val="20"/>
          <w:color w:val="auto"/>
        </w:rPr>
      </w:pPr>
      <w:r>
        <w:rPr>
          <w:rFonts w:ascii="Arial" w:cs="Arial" w:eastAsia="Arial" w:hAnsi="Arial"/>
          <w:sz w:val="18"/>
          <w:szCs w:val="18"/>
          <w:b w:val="1"/>
          <w:bCs w:val="1"/>
          <w:color w:val="auto"/>
        </w:rPr>
        <w:t>Three Months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280" w:type="dxa"/>
            <w:vAlign w:val="bottom"/>
            <w:tcBorders>
              <w:bottom w:val="single" w:sz="8" w:color="C0C0C0"/>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Q1-10</w:t>
            </w:r>
          </w:p>
        </w:tc>
        <w:tc>
          <w:tcPr>
            <w:tcW w:w="320" w:type="dxa"/>
            <w:vAlign w:val="bottom"/>
            <w:tcBorders>
              <w:top w:val="single" w:sz="8" w:color="auto"/>
              <w:bottom w:val="single" w:sz="8" w:color="C0C0C0"/>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Q1-09</w:t>
            </w:r>
          </w:p>
        </w:tc>
      </w:tr>
      <w:tr>
        <w:trPr>
          <w:trHeight w:val="243"/>
        </w:trPr>
        <w:tc>
          <w:tcPr>
            <w:tcW w:w="6280" w:type="dxa"/>
            <w:vAlign w:val="bottom"/>
            <w:shd w:val="clear" w:color="auto" w:fill="C0C0C0"/>
          </w:tcPr>
          <w:p>
            <w:pPr>
              <w:spacing w:after="0"/>
              <w:rPr>
                <w:sz w:val="20"/>
                <w:szCs w:val="20"/>
                <w:color w:val="auto"/>
              </w:rPr>
            </w:pPr>
            <w:r>
              <w:rPr>
                <w:rFonts w:ascii="Arial" w:cs="Arial" w:eastAsia="Arial" w:hAnsi="Arial"/>
                <w:sz w:val="18"/>
                <w:szCs w:val="18"/>
                <w:color w:val="auto"/>
              </w:rPr>
              <w:t>Income tax provision</w:t>
            </w:r>
          </w:p>
        </w:tc>
        <w:tc>
          <w:tcPr>
            <w:tcW w:w="1020" w:type="dxa"/>
            <w:vAlign w:val="bottom"/>
            <w:gridSpan w:val="2"/>
            <w:shd w:val="clear" w:color="auto" w:fill="C0C0C0"/>
          </w:tcPr>
          <w:p>
            <w:pPr>
              <w:jc w:val="right"/>
              <w:ind w:right="320"/>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w:t>
            </w:r>
          </w:p>
        </w:tc>
      </w:tr>
    </w:tbl>
    <w:p>
      <w:pPr>
        <w:spacing w:after="0" w:line="262" w:lineRule="exact"/>
        <w:rPr>
          <w:sz w:val="20"/>
          <w:szCs w:val="20"/>
          <w:color w:val="auto"/>
        </w:rPr>
      </w:pPr>
    </w:p>
    <w:p>
      <w:pPr>
        <w:ind w:firstLine="270"/>
        <w:spacing w:after="0" w:line="298" w:lineRule="auto"/>
        <w:rPr>
          <w:sz w:val="20"/>
          <w:szCs w:val="20"/>
          <w:color w:val="auto"/>
        </w:rPr>
      </w:pPr>
      <w:r>
        <w:rPr>
          <w:rFonts w:ascii="Arial" w:cs="Arial" w:eastAsia="Arial" w:hAnsi="Arial"/>
          <w:sz w:val="16"/>
          <w:szCs w:val="16"/>
          <w:color w:val="auto"/>
        </w:rPr>
        <w:t>The effective income tax rate differs from the amount computed by applying the U.S. statutory rate of 35% to the income (loss) before income taxes primarily because income tax provisions incurred in jurisdictions where the Company generated income before income taxes were, due to valuation allowances, not significantly offset by income tax benefits in jurisdictions where the Company incurred losses before income taxes. Further, various investment tax credits have been utilized in Korea and Taiwan which reduced the Company's effective income tax rate.</w:t>
      </w:r>
    </w:p>
    <w:p>
      <w:pPr>
        <w:spacing w:after="0" w:line="221" w:lineRule="exact"/>
        <w:rPr>
          <w:sz w:val="20"/>
          <w:szCs w:val="20"/>
          <w:color w:val="auto"/>
        </w:rPr>
      </w:pPr>
    </w:p>
    <w:p>
      <w:pPr>
        <w:ind w:right="40" w:firstLine="270"/>
        <w:spacing w:after="0" w:line="298" w:lineRule="auto"/>
        <w:rPr>
          <w:sz w:val="20"/>
          <w:szCs w:val="20"/>
          <w:color w:val="auto"/>
        </w:rPr>
      </w:pPr>
      <w:r>
        <w:rPr>
          <w:rFonts w:ascii="Arial" w:cs="Arial" w:eastAsia="Arial" w:hAnsi="Arial"/>
          <w:sz w:val="16"/>
          <w:szCs w:val="16"/>
          <w:color w:val="auto"/>
        </w:rPr>
        <w:t>PKLT, the Company's FPD manufacturing facility in Taiwan, is accorded a tax holiday, which expires in 2012. In addition, the Company has been accorded a tax holiday in China which is expected to expire in 2011. The availability of these tax holidays did not have a significant impact on the Company's decision to increase its Asian presence, as the Company's decision was in response to fundamental changes that took place in the semiconductor industry. These tax holidays had no dollar or per share effect in the three month periods ended January 31, 2010 and February 1, 2009.</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374" w:right="2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Net Income Attributable to Noncontrolling Interests</w:t>
      </w:r>
    </w:p>
    <w:p>
      <w:pPr>
        <w:spacing w:after="0" w:line="279" w:lineRule="exact"/>
        <w:rPr>
          <w:sz w:val="20"/>
          <w:szCs w:val="20"/>
          <w:color w:val="auto"/>
        </w:rPr>
      </w:pPr>
    </w:p>
    <w:p>
      <w:pPr>
        <w:ind w:right="20" w:firstLine="270"/>
        <w:spacing w:after="0" w:line="256" w:lineRule="auto"/>
        <w:rPr>
          <w:sz w:val="20"/>
          <w:szCs w:val="20"/>
          <w:color w:val="auto"/>
        </w:rPr>
      </w:pPr>
      <w:r>
        <w:rPr>
          <w:rFonts w:ascii="Arial" w:cs="Arial" w:eastAsia="Arial" w:hAnsi="Arial"/>
          <w:sz w:val="18"/>
          <w:szCs w:val="18"/>
          <w:color w:val="auto"/>
        </w:rPr>
        <w:t>Net income attributable to noncontrolling interests (formerly referred to as "minority interests") decreased $0.1 million to $0.2 million in Q1-10 as compared to Q1-09, primarily due to decreased net income at the Company's non-wholly owned subsidiary in Taiwan. The Company's ownership in its subsidiary in Taiwan was approximately 58% at January 31, 2010, and November 1, 2009, and its ownership in its subsidiary in Korea was approximately 99.7% at January 31, 2010, and November 1, 2009.</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5" w:lineRule="exact"/>
        <w:rPr>
          <w:sz w:val="20"/>
          <w:szCs w:val="20"/>
          <w:color w:val="auto"/>
        </w:rPr>
      </w:pPr>
    </w:p>
    <w:p>
      <w:pPr>
        <w:ind w:right="20" w:firstLine="270"/>
        <w:spacing w:after="0" w:line="291" w:lineRule="auto"/>
        <w:rPr>
          <w:sz w:val="20"/>
          <w:szCs w:val="20"/>
          <w:color w:val="auto"/>
        </w:rPr>
      </w:pPr>
      <w:r>
        <w:rPr>
          <w:rFonts w:ascii="Arial" w:cs="Arial" w:eastAsia="Arial" w:hAnsi="Arial"/>
          <w:sz w:val="16"/>
          <w:szCs w:val="16"/>
          <w:color w:val="auto"/>
        </w:rPr>
        <w:t>The Company's working capital was $88.7 million at January 31, 2010, and $89.5 million at November 1, 2009. Cash and cash equivalents decreased to $84.4 million at January 31, 2010, as compared to $88.5 million at November 1, 2009, primarily due to payments for capital expenditures and repayments of long-term borrowings. Cash provided by operating activities was $16.4 million for the three months ended January 31, 2010, as compared to $8.0 million for the same period last year, the increase primarily due to the Company's increased net income as compared to the same prior year period. Cash used in investing activities for the three months ended January 31, 2010 was $18.5 million, which was comprised primarily of capital expenditure payments. Cash used in financing activities of $3.4 million for the three months ended January 31, 2010 was primarily comprised of net repayments of long-term borrowings.</w:t>
      </w:r>
    </w:p>
    <w:p>
      <w:pPr>
        <w:spacing w:after="0" w:line="228" w:lineRule="exact"/>
        <w:rPr>
          <w:sz w:val="20"/>
          <w:szCs w:val="20"/>
          <w:color w:val="auto"/>
        </w:rPr>
      </w:pPr>
    </w:p>
    <w:p>
      <w:pPr>
        <w:ind w:right="40" w:firstLine="270"/>
        <w:spacing w:after="0" w:line="255" w:lineRule="auto"/>
        <w:rPr>
          <w:sz w:val="20"/>
          <w:szCs w:val="20"/>
          <w:color w:val="auto"/>
        </w:rPr>
      </w:pPr>
      <w:r>
        <w:rPr>
          <w:rFonts w:ascii="Arial" w:cs="Arial" w:eastAsia="Arial" w:hAnsi="Arial"/>
          <w:sz w:val="18"/>
          <w:szCs w:val="18"/>
          <w:color w:val="auto"/>
        </w:rPr>
        <w:t>On February 12, 2010, the Company amended its revolving credit facility, which was originally established on June 6, 2007, to a three-year $50 million revolving credit facility ("the credit facility") with an expansion option up to $65 million. At the time of the amendment, the then existing revolving credit facility and term loan were repaid in full with borrowings from the credit facility of $20.8 million, resulting in an unused commitment of $29.2 million. Both the revolving credit agreement and the term loan outstanding balances as of January 31, 2010 have been classified as long-term. The credit facility bears interest at LIBOR plus a spread, as defined in the agreement.</w:t>
      </w:r>
    </w:p>
    <w:p>
      <w:pPr>
        <w:spacing w:after="0" w:line="251" w:lineRule="exact"/>
        <w:rPr>
          <w:sz w:val="20"/>
          <w:szCs w:val="20"/>
          <w:color w:val="auto"/>
        </w:rPr>
      </w:pPr>
    </w:p>
    <w:p>
      <w:pPr>
        <w:ind w:right="380" w:firstLine="270"/>
        <w:spacing w:after="0" w:line="306" w:lineRule="auto"/>
        <w:rPr>
          <w:sz w:val="20"/>
          <w:szCs w:val="20"/>
          <w:color w:val="auto"/>
        </w:rPr>
      </w:pPr>
      <w:r>
        <w:rPr>
          <w:rFonts w:ascii="Arial" w:cs="Arial" w:eastAsia="Arial" w:hAnsi="Arial"/>
          <w:sz w:val="16"/>
          <w:szCs w:val="16"/>
          <w:color w:val="auto"/>
        </w:rPr>
        <w:t>The credit facility, which matures on February 12, 2013, is secured by substantially all of the Company's assets in the United States as well as stock the Company owns in certain of its foreign subsidiaries. The credit facility includes the following financial covenants: fixed charge coverage ratio, total leverage ratio, minimum unrestricted cash balance, and maximum capital expenditures, all as defined in the agreement.</w:t>
      </w:r>
    </w:p>
    <w:p>
      <w:pPr>
        <w:spacing w:after="0" w:line="215"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auto"/>
        </w:rPr>
        <w:t>At January 31, 2010, the Company had capital commitments outstanding of approximately $23 million. Photronics believes that its currently available resources, together with its capacity for growth, and its access to equity and other financing sources, will be sufficient to satisfy its currently planned capital expenditures, as well as its anticipated working capital requirements for the remainder of its 2010 fiscal year. However, the Company cannot assure that additional sources of financing would be available to the Company on commercially favorable terms should the Company's capital requirements exceed cash available from operations, existing cash, and cash available under its credit facility.</w:t>
      </w:r>
    </w:p>
    <w:p>
      <w:pPr>
        <w:spacing w:after="0" w:line="251" w:lineRule="exact"/>
        <w:rPr>
          <w:sz w:val="20"/>
          <w:szCs w:val="20"/>
          <w:color w:val="auto"/>
        </w:rPr>
      </w:pPr>
    </w:p>
    <w:p>
      <w:pPr>
        <w:ind w:right="160" w:firstLine="270"/>
        <w:spacing w:after="0" w:line="290" w:lineRule="auto"/>
        <w:rPr>
          <w:sz w:val="20"/>
          <w:szCs w:val="20"/>
          <w:color w:val="auto"/>
        </w:rPr>
      </w:pPr>
      <w:r>
        <w:rPr>
          <w:rFonts w:ascii="Arial" w:cs="Arial" w:eastAsia="Arial" w:hAnsi="Arial"/>
          <w:sz w:val="16"/>
          <w:szCs w:val="16"/>
          <w:color w:val="auto"/>
        </w:rPr>
        <w:t>The Company's liquidity is highly dependent on its sales volume, cash conversion cycle, and the timing of its capital expenditures, as it operates in a high fixed cost environment. Depending on conditions in the IC semiconductor and FPD market, the Company's cash flows from operations and current holdings of cash may not be adequate to meet its current and long-term needs for capital expenditures, operations and debt repayments. Historically, in certain years the Company has used external financing to fund these needs. Due to conditions in the credit markets, some financing instruments used by the Company in the past may not be currently available to it. The Company is evaluating alternatives to increase its capital, delaying capital expenditures and evaluating further cost reduction initiatives. However, the Company cannot assure that additional sources of financing would be available to it on commercially favorable terms should its capital requirements exceed cash available from operations and existing cash, and cash available under its credit facility.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85" w:lineRule="exact"/>
        <w:rPr>
          <w:sz w:val="20"/>
          <w:szCs w:val="20"/>
          <w:color w:val="auto"/>
        </w:rPr>
      </w:pPr>
    </w:p>
    <w:p>
      <w:pPr>
        <w:ind w:right="40" w:firstLine="270"/>
        <w:spacing w:after="0" w:line="256" w:lineRule="auto"/>
        <w:rPr>
          <w:sz w:val="20"/>
          <w:szCs w:val="20"/>
          <w:color w:val="auto"/>
        </w:rPr>
      </w:pPr>
      <w:r>
        <w:rPr>
          <w:rFonts w:ascii="Arial" w:cs="Arial" w:eastAsia="Arial" w:hAnsi="Arial"/>
          <w:sz w:val="18"/>
          <w:szCs w:val="18"/>
          <w:color w:val="auto"/>
        </w:rPr>
        <w:t>Total share-based compensation expense was $0.6 million and $0.7 million for the three months ended January 31, 2010 and February 1, 2009, respectively, substantially all of which is recorded in selling, general and administrative expenses. No compensation cost was capitalized as part of inventory, and no income tax benefit has been recorded. As of January 31, 2010 total unrecognized compensation cost of $4.7 million is expected to be recognized over a weighted-average amortization period of 3.4 years.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85" w:lineRule="exact"/>
        <w:rPr>
          <w:sz w:val="20"/>
          <w:szCs w:val="20"/>
          <w:color w:val="auto"/>
        </w:rPr>
      </w:pPr>
    </w:p>
    <w:p>
      <w:pPr>
        <w:ind w:right="100" w:firstLine="270"/>
        <w:spacing w:after="0" w:line="290" w:lineRule="auto"/>
        <w:rPr>
          <w:sz w:val="20"/>
          <w:szCs w:val="20"/>
          <w:color w:val="auto"/>
        </w:rPr>
      </w:pPr>
      <w:r>
        <w:rPr>
          <w:rFonts w:ascii="Arial" w:cs="Arial" w:eastAsia="Arial" w:hAnsi="Arial"/>
          <w:sz w:val="16"/>
          <w:szCs w:val="16"/>
          <w:color w:val="auto"/>
        </w:rPr>
        <w:t>Under the operating agreement relating to the MP Mask joint venture, the Company may be required to make additional capital contributions to the joint venture up to the maximum amount defined in the operating agreement. However, should the Board of Managers determine that further additional funding is required, the joint venture shall pursue its own financing. If the joint venture is unable to obtain its own financing, it may request additional capital contributions from the Company. Should the Company choose not to make a requested contribution to the joint venture, its ownership interest may be reduced. Cumulatively through January 31, 2010, the Company has contributed $6.1 million to the joint venture, and has received distributions from the joint venture totaling $10.0 million. During the three months ended January 31, 2010, there were no contributions made to the joint venture by the Company, and no distributions were received by the Company from the joint venture.</w:t>
      </w:r>
    </w:p>
    <w:p>
      <w:pPr>
        <w:spacing w:after="0" w:line="226" w:lineRule="exact"/>
        <w:rPr>
          <w:sz w:val="20"/>
          <w:szCs w:val="20"/>
          <w:color w:val="auto"/>
        </w:rPr>
      </w:pPr>
    </w:p>
    <w:p>
      <w:pPr>
        <w:ind w:firstLine="270"/>
        <w:spacing w:after="0" w:line="291" w:lineRule="auto"/>
        <w:rPr>
          <w:sz w:val="20"/>
          <w:szCs w:val="20"/>
          <w:color w:val="auto"/>
        </w:rPr>
      </w:pPr>
      <w:r>
        <w:rPr>
          <w:rFonts w:ascii="Arial" w:cs="Arial" w:eastAsia="Arial" w:hAnsi="Arial"/>
          <w:sz w:val="16"/>
          <w:szCs w:val="16"/>
          <w:color w:val="auto"/>
        </w:rPr>
        <w:t>The Company leases certain office facilities and equipment under operating leases that may require it to pay taxes, insurance and maintenance expenses related to the properties. Certain of these leases contain renewal or purchase options exercisable at the end of the lease terms. On May 19, 2009, the Company and Micron Technologies, Inc. entered into a new lease agreement for the U.S. nanoFab building and cancelled its prior lease agreement. The new lease, among other changes discussed in Note 9 to the condensed consolidated financial statements, extends the lease term from December 31, 2012 to December 31, 2014. The Company will continue to account for the lease as a capital lease for the remainder of its original term and account for it as an operating lease for the period of the lease extension. Rental payments due during the lease extension period total $13.9 million.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85" w:lineRule="exact"/>
        <w:rPr>
          <w:sz w:val="20"/>
          <w:szCs w:val="20"/>
          <w:color w:val="auto"/>
        </w:rPr>
      </w:pPr>
    </w:p>
    <w:p>
      <w:pPr>
        <w:ind w:firstLine="270"/>
        <w:spacing w:after="0" w:line="256" w:lineRule="auto"/>
        <w:rPr>
          <w:sz w:val="20"/>
          <w:szCs w:val="20"/>
          <w:color w:val="auto"/>
        </w:rPr>
      </w:pPr>
      <w:r>
        <w:rPr>
          <w:rFonts w:ascii="Arial" w:cs="Arial" w:eastAsia="Arial" w:hAnsi="Arial"/>
          <w:sz w:val="18"/>
          <w:szCs w:val="18"/>
          <w:color w:val="auto"/>
        </w:rPr>
        <w:t>A majority of the Company's revenue growth is expected to come from the Asian region, as customers increase their use of manufacturing foundries located outside of North America and Europe. Additional revenue growth is also anticipated in North America as the Company benefits from advanced technology it may utilize under its technology license with Micron. The Company's Korean and Taiwanese operations are non-wholly owned subsidiaries, therefore, a portion of earnings generated at each of these locations is allocated to noncontrolling interests.</w:t>
      </w:r>
    </w:p>
    <w:p>
      <w:pPr>
        <w:spacing w:after="0" w:line="251" w:lineRule="exact"/>
        <w:rPr>
          <w:sz w:val="20"/>
          <w:szCs w:val="20"/>
          <w:color w:val="auto"/>
        </w:rPr>
      </w:pPr>
    </w:p>
    <w:p>
      <w:pPr>
        <w:ind w:right="540" w:firstLine="270"/>
        <w:spacing w:after="0" w:line="335" w:lineRule="auto"/>
        <w:rPr>
          <w:sz w:val="20"/>
          <w:szCs w:val="20"/>
          <w:color w:val="auto"/>
        </w:rPr>
      </w:pPr>
      <w:r>
        <w:rPr>
          <w:rFonts w:ascii="Arial" w:cs="Arial" w:eastAsia="Arial" w:hAnsi="Arial"/>
          <w:sz w:val="15"/>
          <w:szCs w:val="15"/>
          <w:color w:val="auto"/>
        </w:rPr>
        <w:t>The Company continues to assess its global manufacturing strategy and monitor its market capitalization, sales volume and related cash flows from operations. This ongoing assessment could result in future facility closures, asset redeployments, additional impairments of intangible or long-lived assets, workforce reductions, or the addition of increased manufacturing facilities, all of which would be based on market conditions and customer requirements.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Recent Accounting Pronouncements</w:t>
      </w:r>
    </w:p>
    <w:p>
      <w:pPr>
        <w:spacing w:after="0" w:line="285" w:lineRule="exact"/>
        <w:rPr>
          <w:sz w:val="20"/>
          <w:szCs w:val="20"/>
          <w:color w:val="auto"/>
        </w:rPr>
      </w:pPr>
    </w:p>
    <w:p>
      <w:pPr>
        <w:ind w:right="80" w:firstLine="270"/>
        <w:spacing w:after="0" w:line="268" w:lineRule="auto"/>
        <w:rPr>
          <w:sz w:val="20"/>
          <w:szCs w:val="20"/>
          <w:color w:val="auto"/>
        </w:rPr>
      </w:pPr>
      <w:r>
        <w:rPr>
          <w:rFonts w:ascii="Arial" w:cs="Arial" w:eastAsia="Arial" w:hAnsi="Arial"/>
          <w:sz w:val="18"/>
          <w:szCs w:val="18"/>
          <w:color w:val="auto"/>
        </w:rPr>
        <w:t>See Note 14 of the condensed consolidated financial statements for a summary of recent accounting pronouncements that may affect the Company's financial reporting.</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85" w:lineRule="exact"/>
        <w:rPr>
          <w:sz w:val="20"/>
          <w:szCs w:val="20"/>
          <w:color w:val="auto"/>
        </w:rPr>
      </w:pPr>
    </w:p>
    <w:p>
      <w:pPr>
        <w:ind w:right="40" w:firstLine="270"/>
        <w:spacing w:after="0" w:line="289" w:lineRule="auto"/>
        <w:rPr>
          <w:sz w:val="20"/>
          <w:szCs w:val="20"/>
          <w:color w:val="auto"/>
        </w:rPr>
      </w:pPr>
      <w:r>
        <w:rPr>
          <w:rFonts w:ascii="Arial" w:cs="Arial" w:eastAsia="Arial" w:hAnsi="Arial"/>
          <w:sz w:val="16"/>
          <w:szCs w:val="16"/>
          <w:color w:val="auto"/>
        </w:rPr>
        <w:t>The Company records derivatives on the balance sheet as assets or liabilities, measured at fair value. The Company does not engage in derivative instruments for speculative purposes. Gains or losses resulting from changes in the values of those derivatives are reported in the condensed consolidated statement of operations, or as accumulated other comprehensive income, a separate component of shareholders' equity, depending on the use of the derivatives and whether they qualify for hedge accounting. In order to qualify for hedge accounting, among other criteria, the derivative must be a hedge for an interest rate, price, foreign currency exchange rate, or credit risk, that is expected to be highly effective at the inception of the hedge and be highly effective in achieving offsetting changes in the fair value or cash flows of the hedged item during the term of the hedge, and formally documented at the inception of the hedge. In general, the types of risks hedged are those relating to the variability of future cash flows caused by movements in foreign currency exchange and interest rates. The Company documents its risk management strategy and hedge effectiveness at the inception of, and during the term of each hedge.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85" w:lineRule="exact"/>
        <w:rPr>
          <w:sz w:val="20"/>
          <w:szCs w:val="20"/>
          <w:color w:val="auto"/>
        </w:rPr>
      </w:pPr>
    </w:p>
    <w:p>
      <w:pPr>
        <w:ind w:right="260" w:firstLine="270"/>
        <w:spacing w:after="0" w:line="298" w:lineRule="auto"/>
        <w:rPr>
          <w:sz w:val="20"/>
          <w:szCs w:val="20"/>
          <w:color w:val="auto"/>
        </w:rPr>
      </w:pPr>
      <w:r>
        <w:rPr>
          <w:rFonts w:ascii="Arial" w:cs="Arial" w:eastAsia="Arial" w:hAnsi="Arial"/>
          <w:sz w:val="16"/>
          <w:szCs w:val="16"/>
          <w:color w:val="auto"/>
        </w:rPr>
        <w:t>The Company conducts business in several major international currencies through its worldwide operations and is subject to changes in foreign exchange rates of such currencies. Changes in exchange rates can positively or negatively affect the Company's sales, operating margins, assets, liabilities, and retained earnings. The functional currencies of the Company's Asian subsidiaries are the Korean won, New Taiwan dollar, Chinese renminbi, and Singapore dollar. The functional currencies of the Company's European subsidiaries are the British pound and the euro.</w:t>
      </w:r>
    </w:p>
    <w:p>
      <w:pPr>
        <w:spacing w:after="0" w:line="221" w:lineRule="exact"/>
        <w:rPr>
          <w:sz w:val="20"/>
          <w:szCs w:val="20"/>
          <w:color w:val="auto"/>
        </w:rPr>
      </w:pPr>
    </w:p>
    <w:p>
      <w:pPr>
        <w:ind w:firstLine="270"/>
        <w:spacing w:after="0" w:line="294" w:lineRule="auto"/>
        <w:rPr>
          <w:sz w:val="20"/>
          <w:szCs w:val="20"/>
          <w:color w:val="auto"/>
        </w:rPr>
      </w:pPr>
      <w:r>
        <w:rPr>
          <w:rFonts w:ascii="Arial" w:cs="Arial" w:eastAsia="Arial" w:hAnsi="Arial"/>
          <w:sz w:val="16"/>
          <w:szCs w:val="16"/>
          <w:color w:val="auto"/>
        </w:rPr>
        <w:t>The Company attempts to minimize its risk of foreign currency transaction losses by producing its products in the same country in which the products are sold (thereby generating revenues and incurring expenses in the same currency), and by managing its working capital. In some instances, the Company may sell or purchase products in a currency other than the functional currency of the country where it was produced. There can be no assurance that this approach will continue to be successful, especially in the event of a significant adverse movement in the value of any foreign currencies against the U.S. dollar. In certain recent years the Company experienced significant foreign exchange losses on these transactions.</w:t>
      </w:r>
    </w:p>
    <w:p>
      <w:pPr>
        <w:spacing w:after="0" w:line="224" w:lineRule="exact"/>
        <w:rPr>
          <w:sz w:val="20"/>
          <w:szCs w:val="20"/>
          <w:color w:val="auto"/>
        </w:rPr>
      </w:pPr>
    </w:p>
    <w:p>
      <w:pPr>
        <w:ind w:right="220" w:firstLine="270"/>
        <w:spacing w:after="0" w:line="298" w:lineRule="auto"/>
        <w:rPr>
          <w:sz w:val="20"/>
          <w:szCs w:val="20"/>
          <w:color w:val="auto"/>
        </w:rPr>
      </w:pPr>
      <w:r>
        <w:rPr>
          <w:rFonts w:ascii="Arial" w:cs="Arial" w:eastAsia="Arial" w:hAnsi="Arial"/>
          <w:sz w:val="16"/>
          <w:szCs w:val="16"/>
          <w:color w:val="auto"/>
        </w:rPr>
        <w:t>The Company's primary net foreign currency exposures as of January 31, 2010 included the Korean won, the Japanese yen, the Singapore dollar, the New Taiwan dollar, the British pound, the euro, and the Chinese renminbi. As of January 31, 2010, a 10% adverse movement in the value of these currencies against the U.S. dollar would have resulted in a net unrealized pre-tax loss of $4.5 million. The Company does not believe that a 10% change in the exchange rates of other non-U.S. dollar currencies would have a material effect on its consolidated financial position, results of operations, or cash flows.</w:t>
      </w:r>
    </w:p>
    <w:p>
      <w:pPr>
        <w:spacing w:after="0" w:line="221" w:lineRule="exact"/>
        <w:rPr>
          <w:sz w:val="20"/>
          <w:szCs w:val="20"/>
          <w:color w:val="auto"/>
        </w:rPr>
      </w:pPr>
    </w:p>
    <w:p>
      <w:pPr>
        <w:ind w:right="280" w:firstLine="270"/>
        <w:spacing w:after="0" w:line="335" w:lineRule="auto"/>
        <w:rPr>
          <w:sz w:val="20"/>
          <w:szCs w:val="20"/>
          <w:color w:val="auto"/>
        </w:rPr>
      </w:pPr>
      <w:r>
        <w:rPr>
          <w:rFonts w:ascii="Arial" w:cs="Arial" w:eastAsia="Arial" w:hAnsi="Arial"/>
          <w:sz w:val="15"/>
          <w:szCs w:val="15"/>
          <w:color w:val="auto"/>
        </w:rPr>
        <w:t>In April 2008, the Company's Korean and Taiwanese subsidiaries each entered into separate foreign currency exchange rate swap contracts that effectively converted a $12 million interest bearing intercompany loan denominated in U.S. dollars into their respective local currencies. Both contracts expired in conjunction with the April 2009 maturity date of the intercompany loan. The Company did not elect to designate either contract as a fair value hedge.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85" w:lineRule="exact"/>
        <w:rPr>
          <w:sz w:val="20"/>
          <w:szCs w:val="20"/>
          <w:color w:val="auto"/>
        </w:rPr>
      </w:pPr>
    </w:p>
    <w:p>
      <w:pPr>
        <w:ind w:right="140" w:firstLine="270"/>
        <w:spacing w:after="0" w:line="332" w:lineRule="auto"/>
        <w:rPr>
          <w:sz w:val="20"/>
          <w:szCs w:val="20"/>
          <w:color w:val="auto"/>
        </w:rPr>
      </w:pPr>
      <w:r>
        <w:rPr>
          <w:rFonts w:ascii="Arial" w:cs="Arial" w:eastAsia="Arial" w:hAnsi="Arial"/>
          <w:sz w:val="16"/>
          <w:szCs w:val="16"/>
          <w:color w:val="auto"/>
        </w:rPr>
        <w:t>At January 31, 2010, the Company had $24.7 million in variable rate borrowings. A 10% change in interest rates would not have had a material effect on the Company's consolidated financial position, results of operations, or cash flows in the three month periods ended January 31, 2010 or February 1, 2009.</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85" w:lineRule="exact"/>
        <w:rPr>
          <w:sz w:val="20"/>
          <w:szCs w:val="20"/>
          <w:color w:val="auto"/>
        </w:rPr>
      </w:pPr>
    </w:p>
    <w:p>
      <w:pPr>
        <w:ind w:right="40" w:firstLine="270"/>
        <w:spacing w:after="0" w:line="290" w:lineRule="auto"/>
        <w:rPr>
          <w:sz w:val="20"/>
          <w:szCs w:val="20"/>
          <w:color w:val="auto"/>
        </w:rPr>
      </w:pPr>
      <w:r>
        <w:rPr>
          <w:rFonts w:ascii="Arial" w:cs="Arial" w:eastAsia="Arial" w:hAnsi="Arial"/>
          <w:sz w:val="16"/>
          <w:szCs w:val="16"/>
          <w:color w:val="auto"/>
        </w:rPr>
        <w:t>The Company has established and currently maintains disclosure controls and procedures designed to ensure that information required to be disclosed in its reports filed under the Securities Exchange Act of 1934 is recorded, processed, summarized and reported within the time periods specified in the Securities and Exchange Commission's rules and forms, and that such information is accumulated and communicated to management, including the Company's chief executive officer and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226" w:lineRule="exact"/>
        <w:rPr>
          <w:sz w:val="20"/>
          <w:szCs w:val="20"/>
          <w:color w:val="auto"/>
        </w:rPr>
      </w:pPr>
    </w:p>
    <w:p>
      <w:pPr>
        <w:ind w:firstLine="270"/>
        <w:spacing w:after="0" w:line="291" w:lineRule="auto"/>
        <w:rPr>
          <w:sz w:val="20"/>
          <w:szCs w:val="20"/>
          <w:color w:val="auto"/>
        </w:rPr>
      </w:pPr>
      <w:r>
        <w:rPr>
          <w:rFonts w:ascii="Arial" w:cs="Arial" w:eastAsia="Arial" w:hAnsi="Arial"/>
          <w:sz w:val="16"/>
          <w:szCs w:val="16"/>
          <w:color w:val="auto"/>
        </w:rPr>
        <w:t>The Company's management, with the participation of the Company's chief executive officer and chief financial officer, evaluated the effectiveness of the Company's disclosure controls and procedures as of the end of the period covered by this report. Based on that evaluation, the chief executive officer and chief financial officer concluded that the Company's disclosure controls and procedures, as of the end of the period covered by this report, were designed and are functioning effectively to provide reasonable assurance that the information required to be disclosed by the Company in reports filed under the Securities Exchange Act of 1934 is (i) recorded, processed, summarized and reported within the time periods specified in the SEC's rules and forms, and (ii) accumulated and communicated to management, including the chief executive officer and chief financial officer, as appropriate to allow timely decisions regarding disclosure.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85" w:lineRule="exact"/>
        <w:rPr>
          <w:sz w:val="20"/>
          <w:szCs w:val="20"/>
          <w:color w:val="auto"/>
        </w:rPr>
      </w:pPr>
    </w:p>
    <w:p>
      <w:pPr>
        <w:ind w:right="40" w:firstLine="270"/>
        <w:spacing w:after="0" w:line="268" w:lineRule="auto"/>
        <w:rPr>
          <w:sz w:val="20"/>
          <w:szCs w:val="20"/>
          <w:color w:val="auto"/>
        </w:rPr>
      </w:pPr>
      <w:r>
        <w:rPr>
          <w:rFonts w:ascii="Arial" w:cs="Arial" w:eastAsia="Arial" w:hAnsi="Arial"/>
          <w:sz w:val="18"/>
          <w:szCs w:val="18"/>
          <w:color w:val="auto"/>
        </w:rPr>
        <w:t>There was no change in the Company's internal control over financial reporting during the Company's first quarter of fiscal 2010 that has materially affected, or is reasonably likely to materially affect, the Company's internal control over financial reporting.</w:t>
      </w: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40"/>
          </w:cols>
          <w:pgMar w:left="240" w:top="368" w:right="31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85" w:lineRule="exact"/>
        <w:rPr>
          <w:sz w:val="20"/>
          <w:szCs w:val="20"/>
          <w:color w:val="auto"/>
        </w:rPr>
      </w:pPr>
    </w:p>
    <w:p>
      <w:pPr>
        <w:ind w:right="340" w:firstLine="270"/>
        <w:spacing w:after="0" w:line="268" w:lineRule="auto"/>
        <w:rPr>
          <w:sz w:val="20"/>
          <w:szCs w:val="20"/>
          <w:color w:val="auto"/>
        </w:rPr>
      </w:pPr>
      <w:r>
        <w:rPr>
          <w:rFonts w:ascii="Arial" w:cs="Arial" w:eastAsia="Arial" w:hAnsi="Arial"/>
          <w:sz w:val="18"/>
          <w:szCs w:val="18"/>
          <w:color w:val="auto"/>
        </w:rPr>
        <w:t>There have been no material changes to risks relating to the Company's business as disclosed in Part 1, Item 1A of the Company's Form 10-K for the year ended November 1, 2009</w:t>
      </w:r>
      <w:r>
        <w:rPr>
          <w:rFonts w:ascii="Arial" w:cs="Arial" w:eastAsia="Arial" w:hAnsi="Arial"/>
          <w:sz w:val="18"/>
          <w:szCs w:val="18"/>
          <w:b w:val="1"/>
          <w:bCs w:val="1"/>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8" w:lineRule="exact"/>
        <w:rPr>
          <w:sz w:val="20"/>
          <w:szCs w:val="20"/>
          <w:color w:val="auto"/>
        </w:rPr>
      </w:pPr>
    </w:p>
    <w:tbl>
      <w:tblPr>
        <w:tblLayout w:type="fixed"/>
        <w:tblInd w:w="380" w:type="dxa"/>
        <w:tblCellMar>
          <w:top w:w="0" w:type="dxa"/>
          <w:left w:w="0" w:type="dxa"/>
          <w:bottom w:w="0" w:type="dxa"/>
          <w:right w:w="0" w:type="dxa"/>
        </w:tblCellMar>
      </w:tblPr>
      <w:tr>
        <w:trPr>
          <w:trHeight w:val="222"/>
        </w:trPr>
        <w:tc>
          <w:tcPr>
            <w:tcW w:w="520" w:type="dxa"/>
            <w:vAlign w:val="bottom"/>
          </w:tcPr>
          <w:p>
            <w:pPr>
              <w:spacing w:after="0"/>
              <w:rPr>
                <w:sz w:val="20"/>
                <w:szCs w:val="20"/>
                <w:color w:val="auto"/>
              </w:rPr>
            </w:pPr>
            <w:r>
              <w:rPr>
                <w:rFonts w:ascii="Arial" w:cs="Arial" w:eastAsia="Arial" w:hAnsi="Arial"/>
                <w:sz w:val="18"/>
                <w:szCs w:val="18"/>
                <w:color w:val="auto"/>
              </w:rPr>
              <w:t>(a)</w:t>
            </w:r>
          </w:p>
        </w:tc>
        <w:tc>
          <w:tcPr>
            <w:tcW w:w="980" w:type="dxa"/>
            <w:vAlign w:val="bottom"/>
            <w:gridSpan w:val="2"/>
          </w:tcPr>
          <w:p>
            <w:pPr>
              <w:spacing w:after="0"/>
              <w:rPr>
                <w:sz w:val="20"/>
                <w:szCs w:val="20"/>
                <w:color w:val="auto"/>
              </w:rPr>
            </w:pPr>
            <w:r>
              <w:rPr>
                <w:rFonts w:ascii="Arial" w:cs="Arial" w:eastAsia="Arial" w:hAnsi="Arial"/>
                <w:sz w:val="18"/>
                <w:szCs w:val="18"/>
                <w:color w:val="auto"/>
              </w:rPr>
              <w:t>Exhibits</w:t>
            </w:r>
          </w:p>
        </w:tc>
        <w:tc>
          <w:tcPr>
            <w:tcW w:w="880" w:type="dxa"/>
            <w:vAlign w:val="bottom"/>
          </w:tcPr>
          <w:p>
            <w:pPr>
              <w:spacing w:after="0"/>
              <w:rPr>
                <w:sz w:val="19"/>
                <w:szCs w:val="19"/>
                <w:color w:val="auto"/>
              </w:rPr>
            </w:pPr>
          </w:p>
        </w:tc>
        <w:tc>
          <w:tcPr>
            <w:tcW w:w="8660" w:type="dxa"/>
            <w:vAlign w:val="bottom"/>
          </w:tcPr>
          <w:p>
            <w:pPr>
              <w:spacing w:after="0"/>
              <w:rPr>
                <w:sz w:val="19"/>
                <w:szCs w:val="19"/>
                <w:color w:val="auto"/>
              </w:rPr>
            </w:pPr>
          </w:p>
        </w:tc>
      </w:tr>
      <w:tr>
        <w:trPr>
          <w:trHeight w:val="416"/>
        </w:trPr>
        <w:tc>
          <w:tcPr>
            <w:tcW w:w="52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880" w:type="dxa"/>
            <w:vAlign w:val="bottom"/>
          </w:tcPr>
          <w:p>
            <w:pPr>
              <w:spacing w:after="0"/>
              <w:rPr>
                <w:sz w:val="24"/>
                <w:szCs w:val="24"/>
                <w:color w:val="auto"/>
              </w:rPr>
            </w:pPr>
          </w:p>
        </w:tc>
        <w:tc>
          <w:tcPr>
            <w:tcW w:w="8660" w:type="dxa"/>
            <w:vAlign w:val="bottom"/>
          </w:tcPr>
          <w:p>
            <w:pPr>
              <w:spacing w:after="0"/>
              <w:rPr>
                <w:sz w:val="24"/>
                <w:szCs w:val="24"/>
                <w:color w:val="auto"/>
              </w:rPr>
            </w:pPr>
          </w:p>
        </w:tc>
      </w:tr>
      <w:tr>
        <w:trPr>
          <w:trHeight w:val="194"/>
        </w:trPr>
        <w:tc>
          <w:tcPr>
            <w:tcW w:w="520" w:type="dxa"/>
            <w:vAlign w:val="bottom"/>
          </w:tcPr>
          <w:p>
            <w:pPr>
              <w:spacing w:after="0"/>
              <w:rPr>
                <w:sz w:val="16"/>
                <w:szCs w:val="16"/>
                <w:color w:val="auto"/>
              </w:rPr>
            </w:pPr>
          </w:p>
        </w:tc>
        <w:tc>
          <w:tcPr>
            <w:tcW w:w="98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Number</w:t>
            </w:r>
          </w:p>
        </w:tc>
        <w:tc>
          <w:tcPr>
            <w:tcW w:w="954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Description</w:t>
            </w:r>
          </w:p>
        </w:tc>
      </w:tr>
      <w:tr>
        <w:trPr>
          <w:trHeight w:val="21"/>
        </w:trPr>
        <w:tc>
          <w:tcPr>
            <w:tcW w:w="5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r>
      <w:tr>
        <w:trPr>
          <w:trHeight w:val="208"/>
        </w:trPr>
        <w:tc>
          <w:tcPr>
            <w:tcW w:w="520" w:type="dxa"/>
            <w:vAlign w:val="bottom"/>
          </w:tcPr>
          <w:p>
            <w:pPr>
              <w:spacing w:after="0"/>
              <w:rPr>
                <w:sz w:val="18"/>
                <w:szCs w:val="18"/>
                <w:color w:val="auto"/>
              </w:rPr>
            </w:pPr>
          </w:p>
        </w:tc>
        <w:tc>
          <w:tcPr>
            <w:tcW w:w="640" w:type="dxa"/>
            <w:vAlign w:val="bottom"/>
            <w:shd w:val="clear" w:color="auto" w:fill="C0C0C0"/>
          </w:tcPr>
          <w:p>
            <w:pPr>
              <w:spacing w:after="0"/>
              <w:rPr>
                <w:sz w:val="20"/>
                <w:szCs w:val="20"/>
                <w:color w:val="auto"/>
              </w:rPr>
            </w:pPr>
            <w:r>
              <w:rPr>
                <w:rFonts w:ascii="Arial" w:cs="Arial" w:eastAsia="Arial" w:hAnsi="Arial"/>
                <w:sz w:val="18"/>
                <w:szCs w:val="18"/>
                <w:color w:val="auto"/>
              </w:rPr>
              <w:t>31.1</w:t>
            </w:r>
          </w:p>
        </w:tc>
        <w:tc>
          <w:tcPr>
            <w:tcW w:w="340" w:type="dxa"/>
            <w:vAlign w:val="bottom"/>
            <w:shd w:val="clear" w:color="auto" w:fill="C0C0C0"/>
          </w:tcPr>
          <w:p>
            <w:pPr>
              <w:spacing w:after="0"/>
              <w:rPr>
                <w:sz w:val="18"/>
                <w:szCs w:val="18"/>
                <w:color w:val="auto"/>
              </w:rPr>
            </w:pPr>
          </w:p>
        </w:tc>
        <w:tc>
          <w:tcPr>
            <w:tcW w:w="9540" w:type="dxa"/>
            <w:vAlign w:val="bottom"/>
            <w:gridSpan w:val="2"/>
            <w:shd w:val="clear" w:color="auto" w:fill="C0C0C0"/>
          </w:tcPr>
          <w:p>
            <w:pPr>
              <w:spacing w:after="0"/>
              <w:rPr>
                <w:sz w:val="20"/>
                <w:szCs w:val="20"/>
                <w:color w:val="auto"/>
              </w:rPr>
            </w:pPr>
            <w:r>
              <w:rPr>
                <w:rFonts w:ascii="Arial" w:cs="Arial" w:eastAsia="Arial" w:hAnsi="Arial"/>
                <w:sz w:val="18"/>
                <w:szCs w:val="18"/>
                <w:color w:val="auto"/>
                <w:w w:val="93"/>
              </w:rPr>
              <w:t>Certification of Chief Executive Officer pursuant to Rule 13a-14(a)/15d-14(a) of the Securities Exchange Act of 1934, as adopted</w:t>
            </w:r>
          </w:p>
        </w:tc>
      </w:tr>
      <w:tr>
        <w:trPr>
          <w:trHeight w:val="224"/>
        </w:trPr>
        <w:tc>
          <w:tcPr>
            <w:tcW w:w="520" w:type="dxa"/>
            <w:vAlign w:val="bottom"/>
          </w:tcPr>
          <w:p>
            <w:pPr>
              <w:spacing w:after="0"/>
              <w:rPr>
                <w:sz w:val="19"/>
                <w:szCs w:val="19"/>
                <w:color w:val="auto"/>
              </w:rPr>
            </w:pPr>
          </w:p>
        </w:tc>
        <w:tc>
          <w:tcPr>
            <w:tcW w:w="64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954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216"/>
        </w:trPr>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60" w:type="dxa"/>
            <w:vAlign w:val="bottom"/>
          </w:tcPr>
          <w:p>
            <w:pPr>
              <w:spacing w:after="0"/>
              <w:rPr>
                <w:sz w:val="18"/>
                <w:szCs w:val="18"/>
                <w:color w:val="auto"/>
              </w:rPr>
            </w:pPr>
          </w:p>
        </w:tc>
      </w:tr>
      <w:tr>
        <w:trPr>
          <w:trHeight w:val="208"/>
        </w:trPr>
        <w:tc>
          <w:tcPr>
            <w:tcW w:w="520" w:type="dxa"/>
            <w:vAlign w:val="bottom"/>
          </w:tcPr>
          <w:p>
            <w:pPr>
              <w:spacing w:after="0"/>
              <w:rPr>
                <w:sz w:val="18"/>
                <w:szCs w:val="18"/>
                <w:color w:val="auto"/>
              </w:rPr>
            </w:pPr>
          </w:p>
        </w:tc>
        <w:tc>
          <w:tcPr>
            <w:tcW w:w="640" w:type="dxa"/>
            <w:vAlign w:val="bottom"/>
            <w:shd w:val="clear" w:color="auto" w:fill="C0C0C0"/>
          </w:tcPr>
          <w:p>
            <w:pPr>
              <w:spacing w:after="0"/>
              <w:rPr>
                <w:sz w:val="20"/>
                <w:szCs w:val="20"/>
                <w:color w:val="auto"/>
              </w:rPr>
            </w:pPr>
            <w:r>
              <w:rPr>
                <w:rFonts w:ascii="Arial" w:cs="Arial" w:eastAsia="Arial" w:hAnsi="Arial"/>
                <w:sz w:val="18"/>
                <w:szCs w:val="18"/>
                <w:color w:val="auto"/>
              </w:rPr>
              <w:t>31.2</w:t>
            </w:r>
          </w:p>
        </w:tc>
        <w:tc>
          <w:tcPr>
            <w:tcW w:w="340" w:type="dxa"/>
            <w:vAlign w:val="bottom"/>
            <w:shd w:val="clear" w:color="auto" w:fill="C0C0C0"/>
          </w:tcPr>
          <w:p>
            <w:pPr>
              <w:spacing w:after="0"/>
              <w:rPr>
                <w:sz w:val="18"/>
                <w:szCs w:val="18"/>
                <w:color w:val="auto"/>
              </w:rPr>
            </w:pPr>
          </w:p>
        </w:tc>
        <w:tc>
          <w:tcPr>
            <w:tcW w:w="9540" w:type="dxa"/>
            <w:vAlign w:val="bottom"/>
            <w:gridSpan w:val="2"/>
            <w:shd w:val="clear" w:color="auto" w:fill="C0C0C0"/>
          </w:tcPr>
          <w:p>
            <w:pPr>
              <w:spacing w:after="0"/>
              <w:rPr>
                <w:sz w:val="20"/>
                <w:szCs w:val="20"/>
                <w:color w:val="auto"/>
              </w:rPr>
            </w:pPr>
            <w:r>
              <w:rPr>
                <w:rFonts w:ascii="Arial" w:cs="Arial" w:eastAsia="Arial" w:hAnsi="Arial"/>
                <w:sz w:val="18"/>
                <w:szCs w:val="18"/>
                <w:color w:val="auto"/>
                <w:w w:val="93"/>
              </w:rPr>
              <w:t>Certification of Chief Financial Officer pursuant to Rule 13a-14(a)/15d-14(a) of the Securities Exchange Act of 1934, as adopted</w:t>
            </w:r>
          </w:p>
        </w:tc>
      </w:tr>
      <w:tr>
        <w:trPr>
          <w:trHeight w:val="224"/>
        </w:trPr>
        <w:tc>
          <w:tcPr>
            <w:tcW w:w="520" w:type="dxa"/>
            <w:vAlign w:val="bottom"/>
          </w:tcPr>
          <w:p>
            <w:pPr>
              <w:spacing w:after="0"/>
              <w:rPr>
                <w:sz w:val="19"/>
                <w:szCs w:val="19"/>
                <w:color w:val="auto"/>
              </w:rPr>
            </w:pPr>
          </w:p>
        </w:tc>
        <w:tc>
          <w:tcPr>
            <w:tcW w:w="64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954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216"/>
        </w:trPr>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60" w:type="dxa"/>
            <w:vAlign w:val="bottom"/>
          </w:tcPr>
          <w:p>
            <w:pPr>
              <w:spacing w:after="0"/>
              <w:rPr>
                <w:sz w:val="18"/>
                <w:szCs w:val="18"/>
                <w:color w:val="auto"/>
              </w:rPr>
            </w:pPr>
          </w:p>
        </w:tc>
      </w:tr>
      <w:tr>
        <w:trPr>
          <w:trHeight w:val="208"/>
        </w:trPr>
        <w:tc>
          <w:tcPr>
            <w:tcW w:w="520" w:type="dxa"/>
            <w:vAlign w:val="bottom"/>
          </w:tcPr>
          <w:p>
            <w:pPr>
              <w:spacing w:after="0"/>
              <w:rPr>
                <w:sz w:val="18"/>
                <w:szCs w:val="18"/>
                <w:color w:val="auto"/>
              </w:rPr>
            </w:pPr>
          </w:p>
        </w:tc>
        <w:tc>
          <w:tcPr>
            <w:tcW w:w="640" w:type="dxa"/>
            <w:vAlign w:val="bottom"/>
            <w:shd w:val="clear" w:color="auto" w:fill="C0C0C0"/>
          </w:tcPr>
          <w:p>
            <w:pPr>
              <w:spacing w:after="0"/>
              <w:rPr>
                <w:sz w:val="20"/>
                <w:szCs w:val="20"/>
                <w:color w:val="auto"/>
              </w:rPr>
            </w:pPr>
            <w:r>
              <w:rPr>
                <w:rFonts w:ascii="Arial" w:cs="Arial" w:eastAsia="Arial" w:hAnsi="Arial"/>
                <w:sz w:val="18"/>
                <w:szCs w:val="18"/>
                <w:color w:val="auto"/>
              </w:rPr>
              <w:t>32.1</w:t>
            </w:r>
          </w:p>
        </w:tc>
        <w:tc>
          <w:tcPr>
            <w:tcW w:w="340" w:type="dxa"/>
            <w:vAlign w:val="bottom"/>
            <w:shd w:val="clear" w:color="auto" w:fill="C0C0C0"/>
          </w:tcPr>
          <w:p>
            <w:pPr>
              <w:spacing w:after="0"/>
              <w:rPr>
                <w:sz w:val="18"/>
                <w:szCs w:val="18"/>
                <w:color w:val="auto"/>
              </w:rPr>
            </w:pPr>
          </w:p>
        </w:tc>
        <w:tc>
          <w:tcPr>
            <w:tcW w:w="9540" w:type="dxa"/>
            <w:vAlign w:val="bottom"/>
            <w:gridSpan w:val="2"/>
            <w:shd w:val="clear" w:color="auto" w:fill="C0C0C0"/>
          </w:tcPr>
          <w:p>
            <w:pPr>
              <w:spacing w:after="0"/>
              <w:rPr>
                <w:sz w:val="20"/>
                <w:szCs w:val="20"/>
                <w:color w:val="auto"/>
              </w:rPr>
            </w:pPr>
            <w:r>
              <w:rPr>
                <w:rFonts w:ascii="Arial" w:cs="Arial" w:eastAsia="Arial" w:hAnsi="Arial"/>
                <w:sz w:val="18"/>
                <w:szCs w:val="18"/>
                <w:color w:val="auto"/>
                <w:w w:val="89"/>
              </w:rPr>
              <w:t>Certification of Chief Executive Officer pursuant to 18 U.S.C. Section 1350 as adopted pursuant to Section 906 of the Sarbanes-Oxley</w:t>
            </w:r>
          </w:p>
        </w:tc>
      </w:tr>
      <w:tr>
        <w:trPr>
          <w:trHeight w:val="224"/>
        </w:trPr>
        <w:tc>
          <w:tcPr>
            <w:tcW w:w="520" w:type="dxa"/>
            <w:vAlign w:val="bottom"/>
          </w:tcPr>
          <w:p>
            <w:pPr>
              <w:spacing w:after="0"/>
              <w:rPr>
                <w:sz w:val="19"/>
                <w:szCs w:val="19"/>
                <w:color w:val="auto"/>
              </w:rPr>
            </w:pPr>
          </w:p>
        </w:tc>
        <w:tc>
          <w:tcPr>
            <w:tcW w:w="64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954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Act of 2002.</w:t>
            </w:r>
          </w:p>
        </w:tc>
      </w:tr>
      <w:tr>
        <w:trPr>
          <w:trHeight w:val="216"/>
        </w:trPr>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60" w:type="dxa"/>
            <w:vAlign w:val="bottom"/>
          </w:tcPr>
          <w:p>
            <w:pPr>
              <w:spacing w:after="0"/>
              <w:rPr>
                <w:sz w:val="18"/>
                <w:szCs w:val="18"/>
                <w:color w:val="auto"/>
              </w:rPr>
            </w:pPr>
          </w:p>
        </w:tc>
      </w:tr>
      <w:tr>
        <w:trPr>
          <w:trHeight w:val="208"/>
        </w:trPr>
        <w:tc>
          <w:tcPr>
            <w:tcW w:w="520" w:type="dxa"/>
            <w:vAlign w:val="bottom"/>
          </w:tcPr>
          <w:p>
            <w:pPr>
              <w:spacing w:after="0"/>
              <w:rPr>
                <w:sz w:val="18"/>
                <w:szCs w:val="18"/>
                <w:color w:val="auto"/>
              </w:rPr>
            </w:pPr>
          </w:p>
        </w:tc>
        <w:tc>
          <w:tcPr>
            <w:tcW w:w="640" w:type="dxa"/>
            <w:vAlign w:val="bottom"/>
            <w:shd w:val="clear" w:color="auto" w:fill="C0C0C0"/>
          </w:tcPr>
          <w:p>
            <w:pPr>
              <w:spacing w:after="0"/>
              <w:rPr>
                <w:sz w:val="20"/>
                <w:szCs w:val="20"/>
                <w:color w:val="auto"/>
              </w:rPr>
            </w:pPr>
            <w:r>
              <w:rPr>
                <w:rFonts w:ascii="Arial" w:cs="Arial" w:eastAsia="Arial" w:hAnsi="Arial"/>
                <w:sz w:val="18"/>
                <w:szCs w:val="18"/>
                <w:color w:val="auto"/>
              </w:rPr>
              <w:t>32.2</w:t>
            </w:r>
          </w:p>
        </w:tc>
        <w:tc>
          <w:tcPr>
            <w:tcW w:w="340" w:type="dxa"/>
            <w:vAlign w:val="bottom"/>
            <w:shd w:val="clear" w:color="auto" w:fill="C0C0C0"/>
          </w:tcPr>
          <w:p>
            <w:pPr>
              <w:spacing w:after="0"/>
              <w:rPr>
                <w:sz w:val="18"/>
                <w:szCs w:val="18"/>
                <w:color w:val="auto"/>
              </w:rPr>
            </w:pPr>
          </w:p>
        </w:tc>
        <w:tc>
          <w:tcPr>
            <w:tcW w:w="9540" w:type="dxa"/>
            <w:vAlign w:val="bottom"/>
            <w:gridSpan w:val="2"/>
            <w:shd w:val="clear" w:color="auto" w:fill="C0C0C0"/>
          </w:tcPr>
          <w:p>
            <w:pPr>
              <w:spacing w:after="0"/>
              <w:rPr>
                <w:sz w:val="20"/>
                <w:szCs w:val="20"/>
                <w:color w:val="auto"/>
              </w:rPr>
            </w:pPr>
            <w:r>
              <w:rPr>
                <w:rFonts w:ascii="Arial" w:cs="Arial" w:eastAsia="Arial" w:hAnsi="Arial"/>
                <w:sz w:val="18"/>
                <w:szCs w:val="18"/>
                <w:color w:val="auto"/>
                <w:w w:val="89"/>
              </w:rPr>
              <w:t>Certification of Chief Financial Officer pursuant to 18 U.S.C. Section 1350 as adopted pursuant to Section 906 of the Sarbanes-Oxley</w:t>
            </w:r>
          </w:p>
        </w:tc>
      </w:tr>
      <w:tr>
        <w:trPr>
          <w:trHeight w:val="224"/>
        </w:trPr>
        <w:tc>
          <w:tcPr>
            <w:tcW w:w="520" w:type="dxa"/>
            <w:vAlign w:val="bottom"/>
          </w:tcPr>
          <w:p>
            <w:pPr>
              <w:spacing w:after="0"/>
              <w:rPr>
                <w:sz w:val="19"/>
                <w:szCs w:val="19"/>
                <w:color w:val="auto"/>
              </w:rPr>
            </w:pPr>
          </w:p>
        </w:tc>
        <w:tc>
          <w:tcPr>
            <w:tcW w:w="64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954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Act of 2002.</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85" w:lineRule="exact"/>
        <w:rPr>
          <w:sz w:val="20"/>
          <w:szCs w:val="20"/>
          <w:color w:val="auto"/>
        </w:rPr>
      </w:pPr>
    </w:p>
    <w:p>
      <w:pPr>
        <w:ind w:right="160" w:firstLine="27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8"/>
              </w:rPr>
              <w:t>Photronics, Inc.</w:t>
            </w:r>
          </w:p>
        </w:tc>
      </w:tr>
      <w:tr>
        <w:trPr>
          <w:trHeight w:val="222"/>
        </w:trPr>
        <w:tc>
          <w:tcPr>
            <w:tcW w:w="580" w:type="dxa"/>
            <w:vAlign w:val="bottom"/>
          </w:tcPr>
          <w:p>
            <w:pPr>
              <w:spacing w:after="0"/>
              <w:rPr>
                <w:sz w:val="19"/>
                <w:szCs w:val="19"/>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(Registrant)</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SEAN T. SMITH</w:t>
            </w:r>
          </w:p>
        </w:tc>
      </w:tr>
      <w:tr>
        <w:trPr>
          <w:trHeight w:val="202"/>
        </w:trPr>
        <w:tc>
          <w:tcPr>
            <w:tcW w:w="580" w:type="dxa"/>
            <w:vAlign w:val="bottom"/>
          </w:tcPr>
          <w:p>
            <w:pPr>
              <w:spacing w:after="0"/>
              <w:rPr>
                <w:sz w:val="17"/>
                <w:szCs w:val="17"/>
                <w:color w:val="auto"/>
              </w:rPr>
            </w:pPr>
          </w:p>
        </w:tc>
        <w:tc>
          <w:tcPr>
            <w:tcW w:w="2100" w:type="dxa"/>
            <w:vAlign w:val="bottom"/>
          </w:tcPr>
          <w:p>
            <w:pPr>
              <w:jc w:val="center"/>
              <w:spacing w:after="0" w:line="202" w:lineRule="exact"/>
              <w:rPr>
                <w:sz w:val="20"/>
                <w:szCs w:val="20"/>
                <w:color w:val="auto"/>
              </w:rPr>
            </w:pPr>
            <w:r>
              <w:rPr>
                <w:rFonts w:ascii="Arial" w:cs="Arial" w:eastAsia="Arial" w:hAnsi="Arial"/>
                <w:sz w:val="18"/>
                <w:szCs w:val="18"/>
                <w:color w:val="auto"/>
                <w:w w:val="85"/>
              </w:rPr>
              <w:t>Sean T. Smith</w:t>
            </w:r>
          </w:p>
        </w:tc>
      </w:tr>
      <w:tr>
        <w:trPr>
          <w:trHeight w:val="216"/>
        </w:trPr>
        <w:tc>
          <w:tcPr>
            <w:tcW w:w="5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7"/>
              </w:rPr>
              <w:t>Senior Vice President</w:t>
            </w:r>
          </w:p>
        </w:tc>
      </w:tr>
      <w:tr>
        <w:trPr>
          <w:trHeight w:val="216"/>
        </w:trPr>
        <w:tc>
          <w:tcPr>
            <w:tcW w:w="5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92"/>
              </w:rPr>
              <w:t>Chief Financial Officer</w:t>
            </w:r>
          </w:p>
        </w:tc>
      </w:tr>
      <w:tr>
        <w:trPr>
          <w:trHeight w:val="216"/>
        </w:trPr>
        <w:tc>
          <w:tcPr>
            <w:tcW w:w="5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(Duly Authorized Officer and</w:t>
            </w:r>
          </w:p>
        </w:tc>
      </w:tr>
      <w:tr>
        <w:trPr>
          <w:trHeight w:val="222"/>
        </w:trPr>
        <w:tc>
          <w:tcPr>
            <w:tcW w:w="580" w:type="dxa"/>
            <w:vAlign w:val="bottom"/>
          </w:tcPr>
          <w:p>
            <w:pPr>
              <w:spacing w:after="0"/>
              <w:rPr>
                <w:sz w:val="19"/>
                <w:szCs w:val="19"/>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92"/>
              </w:rPr>
              <w:t>Principal Financial Officer)</w:t>
            </w:r>
          </w:p>
        </w:tc>
      </w:tr>
    </w:tbl>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2010</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EXHIBIT 31.1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Constantine S. Macricostas, certify that:</w:t>
      </w:r>
    </w:p>
    <w:p>
      <w:pPr>
        <w:spacing w:after="0" w:line="252" w:lineRule="exact"/>
        <w:rPr>
          <w:sz w:val="20"/>
          <w:szCs w:val="20"/>
          <w:color w:val="auto"/>
        </w:rPr>
      </w:pPr>
    </w:p>
    <w:p>
      <w:pPr>
        <w:ind w:left="420" w:hanging="412"/>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Photronics, Inc.</w:t>
      </w:r>
    </w:p>
    <w:p>
      <w:pPr>
        <w:spacing w:after="0" w:line="252" w:lineRule="exact"/>
        <w:rPr>
          <w:rFonts w:ascii="Arial" w:cs="Arial" w:eastAsia="Arial" w:hAnsi="Arial"/>
          <w:sz w:val="18"/>
          <w:szCs w:val="18"/>
          <w:color w:val="auto"/>
        </w:rPr>
      </w:pPr>
    </w:p>
    <w:p>
      <w:pPr>
        <w:ind w:left="420" w:hanging="412"/>
        <w:spacing w:after="0" w:line="342" w:lineRule="auto"/>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420" w:right="460" w:hanging="412"/>
        <w:spacing w:after="0" w:line="308" w:lineRule="auto"/>
        <w:tabs>
          <w:tab w:leader="none" w:pos="420" w:val="left"/>
        </w:tabs>
        <w:numPr>
          <w:ilvl w:val="0"/>
          <w:numId w:val="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420" w:right="80" w:hanging="412"/>
        <w:spacing w:after="0" w:line="264"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840" w:right="360" w:hanging="427"/>
        <w:spacing w:after="0" w:line="264" w:lineRule="auto"/>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840" w:right="20" w:hanging="427"/>
        <w:spacing w:after="0" w:line="264" w:lineRule="auto"/>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840" w:right="120" w:hanging="427"/>
        <w:spacing w:after="0" w:line="342" w:lineRule="auto"/>
        <w:tabs>
          <w:tab w:leader="none" w:pos="840" w:val="left"/>
        </w:tabs>
        <w:numPr>
          <w:ilvl w:val="1"/>
          <w:numId w:val="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50" w:lineRule="exact"/>
        <w:rPr>
          <w:rFonts w:ascii="Arial" w:cs="Arial" w:eastAsia="Arial" w:hAnsi="Arial"/>
          <w:sz w:val="16"/>
          <w:szCs w:val="16"/>
          <w:color w:val="auto"/>
        </w:rPr>
      </w:pPr>
    </w:p>
    <w:p>
      <w:pPr>
        <w:ind w:left="840" w:right="40" w:hanging="427"/>
        <w:spacing w:after="0" w:line="264" w:lineRule="auto"/>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420" w:right="400" w:hanging="412"/>
        <w:spacing w:after="0" w:line="308" w:lineRule="auto"/>
        <w:tabs>
          <w:tab w:leader="none" w:pos="4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840" w:right="280" w:hanging="427"/>
        <w:spacing w:after="0" w:line="308" w:lineRule="auto"/>
        <w:tabs>
          <w:tab w:leader="none" w:pos="840" w:val="left"/>
        </w:tabs>
        <w:numPr>
          <w:ilvl w:val="1"/>
          <w:numId w:val="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840" w:right="260" w:hanging="427"/>
        <w:spacing w:after="0" w:line="277" w:lineRule="auto"/>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CONSTANTINE S. MACRICOSTAS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Constantine S. Macricostas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EXHIBIT 31.2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6"/>
          <w:szCs w:val="16"/>
          <w:color w:val="auto"/>
        </w:rPr>
        <w:t>Sean T. Smith</w:t>
      </w:r>
      <w:r>
        <w:rPr>
          <w:rFonts w:ascii="Arial" w:cs="Arial" w:eastAsia="Arial" w:hAnsi="Arial"/>
          <w:sz w:val="18"/>
          <w:szCs w:val="18"/>
          <w:color w:val="auto"/>
        </w:rPr>
        <w:t>, certify that:</w:t>
      </w:r>
    </w:p>
    <w:p>
      <w:pPr>
        <w:spacing w:after="0" w:line="252" w:lineRule="exact"/>
        <w:rPr>
          <w:sz w:val="20"/>
          <w:szCs w:val="20"/>
          <w:color w:val="auto"/>
        </w:rPr>
      </w:pPr>
    </w:p>
    <w:p>
      <w:pPr>
        <w:ind w:left="420" w:hanging="412"/>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Photronics, Inc.</w:t>
      </w:r>
    </w:p>
    <w:p>
      <w:pPr>
        <w:spacing w:after="0" w:line="252" w:lineRule="exact"/>
        <w:rPr>
          <w:rFonts w:ascii="Arial" w:cs="Arial" w:eastAsia="Arial" w:hAnsi="Arial"/>
          <w:sz w:val="18"/>
          <w:szCs w:val="18"/>
          <w:color w:val="auto"/>
        </w:rPr>
      </w:pPr>
    </w:p>
    <w:p>
      <w:pPr>
        <w:ind w:left="420" w:hanging="412"/>
        <w:spacing w:after="0" w:line="342" w:lineRule="auto"/>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420" w:right="460" w:hanging="412"/>
        <w:spacing w:after="0" w:line="308" w:lineRule="auto"/>
        <w:tabs>
          <w:tab w:leader="none" w:pos="420" w:val="left"/>
        </w:tabs>
        <w:numPr>
          <w:ilvl w:val="0"/>
          <w:numId w:val="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420" w:right="80" w:hanging="412"/>
        <w:spacing w:after="0" w:line="264"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840" w:right="360" w:hanging="427"/>
        <w:spacing w:after="0" w:line="264" w:lineRule="auto"/>
        <w:tabs>
          <w:tab w:leader="none" w:pos="84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840" w:right="20" w:hanging="427"/>
        <w:spacing w:after="0" w:line="264" w:lineRule="auto"/>
        <w:tabs>
          <w:tab w:leader="none" w:pos="84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840" w:right="120" w:hanging="427"/>
        <w:spacing w:after="0" w:line="342" w:lineRule="auto"/>
        <w:tabs>
          <w:tab w:leader="none" w:pos="840" w:val="left"/>
        </w:tabs>
        <w:numPr>
          <w:ilvl w:val="1"/>
          <w:numId w:val="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50" w:lineRule="exact"/>
        <w:rPr>
          <w:rFonts w:ascii="Arial" w:cs="Arial" w:eastAsia="Arial" w:hAnsi="Arial"/>
          <w:sz w:val="16"/>
          <w:szCs w:val="16"/>
          <w:color w:val="auto"/>
        </w:rPr>
      </w:pPr>
    </w:p>
    <w:p>
      <w:pPr>
        <w:ind w:left="840" w:right="40" w:hanging="427"/>
        <w:spacing w:after="0" w:line="264" w:lineRule="auto"/>
        <w:tabs>
          <w:tab w:leader="none" w:pos="84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420" w:right="400" w:hanging="412"/>
        <w:spacing w:after="0" w:line="308" w:lineRule="auto"/>
        <w:tabs>
          <w:tab w:leader="none" w:pos="4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840" w:right="280" w:hanging="427"/>
        <w:spacing w:after="0" w:line="308" w:lineRule="auto"/>
        <w:tabs>
          <w:tab w:leader="none" w:pos="840" w:val="left"/>
        </w:tabs>
        <w:numPr>
          <w:ilvl w:val="1"/>
          <w:numId w:val="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840" w:right="260" w:hanging="427"/>
        <w:spacing w:after="0" w:line="277" w:lineRule="auto"/>
        <w:tabs>
          <w:tab w:leader="none" w:pos="8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08077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8077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Sean T.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1350 Certification of the Chief Executive Officer</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 Constantine S. Macricostas, Chief Executive Officer of Photronics, Inc. (the "Company"), certify, pursuant to Section 906 of the Sarbanes-Oxley Act of 2002, 18 U.S.C. Section 1350, that:</w:t>
      </w:r>
    </w:p>
    <w:p>
      <w:pPr>
        <w:spacing w:after="0" w:line="197" w:lineRule="exact"/>
        <w:rPr>
          <w:sz w:val="20"/>
          <w:szCs w:val="20"/>
          <w:color w:val="auto"/>
        </w:rPr>
      </w:pPr>
    </w:p>
    <w:p>
      <w:pPr>
        <w:ind w:left="540" w:hanging="532"/>
        <w:spacing w:after="0" w:line="277"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January 31, 2010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540" w:hanging="532"/>
        <w:spacing w:after="0"/>
        <w:tabs>
          <w:tab w:leader="none" w:pos="5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CONSTANTINE S. MACRICOSTAS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Constantine S. Macricostas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100"/>
          </w:cols>
          <w:pgMar w:left="240" w:top="364" w:right="5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1350 Certification of the Chief Financial Officer</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I, Sean T. Smith, Chief Financial Officer of Photronics, Inc. (the "Company"), certify, pursuant to Section 906 of the Sarbanes-Oxley Act of 2002, 18 U.S.C.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1350, that:</w:t>
      </w:r>
    </w:p>
    <w:p>
      <w:pPr>
        <w:spacing w:after="0" w:line="238" w:lineRule="exact"/>
        <w:rPr>
          <w:sz w:val="20"/>
          <w:szCs w:val="20"/>
          <w:color w:val="auto"/>
        </w:rPr>
      </w:pPr>
    </w:p>
    <w:p>
      <w:pPr>
        <w:ind w:left="540" w:right="180" w:hanging="532"/>
        <w:spacing w:after="0" w:line="277"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January 31, 2010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540" w:hanging="532"/>
        <w:spacing w:after="0"/>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08077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8077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Sean T.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280"/>
      </w:cols>
      <w:pgMar w:left="240" w:top="36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x"/>
      <w:numFmt w:val="bullet"/>
      <w:start w:val="1"/>
    </w:lvl>
  </w:abstractNum>
  <w:abstractNum w:abstractNumId="1">
    <w:nsid w:val="625558EC"/>
    <w:multiLevelType w:val="hybridMultilevel"/>
    <w:lvl w:ilvl="0">
      <w:lvlJc w:val="left"/>
      <w:lvlText w:val="o"/>
      <w:numFmt w:val="bullet"/>
      <w:start w:val="1"/>
    </w:lvl>
  </w:abstractNum>
  <w:abstractNum w:abstractNumId="2">
    <w:nsid w:val="238E1F29"/>
    <w:multiLevelType w:val="hybridMultilevel"/>
    <w:lvl w:ilvl="0">
      <w:lvlJc w:val="left"/>
      <w:lvlText w:val="%1."/>
      <w:numFmt w:val="decimal"/>
      <w:start w:val="1"/>
    </w:lvl>
    <w:lvl w:ilvl="1">
      <w:lvlJc w:val="left"/>
      <w:lvlText w:val="%2)"/>
      <w:numFmt w:val="lowerLetter"/>
      <w:start w:val="1"/>
    </w:lvl>
  </w:abstractNum>
  <w:abstractNum w:abstractNumId="3">
    <w:nsid w:val="46E87CCD"/>
    <w:multiLevelType w:val="hybridMultilevel"/>
    <w:lvl w:ilvl="0">
      <w:lvlJc w:val="left"/>
      <w:lvlText w:val="%1."/>
      <w:numFmt w:val="decimal"/>
      <w:start w:val="1"/>
    </w:lvl>
    <w:lvl w:ilvl="1">
      <w:lvlJc w:val="left"/>
      <w:lvlText w:val="%2)"/>
      <w:numFmt w:val="lowerLetter"/>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2019-12-10T07:15:57Z</dcterms:created>
  <dcterms:modified xsi:type="dcterms:W3CDTF">2019-12-10T07:15:57Z</dcterms:modified>
</cp:coreProperties>
</file>