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4020" w:right="2040" w:hanging="4012"/>
        <w:spacing w:after="0" w:line="263" w:lineRule="auto"/>
        <w:tabs>
          <w:tab w:leader="none" w:pos="49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 For the quarterly period ended April 28, 2013</w:t>
      </w:r>
    </w:p>
    <w:p>
      <w:pPr>
        <w:ind w:left="55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w:t>
      </w:r>
    </w:p>
    <w:p>
      <w:pPr>
        <w:spacing w:after="0" w:line="230" w:lineRule="exact"/>
        <w:rPr>
          <w:sz w:val="24"/>
          <w:szCs w:val="24"/>
          <w:color w:val="auto"/>
        </w:rPr>
      </w:pPr>
    </w:p>
    <w:p>
      <w:pPr>
        <w:ind w:left="4180" w:right="2020" w:hanging="4172"/>
        <w:spacing w:after="0" w:line="532" w:lineRule="auto"/>
        <w:tabs>
          <w:tab w:leader="none" w:pos="488"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174625</wp:posOffset>
            </wp:positionV>
            <wp:extent cx="771525"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655"/>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675"/>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225" w:lineRule="exact"/>
        <w:rPr>
          <w:sz w:val="24"/>
          <w:szCs w:val="24"/>
          <w:color w:val="auto"/>
        </w:rPr>
      </w:pPr>
    </w:p>
    <w:p>
      <w:pPr>
        <w:ind w:right="4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234"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23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89"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o No x</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Class</w:t>
            </w:r>
          </w:p>
        </w:tc>
        <w:tc>
          <w:tcPr>
            <w:tcW w:w="56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Outstanding at May 31, 2013</w:t>
            </w:r>
          </w:p>
        </w:tc>
      </w:tr>
      <w:tr>
        <w:trPr>
          <w:trHeight w:val="238"/>
        </w:trPr>
        <w:tc>
          <w:tcPr>
            <w:tcW w:w="58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62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60,967,777 Shares</w:t>
            </w:r>
          </w:p>
        </w:tc>
      </w:tr>
      <w:tr>
        <w:trPr>
          <w:trHeight w:val="118"/>
        </w:trPr>
        <w:tc>
          <w:tcPr>
            <w:tcW w:w="5800" w:type="dxa"/>
            <w:vAlign w:val="bottom"/>
          </w:tcPr>
          <w:p>
            <w:pPr>
              <w:spacing w:after="0"/>
              <w:rPr>
                <w:sz w:val="10"/>
                <w:szCs w:val="10"/>
                <w:color w:val="auto"/>
              </w:rPr>
            </w:pPr>
          </w:p>
        </w:tc>
        <w:tc>
          <w:tcPr>
            <w:tcW w:w="5620" w:type="dxa"/>
            <w:vAlign w:val="bottom"/>
          </w:tcPr>
          <w:p>
            <w:pPr>
              <w:spacing w:after="0"/>
              <w:rPr>
                <w:sz w:val="10"/>
                <w:szCs w:val="10"/>
                <w:color w:val="auto"/>
              </w:rPr>
            </w:pPr>
          </w:p>
        </w:tc>
      </w:tr>
      <w:tr>
        <w:trPr>
          <w:trHeight w:val="71"/>
        </w:trPr>
        <w:tc>
          <w:tcPr>
            <w:tcW w:w="5800" w:type="dxa"/>
            <w:vAlign w:val="bottom"/>
            <w:shd w:val="clear" w:color="auto" w:fill="808080"/>
          </w:tcPr>
          <w:p>
            <w:pPr>
              <w:spacing w:after="0"/>
              <w:rPr>
                <w:sz w:val="6"/>
                <w:szCs w:val="6"/>
                <w:color w:val="auto"/>
              </w:rPr>
            </w:pPr>
          </w:p>
        </w:tc>
        <w:tc>
          <w:tcPr>
            <w:tcW w:w="5620" w:type="dxa"/>
            <w:vAlign w:val="bottom"/>
            <w:shd w:val="clear" w:color="auto" w:fill="808080"/>
          </w:tcPr>
          <w:p>
            <w:pPr>
              <w:spacing w:after="0"/>
              <w:rPr>
                <w:sz w:val="6"/>
                <w:szCs w:val="6"/>
                <w:color w:val="auto"/>
              </w:rPr>
            </w:pPr>
          </w:p>
        </w:tc>
      </w:tr>
      <w:tr>
        <w:trPr>
          <w:trHeight w:val="604"/>
        </w:trPr>
        <w:tc>
          <w:tcPr>
            <w:tcW w:w="580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3" w:right="239" w:bottom="11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222"/>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future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of future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laws.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ind w:left="5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ind w:left="50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April 28, 2013 and October 28, 2012</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and Six Months Ended April 28, 2013 and April 29,</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0000EE"/>
            </w:tcBorders>
            <w:gridSpan w:val="4"/>
            <w:shd w:val="clear" w:color="auto" w:fill="CCEEFF"/>
          </w:tcPr>
          <w:p>
            <w:pPr>
              <w:ind w:left="3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2012</w:t>
              </w:r>
            </w:hyperlink>
          </w:p>
        </w:tc>
        <w:tc>
          <w:tcPr>
            <w:tcW w:w="88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90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 for the Three and Six Months Ended April 28,</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814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2013 and April 29, 2012</w:t>
              </w:r>
            </w:hyperlink>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April 28, 2013 and April 29, 2012</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5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702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5"/>
          </w:tcPr>
          <w:p>
            <w:pPr>
              <w:ind w:left="5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shd w:val="clear" w:color="auto" w:fill="CCEEFF"/>
          </w:tcPr>
          <w:p>
            <w:pPr>
              <w:ind w:left="500"/>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500" w:type="dxa"/>
            <w:vAlign w:val="bottom"/>
            <w:shd w:val="clear" w:color="auto" w:fill="CCEEFF"/>
          </w:tcPr>
          <w:p>
            <w:pPr>
              <w:spacing w:after="0"/>
              <w:rPr>
                <w:sz w:val="17"/>
                <w:szCs w:val="17"/>
                <w:color w:val="auto"/>
              </w:rPr>
            </w:pPr>
          </w:p>
        </w:tc>
        <w:tc>
          <w:tcPr>
            <w:tcW w:w="88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3</w:t>
            </w:r>
          </w:p>
        </w:tc>
        <w:tc>
          <w:tcPr>
            <w:tcW w:w="15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60" w:type="dxa"/>
            <w:vAlign w:val="bottom"/>
          </w:tcPr>
          <w:p>
            <w:pPr>
              <w:jc w:val="center"/>
              <w:ind w:left="17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60" w:type="dxa"/>
            <w:vAlign w:val="bottom"/>
          </w:tcPr>
          <w:p>
            <w:pPr>
              <w:jc w:val="center"/>
              <w:ind w:left="17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210,552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$3,468 in 2013 and $3,902 in 2012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Inventories</w:t>
            </w: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880,859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60,598 shares issued and outstanding at April 28, 2013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60,213 at October 28, 2012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880,859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20" w:type="dxa"/>
            <w:vAlign w:val="bottom"/>
            <w:gridSpan w:val="6"/>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106,680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117,451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206,519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(81,891)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(87,590)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(12,151)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Consolidation, restructuring and related charges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60,493</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60,086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61,501</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61,298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Photronics, Inc.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restructuring and related charges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common stock by subsidiary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218,043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210,552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(32,502)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 related to facility purchase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and Six Months Ended April 28, 2013 and April 29,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21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3, 2013. For further information, refer to the consolidated financial statements and footnotes thereto included in the Company's Annual Report on Form 10-K for the year ended October 28, 2012.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CHANGES IN EQUITY</w:t>
      </w:r>
    </w:p>
    <w:p>
      <w:pPr>
        <w:spacing w:after="0" w:line="25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consolidated changes in equity for the three and six month periods ended April 28, 2013 and April 29, 2012:</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Three Months Ended April 28, 2013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28,</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60,362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494,984</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43,797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30,645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(12,396)</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28,</w:t>
            </w: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60,598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496,204</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48,660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30,562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9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0"/>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29, 2012</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30,</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60,015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488,674</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17,873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48,526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by subsidiary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29,</w:t>
            </w: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60,106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490,350</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26,691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42,805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0"/>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Six Months Ended April 28, 2013</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29,</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60,213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493,411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41,473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34,615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by subsidiary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28,</w:t>
            </w: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60,598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496,204</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48,660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30,562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587,448</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Six Months Ended April 29, 2012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gridSpan w:val="8"/>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5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1"/>
                <w:szCs w:val="21"/>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59,651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486,674</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13,605</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48,709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(loss)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through employee</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vesting and expense</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warrants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by subsidiary</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29,</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60,106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490,350</w:t>
            </w:r>
          </w:p>
        </w:tc>
        <w:tc>
          <w:tcPr>
            <w:tcW w:w="100" w:type="dxa"/>
            <w:vAlign w:val="bottom"/>
          </w:tcPr>
          <w:p>
            <w:pPr>
              <w:spacing w:after="0"/>
              <w:rPr>
                <w:sz w:val="20"/>
                <w:szCs w:val="20"/>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42,805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568,878</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8,506</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8,538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101,409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1,180,839</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1,197,854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4,128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w w:val="93"/>
              </w:rPr>
              <w:t>5,854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84,362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26,642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1,392,927</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1,353,781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982,170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972,973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410,757</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380,808</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plant and equipment (excluding equipment under capital leases) was $16.1 million and $33.1 million for the three and six month periods ended April 28, 2013, respectively, and $18.7 million and $37.1 million for the three and six month periods ended April 29, 2012, respectively. Amortization expense for equipment under capital leases was $0.5 million and $1.0 million for the three and six month periods ended April 28, 2013, respectively and $1.2 million and $3.8 million for the three and six month periods ended April 29, 2012,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May 2006, Photronics and Micron Technology, Inc. ("Micron") entered into the MP Mask joint venture (“MP Mask”), which develops and produces photomasks for leading-edge and advanced next generation semiconductors. As part of the formation of the joint venture, Micron contributed its existing photomask technology center located in Boise, Idaho, (headquarters of MP Mask) and Photronics invested $135 million in exchange for a 49.99% interest in MP Mask (to which $64.2 million of the original investment was allocated), a license for photomask technology of Micron, and certain supply agreements.</w:t>
      </w:r>
    </w:p>
    <w:p>
      <w:pPr>
        <w:spacing w:after="0" w:line="20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This joint venture is a variable interest entity ("VIE") (as that term is defined in the Accounting Standards Codification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1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$3.5 million and $5.4 million and research and development expenses of $0.2 million and $0.5 million during the three and six month periods ended April 28, 2013. Cost of sales of $2.1 million and $4.1 million and research and development expenses of $0.2 million and $0.5 million were recorded during the three and six month periods ended April 29, 2012. As of April 28, 2013 and October 28, 2012, the Company owed MP Mask $5.5 million and $6.4 million, respectively, and had a receivable from Micron of $7.9 million and $9.0 million, respectively, both primarily related to the aforementioned supply agreements.</w:t>
      </w:r>
    </w:p>
    <w:p>
      <w:pPr>
        <w:spacing w:after="0" w:line="2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The Company increased its investment in the MP Mask joint venture by $5.4 million and $5.8 million during the three and six month periods ended April 29, 2012, respectively. These investments were primarily related to capital calls made by the joint venture. The Company did not make any capital contributions to the joint venture during the six month period ended April 28, 2013, and did not receive any distributions from the joint venture during the six month periods ended April 28, 2013 and April 29, 2012.</w:t>
      </w:r>
    </w:p>
    <w:p>
      <w:pPr>
        <w:spacing w:after="0" w:line="21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investment in the VIE, which represents its maximum exposure to loss, was $93.1 million at April 28, 2013, and $93.3 million at October 28, 2012. These amounts are reported in the Company's condensed consolidated balance sheets as "Investment in joint venture". The Company recorded a loss from its investment in the VIE of $0.2 million in the six month period ended April 28, 2013, and recorded no income from its investment in the three month period ended April 28, 2013, or in the three or six month periods ended April 29, 2012. Income from the VIE is included in "Interest and other income (expense), net" in the condensed consolidated statements of income.</w:t>
      </w:r>
    </w:p>
    <w:p>
      <w:pPr>
        <w:spacing w:after="0" w:line="21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2012 the Company paid $35 million to Micron in connection with its purchase of the U.S. nanoFab facility, which it had been leasing from Micron under a lease which ran through December 31, 2014.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 LONG-TERM BORROWINGS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 consist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on April 1, 2016</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rate term loan, maturing March 1, 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 convertible senior notes due on October 1, 2014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3.09% capital lease obligation payable through March 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payable through 2018</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4.75% financing loan with customer</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179,821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February 2013 the Company entered into a five year capital lease to fund the purchase of a high-end lithography tool. The principal amount of the lease, which is currently estimated to be approximately $27 million, will be determined by the Japanese yen exchange rate to the U.S. dollar as progress payments are made on the tool. The interest rate will be fixed, based on the five year interest rate swap plus a spread, upon acceptance of the tool which is expected to occur in the fourth quarter of fiscal year 2013. Progress payments totaling $6.9 million have been made by the lessor through April 28, 2013, and are included in the Company’s long-term borrowings as a non-cash capital lease obligation as of that date. Accordingly, this amount was excluded from both operating and financing cash activities.</w:t>
      </w:r>
    </w:p>
    <w:p>
      <w:pPr>
        <w:spacing w:after="0" w:line="21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March 2012 the Company, in connection with its purchase of the U.S. nanoFab facility (see Note 4 for further discussion), amended its credit facility ("the credit facility") to include the addition of a $25 million variable rate (2.5% at April 28, 2013) term loan maturing in March 2017 with minimum quarterly principal payments of $0.6 million (quarterly payments commenced in June 2012 and are based on a ten year repayment period). The amendment also included a twenty-five basis point reduction in the interest rate charged on any borrowings under the credit facility.</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credit facility bears interest (2.5% at April 28,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April 28, 2013, the Company had no outstanding borrowings under the credit facility and $30 million was available for borrowing.</w:t>
      </w:r>
    </w:p>
    <w:p>
      <w:pPr>
        <w:spacing w:after="0" w:line="21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21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 portion of the notes from this issuance having an aggregate principal amount of $35.4 million were acquired by the Company during fiscal year 2011.</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April 28, 2013, the total amount payable through the end of the lease term was $13.7 million, of which $13.1 million represented principal and $0.6 million represented interest.</w:t>
      </w:r>
    </w:p>
    <w:p>
      <w:pPr>
        <w:spacing w:after="0" w:line="21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2010 the Company borrowed $3.7 million from a customer to purchase manufacturing equipment. This loan bears interest at 4.75% and is primarily being repaid with product supplied to the customer. Product valued at $0.3 million and $0.5 million was shipped to the customer and applied against the loan during the three and six month periods ended April 28, 2013, respectively, and product valued at $0.2 million and $0.5 million was applied against the loan in the respective prior year periods. The Company estimates that the loan will be fully repaid in fiscal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COMMON STOCK WARRANTS</w:t>
      </w:r>
    </w:p>
    <w:p>
      <w:pPr>
        <w:spacing w:after="0" w:line="25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September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As of April 28, 2013, none of the warrants issued to Intel Capital Corporation had been exercised.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5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for the three and six month periods ended April 28, 2013, of $0.9 million and $1.8 million, respectively, and $0.7 million and $1.4 million for the three and six month periods ended April 29, 2012, respectively. The Company received cash from option exercises of $0.3 million and $0.4 million for the three and six month periods ended April 28, 2013, respectively, and $0.1 million and $0.2 million for the three and six month periods ended April 29, 2012, respectively. No share-based compensation cost was capitalized as part of an asset and no related income tax benefits were recorded during the periods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1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inputs and risk-free rate of return ranges used to calculate the grant date fair value of options issued during the three and six month periods ended April 28, 2013 and April 29, 2012, are presented in the following table.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60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960" w:type="dxa"/>
            <w:vAlign w:val="bottom"/>
            <w:tcBorders>
              <w:top w:val="single" w:sz="8" w:color="auto"/>
            </w:tcBorders>
            <w:gridSpan w:val="2"/>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 - 0.7%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 - 0.9%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 years</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 years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Information on outstanding and exercisable option awards as of April 28, 2013, is presented below.</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28, 2013</w:t>
            </w:r>
          </w:p>
        </w:tc>
        <w:tc>
          <w:tcPr>
            <w:tcW w:w="1420" w:type="dxa"/>
            <w:vAlign w:val="bottom"/>
            <w:gridSpan w:val="5"/>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4,200,167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6.1 years</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April 28, 2013</w:t>
            </w:r>
          </w:p>
        </w:tc>
        <w:tc>
          <w:tcPr>
            <w:tcW w:w="1420" w:type="dxa"/>
            <w:vAlign w:val="bottom"/>
            <w:gridSpan w:val="5"/>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2,705,897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4.8 years</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were 20,000 share options granted during the three month period ended April 28, 2013, with a weighted-average grant date fair value of $4.07 per share, and there were 32,000 share options granted during the three month period ended April 29, 2012, with a grant date fair value of $4.72 per share. There were 584,000 share options granted during the six month period ended April 28, 2013, with a weighted-average grant date fair value of $3.99 per share and 524,500 share options granted during the six month period ended April 29, 2012, with a weighted-average grant date fair value of $4.47 per share. As of April 28, 2013, the total unrecognized compensation cost related to unvested option awards was approximately $4.6 million. That cost is expected to be recognized over a weighted-average amortization period of 2.6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these awards lapse over a service period that has ranged from less-than-one to eight years. There were 5,000 restricted stock awards granted during the three month period ended April 28, 2013 with a weighted-average grant date fair value of $6.43 per share, and 209,500 restricted stock awards were issued during the six month period ended April 28, 2013, with a weighted-average grant date fair value of $5.48 per share. No restricted stock awards were granted during the three month period ended April 29, 2012, and 168,750 restricted stock awards were issued during the six month period ended April 29, 2012, with a weighted-average grant date fair value of $6.28 per share. As of April 28, 2013, the total compensation cost not yet recognized related to unvested restricted stock awards was approximately $1.8 million. That cost is expected to be recognized over a weighted-average amortization period of 2.1 years. As of April 28, 2013, there were 365,564 shares of restricted stock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CONSOLIDATION, RESTRUCTURING AND RELATED CHARGES</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2012 the Company ceased the manufacture of photomasks at its Singapore facility and, in connection therewith, recorded charges of $0.1 million and $1.2 million during the three and six month periods ended April 29, 2012, respectively. This restructuring, which was comprised primarily of employee termination costs, was substantially completed in fiscal 2012 at a cost of $1.4 million.</w:t>
      </w:r>
    </w:p>
    <w:p>
      <w:pPr>
        <w:spacing w:after="0" w:line="20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restructuring reserve, primarily related to its Singapore facility, as of April 28, 2013 and April 29, 2012, and reflects the activity affecting the reserve for the three month period and six month periods then ended.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0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April 28, 2013</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28, 2013</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2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Utilized</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Utilized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April 29, 2012</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2012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2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Utilized</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Utilized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terminations</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write-downs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56" w:lineRule="exact"/>
        <w:rPr>
          <w:sz w:val="20"/>
          <w:szCs w:val="20"/>
          <w:color w:val="auto"/>
        </w:rPr>
      </w:pPr>
    </w:p>
    <w:p>
      <w:pPr>
        <w:ind w:right="300" w:firstLine="324"/>
        <w:spacing w:after="0" w:line="313" w:lineRule="auto"/>
        <w:rPr>
          <w:sz w:val="20"/>
          <w:szCs w:val="20"/>
          <w:color w:val="auto"/>
        </w:rPr>
      </w:pPr>
      <w:r>
        <w:rPr>
          <w:rFonts w:ascii="Times New Roman" w:cs="Times New Roman" w:eastAsia="Times New Roman" w:hAnsi="Times New Roman"/>
          <w:sz w:val="17"/>
          <w:szCs w:val="17"/>
          <w:color w:val="auto"/>
        </w:rPr>
        <w:t>The effective income tax rates for the three and six month periods ended April 28, 2013 and April 29, 2012, differ from the U.S. statutory rate of 35% primarily due to foreign tax rate differences, as well as the existence of valuation allowances in jurisdictions with historical and continuing tax losses.</w:t>
      </w:r>
    </w:p>
    <w:p>
      <w:pPr>
        <w:spacing w:after="0" w:line="16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were $3.9 million at April 28, 2013 and October 28, 2012, of which $1.9 million would favorably impact the Company's effective tax rate if recognized. Accrued interest and penalties related to unrecognized tax benefits were $0.1 million at April 28, 2013 and October 28, 2012. As of April 28, 2013, the total amount of unrecognized tax benefits is not expected to significantly increase or decrease in the next twelve months.</w:t>
      </w:r>
    </w:p>
    <w:p>
      <w:pPr>
        <w:spacing w:after="0" w:line="20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PKLT, the Company's FPD manufacturing facility in Taiwan, is accorded a tax holiday which commenced in 2012 and expires in 2017. The tax holiday had no dollar or per share effect in the three and six month periods ended April 28, 2013 or the three and six month periods ended April 29, 2012.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convertible notes, net of related tax effects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related to common stock warrants fair value adjustment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diluted earnings per share</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60,086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76,590</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convertible notes and share-based payment awards that were excluded from the calculation of diluted earnings or loss per share because their exercise price exceeded the average market value of the common shares for the period or, under application of the treasury stock method, they were otherwise determined to be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Borders>
              <w:top w:val="single" w:sz="8" w:color="auto"/>
            </w:tcBorders>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14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14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9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7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216"/>
              <w:spacing w:after="0"/>
              <w:rPr>
                <w:sz w:val="20"/>
                <w:szCs w:val="20"/>
                <w:color w:val="auto"/>
              </w:rPr>
            </w:pPr>
            <w:r>
              <w:rPr>
                <w:rFonts w:ascii="Times New Roman" w:cs="Times New Roman" w:eastAsia="Times New Roman" w:hAnsi="Times New Roman"/>
                <w:sz w:val="14"/>
                <w:szCs w:val="14"/>
                <w:color w:val="auto"/>
              </w:rPr>
              <w:t>16</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CHANGES IN ACCUMULATED OTHER COMPREHENSIVE INCOME BY COMPONENT</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by component (net of tax of $0) for the three and six month periods ended April 28,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April 28, 2013</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6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28, 2013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 April 28, 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6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29, 2012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 by subsidiary</w:t>
            </w:r>
          </w:p>
        </w:tc>
        <w:tc>
          <w:tcPr>
            <w:tcW w:w="12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the cash flow hedge is included in cost of sales in the condensed consolidated statements of income for all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GEOGRAPHIC INFORMATION</w:t>
      </w:r>
    </w:p>
    <w:p>
      <w:pPr>
        <w:spacing w:after="0" w:line="25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Company's net sales by geographic area and for ICs and FPDs for the three and six month periods ended April 28, 2013 and April 29, 2012, and its long-lived assets by geographic area as of April 28, 2013 and October 28, 2012, are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4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6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r>
      <w:tr>
        <w:trPr>
          <w:trHeight w:val="245"/>
        </w:trPr>
        <w:tc>
          <w:tcPr>
            <w:tcW w:w="60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68,698</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41,514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83,426</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54,159</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20,734</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2,588</w:t>
            </w:r>
          </w:p>
        </w:tc>
      </w:tr>
      <w:tr>
        <w:trPr>
          <w:trHeight w:val="27"/>
        </w:trPr>
        <w:tc>
          <w:tcPr>
            <w:tcW w:w="6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106,680</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117,451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229,605</w:t>
            </w: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82,164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89,111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156,588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175,917</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FPD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53,688</w:t>
            </w:r>
          </w:p>
        </w:tc>
      </w:tr>
      <w:tr>
        <w:trPr>
          <w:trHeight w:val="27"/>
        </w:trPr>
        <w:tc>
          <w:tcPr>
            <w:tcW w:w="6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106,680</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117,451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229,605</w:t>
            </w: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20" w:type="dxa"/>
            <w:vAlign w:val="bottom"/>
          </w:tcPr>
          <w:p>
            <w:pPr>
              <w:spacing w:after="0"/>
              <w:rPr>
                <w:sz w:val="16"/>
                <w:szCs w:val="16"/>
                <w:color w:val="auto"/>
              </w:rPr>
            </w:pPr>
          </w:p>
        </w:tc>
      </w:tr>
      <w:tr>
        <w:trPr>
          <w:trHeight w:val="245"/>
        </w:trPr>
        <w:tc>
          <w:tcPr>
            <w:tcW w:w="6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1"/>
                <w:szCs w:val="2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177,614</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120,628</w:t>
            </w: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72,185</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r>
      <w:tr>
        <w:trPr>
          <w:trHeight w:val="223"/>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410,757</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380,808</w:t>
            </w:r>
          </w:p>
        </w:tc>
      </w:tr>
      <w:tr>
        <w:trPr>
          <w:trHeight w:val="21"/>
        </w:trPr>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or a nonrecurring basis, at April 28, 2013 or October 28, 2012.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financing loan with a customer is a Level 2 measurement that approximates its carrying value due to its short-term maturity.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fair and carrying values of the Company's convertible senior notes at April 28, 2013 and October 28,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April 28, 2013</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October 28, 2012</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125,247</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110,239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5.5% convertible senior notes</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35,288</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27,755</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SUBSIDIARY SHARE REPURCHASE AND TENDER OFFER</w:t>
      </w:r>
    </w:p>
    <w:p>
      <w:pPr>
        <w:spacing w:after="0" w:line="256"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quarter of fiscal 2013. During the six month period ended April 28, 2013, PSMC purchased 9.2 million shares at a cost of $4.2 million. PSMC did not purchase any shares during the three month period ended April 28, 2013. PSMC purchased 15.7 million shares at a cost of $6.7 million and 18.0 million shares at a cost of $7.6 million during the three and six month periods ended April 29, 2012, respectively. These repurchase programs increased the Company's ownership in PSMC to 66.81% at April 29, 2012, 72.09% at October 28, 2012, and 75.11% at January 27, 2013.</w:t>
      </w:r>
    </w:p>
    <w:p>
      <w:pPr>
        <w:spacing w:after="0" w:line="215"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In April 2013 PSMC obtained approval from Taiwan's GreTai Securities Market ("GTSM") to delist its stock from the GTSM. On April 30, 2013, the Company commenced a tender offer, which is expected to conclude on June 18, 2013, to acquire the outstanding shares of PSMC that it does not currently own at NTD16.30 per share. The Company expects, upon completion of the tender offer, to acquire the tendered shares at an estimated cost of up to approximately $30 million, should substantially all of the remaining outstanding shares be tendered.</w:t>
      </w:r>
    </w:p>
    <w:p>
      <w:pPr>
        <w:spacing w:after="0" w:line="20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effect of the change in the Company’s ownership interest in PSMC on the Company's equity for the three and six month periods ended April 28, 2013 (9.2 million shares of common stock of PSMC repurchased) and April 29, 2012 (15.7 million shares and 18.0 million of PSMC stock repurchased, respectively). There were no shares of common stock of PSMC repurchased during the three month period ended April 28,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Photronics, Inc.'s additional paid-in capital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accumulated other comprehensive income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Change from net income attributable to Photronics, Inc. shareholders and transfer</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noncontrolling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April 28, 2013, the Company had commitments outstanding for capital expenditures of approximately $58 million. See Note 14 for discussion of the Company’s tender offer to acquire the outstanding shares of PSMC.</w:t>
      </w:r>
    </w:p>
    <w:p>
      <w:pPr>
        <w:spacing w:after="0" w:line="18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RECENT ACCOUNTING PRONOUNCEMENTS</w:t>
      </w:r>
    </w:p>
    <w:p>
      <w:pPr>
        <w:spacing w:after="0" w:line="2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February 2013 the Financial Accounting Standards Board issued Accounting Standards Update (ASU) No. 2013-02, “Reporting Amounts Reclassified Out of Other Comprehensive Income”. The amendments included in ASU No. 2013-02 require an entity to provide information about the amounts reclassified out of accumulated other comprehensive income by component, and present changes in accumulated balances for each component of comprehensive income on an interim basis. The Company adopted the provisions of ASU No. 2013-02 in the three month period ended April 28, 2013, as disclosed in Note 11.</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2012 year), that may cause actual results to materially differ from these expectations.</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2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global semiconductor industry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April 28, 2013 and April 29, 2012</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1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8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1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restructuring and 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income tax provision</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Note: All of the following tabular comparisons, unless otherwise indicated, are for the three months ended April 28, 2013 (Q2-13) and April 29, 2012 (Q2-12) and for the six months ended April 28, 2013 (YTD-13) and April 29, 2012 (YTD-12), in millions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Q2-12</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YTD-12</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4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4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Net sales for Q2-13 decreased 9.2% to $106.7 million as compared to $117.5 million for Q2-12. The decrease was primarily a result of general softness within the semiconductor industry compared to Q2-12. Revenues attributable to high-end products decreased by $10.7 million to $39.9 million in Q2-13 as compared to $50.6 million in Q2-12. High-end photomask applications include mask sets for 45 nanometer and below for IC products, and G8 and above and active matrix organic light-emitting diode (AMOLED) display screen technologies for FPD products. By geographic area, net sales in Q2-13 as compared to Q2-12 decreased by $9.2 million or 22.1% in Korea, $0.1 million or 0.2% in the United States, $0.3 million or 0.9% in Taiwan, $1.0 million or 9.6% in Europe and $0.2 million at other international locations.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sales for YTD-13 decreased 10.1% to $206.5 million as compared to $229.6 million for YTD-12. The decrease was primarily a result of general softness within the semiconductor industry compared to YTD-12. Revenues attributable to high-end products decreased by $18.3 million to $75.1 million in YTD-13 as compared to $93.4 million in YTD-12. 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Q2-13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Q2-12</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YTD-12</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24.8</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 $</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55.3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0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24.1%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Gross margin percentage decreased to 23.2% in Q2-13 from 25.4% in Q2-12 and decreased to 22.2% in YTD-13 from 24.1% in YTD-12. These decreases were a result of decreased sales in Q2-13 as compared to Q2-12 and for the first six months of 2013 as compared to the same period in FY2012. The Company operates in a high fixed cost environment and, to the extent that the Company's revenues and utilization increase or decrease, gross margin will generally be positively or negatively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Q2-13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Q2-12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YTD-12</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12.2</w:t>
            </w:r>
          </w:p>
        </w:tc>
        <w:tc>
          <w:tcPr>
            <w:tcW w:w="10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11.4%</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$12.2 million in Q2-13 and Q2-12, and were $23.2 million in YTD-13, down slightly from $23.5 million in YTD-12 due to reduced selling-related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Q2-13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Q2-12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YTD-12</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4.6</w:t>
            </w:r>
          </w:p>
        </w:tc>
        <w:tc>
          <w:tcPr>
            <w:tcW w:w="11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9.4</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4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$0.2 million to $4.6 million in Q2-13, as compared to $4.4 million in Q2-12, and by $0.5 million to $9.4 million in YTD-13, as compared to $8.9 million in YTD-12. The increase in research and development expenses in Q2-13 and YTD-13 as compared to the same periods in the prior year was primarily due to increased activities at advanced technology nodes for IC photomasks.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9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Restructuring and Related Charges</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Q2-13</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Q2-12</w:t>
            </w: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terminations and other</w:t>
            </w:r>
          </w:p>
        </w:tc>
        <w:tc>
          <w:tcPr>
            <w:tcW w:w="2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write-downs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consolidation, restructuring and related charges</w:t>
            </w:r>
          </w:p>
        </w:tc>
        <w:tc>
          <w:tcPr>
            <w:tcW w:w="2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2012 the Company ceased the manufacture of photomasks at its Singapore facility and, in connection therewith, recorded charges of $0.1 million and $1.2 million during the three and six month periods ended April 29, 2012. This restructuring, which was comprised primarily of employee termination costs, was substantially completed in fiscal 2012 at a total cost of $1.4 million.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Q2-13</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Q2-12</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slightly in Q2-13 as compared to Q2-12 and in YTD-13 as compared to YTD-12, primarily as a result of the term loan entered into in the second quarter of fiscal year 2012.</w:t>
      </w:r>
    </w:p>
    <w:p>
      <w:pPr>
        <w:spacing w:after="0" w:line="18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increased in Q2-13 as compared to Q2-12 by $0.2 million, and in YTD-13 as compared to YTD-12 by $0.1 million as a result of higher foreign currency exchange gains.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Q2-13</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Q2-12</w:t>
            </w:r>
          </w:p>
        </w:tc>
        <w:tc>
          <w:tcPr>
            <w:tcW w:w="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YTD-13</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6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24.1%</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increased in Q2-13 as compared to Q2-12, and in YTD-13 as compared to YTD-12, primarily due to higher income tax provisions recorded in jurisdictions in which the Company generated income before income taxes which, due to valuation allowances, were not significantly offset by income tax benefits recorded in jurisdictions in which the Company incurred losses before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decreased $0.1 million to $0.6 million in Q2-13, as compared to $0.7 million in Q2-12, and $0.2 million to $1.1 million in YTD-13 , as compared to $1.3 million in YTD-12, primarily as a result of share repurchase programs at PSMC, the Company's non-wholly owned subsidiary in Taiwan. As a result of these programs, the Company’s ownership percentage in PSMC at the end of Q2-13 had increased to 75.11% from 66.81% at the end of Q2-12. The Company’s ownership percentage in its subsidiary in Korea was 99.7% in Q2-13 and Q2-12.</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working capital was $207.0 million at April 28, 2013, and $234.3 million at October 28, 2012. The decrease in working capital was primarily the result of increased accounts payable related to capital equipment. Cash and cash equivalents were approximately $211 million at April 28, 2013 and $218 million at October 28, 2012. The decrease in cash and cash equivalents was primarily the result of capital expenditure payments. Net cash provided by operating activities was $35.9 million for the six month period ended April 28, 2013, a decrease from $62.4 million for the six month period ended April 29, 2012, primarily as a result of decreased net income and increased accounts receivable and inventory balances during the period. Net cash used in investing activities for the six month period ended April 28, 2013, was $34.7 million, which was comprised primarily of capital expenditure payments. Net cash used in financing activities of $7.0 million for the six month period ended April 28, 2013, was primarily comprised of payments to repurchase the common stock of a subsidiary and repayments of long-term borrowings. The Company may use its cash available on hand for operations, capital expenditures, debt repayments, strategic opportunities, stock repurchases or other corporate uses, any of which may be material.</w:t>
      </w:r>
    </w:p>
    <w:p>
      <w:pPr>
        <w:spacing w:after="0" w:line="21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credit facility bears interest (2.5% at April 28,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April 28, 2013, the Company was in compliance with the covenants of its credit facility, had no outstanding borrowings under the credit facility and $30 million was available for borrowing.</w:t>
      </w:r>
    </w:p>
    <w:p>
      <w:pPr>
        <w:spacing w:after="0" w:line="21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February 2013 the Company entered into a five year capital lease to fund the purchase of a high-end lithography tool. The principal amount of the lease, which is currently estimated to be approximately $27 million, will be determined by the Japanese yen exchange rate to the U.S. dollar as progress payments are made on the tool. The interest rate will be fixed, based on the five year interest rate swap plus a spread, upon acceptance of the tool which is expected to occur in the fourth quarter of fiscal year 2013. Progress payments totaling $6.9 million have been made by the lessor through April 28, 2013, and are included in the Company’s long-term borrowings amount as of that date.</w:t>
      </w:r>
    </w:p>
    <w:p>
      <w:pPr>
        <w:spacing w:after="0" w:line="211"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quarter of fiscal 2013. During the six month period ended April 28, 2013, PSMC purchased 9.2 million shares at a cost of $4.2 million. PSMC did not purchase any shares during the three month period ended April 28, 2013. PSMC purchased 15.7 million shares at a cost of $6.7 million and 18.0 million shares at a cost of $7.6 million during the three and six month periods ended April 29, 2012, respectively. These repurchase programs increased the Company's ownership in PSMC to 66.81% at April 29, 2012, 72.09% at October 28, 2012, and 75.11% at January 27, 2013.</w:t>
      </w:r>
    </w:p>
    <w:p>
      <w:pPr>
        <w:spacing w:after="0" w:line="215"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April 2013 PSMC obtained approval from Taiwan's GreTai Securities Market ("GTSM") to delist its stock from the GTSM. On April 30, 2013, the Company commenced a tender offer, which is expected to conclude on June 18, 2013, to acquire the outstanding shares of PSMC that it does not currently own at NTD16.30 per share. The Company expects, upon completion of the tender offer, to acquire the tendered shares at an estimated cost of up to approximately $30 million, should substantially all of the remaining outstanding shares be tendered.</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April 28, 2013, the Company had capital commitments outstanding of approximately $58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11"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April 28, 2013, the Company has made additional contributions of $32.5 million to the joint venture, and has received distributions from the joint venture totaling $10.0 million.</w:t>
      </w:r>
    </w:p>
    <w:p>
      <w:pPr>
        <w:spacing w:after="0" w:line="20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5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The Company's Korean and Taiwanese operations are non-wholly owned subsidiaries and, therefore, a portion of earnings generated at each of these locations is allocated to noncontrolling interests.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Business Assessments</w:t>
      </w:r>
    </w:p>
    <w:p>
      <w:pPr>
        <w:spacing w:after="0" w:line="2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continues to assess its global manufacturing strategy and monitor its market capitalization, sales volume and cash flows from operations. This ongoing assessment could result in future facility closures, asset redeployments, impairments of intangible or long-lived assets, workforce reductions, or the addition of increased manufacturing facilities as well as acquisitions, divestitures and joint ventures, any of which could be material. The undertaking of such transactions would be based on business and capital market conditions, financial impact, customer requirements, and business opportunities and needs, regulatory conditions and other relevant factors.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5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See Note 16 to the condensed consolidated financial statements for discussion of ASU No. 2013-02 adopted by the Company in the three month period ended April 28, 2013. There have been no other recent accounting pronouncements whose adoption would affect the Company’s condensed consolidated financial statements or related disclosures.</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several major international currencies through its worldwide operations and its financial position, financial performance and cash flows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primary net foreign currency exposures as of April 28, 2013, included the Korean won, the Japanese yen, the New Taiwan dollar, the Singapore dollar, the British pound, and the euro. As of April 28, 2013, a 10% adverse movement in the value of these currencies against the U.S. dollar would have resulted in a net unrealized pre-tax loss of $2.0 million. The Company does not believe that a 10% change in the exchange rates of other non-U.S. dollar currencies would have a material effect on its consolidated financial position, results of operations, or cash flows.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April 28, 2013, the Company had $22.5 million in variable rate borrowings. A 10% change in interest rates would not have had a material effect on the Company's consolidated financial position, results of operations, or cash flows in the three and six month periods ended April 28, 2013.</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during the Company's second quarter of fiscal 2013 that has materially affected, or is reasonably likely to materially affect, the Company's internal control over financial reporting.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the Company's business as disclosed in Part 1, Item 1A of the Company's Form 10-K for the year ended October 28, 2012</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4"/>
                <w:szCs w:val="24"/>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20" w:type="dxa"/>
            <w:vAlign w:val="bottom"/>
            <w:vMerge w:val="restart"/>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5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5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65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65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65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65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8180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1"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Sean T. Smith</w:t>
      </w:r>
    </w:p>
    <w:p>
      <w:pPr>
        <w:spacing w:after="0" w:line="23"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(Duly Authorized Officer and Principal</w:t>
      </w:r>
    </w:p>
    <w:p>
      <w:pPr>
        <w:spacing w:after="0" w:line="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240" w:top="115"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Constantine S. Macricostas,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Constantine S. Macricostas, Chief Executive Officer of Photronics, Inc. (the "Company"), certify, to my knowledge,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34" w:lineRule="exact"/>
        <w:rPr>
          <w:sz w:val="20"/>
          <w:szCs w:val="20"/>
          <w:color w:val="auto"/>
        </w:rPr>
      </w:pPr>
    </w:p>
    <w:p>
      <w:pPr>
        <w:ind w:left="1300" w:right="780" w:hanging="1292"/>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April 28, 2013,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300" w:right="400" w:hanging="1292"/>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Sean T. Smith,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1300" w:right="780" w:hanging="1292"/>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April 28, 2013,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300" w:right="400" w:hanging="1292"/>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27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2019-12-06T00:20:12Z</dcterms:created>
  <dcterms:modified xsi:type="dcterms:W3CDTF">2019-12-06T00:20:12Z</dcterms:modified>
</cp:coreProperties>
</file>