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3900" w:right="1720" w:hanging="3892"/>
        <w:spacing w:after="0" w:line="277" w:lineRule="auto"/>
        <w:tabs>
          <w:tab w:leader="none" w:pos="815" w:val="left"/>
        </w:tabs>
        <w:numPr>
          <w:ilvl w:val="0"/>
          <w:numId w:val="1"/>
        </w:numPr>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January 28, 2018</w:t>
      </w:r>
    </w:p>
    <w:p>
      <w:pPr>
        <w:spacing w:after="0" w:line="170" w:lineRule="exact"/>
        <w:rPr>
          <w:sz w:val="24"/>
          <w:szCs w:val="24"/>
          <w:color w:val="auto"/>
        </w:rPr>
      </w:pPr>
    </w:p>
    <w:p>
      <w:pPr>
        <w:ind w:left="4180" w:right="1700" w:hanging="4172"/>
        <w:spacing w:after="0" w:line="532" w:lineRule="auto"/>
        <w:tabs>
          <w:tab w:leader="none" w:pos="812" w:val="left"/>
        </w:tabs>
        <w:numPr>
          <w:ilvl w:val="0"/>
          <w:numId w:val="2"/>
        </w:numPr>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169545</wp:posOffset>
            </wp:positionV>
            <wp:extent cx="531495"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06-0854886</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40" w:type="dxa"/>
            <w:vAlign w:val="bottom"/>
          </w:tcPr>
          <w:p>
            <w:pPr>
              <w:jc w:val="center"/>
              <w:ind w:left="11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87"/>
              </w:rPr>
              <w:t>06804</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40" w:type="dxa"/>
            <w:vAlign w:val="bottom"/>
          </w:tcPr>
          <w:p>
            <w:pPr>
              <w:jc w:val="center"/>
              <w:ind w:left="113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5580" w:type="dxa"/>
            <w:vAlign w:val="bottom"/>
          </w:tcPr>
          <w:p>
            <w:pPr>
              <w:jc w:val="center"/>
              <w:ind w:right="111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0"/>
              </w:rPr>
              <w:t>(203) 775-9000</w:t>
            </w:r>
          </w:p>
        </w:tc>
      </w:tr>
    </w:tbl>
    <w:p>
      <w:pPr>
        <w:spacing w:after="0" w:line="229"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6"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69,878,876 shares of common stock outstanding as of March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the "Company”, “we”, “our”, or “us”). These statements are based on management's beliefs, as well as assumptions made by, and information currently available to, management. Forward-looking statements may be identified by words like "expect," "anticipate," "believe," "plan," "project," “could,” “should,” “estimate,” “intend,” “may,”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joint ventures, business combinations, divestitures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the timing of orders received from customers; the gain or loss of significant customers; competition from other manufacturers; changes in accounting standards; federal, state and international tax requirements (including tax rate changes, new tax laws and revised tax law interpretations); changes in the jurisdictional mix of our earnings and changes in tax laws and rates; interest rate and other capital market conditions, including changes in the market price of the Company's securities; foreign currency exchange rate fluctuations; changes in technology; technology or intellectual property infringement, including cyber-security breaches, and other innovation risks; unsuccessful or unproductive research and development or capital expenditures; the timing, impact, and other uncertainties related to transactions and acquisitions, divestitures, business combinations, and joint ventures as well as decisions the Company may make in the future regarding the Company’s business, capital and organizational structures and other matters; the seasonal and cyclical nature of the semiconductor and flat panel display industries; management changes; changes in laws and government regulation impacting our operations or our products; the occurrence of regulatory or legal violations, proceedings, claims or litigation; customer complaints or disputes;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any forward-looking statements and does not assume an obligation to provide revisions to such forward-looking statements, except as otherwise required by securities and other applicable laws.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360" w:type="dxa"/>
            <w:vAlign w:val="bottom"/>
            <w:gridSpan w:val="8"/>
          </w:tcPr>
          <w:p>
            <w:pPr>
              <w:jc w:val="center"/>
              <w:ind w:right="2880"/>
              <w:spacing w:after="0"/>
              <w:rPr>
                <w:sz w:val="20"/>
                <w:szCs w:val="20"/>
                <w:color w:val="auto"/>
              </w:rPr>
            </w:pPr>
            <w:r>
              <w:rPr>
                <w:rFonts w:ascii="Arial" w:cs="Arial" w:eastAsia="Arial" w:hAnsi="Arial"/>
                <w:sz w:val="18"/>
                <w:szCs w:val="18"/>
                <w:b w:val="1"/>
                <w:bCs w:val="1"/>
                <w:color w:val="auto"/>
              </w:rPr>
              <w:t>PHOTRONICS, INC.</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780" w:type="dxa"/>
            <w:vAlign w:val="bottom"/>
            <w:gridSpan w:val="7"/>
          </w:tcPr>
          <w:p>
            <w:pPr>
              <w:jc w:val="center"/>
              <w:ind w:right="4480"/>
              <w:spacing w:after="0"/>
              <w:rPr>
                <w:sz w:val="20"/>
                <w:szCs w:val="20"/>
                <w:color w:val="auto"/>
              </w:rPr>
            </w:pPr>
            <w:r>
              <w:rPr>
                <w:rFonts w:ascii="Arial" w:cs="Arial" w:eastAsia="Arial" w:hAnsi="Arial"/>
                <w:sz w:val="18"/>
                <w:szCs w:val="18"/>
                <w:b w:val="1"/>
                <w:bCs w:val="1"/>
                <w:color w:val="auto"/>
              </w:rPr>
              <w:t>INDEX</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140" w:type="dxa"/>
            <w:vAlign w:val="bottom"/>
            <w:gridSpan w:val="12"/>
          </w:tcPr>
          <w:p>
            <w:pPr>
              <w:spacing w:after="0"/>
              <w:rPr>
                <w:sz w:val="20"/>
                <w:szCs w:val="20"/>
                <w:color w:val="auto"/>
              </w:rPr>
            </w:pPr>
            <w:r>
              <w:rPr>
                <w:rFonts w:ascii="Arial" w:cs="Arial" w:eastAsia="Arial" w:hAnsi="Arial"/>
                <w:sz w:val="18"/>
                <w:szCs w:val="18"/>
                <w:b w:val="1"/>
                <w:bCs w:val="1"/>
                <w:color w:val="auto"/>
              </w:rPr>
              <w:t>FINANCIAL INFORMATION</w:t>
            </w: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40" w:type="dxa"/>
            <w:vAlign w:val="bottom"/>
            <w:gridSpan w:val="1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9140" w:type="dxa"/>
            <w:vAlign w:val="bottom"/>
            <w:gridSpan w:val="1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January 28, 2018 and October 29, 2017</w:t>
              </w:r>
            </w:hyperlink>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9140" w:type="dxa"/>
            <w:vAlign w:val="bottom"/>
            <w:gridSpan w:val="12"/>
            <w:shd w:val="clear" w:color="auto" w:fill="CCEEFF"/>
          </w:tcPr>
          <w:p>
            <w:pPr>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Income for the Three Months Ended January 28, 2018 and January 29, 2017</w:t>
              </w:r>
            </w:hyperlink>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9720" w:type="dxa"/>
            <w:vAlign w:val="bottom"/>
            <w:gridSpan w:val="13"/>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Comprehensive Income for the Three Months Ended January 28, 2018 and January 29,</w:t>
              </w:r>
            </w:hyperlink>
            <w:r>
              <w:rPr>
                <w:rFonts w:ascii="Arial" w:cs="Arial" w:eastAsia="Arial" w:hAnsi="Arial"/>
                <w:sz w:val="18"/>
                <w:szCs w:val="18"/>
                <w:color w:val="000000"/>
                <w:w w:val="94"/>
              </w:rPr>
              <w:t>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2017</w:t>
              </w:r>
            </w:hyperlink>
          </w:p>
        </w:tc>
        <w:tc>
          <w:tcPr>
            <w:tcW w:w="32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0000EE"/>
            </w:tcBorders>
            <w:shd w:val="clear" w:color="auto" w:fill="CCEEFF"/>
          </w:tcPr>
          <w:p>
            <w:pPr>
              <w:spacing w:after="0"/>
              <w:rPr>
                <w:sz w:val="18"/>
                <w:szCs w:val="18"/>
                <w:color w:val="auto"/>
              </w:rPr>
            </w:pPr>
          </w:p>
        </w:tc>
        <w:tc>
          <w:tcPr>
            <w:tcW w:w="1580" w:type="dxa"/>
            <w:vAlign w:val="bottom"/>
            <w:tcBorders>
              <w:top w:val="single" w:sz="8" w:color="0000EE"/>
            </w:tcBorders>
            <w:shd w:val="clear" w:color="auto" w:fill="CCEEFF"/>
          </w:tcPr>
          <w:p>
            <w:pPr>
              <w:spacing w:after="0"/>
              <w:rPr>
                <w:sz w:val="18"/>
                <w:szCs w:val="18"/>
                <w:color w:val="auto"/>
              </w:rPr>
            </w:pPr>
          </w:p>
        </w:tc>
        <w:tc>
          <w:tcPr>
            <w:tcW w:w="6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168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190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9140" w:type="dxa"/>
            <w:vAlign w:val="bottom"/>
            <w:gridSpan w:val="12"/>
            <w:shd w:val="clear" w:color="auto" w:fill="CCEEFF"/>
          </w:tcPr>
          <w:p>
            <w:pPr>
              <w:spacing w:after="0" w:line="17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Cash Flows for the Three Months Ended January 28, 2018 and January 29, 2017</w:t>
              </w:r>
            </w:hyperlink>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9140" w:type="dxa"/>
            <w:vAlign w:val="bottom"/>
            <w:gridSpan w:val="12"/>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40" w:type="dxa"/>
            <w:vAlign w:val="bottom"/>
            <w:gridSpan w:val="12"/>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40" w:type="dxa"/>
            <w:vAlign w:val="bottom"/>
            <w:gridSpan w:val="1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40" w:type="dxa"/>
            <w:vAlign w:val="bottom"/>
            <w:gridSpan w:val="12"/>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140" w:type="dxa"/>
            <w:vAlign w:val="bottom"/>
            <w:gridSpan w:val="12"/>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40" w:type="dxa"/>
            <w:vAlign w:val="bottom"/>
            <w:gridSpan w:val="1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40" w:type="dxa"/>
            <w:vAlign w:val="bottom"/>
            <w:gridSpan w:val="1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720" w:type="dxa"/>
            <w:vAlign w:val="bottom"/>
            <w:tcBorders>
              <w:top w:val="single" w:sz="8" w:color="CCEEFF"/>
            </w:tcBorders>
            <w:gridSpan w:val="5"/>
          </w:tcPr>
          <w:p>
            <w:pPr>
              <w:jc w:val="center"/>
              <w:ind w:left="3028"/>
              <w:spacing w:after="0"/>
              <w:rPr>
                <w:sz w:val="20"/>
                <w:szCs w:val="20"/>
                <w:color w:val="auto"/>
              </w:rPr>
            </w:pPr>
            <w:r>
              <w:rPr>
                <w:rFonts w:ascii="Arial" w:cs="Arial" w:eastAsia="Arial" w:hAnsi="Arial"/>
                <w:sz w:val="14"/>
                <w:szCs w:val="14"/>
                <w:color w:val="auto"/>
                <w:w w:val="76"/>
              </w:rPr>
              <w:t>3</w:t>
            </w:r>
          </w:p>
        </w:tc>
        <w:tc>
          <w:tcPr>
            <w:tcW w:w="16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8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8000" w:type="dxa"/>
            <w:vAlign w:val="bottom"/>
          </w:tcPr>
          <w:p>
            <w:pPr>
              <w:ind w:left="160"/>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8000" w:type="dxa"/>
            <w:vAlign w:val="bottom"/>
          </w:tcPr>
          <w:p>
            <w:pPr>
              <w:ind w:left="80"/>
              <w:spacing w:after="0"/>
              <w:rPr>
                <w:sz w:val="20"/>
                <w:szCs w:val="20"/>
                <w:color w:val="auto"/>
              </w:rPr>
            </w:pPr>
            <w:r>
              <w:rPr>
                <w:rFonts w:ascii="Arial" w:cs="Arial" w:eastAsia="Arial" w:hAnsi="Arial"/>
                <w:sz w:val="18"/>
                <w:szCs w:val="18"/>
                <w:b w:val="1"/>
                <w:bCs w:val="1"/>
                <w:color w:val="auto"/>
              </w:rPr>
              <w:t>CONDENSED 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0" w:type="dxa"/>
            <w:vAlign w:val="bottom"/>
          </w:tcPr>
          <w:p>
            <w:pPr>
              <w:jc w:val="center"/>
              <w:ind w:left="1870"/>
              <w:spacing w:after="0"/>
              <w:rPr>
                <w:sz w:val="20"/>
                <w:szCs w:val="20"/>
                <w:color w:val="auto"/>
              </w:rPr>
            </w:pPr>
            <w:r>
              <w:rPr>
                <w:rFonts w:ascii="Arial" w:cs="Arial" w:eastAsia="Arial" w:hAnsi="Arial"/>
                <w:sz w:val="18"/>
                <w:szCs w:val="18"/>
                <w:b w:val="1"/>
                <w:bCs w:val="1"/>
                <w:color w:val="auto"/>
              </w:rPr>
              <w:t>PHOTRONICS,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0" w:type="dxa"/>
            <w:vAlign w:val="bottom"/>
          </w:tcPr>
          <w:p>
            <w:pPr>
              <w:jc w:val="center"/>
              <w:ind w:left="18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0" w:type="dxa"/>
            <w:vAlign w:val="bottom"/>
          </w:tcPr>
          <w:p>
            <w:pPr>
              <w:jc w:val="center"/>
              <w:ind w:left="185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0" w:type="dxa"/>
            <w:vAlign w:val="bottom"/>
          </w:tcPr>
          <w:p>
            <w:pPr>
              <w:jc w:val="center"/>
              <w:ind w:left="1850"/>
              <w:spacing w:after="0"/>
              <w:rPr>
                <w:sz w:val="20"/>
                <w:szCs w:val="20"/>
                <w:color w:val="auto"/>
              </w:rPr>
            </w:pPr>
            <w:r>
              <w:rPr>
                <w:rFonts w:ascii="Arial" w:cs="Arial" w:eastAsia="Arial" w:hAnsi="Arial"/>
                <w:sz w:val="18"/>
                <w:szCs w:val="18"/>
                <w:b w:val="1"/>
                <w:bCs w:val="1"/>
                <w:i w:val="1"/>
                <w:iCs w:val="1"/>
                <w:color w:val="auto"/>
                <w:w w:val="87"/>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January 28,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w w:val="99"/>
              </w:rPr>
              <w:t>ASSETS</w:t>
            </w:r>
          </w:p>
        </w:tc>
        <w:tc>
          <w:tcPr>
            <w:tcW w:w="8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4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348,560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 of allowance of $2,422 in 2018 and $2,319 in 2017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104,638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492,357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449,124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548,307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535,197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1,081,456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1,020,794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long-term borrowings</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3,259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81,776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Long-term borrowings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8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$0.01 par value, 150,000 shares authorized, 68,869 shares issued and outstanding at January 28, 2018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and 68,666 shares issued and outstanding at October 29, 2017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549,328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547,596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Total Photronics, Inc. shareholders'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777,433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744,564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141,014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918,447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1,081,456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1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60" w:type="dxa"/>
            <w:vAlign w:val="bottom"/>
          </w:tcPr>
          <w:p>
            <w:pPr>
              <w:jc w:val="center"/>
              <w:ind w:left="2850"/>
              <w:spacing w:after="0"/>
              <w:rPr>
                <w:sz w:val="20"/>
                <w:szCs w:val="20"/>
                <w:color w:val="auto"/>
              </w:rPr>
            </w:pPr>
            <w:r>
              <w:rPr>
                <w:rFonts w:ascii="Arial" w:cs="Arial" w:eastAsia="Arial" w:hAnsi="Arial"/>
                <w:sz w:val="18"/>
                <w:szCs w:val="18"/>
                <w:b w:val="1"/>
                <w:bCs w:val="1"/>
                <w:color w:val="auto"/>
              </w:rPr>
              <w:t>PHOTRONICS, INC.</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60" w:type="dxa"/>
            <w:vAlign w:val="bottom"/>
          </w:tcPr>
          <w:p>
            <w:pPr>
              <w:jc w:val="center"/>
              <w:ind w:left="2830"/>
              <w:spacing w:after="0"/>
              <w:rPr>
                <w:sz w:val="20"/>
                <w:szCs w:val="20"/>
                <w:color w:val="auto"/>
              </w:rPr>
            </w:pPr>
            <w:r>
              <w:rPr>
                <w:rFonts w:ascii="Arial" w:cs="Arial" w:eastAsia="Arial" w:hAnsi="Arial"/>
                <w:sz w:val="18"/>
                <w:szCs w:val="18"/>
                <w:b w:val="1"/>
                <w:bCs w:val="1"/>
                <w:color w:val="auto"/>
                <w:w w:val="88"/>
              </w:rPr>
              <w:t>Condensed Consolidated Statements of Income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60" w:type="dxa"/>
            <w:vAlign w:val="bottom"/>
          </w:tcPr>
          <w:p>
            <w:pPr>
              <w:jc w:val="center"/>
              <w:ind w:left="283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60" w:type="dxa"/>
            <w:vAlign w:val="bottom"/>
          </w:tcPr>
          <w:p>
            <w:pPr>
              <w:jc w:val="center"/>
              <w:ind w:left="2830"/>
              <w:spacing w:after="0"/>
              <w:rPr>
                <w:sz w:val="20"/>
                <w:szCs w:val="20"/>
                <w:color w:val="auto"/>
              </w:rPr>
            </w:pPr>
            <w:r>
              <w:rPr>
                <w:rFonts w:ascii="Arial" w:cs="Arial" w:eastAsia="Arial" w:hAnsi="Arial"/>
                <w:sz w:val="18"/>
                <w:szCs w:val="18"/>
                <w:b w:val="1"/>
                <w:bCs w:val="1"/>
                <w:i w:val="1"/>
                <w:iCs w:val="1"/>
                <w:color w:val="auto"/>
                <w:w w:val="87"/>
              </w:rPr>
              <w:t>(unaudited)</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January 28,</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123,446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(95,784)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160"/>
              <w:spacing w:after="0"/>
              <w:rPr>
                <w:sz w:val="20"/>
                <w:szCs w:val="20"/>
                <w:color w:val="auto"/>
              </w:rPr>
            </w:pPr>
            <w:r>
              <w:rPr>
                <w:rFonts w:ascii="Arial" w:cs="Arial" w:eastAsia="Arial" w:hAnsi="Arial"/>
                <w:sz w:val="18"/>
                <w:szCs w:val="18"/>
                <w:color w:val="auto"/>
              </w:rPr>
              <w:t>Interest income and other income (expense)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68,755</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69,372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4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160" w:type="dxa"/>
            <w:vAlign w:val="bottom"/>
          </w:tcPr>
          <w:p>
            <w:pPr>
              <w:jc w:val="center"/>
              <w:ind w:left="2550"/>
              <w:spacing w:after="0"/>
              <w:rPr>
                <w:sz w:val="20"/>
                <w:szCs w:val="20"/>
                <w:color w:val="auto"/>
              </w:rPr>
            </w:pPr>
            <w:r>
              <w:rPr>
                <w:rFonts w:ascii="Arial" w:cs="Arial" w:eastAsia="Arial" w:hAnsi="Arial"/>
                <w:sz w:val="18"/>
                <w:szCs w:val="18"/>
                <w:b w:val="1"/>
                <w:bCs w:val="1"/>
                <w:color w:val="auto"/>
              </w:rPr>
              <w:t>PHOTRONICS, INC.</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160" w:type="dxa"/>
            <w:vAlign w:val="bottom"/>
          </w:tcPr>
          <w:p>
            <w:pPr>
              <w:jc w:val="center"/>
              <w:ind w:left="2530"/>
              <w:spacing w:after="0"/>
              <w:rPr>
                <w:sz w:val="20"/>
                <w:szCs w:val="20"/>
                <w:color w:val="auto"/>
              </w:rPr>
            </w:pPr>
            <w:r>
              <w:rPr>
                <w:rFonts w:ascii="Arial" w:cs="Arial" w:eastAsia="Arial" w:hAnsi="Arial"/>
                <w:sz w:val="18"/>
                <w:szCs w:val="18"/>
                <w:b w:val="1"/>
                <w:bCs w:val="1"/>
                <w:color w:val="auto"/>
                <w:w w:val="88"/>
              </w:rPr>
              <w:t>Condensed Consolidated Statements of Comprehensive Income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60" w:type="dxa"/>
            <w:vAlign w:val="bottom"/>
          </w:tcPr>
          <w:p>
            <w:pPr>
              <w:jc w:val="center"/>
              <w:ind w:left="2550"/>
              <w:spacing w:after="0"/>
              <w:rPr>
                <w:sz w:val="20"/>
                <w:szCs w:val="20"/>
                <w:color w:val="auto"/>
              </w:rPr>
            </w:pPr>
            <w:r>
              <w:rPr>
                <w:rFonts w:ascii="Arial" w:cs="Arial" w:eastAsia="Arial" w:hAnsi="Arial"/>
                <w:sz w:val="18"/>
                <w:szCs w:val="18"/>
                <w:b w:val="1"/>
                <w:bCs w:val="1"/>
                <w:i w:val="1"/>
                <w:iCs w:val="1"/>
                <w:color w:val="auto"/>
                <w:w w:val="87"/>
              </w:rPr>
              <w:t>(in thousands)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60" w:type="dxa"/>
            <w:vAlign w:val="bottom"/>
          </w:tcPr>
          <w:p>
            <w:pPr>
              <w:jc w:val="center"/>
              <w:ind w:left="2530"/>
              <w:spacing w:after="0"/>
              <w:rPr>
                <w:sz w:val="20"/>
                <w:szCs w:val="20"/>
                <w:color w:val="auto"/>
              </w:rPr>
            </w:pPr>
            <w:r>
              <w:rPr>
                <w:rFonts w:ascii="Arial" w:cs="Arial" w:eastAsia="Arial" w:hAnsi="Arial"/>
                <w:sz w:val="18"/>
                <w:szCs w:val="18"/>
                <w:b w:val="1"/>
                <w:bCs w:val="1"/>
                <w:i w:val="1"/>
                <w:iCs w:val="1"/>
                <w:color w:val="auto"/>
                <w:w w:val="87"/>
              </w:rPr>
              <w:t>(unaudited)</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January 28,</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tax of $0: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cash flow hedge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other comprehensive income (loss )</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30,087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920" w:type="dxa"/>
            <w:vAlign w:val="bottom"/>
          </w:tcPr>
          <w:p>
            <w:pPr>
              <w:jc w:val="center"/>
              <w:ind w:left="2790"/>
              <w:spacing w:after="0"/>
              <w:rPr>
                <w:sz w:val="20"/>
                <w:szCs w:val="20"/>
                <w:color w:val="auto"/>
              </w:rPr>
            </w:pPr>
            <w:r>
              <w:rPr>
                <w:rFonts w:ascii="Arial" w:cs="Arial" w:eastAsia="Arial" w:hAnsi="Arial"/>
                <w:sz w:val="18"/>
                <w:szCs w:val="18"/>
                <w:b w:val="1"/>
                <w:bCs w:val="1"/>
                <w:color w:val="auto"/>
              </w:rPr>
              <w:t>PHOTRONICS, INC.</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jc w:val="center"/>
              <w:ind w:left="279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jc w:val="center"/>
              <w:ind w:left="2790"/>
              <w:spacing w:after="0"/>
              <w:rPr>
                <w:sz w:val="20"/>
                <w:szCs w:val="20"/>
                <w:color w:val="auto"/>
              </w:rPr>
            </w:pPr>
            <w:r>
              <w:rPr>
                <w:rFonts w:ascii="Arial" w:cs="Arial" w:eastAsia="Arial" w:hAnsi="Arial"/>
                <w:sz w:val="18"/>
                <w:szCs w:val="18"/>
                <w:b w:val="1"/>
                <w:bCs w:val="1"/>
                <w:i w:val="1"/>
                <w:iCs w:val="1"/>
                <w:color w:val="auto"/>
                <w:w w:val="87"/>
              </w:rPr>
              <w:t>(in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20" w:type="dxa"/>
            <w:vAlign w:val="bottom"/>
          </w:tcPr>
          <w:p>
            <w:pPr>
              <w:jc w:val="center"/>
              <w:ind w:left="2770"/>
              <w:spacing w:after="0"/>
              <w:rPr>
                <w:sz w:val="20"/>
                <w:szCs w:val="20"/>
                <w:color w:val="auto"/>
              </w:rPr>
            </w:pPr>
            <w:r>
              <w:rPr>
                <w:rFonts w:ascii="Arial" w:cs="Arial" w:eastAsia="Arial" w:hAnsi="Arial"/>
                <w:sz w:val="18"/>
                <w:szCs w:val="18"/>
                <w:b w:val="1"/>
                <w:bCs w:val="1"/>
                <w:i w:val="1"/>
                <w:iCs w:val="1"/>
                <w:color w:val="auto"/>
                <w:w w:val="87"/>
              </w:rPr>
              <w:t>(unaudited)</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90"/>
              </w:rPr>
              <w:t>January 28,</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Accounts payable, accrued liabilities, and other</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(3,721)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31,539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Acquisition of business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Repayments of long-term borrowings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Contribution from noncontrolling interest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Proceeds from share-based arrangements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348,560</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329,696</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Supplemental disclosure information: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1,544</w:t>
            </w:r>
          </w:p>
        </w:tc>
        <w:tc>
          <w:tcPr>
            <w:tcW w:w="14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445"/>
        </w:trPr>
        <w:tc>
          <w:tcPr>
            <w:tcW w:w="8240" w:type="dxa"/>
            <w:vAlign w:val="bottom"/>
            <w:gridSpan w:val="3"/>
          </w:tcPr>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January 28, 2018 and January 29,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Photronics, Inc. and its subsidiaries ("Photronics", "the Company", "we", “our”, or "us") is one of the world's leading manufacturers of photomasks, which are high precision photographic quartz or glass plates containing microscopic images of electronic circuits. Photomasks are a key element in the manufacture of semiconductors and flat panel displays ("FPDs"), and are used as masters to transfer circuit patterns onto semiconductor wafers and flat panel display substrates during the fabrication of integrated circuits ("ICs" or “semiconductors”) and a variety of FPDs and, to a lesser extent, other types of electrical and optical components. We currently operate principally from nine manufacturing facilities, two of which are located in Europe, three in Taiwan, one in Korea, and three in the United States. We have commenced construction of two manufacturing facilities in China and anticipate production to begin at these facilities in 2019.</w:t>
      </w:r>
    </w:p>
    <w:p>
      <w:pPr>
        <w:spacing w:after="0" w:line="21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adjustments, all of which are of a normal recurring nature, considered necessary for a fair presentation have been included. Our business is typically impacted during the first, and sometimes the second, quarter of our fiscal year by the North American, European, and Asian holiday periods, as some customers reduce their development and buying activities during those periods. Operating results for the interim period are not necessarily indicative of the results that may be expected for the fiscal year ending October 28, 2018. For further information, refer to the consolidated financial statements and notes thereto included in our Annual Report on Form 10-K for the year ended October 29,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CHANGES IN EQUITY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consolidated changes in equity for the three months ended January 28, 2018 and January 29,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8"/>
          </w:tcPr>
          <w:p>
            <w:pPr>
              <w:ind w:left="240"/>
              <w:spacing w:after="0"/>
              <w:rPr>
                <w:sz w:val="20"/>
                <w:szCs w:val="20"/>
                <w:color w:val="auto"/>
              </w:rPr>
            </w:pPr>
            <w:r>
              <w:rPr>
                <w:rFonts w:ascii="Arial" w:cs="Arial" w:eastAsia="Arial" w:hAnsi="Arial"/>
                <w:sz w:val="18"/>
                <w:szCs w:val="18"/>
                <w:b w:val="1"/>
                <w:bCs w:val="1"/>
                <w:color w:val="auto"/>
              </w:rPr>
              <w:t>Three Months Ended January 28, 2018</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w w:val="92"/>
              </w:rPr>
              <w:t>Photronics, Inc. Shareholders</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Retained</w:t>
            </w:r>
          </w:p>
        </w:tc>
        <w:tc>
          <w:tcPr>
            <w:tcW w:w="22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200" w:type="dxa"/>
            <w:vAlign w:val="bottom"/>
            <w:gridSpan w:val="2"/>
          </w:tcPr>
          <w:p>
            <w:pPr>
              <w:spacing w:after="0"/>
              <w:rPr>
                <w:sz w:val="24"/>
                <w:szCs w:val="24"/>
                <w:color w:val="auto"/>
              </w:rPr>
            </w:pPr>
          </w:p>
        </w:tc>
        <w:tc>
          <w:tcPr>
            <w:tcW w:w="104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October 30, 2017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547,596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189,390</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120,731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25,237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w w:val="93"/>
              </w:rPr>
              <w:t>Restricted stock awards vesting and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Share-based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Contribution from noncontrolling</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interest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11,850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Balance at January 28, 2018</w:t>
            </w:r>
          </w:p>
        </w:tc>
        <w:tc>
          <w:tcPr>
            <w:tcW w:w="1020" w:type="dxa"/>
            <w:vAlign w:val="bottom"/>
          </w:tcPr>
          <w:p>
            <w:pPr>
              <w:jc w:val="right"/>
              <w:spacing w:after="0"/>
              <w:rPr>
                <w:sz w:val="20"/>
                <w:szCs w:val="20"/>
                <w:color w:val="auto"/>
              </w:rPr>
            </w:pPr>
            <w:r>
              <w:rPr>
                <w:rFonts w:ascii="Arial" w:cs="Arial" w:eastAsia="Arial" w:hAnsi="Arial"/>
                <w:sz w:val="18"/>
                <w:szCs w:val="18"/>
                <w:color w:val="auto"/>
              </w:rPr>
              <w:t>68,869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549,328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195,288</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32,128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141,014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918,447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right="11"/>
              <w:spacing w:after="0"/>
              <w:rPr>
                <w:sz w:val="20"/>
                <w:szCs w:val="20"/>
                <w:color w:val="auto"/>
              </w:rPr>
            </w:pPr>
            <w:r>
              <w:rPr>
                <w:rFonts w:ascii="Arial" w:cs="Arial" w:eastAsia="Arial" w:hAnsi="Arial"/>
                <w:sz w:val="14"/>
                <w:szCs w:val="14"/>
                <w:color w:val="auto"/>
                <w:w w:val="76"/>
              </w:rPr>
              <w:t>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8"/>
                <w:szCs w:val="18"/>
                <w:b w:val="1"/>
                <w:bCs w:val="1"/>
                <w:color w:val="auto"/>
                <w:w w:val="97"/>
              </w:rPr>
              <w:t>Three Months Ended January 29, 2017</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w w:val="92"/>
              </w:rPr>
              <w:t>Photronics, Inc. Shareholders</w:t>
            </w: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0"/>
              </w:rPr>
              <w:t>Additional</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Retained</w:t>
            </w:r>
          </w:p>
        </w:tc>
        <w:tc>
          <w:tcPr>
            <w:tcW w:w="22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October 31, 2016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541,093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176,260</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115,111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5"/>
              </w:rPr>
              <w:t>Other comprehensive (loss)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w w:val="93"/>
              </w:rPr>
              <w:t>Restricted stock awards vesting and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tcPr>
          <w:p>
            <w:pPr>
              <w:ind w:left="120"/>
              <w:spacing w:after="0"/>
              <w:rPr>
                <w:sz w:val="20"/>
                <w:szCs w:val="20"/>
                <w:color w:val="auto"/>
              </w:rPr>
            </w:pPr>
            <w:r>
              <w:rPr>
                <w:rFonts w:ascii="Arial" w:cs="Arial" w:eastAsia="Arial" w:hAnsi="Arial"/>
                <w:sz w:val="18"/>
                <w:szCs w:val="18"/>
                <w:color w:val="auto"/>
              </w:rPr>
              <w:t>expense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Share-based compensation expense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29, 2017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543,117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178,206</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118,932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740" w:type="dxa"/>
            <w:vAlign w:val="bottom"/>
            <w:gridSpan w:val="3"/>
          </w:tcPr>
          <w:p>
            <w:pPr>
              <w:spacing w:after="0"/>
              <w:rPr>
                <w:sz w:val="20"/>
                <w:szCs w:val="20"/>
                <w:color w:val="auto"/>
              </w:rPr>
            </w:pPr>
            <w:r>
              <w:rPr>
                <w:rFonts w:ascii="Arial" w:cs="Arial" w:eastAsia="Arial" w:hAnsi="Arial"/>
                <w:sz w:val="18"/>
                <w:szCs w:val="18"/>
                <w:b w:val="1"/>
                <w:bCs w:val="1"/>
                <w:color w:val="auto"/>
              </w:rPr>
              <w:t>NOTE 3 - INVENTORIES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net realizable value. Presented below are the components of inventory at the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January 28,</w:t>
            </w:r>
          </w:p>
        </w:tc>
        <w:tc>
          <w:tcPr>
            <w:tcW w:w="4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October 29,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1,201</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Work in process</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3,753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2,957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22,043</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20,082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tcBorders>
              <w:top w:val="single" w:sz="8" w:color="CCEEFF"/>
              <w:bottom w:val="single" w:sz="8" w:color="CCEEFF"/>
            </w:tcBorders>
          </w:tcPr>
          <w:p>
            <w:pPr>
              <w:spacing w:after="0"/>
              <w:rPr>
                <w:sz w:val="22"/>
                <w:szCs w:val="22"/>
                <w:color w:val="auto"/>
              </w:rPr>
            </w:pPr>
          </w:p>
        </w:tc>
        <w:tc>
          <w:tcPr>
            <w:tcW w:w="150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23,703</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NOTE 4 - PROPERTY, PLANT AND EQUIPMENT</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Property, plant and equipment consists of the following:</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January 28,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October 29,</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620" w:type="dxa"/>
            <w:vAlign w:val="bottom"/>
            <w:gridSpan w:val="3"/>
          </w:tcPr>
          <w:p>
            <w:pPr>
              <w:spacing w:after="0"/>
              <w:rPr>
                <w:sz w:val="18"/>
                <w:szCs w:val="18"/>
                <w:color w:val="auto"/>
              </w:rPr>
            </w:pPr>
          </w:p>
        </w:tc>
        <w:tc>
          <w:tcPr>
            <w:tcW w:w="10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10,301</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128,073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125,290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1,614,502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1,547,870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20,826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20,050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12,989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74,987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72,045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1,862,163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1,788,203</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(1,313,856)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(1,253,006)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620" w:type="dxa"/>
            <w:vAlign w:val="bottom"/>
            <w:gridSpan w:val="3"/>
          </w:tcPr>
          <w:p>
            <w:pPr>
              <w:spacing w:after="0"/>
              <w:rPr>
                <w:sz w:val="18"/>
                <w:szCs w:val="18"/>
                <w:color w:val="auto"/>
              </w:rPr>
            </w:pPr>
          </w:p>
        </w:tc>
        <w:tc>
          <w:tcPr>
            <w:tcW w:w="10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shd w:val="clear" w:color="auto" w:fill="CCEEFF"/>
          </w:tcPr>
          <w:p>
            <w:pPr>
              <w:spacing w:after="0"/>
              <w:rPr>
                <w:sz w:val="22"/>
                <w:szCs w:val="22"/>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548,307</w:t>
            </w:r>
          </w:p>
        </w:tc>
        <w:tc>
          <w:tcPr>
            <w:tcW w:w="16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535,197</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00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jc w:val="right"/>
              <w:ind w:right="694"/>
              <w:spacing w:after="0"/>
              <w:rPr>
                <w:sz w:val="20"/>
                <w:szCs w:val="20"/>
                <w:color w:val="auto"/>
              </w:rPr>
            </w:pPr>
            <w:r>
              <w:rPr>
                <w:rFonts w:ascii="Arial" w:cs="Arial" w:eastAsia="Arial" w:hAnsi="Arial"/>
                <w:sz w:val="14"/>
                <w:szCs w:val="14"/>
                <w:color w:val="auto"/>
              </w:rPr>
              <w:t>9</w:t>
            </w: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500" w:type="dxa"/>
            <w:vAlign w:val="bottom"/>
            <w:gridSpan w:val="4"/>
          </w:tcPr>
          <w:p>
            <w:pPr>
              <w:jc w:val="right"/>
              <w:ind w:right="540"/>
              <w:spacing w:after="0"/>
              <w:rPr>
                <w:sz w:val="20"/>
                <w:szCs w:val="20"/>
                <w:color w:val="auto"/>
              </w:rPr>
            </w:pPr>
            <w:r>
              <w:rPr>
                <w:rFonts w:ascii="Arial" w:cs="Arial" w:eastAsia="Arial" w:hAnsi="Arial"/>
                <w:sz w:val="18"/>
                <w:szCs w:val="18"/>
                <w:color w:val="auto"/>
                <w:w w:val="90"/>
              </w:rPr>
              <w:t>Equipment under capital leases, included above in property, plant and equipment, are as follows: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January 28,</w:t>
            </w:r>
          </w:p>
        </w:tc>
        <w:tc>
          <w:tcPr>
            <w:tcW w:w="12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October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(14,717)</w:t>
            </w:r>
          </w:p>
        </w:tc>
        <w:tc>
          <w:tcPr>
            <w:tcW w:w="1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20,200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21,074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Depreciation and amortization expense for property, plant and equipment was $21.1 million and $19.7 million for the three month periods ended January 28, 2018 and January 29, 2017, respectively.</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three month periods ended January 28, 2018 and January 29, 2017, we entered into noncash transactions with a customer for the acquisition of equipment with fair values of approximately $6.7 million and $2.1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PDMCX JOINT VENTURE</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January 2018, Photronics, through its wholly-owned Singapore subsidiary (hereinafter, within this Note “we”, or “Photronics”), and Dai Nippon Printing Co., Ltd., through its wholly owned subsidiary “DNP Asia Pacific PTE, Ltd.” (hereinafter, within this Note “DNP”) entered into a joint venture under which DNP obtained a 49.99% interest in our recently established IC business in Xiamen, China, which includes the facility currently under construction. The joint venture, known as “Photronics DNP Mask Corporation Xiamen” (hereinafter, “PDMCX”), was established to develop and manufacture photomasks for leading edge and advanced generation semiconductors. We entered into this joint venture to enable us to compete more effectively for the merchant photomask business in China and to benefit from the additional resources and investment that DNP will provide to enable us to offer advanced process technology to our customers.</w:t>
      </w:r>
    </w:p>
    <w:p>
      <w:pPr>
        <w:spacing w:after="0" w:line="216"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As of January 28, 2018, Photronics and DNP have each contributed cash of approximately $12 million to the joint venture. We estimate that, over the next several years, per the agreement, DNP and Photronics will each contribute an additional $43 million of cash and additional local borrowings.</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the PDMCX joint venture operating agreement (“the Agreement”), DNP is afforded, under certain circumstances, the right to put its interest in PDMCX to Photronics. These circumstances include disputes regarding the strategic direction of PDMCX that arise after the initial two year term of the Agreement and cannot be resolved between the two parties.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19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recorded a net loss from the operations of the PDMCX joint venture of approximately $0.5 million, in the first quarter of fiscal year 2018. No gain or loss was recorded upon the formation of the joint venture. General creditors of PDMCX do not have recourse to the assets of Photronics, Inc., and our maximum exposure to loss from PDMCX at January 28, 2018, was $11.6 million.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required by the guidance in Topic 810 - “Consolidation” of the Accounting Codification Standards,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reporting period; thus, as required, the PDMCX financial results should be consolidated with Photronics, Inc. Our conclusion was based on the fact that we held a controlling financial interest in PDMCX, which resulted from our having the power to direct the activities that most significantly impacted its economic performance, the obligation to absorb losses, and the right to receive benefits that could potentially be significant to PDMCX. Our conclusion that we had the power to direct the activities that most significantly affected the economic performance of PDMCX during the current period was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period, we had the obligation to absorb losses and the right to receive benefits that could potentially be significant to PDMCX.</w:t>
      </w:r>
    </w:p>
    <w:p>
      <w:pPr>
        <w:spacing w:after="0" w:line="200" w:lineRule="exact"/>
        <w:rPr>
          <w:sz w:val="20"/>
          <w:szCs w:val="20"/>
          <w:color w:val="auto"/>
        </w:rPr>
      </w:pPr>
    </w:p>
    <w:p>
      <w:pPr>
        <w:ind w:right="20" w:firstLine="324"/>
        <w:spacing w:after="0" w:line="328" w:lineRule="auto"/>
        <w:rPr>
          <w:sz w:val="20"/>
          <w:szCs w:val="20"/>
          <w:color w:val="auto"/>
        </w:rPr>
      </w:pPr>
      <w:r>
        <w:rPr>
          <w:rFonts w:ascii="Arial" w:cs="Arial" w:eastAsia="Arial" w:hAnsi="Arial"/>
          <w:sz w:val="19"/>
          <w:szCs w:val="19"/>
          <w:color w:val="auto"/>
        </w:rPr>
        <w:t>The carrying amounts of PDMCX assets and liabilities, included in our condensed consolidated balance sheet, as of January 28, 2018, are presented in the following table, along with our exposure to loss related to these assets and liabilities.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Classification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w w:val="93"/>
              </w:rPr>
              <w:t>Carrying Amount</w:t>
            </w:r>
          </w:p>
        </w:tc>
        <w:tc>
          <w:tcPr>
            <w:tcW w:w="160" w:type="dxa"/>
            <w:vAlign w:val="bottom"/>
          </w:tcPr>
          <w:p>
            <w:pPr>
              <w:spacing w:after="0"/>
              <w:rPr>
                <w:sz w:val="20"/>
                <w:szCs w:val="20"/>
                <w:color w:val="auto"/>
              </w:rPr>
            </w:pPr>
          </w:p>
        </w:tc>
        <w:tc>
          <w:tcPr>
            <w:tcW w:w="170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96"/>
              </w:rPr>
              <w:t>Photronics Interest</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vMerge w:val="restart"/>
          </w:tcPr>
          <w:p>
            <w:pPr>
              <w:spacing w:after="0"/>
              <w:rPr>
                <w:sz w:val="18"/>
                <w:szCs w:val="18"/>
                <w:color w:val="auto"/>
              </w:rPr>
            </w:pPr>
          </w:p>
        </w:tc>
        <w:tc>
          <w:tcPr>
            <w:tcW w:w="5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gridSpan w:val="2"/>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13,864</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6,933</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Non-current assets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12,403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5"/>
          </w:tcPr>
          <w:p>
            <w:pPr>
              <w:jc w:val="right"/>
              <w:ind w:right="100"/>
              <w:spacing w:after="0"/>
              <w:rPr>
                <w:sz w:val="20"/>
                <w:szCs w:val="20"/>
                <w:color w:val="auto"/>
              </w:rPr>
            </w:pPr>
            <w:r>
              <w:rPr>
                <w:rFonts w:ascii="Arial" w:cs="Arial" w:eastAsia="Arial" w:hAnsi="Arial"/>
                <w:sz w:val="18"/>
                <w:szCs w:val="18"/>
                <w:color w:val="auto"/>
              </w:rPr>
              <w:t>6,203</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26,267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5"/>
          </w:tcPr>
          <w:p>
            <w:pPr>
              <w:jc w:val="right"/>
              <w:ind w:right="100"/>
              <w:spacing w:after="0"/>
              <w:rPr>
                <w:sz w:val="20"/>
                <w:szCs w:val="20"/>
                <w:color w:val="auto"/>
              </w:rPr>
            </w:pPr>
            <w:r>
              <w:rPr>
                <w:rFonts w:ascii="Arial" w:cs="Arial" w:eastAsia="Arial" w:hAnsi="Arial"/>
                <w:sz w:val="18"/>
                <w:szCs w:val="18"/>
                <w:color w:val="auto"/>
              </w:rPr>
              <w:t>13,136</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5"/>
          </w:tcPr>
          <w:p>
            <w:pPr>
              <w:jc w:val="right"/>
              <w:ind w:right="100"/>
              <w:spacing w:after="0"/>
              <w:rPr>
                <w:sz w:val="20"/>
                <w:szCs w:val="20"/>
                <w:color w:val="auto"/>
              </w:rPr>
            </w:pPr>
            <w:r>
              <w:rPr>
                <w:rFonts w:ascii="Arial" w:cs="Arial" w:eastAsia="Arial" w:hAnsi="Arial"/>
                <w:sz w:val="18"/>
                <w:szCs w:val="18"/>
                <w:color w:val="auto"/>
              </w:rPr>
              <w:t>1,519</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gridSpan w:val="2"/>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1,527</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gridSpan w:val="2"/>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23,213</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11,609</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NOTE 6 - LONG-TERM BORROWINGS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680" w:type="dxa"/>
            <w:vAlign w:val="bottom"/>
          </w:tcPr>
          <w:p>
            <w:pPr>
              <w:ind w:left="320"/>
              <w:spacing w:after="0"/>
              <w:rPr>
                <w:sz w:val="20"/>
                <w:szCs w:val="20"/>
                <w:color w:val="auto"/>
              </w:rPr>
            </w:pPr>
            <w:r>
              <w:rPr>
                <w:rFonts w:ascii="Arial" w:cs="Arial" w:eastAsia="Arial" w:hAnsi="Arial"/>
                <w:sz w:val="18"/>
                <w:szCs w:val="18"/>
                <w:color w:val="auto"/>
              </w:rPr>
              <w:t>Long-term borrowings consist of the following: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January 28,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October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57,366</w:t>
            </w: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2.77% capital lease obligation payable through July 2018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right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portion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right w:val="single" w:sz="8" w:color="CCEEFF"/>
            </w:tcBorders>
            <w:gridSpan w:val="2"/>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57,366</w:t>
            </w:r>
          </w:p>
        </w:tc>
        <w:tc>
          <w:tcPr>
            <w:tcW w:w="120" w:type="dxa"/>
            <w:vAlign w:val="bottom"/>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57,337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January 2015, we privately exchanged $57.5 million in aggregate principal amount of our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we are not required to redeem the notes prior to their maturity date. Interest on the notes accrues in arrears, and is paid semiannually through the notes’ maturity date.</w:t>
      </w:r>
    </w:p>
    <w:p>
      <w:pPr>
        <w:spacing w:after="0" w:line="19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credit facility, which expires in December 2018, has a $50 million limit with an expansion capacity to $75 million, and is secured by substantially all of our assets located in the United States and common stock we own in certain of our foreign subsidiaries. The credit facility stipulates that we may not pay cash dividends on Photronics, Inc. stock, and is subject to the following financial covenants: minimum interest coverage ratio, total leverage ratio and minimum unrestricted cash balance financial covenants, with all of which we were in compliance at January 28, 2018. We had no outstanding borrowings against the credit facility at January 28, 2018, and $50 million was available for borrowing. The interest rate on the credit facility (2.82% at January 28, 2018) is based on our total leverage ratio at LIBOR plus a spread, as defined in the credit facility.</w:t>
      </w:r>
    </w:p>
    <w:p>
      <w:pPr>
        <w:sectPr>
          <w:pgSz w:w="11900" w:h="16838" w:orient="portrait"/>
          <w:cols w:equalWidth="0" w:num="1">
            <w:col w:w="11400"/>
          </w:cols>
          <w:pgMar w:left="240" w:top="122" w:right="25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August 2013, we entered into a $26.4 million principal amount, five year capital lease to fund the purchase of a high-end lithography tool. Payments under the capital lease, which bears interest at 2.77%, are $0.5 million per month through July 2018. The lease is subject to a cross default with cross acceleration provision related to certain nonfinancial covenants incorporated into our credit facility. As of January 28, 2018, the total amount payable through August 2018 (the end of the lease term) was $3.3 million, substantially all of which represented principal.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SHARE-BASED COMPENSATION</w:t>
      </w:r>
    </w:p>
    <w:p>
      <w:pPr>
        <w:spacing w:after="0" w:line="25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open-market or in private transactions), shares that are being held in the treasury,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We incurred total share-based compensation expenses of $0.9 million in each of the three month periods ended January 28, 2018 and January 29, 2017, and we received cash from option exercises of $0.7 million and $1.0 million during those respective periods. No share-based compensation cost was capitalized as part of an asset and no related income tax benefits were recorded during the periods presented.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Option awards generally vest in one-to-four years and have a ten-year contractual term. All incentive and non-qualified stock option grants have an exercise price no less than the market value of the underlying common stock on the date of grant. The grant date fair values of options are based on closing prices of our common stock on the dates of grant using the Black-Scholes option pricing model. Expected volatility is based on the historical volatility of our common stock. We use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22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weighted-average inputs and risk-free rates of return used to calculate the grant date fair value of options issued during the three month periods ended January 28, 2018 and January 29, 2017,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January 28,</w:t>
            </w:r>
          </w:p>
        </w:tc>
        <w:tc>
          <w:tcPr>
            <w:tcW w:w="220" w:type="dxa"/>
            <w:vAlign w:val="bottom"/>
          </w:tcPr>
          <w:p>
            <w:pPr>
              <w:spacing w:after="0"/>
              <w:rPr>
                <w:sz w:val="17"/>
                <w:szCs w:val="17"/>
                <w:color w:val="auto"/>
              </w:rPr>
            </w:pPr>
          </w:p>
        </w:tc>
        <w:tc>
          <w:tcPr>
            <w:tcW w:w="13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January 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31.6%</w:t>
            </w:r>
          </w:p>
        </w:tc>
        <w:tc>
          <w:tcPr>
            <w:tcW w:w="15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0"/>
              </w:rPr>
              <w:t>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12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2.2%</w:t>
            </w:r>
          </w:p>
        </w:tc>
        <w:tc>
          <w:tcPr>
            <w:tcW w:w="15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2"/>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0.0%</w:t>
            </w:r>
          </w:p>
        </w:tc>
        <w:tc>
          <w:tcPr>
            <w:tcW w:w="15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 years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 years</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outstanding and exercisable option awards as of January 28, 2018,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Options</w:t>
            </w:r>
          </w:p>
        </w:tc>
        <w:tc>
          <w:tcPr>
            <w:tcW w:w="1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326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28, 2018</w:t>
            </w:r>
          </w:p>
        </w:tc>
        <w:tc>
          <w:tcPr>
            <w:tcW w:w="3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3,304,820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10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3"/>
              </w:rPr>
              <w:t>5.1 years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326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January 28, 2018</w:t>
            </w:r>
          </w:p>
        </w:tc>
        <w:tc>
          <w:tcPr>
            <w:tcW w:w="3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2,421,655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10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3"/>
              </w:rPr>
              <w:t>3.8 years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740" w:type="dxa"/>
            <w:vAlign w:val="bottom"/>
          </w:tcPr>
          <w:p>
            <w:pPr>
              <w:jc w:val="right"/>
              <w:ind w:right="416"/>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There were 252,000 share options granted during the three month period ended January 28, 2018, with a weighted-average grant date fair value of $2.74 per share, and there were 338,750 share options granted during the three month period ended January 29, 2017, with a weighted-average grant date fair value of $3.60 per share. As of January 28, 2018, the total unrecognized compensation cost related to unvested option awards was approximately $2.4 million. That cost is expected to be recognized over a weighted-average amortization period of 2.3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periodically grant restricted stock awards, the restrictions on which typically lapse over a service period of one-to-four years. The fair value of the awards is determined on the date of grant, based on the closing price of our common stock. There were 280,000 restricted stock awards issued during the three month period ended January 28, 2018, with a weighted-average grant date fair value of $8.63 per share, and there were 260,000 restricted stock awards issued during the three month period ended January 29, 2017, with a weighted-average grant date fair value of $11.35 per share. As of January 28, 2018, the total compensation cost not yet recognized related to unvested restricted stock awards was approximately $4.1 million. That cost is expected to be recognized over a weighted-average amortization period of 3.0 years. As of January 28, 2018, there were 488,673 shares of restricted stock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56"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benefit effective tax rate of (23.1%) differs from the post U.S. Tax Reform blended statutory rate of 23.4% in the three month period ended January 28, 2018, primarily due to the benefit from U.S. Tax Reform (as discussed below), earnings being taxed at lower statutory rates in foreign jurisdictions, and the benefit of various investment credits in a foreign jurisdiction.</w:t>
      </w:r>
    </w:p>
    <w:p>
      <w:pPr>
        <w:spacing w:after="0" w:line="20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December 22, 2017, the U.S. Tax Cuts and Jobs Act (the “Act”), was signed into law, enacting significant changes to the United States Internal Revenue Code of 1986, as amended, that we expect to have a positive impact on our future after-tax earnings. Under ASC Topic 740 – “Income Taxes” (“ASC 740”), the effects of the new legislation are recognized in the interim and annual accounting periods that include the enactment date, which falls within our interim period ended January 28, 2018. In December 2017, the Securities and Exchange Commission released Staff Accounting Bulletin No. 118 (“SAB 118”) to address situations in which the accounting under ASC 740 is incomplete for certain income tax effects of the Act. We adopted SAB 118 in our first quarter of fiscal year 2018.</w:t>
      </w:r>
    </w:p>
    <w:p>
      <w:pPr>
        <w:spacing w:after="0" w:line="22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SAB 118 summarizes a three-step process to be applied at each reporting period to account for and qualitatively disclose; (1) the effects of the change in tax law for which accounting is complete; (2) provisional amounts (or adjustments to provisional amounts) for the effects of the tax law for where accounting is not complete, but that a reasonable estimate has been determined; and (3) a reasonable estimate cannot yet be made and therefore taxes are reflected in accordance with law prior to the enactment of the Act.</w:t>
      </w:r>
    </w:p>
    <w:p>
      <w:pPr>
        <w:spacing w:after="0" w:line="187"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We continue to analyze the provisions of the Act addressing the net deferred tax asset revaluation and its calculations, the deemed earnings repatriation, including the determination of undistributed non-U.S. earnings, and evaluate potential actions we may consider in light of the Act that could affect our fiscal year of 2018 U.S. taxable income. As such, our accounting for certain elements within the Act is preliminary, and subject to further clarification of the Act by Internal Revenue Service. The following is a discussion of the major provisions of the Act that affect our financial statements, and our preliminary assessment of the impact of such provisions on the statements.</w:t>
      </w:r>
    </w:p>
    <w:p>
      <w:pPr>
        <w:spacing w:after="0" w:line="188" w:lineRule="exact"/>
        <w:rPr>
          <w:sz w:val="20"/>
          <w:szCs w:val="20"/>
          <w:color w:val="auto"/>
        </w:rPr>
      </w:pPr>
    </w:p>
    <w:p>
      <w:pPr>
        <w:ind w:left="980" w:right="40" w:hanging="324"/>
        <w:spacing w:after="0" w:line="26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Act repeals the corporate alternative minimum tax (“AMT”) for tax years beginning after December 31, 2017, and provides that existing AMT credit carryforwards are fully refundable over a four year period, starting with the tax year beginning after December 31, 2017. We have approximately $3.9 million of AMT credit carryforwards that we previously determined were not more likely than not going to be realized and, as such, established a valuation allowance for these carryforwards. Accordingly, the Act has changed our determination regarding the realization of the benefit of the carryforwards; therefore, the related valuation allowance has been reversed and the $3.9 million tax benefit has been recorded in our tax provision, excluding any impact of potential future sequestration reductions.</w:t>
      </w:r>
    </w:p>
    <w:p>
      <w:pPr>
        <w:spacing w:after="0" w:line="1" w:lineRule="exact"/>
        <w:rPr>
          <w:rFonts w:ascii="Arial" w:cs="Arial" w:eastAsia="Arial" w:hAnsi="Arial"/>
          <w:sz w:val="17"/>
          <w:szCs w:val="17"/>
          <w:color w:val="auto"/>
        </w:rPr>
      </w:pPr>
    </w:p>
    <w:p>
      <w:pPr>
        <w:ind w:left="980" w:hanging="324"/>
        <w:spacing w:after="0" w:line="288"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January 1, 2018, the Act reduces the corporate income tax rate from a maximum 35% to a flat 21%. Our fiscal year 2018 blended statutory tax rate is approximately 23.4%, the weighted daily average rate between the pre-enactment U.S. federal statutory tax rate of 35% applicable to our 2018 fiscal year prior to the rate change effective January 1, 2018 and the post-enactment U.S. federal statutory tax rate of 21% applicable to the balance of our 2018 fiscal year. The 21% rate will be applicable to fiscal year 2019 and beyond. Under generally accepted accounting principles, we are required to revalue our deferred tax assets and liabilities utilizing the rate applicable to the period when a temporary difference will reverse. Our preliminary analysis of the two stepped revaluation indicates that our net deferred tax asset will be increased by $2.5 million, with an offsetting change in the related valuation allowance resulting in a provisional net zero impact for our period.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980" w:right="20" w:hanging="324"/>
        <w:spacing w:after="0" w:line="286"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Act imposes a transition tax for a one-time deemed repatriation of the accumulated earnings of foreign subsidiaries. The transition tax effective rates are 15.5% on accumulated earnings held in cash (as defined by the Act), and 8% on any remaining balance. Our preliminary analysis indicates an estimated deemed repatriation transition tax of $28.4 million. The preliminary analysis also indicates that the entire amount of transition tax will be fully offset by tax credits and/or available loss carryforwards, resulting in a provisional net zero impact on our</w:t>
      </w:r>
    </w:p>
    <w:p>
      <w:pPr>
        <w:spacing w:after="0" w:line="1" w:lineRule="exact"/>
        <w:rPr>
          <w:rFonts w:ascii="Arial" w:cs="Arial" w:eastAsia="Arial" w:hAnsi="Arial"/>
          <w:sz w:val="16"/>
          <w:szCs w:val="16"/>
          <w:color w:val="auto"/>
        </w:rPr>
      </w:pPr>
    </w:p>
    <w:p>
      <w:pPr>
        <w:jc w:val="both"/>
        <w:ind w:left="980" w:right="200"/>
        <w:spacing w:after="0" w:line="250" w:lineRule="auto"/>
        <w:rPr>
          <w:rFonts w:ascii="Arial" w:cs="Arial" w:eastAsia="Arial" w:hAnsi="Arial"/>
          <w:sz w:val="16"/>
          <w:szCs w:val="16"/>
          <w:color w:val="auto"/>
        </w:rPr>
      </w:pPr>
      <w:r>
        <w:rPr>
          <w:rFonts w:ascii="Arial" w:cs="Arial" w:eastAsia="Arial" w:hAnsi="Arial"/>
          <w:sz w:val="18"/>
          <w:szCs w:val="18"/>
          <w:color w:val="auto"/>
        </w:rPr>
        <w:t>period, due in part to an offsetting change in the related valuation allowance. We do not expect that future earnings of foreign subsidiaries will be subject to U.S. federal income tax. No change has been or is anticipated to be made with respect to the year-end fiscal year 2017 indefinite reinvestment assertion of foreign subsidiary earnings.</w:t>
      </w:r>
    </w:p>
    <w:p>
      <w:pPr>
        <w:spacing w:after="0" w:line="1" w:lineRule="exact"/>
        <w:rPr>
          <w:rFonts w:ascii="Arial" w:cs="Arial" w:eastAsia="Arial" w:hAnsi="Arial"/>
          <w:sz w:val="16"/>
          <w:szCs w:val="16"/>
          <w:color w:val="auto"/>
        </w:rPr>
      </w:pPr>
    </w:p>
    <w:p>
      <w:pPr>
        <w:ind w:left="980" w:right="44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preliminary analysis of other provisions of the Act, including, but not limited to, 100 percent bonus depreciation and changes to the limitations on the deducibility of meals and entertainment expenses indicate that under our current tax profile there should be limited or no provisional impact for our period.</w:t>
      </w:r>
    </w:p>
    <w:p>
      <w:pPr>
        <w:spacing w:after="0" w:line="1" w:lineRule="exact"/>
        <w:rPr>
          <w:rFonts w:ascii="Arial" w:cs="Arial" w:eastAsia="Arial" w:hAnsi="Arial"/>
          <w:sz w:val="18"/>
          <w:szCs w:val="18"/>
          <w:color w:val="auto"/>
        </w:rPr>
      </w:pPr>
    </w:p>
    <w:p>
      <w:pPr>
        <w:ind w:left="980" w:right="280" w:hanging="324"/>
        <w:spacing w:after="0" w:line="25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the effective date of certain provisions, we will be subject to additional requirements of tax reform beginning in fiscal year 2019. Those provisions include a tax on global intangible low-taxed income (GILTI), a tax determined by base erosion tax benefits (BEAT) from certain payments between a U.S. corporation and foreign subsidiaries, a limitation of certain executive compensation, a deduction for foreign derived intangible income (FDII) and interest expense limitations. We have not completed our analysis of those provisions and the estimated impact.</w:t>
      </w:r>
    </w:p>
    <w:p>
      <w:pPr>
        <w:spacing w:after="0" w:line="21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January 18, 2018, the Taiwan Legislature Yuan approved amendments to the Income Tax Act, enacting an increase in the corporate tax rate from 17% to 20%. Under generally accepted accounting principles, we are required to revalue our deferred tax assets and liabilities utilizing the rate applicable to the period when a temporary difference will reverse. Our analysis indicates that our Taiwan deferred tax asset will be increased and, accordingly, a net benefit of $0.2 million is reflected in our period tax provision.</w:t>
      </w:r>
    </w:p>
    <w:p>
      <w:pPr>
        <w:spacing w:after="0" w:line="21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19.0% effective tax rate differs from the U.S. statutory rate of 35% in the three month period ended January 29, 2017, primarily due to earnings being taxed at lower statutory rates in foreign jurisdictions, combined with the benefit of various investment credits in a foreign jurisdiction. Valuation allowances in jurisdictions with historic losses eliminate the tax benefit of these jurisdictions. Two five-year tax holidays in Taiwan, one that expired in 2017 and the other that expires in 2019, reduced foreign taxes by $0.1 million in the three month periods ended January 28, 2018 and January 29, 2017, respectively. These tax holidays had no effect on the earnings per share of either period.</w:t>
      </w:r>
    </w:p>
    <w:p>
      <w:pPr>
        <w:spacing w:after="0" w:line="21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There were unrecognized tax benefits related to uncertain tax positions of $3.7 million at January 28, 2018, and $3.4 million at October 29, 2017, all of which, if recognized, would favorably impact the Company’s effective tax rate. Accrued interest and penalties related to unrecognized tax benefits was $0.1 million at January 28, 2018 and October 29, 2017. Although the timing of the expirations of statutes of limitations may be uncertain, as they can be dependent upon the settlement of tax audits, we believe that it is reasonably possible that up to $1.4 million of our uncertain tax positions (including accrued interest and penalties, and net of tax benefits) may be resolved over the next twelve months. Resolution of these uncertain tax positions may result from either or both of the lapses of statutes of limitations and tax settlements.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NOTE 9 - EARNINGS PER SHARE</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The calculation of basic and diluted earnings per share is presented below.</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28,</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Earnings used for diluted earnings per share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Weighted-average common shares used for basic earnings per share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68,755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Share-based payment awards</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Potentially dilutive common shares</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69,372</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be antidilutive.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62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1360" w:type="dxa"/>
            <w:vAlign w:val="bottom"/>
            <w:tcBorders>
              <w:top w:val="single" w:sz="8" w:color="auto"/>
            </w:tcBorders>
            <w:gridSpan w:val="2"/>
          </w:tcPr>
          <w:p>
            <w:pPr>
              <w:ind w:left="120"/>
              <w:spacing w:after="0" w:line="198" w:lineRule="exact"/>
              <w:rPr>
                <w:sz w:val="20"/>
                <w:szCs w:val="20"/>
                <w:color w:val="auto"/>
              </w:rPr>
            </w:pPr>
            <w:r>
              <w:rPr>
                <w:rFonts w:ascii="Arial" w:cs="Arial" w:eastAsia="Arial" w:hAnsi="Arial"/>
                <w:sz w:val="18"/>
                <w:szCs w:val="18"/>
                <w:b w:val="1"/>
                <w:bCs w:val="1"/>
                <w:color w:val="auto"/>
              </w:rPr>
              <w:t>January 28,</w:t>
            </w:r>
          </w:p>
        </w:tc>
        <w:tc>
          <w:tcPr>
            <w:tcW w:w="11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January 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Share-based payment awards</w:t>
            </w:r>
          </w:p>
        </w:tc>
        <w:tc>
          <w:tcPr>
            <w:tcW w:w="1140" w:type="dxa"/>
            <w:vAlign w:val="bottom"/>
          </w:tcPr>
          <w:p>
            <w:pPr>
              <w:jc w:val="right"/>
              <w:spacing w:after="0"/>
              <w:rPr>
                <w:sz w:val="20"/>
                <w:szCs w:val="20"/>
                <w:color w:val="auto"/>
              </w:rPr>
            </w:pPr>
            <w:r>
              <w:rPr>
                <w:rFonts w:ascii="Arial" w:cs="Arial" w:eastAsia="Arial" w:hAnsi="Arial"/>
                <w:sz w:val="18"/>
                <w:szCs w:val="18"/>
                <w:color w:val="auto"/>
              </w:rPr>
              <w:t>1,583</w:t>
            </w:r>
          </w:p>
        </w:tc>
        <w:tc>
          <w:tcPr>
            <w:tcW w:w="2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1140" w:type="dxa"/>
            <w:vAlign w:val="bottom"/>
          </w:tcPr>
          <w:p>
            <w:pPr>
              <w:jc w:val="right"/>
              <w:spacing w:after="0"/>
              <w:rPr>
                <w:sz w:val="20"/>
                <w:szCs w:val="20"/>
                <w:color w:val="auto"/>
              </w:rPr>
            </w:pPr>
            <w:r>
              <w:rPr>
                <w:rFonts w:ascii="Arial" w:cs="Arial" w:eastAsia="Arial" w:hAnsi="Arial"/>
                <w:sz w:val="18"/>
                <w:szCs w:val="18"/>
                <w:color w:val="auto"/>
              </w:rPr>
              <w:t>7,125</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CHANGES IN ACCUMULATED OTHER COMPREHENSIVE INCOME BY COMPONENT</w:t>
      </w:r>
    </w:p>
    <w:p>
      <w:pPr>
        <w:spacing w:after="0" w:line="25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tables set forth the changes in our accumulated other comprehensive income by component (net of tax of $0) for the three month periods ended January 28, 2018 and January 29, 2017.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8"/>
                <w:szCs w:val="18"/>
                <w:b w:val="1"/>
                <w:bCs w:val="1"/>
                <w:color w:val="auto"/>
              </w:rPr>
              <w:t>Three Months Ended January 28, 2018</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Flow Hedge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30, 2017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30,087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w w:val="92"/>
              </w:rPr>
              <w:t>Less: other comprehensive (income)loss attributable to noncontrolling interests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(4,866)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Balance at January 28, 2018</w:t>
            </w:r>
          </w:p>
        </w:tc>
        <w:tc>
          <w:tcPr>
            <w:tcW w:w="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32,848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32,128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8"/>
                <w:szCs w:val="18"/>
                <w:b w:val="1"/>
                <w:bCs w:val="1"/>
                <w:color w:val="auto"/>
              </w:rPr>
              <w:t>Three Months Ended January 29, 2017</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Flow Hedge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360" w:type="dxa"/>
            <w:vAlign w:val="bottom"/>
            <w:gridSpan w:val="3"/>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2016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w w:val="92"/>
              </w:rPr>
              <w:t>Less: other comprehensive (income)loss attributable to noncontrolling interests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(1,267)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Balance at January 29, 2017</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(8,448)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(9,530)</w:t>
            </w:r>
          </w:p>
        </w:tc>
        <w:tc>
          <w:tcPr>
            <w:tcW w:w="0" w:type="dxa"/>
            <w:vAlign w:val="bottom"/>
          </w:tcPr>
          <w:p>
            <w:pPr>
              <w:spacing w:after="0"/>
              <w:rPr>
                <w:sz w:val="1"/>
                <w:szCs w:val="1"/>
                <w:color w:val="auto"/>
              </w:rPr>
            </w:pPr>
          </w:p>
        </w:tc>
      </w:tr>
      <w:tr>
        <w:trPr>
          <w:trHeight w:val="21"/>
        </w:trPr>
        <w:tc>
          <w:tcPr>
            <w:tcW w:w="5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15</w:t>
            </w: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58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56"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did not have any assets or liabilities measured at fair value, on a recurring or a nonrecurring basis, at January 28, 2018 or October 29, 2017. The assets acquired in connection with our acquisition discussed in Note 4 were recorded at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52"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fair values of our cash and cash equivalents (Level 1 measurements), accounts receivable, accounts payable, and certain other current assets and current liabilities (Level 2 measurements) approximate their carrying value due to their short-term maturities. The fair value of our convertible senior notes is a Level 2 measurement, as it was determined using inputs that were either observable market data, or could be derived from, or corroborated with, observable market data. These inputs included our stock price and interest rates offered on debt issued by entities with credit ratings similar to ours.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fair and carrying values of our convertible senior notes at January 28, 2018 and October 29,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2"/>
              </w:rPr>
              <w:t>January 28, 2018</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2"/>
              </w:rPr>
              <w:t>October 29, 2017</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2019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64,486</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57,366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67,396</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57,337</w:t>
            </w:r>
          </w:p>
        </w:tc>
        <w:tc>
          <w:tcPr>
            <w:tcW w:w="0" w:type="dxa"/>
            <w:vAlign w:val="bottom"/>
          </w:tcPr>
          <w:p>
            <w:pPr>
              <w:spacing w:after="0"/>
              <w:rPr>
                <w:sz w:val="1"/>
                <w:szCs w:val="1"/>
                <w:color w:val="auto"/>
              </w:rPr>
            </w:pPr>
          </w:p>
        </w:tc>
      </w:tr>
      <w:tr>
        <w:trPr>
          <w:trHeight w:val="459"/>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NOTE 12 - COMMITMENTS AND CONTINGENCIES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28, 2018, the Company had commitments outstanding for capital equipment expenditures of approximately $190 million.</w:t>
      </w:r>
    </w:p>
    <w:p>
      <w:pPr>
        <w:spacing w:after="0" w:line="252"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We believe that such claims, individually or in the aggregate, will not have a material effect on the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RECENT ACCOUNTING PRONOUNCEMENTS</w:t>
      </w:r>
    </w:p>
    <w:p>
      <w:pPr>
        <w:spacing w:after="0" w:line="25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December 2017, the Securities and Exchange Commission released Staff Accounting Bulletin No. 118 (“SAB 118”) to address situations where the accounting under ASC Topic 740 – “Income Taxes” is incomplete for certain income tax effects of the Tax Cuts and Jobs Act, which was signed into law on December 22, 2017, and changed existing U.S. tax law. We adopted this guidance in our first quarter of fiscal year 2018. Please see Note 8 for a discussion of the effects of adopting this guidance.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November 2016, the FASB issued ASU 2016-18 “Restricted Cash”,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is effective for Photronics, Inc. in its first quarter of fiscal year 2019 and should be applied on a retrospective transition basis. Early adoption is permitted, including adoption in an interim period. We are currently evaluating the effect that this ASU will have on our consolidated financial statements.</w:t>
      </w:r>
    </w:p>
    <w:p>
      <w:pPr>
        <w:spacing w:after="0" w:line="22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October 2016, the FASB issued ASU 2016-16 “Intra-Entity Transfers of Assets Other Than Inventory”, which eliminates the exception of recognizing, at the time of transfer, current and deferred income taxes for intra-entity asset transfers other than inventory. ASU 2016-16 is effective for us in our first quarter of fiscal year 2019 and should be applied on a modified retrospective transition basis. Early adoption is permitted as of the beginning of an annual reporting period for which interim or annual financial statements have not been issued or made available for issuance. We are currently evaluating the effect this ASU will have on our consolidated financial statements.</w:t>
      </w:r>
    </w:p>
    <w:p>
      <w:pPr>
        <w:spacing w:after="0" w:line="18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replaces the incurred loss impairment methodology, found in current GAAP, with a methodology that reflects expected credit losses and requires consideration of a broader range of reasonable and supportable information to inform credit loss estimates. This ASU requires a cumulative-effect adjustment as of the beginning of the first reporting period in which the guidance is adopted. ASU 2016-13 is effective for Photronics, Inc. in its first quarter of fiscal year 2021, with early adoption permitted beginning in the first quarter of fiscal year 2019. We are currently evaluating the effect that this ASU will have on our consolidated financial statements.</w:t>
      </w:r>
    </w:p>
    <w:p>
      <w:pPr>
        <w:spacing w:after="0" w:line="21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March 2016, the FASB issued ASU 2016 – 09 “Improvements to Employee Share-Based Payment Accounting”, which simplifies the accounting for share-based payment transactions including their income tax consequences, classification as either equity or liability awards, classification on the statement of cash flows, and other areas. The method of adoption varies with the different aspects of the Update. Adoption of this guidance in the first quarter of our fiscal year 2018 did not have a material impact on our financial statements.</w:t>
      </w:r>
    </w:p>
    <w:p>
      <w:pPr>
        <w:spacing w:after="0" w:line="214"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February 2016, the FASB issued ASU 2016-02 “Leases (Topic 842)”, which requires lessees to recognize right-of-use assets and corresponding liabilities for all leases with an initial term in excess of twelve months. ASU 2016-02 is to be adopted using a modified retrospective approach, which includes a number of practical expedients, that requires leases to be measured and recognized under the new guidance at the beginning of the earliest period presented. The ASU is effective for Photronics, Inc. in the first quarter of fiscal year 2020, with early application permitted. We are currently evaluating the effect that this ASU will have on our consolidated financial statements.</w:t>
      </w:r>
    </w:p>
    <w:p>
      <w:pPr>
        <w:spacing w:after="0" w:line="21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May 2014, the FASB issued ASU 2014-09 “Revenue from Contracts with Customers”, which will supersede nearly all existing revenue recognition guidance under accounting principles generally accepted in the United States.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In August 2015, the FASB issued ASU 2015-14 which defers the effective date of ASU 2014-09 by one year and allows entities to early adopt, but no earlier than the original effective date. ASU 2014-09 will now be effective for Photronics, Inc. in the first quarter of our fiscal year 2019. This update allows for either full retrospective or modified retrospective adoption. In April 2016, the FASB issued ASU 2016-10 “Identifying Performance Obligations and Licensing” which amends guidance previously issued on these matters in ASU 2014-09. The effective date and transition requirements of ASU 2016-10 are the same as those for ASU 2014-09.</w:t>
      </w:r>
    </w:p>
    <w:p>
      <w:pPr>
        <w:spacing w:after="0" w:line="20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anticipate that the adoption of this ASU will result in the accelerated recognition of certain revenue streams as, upon adoption of this Update, some amounts in our work-in process inventory will be considered to represent promised goods transferred to our customers, requiring us to recognize consideration for those transferred goods in amounts we expect to be entitled to receive in exchange for them. However, we cannot currently quantify with reasonable certainty the effect this anticipated acceleration of revenue will have on our consolidated financial statements. We expect to adopt this guidance using the modified retrospective approach.</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which may be adversely affected by uncertainties and risk factors (presented throughout this filing and in the Company's Annual Report on Form 10-K for the fiscal 2017 year), that may cause actual results to materially differ from these expectations.</w:t>
      </w:r>
    </w:p>
    <w:p>
      <w:pPr>
        <w:spacing w:after="0" w:line="181"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We sell substantially all of our photomasks to semiconductor and FPD designers and manufacturers. Photomask technology is also being applied to the fabrication of other higher performance electronic products such as photonics, micro-electronic mechanical systems and certain nanotechnology applications. Our selling cycle is tightly interwoven with the development and release of new semiconductor and FPD designs and applications, particularly as they relate to the microeletronic industry's migration to more advanced product innovation, design methodologies and fabrication processes. We believe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 even if the demand for semiconductors and FPDs increases. Advances in semiconductor, FPD and photomask design and semiconductor and FPD production methods that shift the burden of achieving device performance away from lithography could also reduce the demand for photomasks. Historically, the microelectronic industry has been volatile, experiencing periodic downturns and slowdowns in design activity. These downturns have been characterized by, among other things, diminished product demand, excess production capacity and accelerated erosion of selling prices.</w:t>
      </w:r>
    </w:p>
    <w:p>
      <w:pPr>
        <w:spacing w:after="0" w:line="19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are typically required to fulfill customer orders within a short period of time, sometimes within 24 hours. This results in a minimal level of backlog orders, typically one to two weeks of backlog for IC photomasks and two to three weeks of backlog for FPD photomasks.</w:t>
      </w:r>
    </w:p>
    <w:p>
      <w:pPr>
        <w:spacing w:after="0" w:line="19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global semiconductor and FPD industries are driven by end markets which have been closely tied to consumer-driven applications of high performance devices, including, but not limited to, mobile display devices, mobile communications, and computing solutions. While we cannot predict the timing of the industry's transition to volume production of next-generation technology nodes, or the timing of up and down 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9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the first quarter of fiscal 2018, we announced the successful closing of the China joint venture agreement with Dai Nippon Printing Co., Ltd. (“DNP”), which we had agreed to enter into and announced in the third quarter of fiscal 2017. Under the agreement, our wholly-owned Singapore subsidiary owns</w:t>
      </w:r>
    </w:p>
    <w:p>
      <w:pPr>
        <w:ind w:right="240"/>
        <w:spacing w:after="0" w:line="255" w:lineRule="auto"/>
        <w:rPr>
          <w:sz w:val="20"/>
          <w:szCs w:val="20"/>
          <w:color w:val="auto"/>
        </w:rPr>
      </w:pPr>
      <w:r>
        <w:rPr>
          <w:rFonts w:ascii="Arial" w:cs="Arial" w:eastAsia="Arial" w:hAnsi="Arial"/>
          <w:sz w:val="18"/>
          <w:szCs w:val="18"/>
          <w:color w:val="auto"/>
        </w:rPr>
        <w:t>50.01% of the joint venture, which is named Photronics DNP Mask Corporation Xiamen (PDMCX), and a subsidiary of DNP owns the remaining 49.99%. The financial results of the joint venture are included in the Photronics, Inc. consolidated financial statements. See Note 5 of the condensed consolidated financial statements for additional information on the joint venture.</w:t>
      </w:r>
    </w:p>
    <w:p>
      <w:pPr>
        <w:spacing w:after="0" w:line="2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fourth quarter of fiscal 2017, we announced that Photronics UK, Ltd., our wholly owned subsidiary, signed an investment agreement with the Hefei State Hi-tech Industry Development Zone to establish a manufacturing facility in Hefei, China. Under the terms of the agreement, through our subsidiary, we will invest a minimum of $160 million, a portion of which may be funded with local borrowings, to build and operate a research and development and manufacturing facility for high-end and mainstream FPD photomasks. The Hefei State Hi-tech Industry Development Zone will provide certain investment incentives and support for this facility, which will have initial capability to produce up to G10.5+ large area masks and AMOLED products. Construction began in late 2017 and production is anticipated to commence in 2019.</w:t>
      </w:r>
    </w:p>
    <w:p>
      <w:pPr>
        <w:spacing w:after="0" w:line="220"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the fourth quarter of fiscal 2016, Photronics Singapore Pte, Ltd., a wholly owned subsidiary, signed an investment agreement with the Administrative Committee of Xiamen Torch Hi-Tech Industrial Development Zone (Xiamen Torch) to establish an IC manufacturing facility in Xiamen, China. Under the terms of the agreement, we will build and operate an IC facility to engage in research and development, manufacture and sale of photomasks, in return for which Xiamen Torch will provide certain investment incentives and support. This expansion is also substantially supported by customer commitments for its output. As discussed above, in the first quarter of fiscal 2018, we entered into a joint venture agreement with DNP, under which they obtained a 49.99% ownership interest in this facility. The total investment, per the agreement, is $160 million to be funded over the next several years with cash and local borrowings. Construction began in 2017 and production is anticipated to start in 2019.</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28, 2018, October 29, 2017 and January 29, 2017</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selected operating information expressed as a percentage of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400" w:type="dxa"/>
            <w:vAlign w:val="bottom"/>
            <w:gridSpan w:val="2"/>
          </w:tcPr>
          <w:p>
            <w:pPr>
              <w:jc w:val="right"/>
              <w:ind w:right="290"/>
              <w:spacing w:after="0" w:line="198" w:lineRule="exact"/>
              <w:rPr>
                <w:sz w:val="20"/>
                <w:szCs w:val="20"/>
                <w:color w:val="auto"/>
              </w:rPr>
            </w:pPr>
            <w:r>
              <w:rPr>
                <w:rFonts w:ascii="Arial" w:cs="Arial" w:eastAsia="Arial" w:hAnsi="Arial"/>
                <w:sz w:val="18"/>
                <w:szCs w:val="18"/>
                <w:b w:val="1"/>
                <w:bCs w:val="1"/>
                <w:color w:val="auto"/>
              </w:rPr>
              <w:t>January 28,</w:t>
            </w:r>
          </w:p>
        </w:tc>
        <w:tc>
          <w:tcPr>
            <w:tcW w:w="14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October 29,</w:t>
            </w:r>
          </w:p>
        </w:tc>
        <w:tc>
          <w:tcPr>
            <w:tcW w:w="11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January 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Cost of goods sold</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(77.6)</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(78.1)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Gross profit</w:t>
            </w:r>
          </w:p>
        </w:tc>
        <w:tc>
          <w:tcPr>
            <w:tcW w:w="1120" w:type="dxa"/>
            <w:vAlign w:val="bottom"/>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21.9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(3.3)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Note: All of the following tabular comparisons, unless otherwise indicated, are for the three months ended January 28, 2018 (Q1 FY18), October 29, 2017 (Q4 FY17) and January 29, 2017 (Q1 FY17) in millions of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7"/>
          </w:tcPr>
          <w:p>
            <w:pPr>
              <w:jc w:val="right"/>
              <w:ind w:right="1140"/>
              <w:spacing w:after="0"/>
              <w:rPr>
                <w:sz w:val="20"/>
                <w:szCs w:val="20"/>
                <w:color w:val="auto"/>
              </w:rPr>
            </w:pPr>
            <w:r>
              <w:rPr>
                <w:rFonts w:ascii="Arial" w:cs="Arial" w:eastAsia="Arial" w:hAnsi="Arial"/>
                <w:sz w:val="18"/>
                <w:szCs w:val="18"/>
                <w:b w:val="1"/>
                <w:bCs w:val="1"/>
                <w:color w:val="auto"/>
              </w:rPr>
              <w:t>Q1 FY18 FROM Q4 FY17</w:t>
            </w:r>
          </w:p>
        </w:tc>
        <w:tc>
          <w:tcPr>
            <w:tcW w:w="120" w:type="dxa"/>
            <w:vAlign w:val="bottom"/>
          </w:tcPr>
          <w:p>
            <w:pPr>
              <w:spacing w:after="0"/>
              <w:rPr>
                <w:sz w:val="24"/>
                <w:szCs w:val="24"/>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b w:val="1"/>
                <w:bCs w:val="1"/>
                <w:color w:val="auto"/>
              </w:rPr>
              <w:t>Q1 FY18 FROM Q1 FY17</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7"/>
              </w:rPr>
              <w:t>Revenue in</w:t>
            </w:r>
          </w:p>
        </w:tc>
        <w:tc>
          <w:tcPr>
            <w:tcW w:w="1420" w:type="dxa"/>
            <w:vAlign w:val="bottom"/>
            <w:tcBorders>
              <w:top w:val="single" w:sz="8" w:color="auto"/>
            </w:tcBorders>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Percent</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7"/>
              </w:rPr>
              <w:t>Revenue in</w:t>
            </w:r>
          </w:p>
        </w:tc>
        <w:tc>
          <w:tcPr>
            <w:tcW w:w="1460" w:type="dxa"/>
            <w:vAlign w:val="bottom"/>
            <w:tcBorders>
              <w:top w:val="single" w:sz="8" w:color="auto"/>
            </w:tcBorders>
          </w:tcPr>
          <w:p>
            <w:pPr>
              <w:jc w:val="right"/>
              <w:ind w:right="53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8"/>
              </w:rPr>
              <w:t>Increase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Q1 FY18</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(Decrease)</w:t>
            </w:r>
          </w:p>
        </w:tc>
        <w:tc>
          <w:tcPr>
            <w:tcW w:w="12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Q1 FY18</w:t>
            </w: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IC</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jc w:val="center"/>
              <w:ind w:right="1010"/>
              <w:spacing w:after="0"/>
              <w:rPr>
                <w:sz w:val="20"/>
                <w:szCs w:val="20"/>
                <w:color w:val="auto"/>
              </w:rPr>
            </w:pPr>
            <w:r>
              <w:rPr>
                <w:rFonts w:ascii="Arial" w:cs="Arial" w:eastAsia="Arial" w:hAnsi="Arial"/>
                <w:sz w:val="18"/>
                <w:szCs w:val="18"/>
                <w:color w:val="auto"/>
                <w:w w:val="93"/>
              </w:rPr>
              <w:t>High-end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w:t>
            </w:r>
          </w:p>
        </w:tc>
        <w:tc>
          <w:tcPr>
            <w:tcW w:w="146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Mainstream</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62.3</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jc w:val="center"/>
              <w:ind w:right="1010"/>
              <w:spacing w:after="0"/>
              <w:rPr>
                <w:sz w:val="20"/>
                <w:szCs w:val="20"/>
                <w:color w:val="auto"/>
              </w:rPr>
            </w:pPr>
            <w:r>
              <w:rPr>
                <w:rFonts w:ascii="Arial" w:cs="Arial" w:eastAsia="Arial" w:hAnsi="Arial"/>
                <w:sz w:val="18"/>
                <w:szCs w:val="18"/>
                <w:color w:val="auto"/>
                <w:w w:val="89"/>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95.7</w:t>
            </w: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95.7</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10.7%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FPD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jc w:val="center"/>
              <w:ind w:right="1010"/>
              <w:spacing w:after="0"/>
              <w:rPr>
                <w:sz w:val="20"/>
                <w:szCs w:val="20"/>
                <w:color w:val="auto"/>
              </w:rPr>
            </w:pPr>
            <w:r>
              <w:rPr>
                <w:rFonts w:ascii="Arial" w:cs="Arial" w:eastAsia="Arial" w:hAnsi="Arial"/>
                <w:sz w:val="18"/>
                <w:szCs w:val="18"/>
                <w:color w:val="auto"/>
                <w:w w:val="93"/>
              </w:rPr>
              <w:t>High-end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18.7</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8.9%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Mainstream</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146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jc w:val="center"/>
              <w:ind w:right="1010"/>
              <w:spacing w:after="0"/>
              <w:rPr>
                <w:sz w:val="20"/>
                <w:szCs w:val="20"/>
                <w:color w:val="auto"/>
              </w:rPr>
            </w:pPr>
            <w:r>
              <w:rPr>
                <w:rFonts w:ascii="Arial" w:cs="Arial" w:eastAsia="Arial" w:hAnsi="Arial"/>
                <w:sz w:val="18"/>
                <w:szCs w:val="18"/>
                <w:color w:val="auto"/>
                <w:w w:val="89"/>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w:t>
            </w:r>
          </w:p>
        </w:tc>
        <w:tc>
          <w:tcPr>
            <w:tcW w:w="146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100" w:type="dxa"/>
            <w:vAlign w:val="bottom"/>
            <w:shd w:val="clear" w:color="auto" w:fill="CCEEFF"/>
          </w:tcPr>
          <w:p>
            <w:pPr>
              <w:jc w:val="center"/>
              <w:ind w:right="970"/>
              <w:spacing w:after="0"/>
              <w:rPr>
                <w:sz w:val="20"/>
                <w:szCs w:val="20"/>
                <w:color w:val="auto"/>
              </w:rPr>
            </w:pPr>
            <w:r>
              <w:rPr>
                <w:rFonts w:ascii="Arial" w:cs="Arial" w:eastAsia="Arial" w:hAnsi="Arial"/>
                <w:sz w:val="18"/>
                <w:szCs w:val="18"/>
                <w:color w:val="auto"/>
                <w:w w:val="88"/>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123.4</w:t>
            </w:r>
          </w:p>
        </w:tc>
        <w:tc>
          <w:tcPr>
            <w:tcW w:w="146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Revenue increased 2.0% in Q1 FY18, compared with Q4 FY17, mainly due to increased FPD and high-end IC revenues, partially offset by decreased mainstream IC sales. The high-end IC increase was driven by sales of high-end logic to Asian foundries. For FPD, demand for LCD masks improved as our customers released new designs in an effort to improve factory utilization. Sales of mainstream IC products were down due to seasonal softness.</w:t>
      </w:r>
    </w:p>
    <w:p>
      <w:pPr>
        <w:spacing w:after="0" w:line="17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Revenue increased 12.4% in Q1 FY18, compared with Q1 FY17, mainly due to increased FPD and high-end IC revenues, partially offset by decreased mainstream IC sales. The high-end IC increase was driven by high-end logic and memory sales to Asian foundries, as demand in the prior year had been soft for these products. For FPD, demand of LCD masks improved as our customers released new designs in an effort to improve factory utilization. Mainstream IC demand was softer compared to last year.</w:t>
      </w:r>
    </w:p>
    <w:p>
      <w:pPr>
        <w:sectPr>
          <w:pgSz w:w="11900" w:h="16838" w:orient="portrait"/>
          <w:cols w:equalWidth="0" w:num="1">
            <w:col w:w="11420"/>
          </w:cols>
          <w:pgMar w:left="240" w:top="122" w:right="2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Q1 FY18, we changed the threshold for the definition of high-end IC, from 45 nanometer or smaller to 28 nanometer or smaller, to reflect the overall advancement of technology in the semiconductor industry. All comparisons to prior period results in this MD&amp;A reflect this modification. Our definition of high-end FPD products remains as G8 and above and active matrix organic light-emitting diode (AMOLED) display screens. High-end photomasks typically have higher ASPs than mainstream products.</w:t>
      </w:r>
    </w:p>
    <w:p>
      <w:pPr>
        <w:spacing w:after="0" w:line="214"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The revenue momentum at the end of 2017 has continued into 2018. We anticipate that most of our high-end markets should continue to grow in Q2 FY18, the exception being high-end logic where, given the increase in business that we have experienced during the last two quarters, there may be a pause.</w:t>
      </w:r>
    </w:p>
    <w:p>
      <w:pPr>
        <w:spacing w:after="0" w:line="15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Our quarterly revenues can be affected by the seasonal purchasing tendencies of our customers. As a result, demand for our products is typically negatively impacted during the first, and sometimes the second, quarters of our fiscal year by the North American, European, and Asian holiday periods, as some of our customers reduce their development and, consequently, their buying activities during those periods.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changes in revenue from Q4 FY17 and Q1 FY17 to Q1 FY18 by geographic area: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10"/>
          </w:tcPr>
          <w:p>
            <w:pPr>
              <w:ind w:left="520"/>
              <w:spacing w:after="0"/>
              <w:rPr>
                <w:sz w:val="20"/>
                <w:szCs w:val="20"/>
                <w:color w:val="auto"/>
              </w:rPr>
            </w:pPr>
            <w:r>
              <w:rPr>
                <w:rFonts w:ascii="Arial" w:cs="Arial" w:eastAsia="Arial" w:hAnsi="Arial"/>
                <w:sz w:val="18"/>
                <w:szCs w:val="18"/>
                <w:b w:val="1"/>
                <w:bCs w:val="1"/>
                <w:color w:val="auto"/>
                <w:w w:val="97"/>
              </w:rPr>
              <w:t>Q1 FY18 FROM Q4 FY17</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gridSpan w:val="9"/>
          </w:tcPr>
          <w:p>
            <w:pPr>
              <w:ind w:left="620"/>
              <w:spacing w:after="0"/>
              <w:rPr>
                <w:sz w:val="20"/>
                <w:szCs w:val="20"/>
                <w:color w:val="auto"/>
              </w:rPr>
            </w:pPr>
            <w:r>
              <w:rPr>
                <w:rFonts w:ascii="Arial" w:cs="Arial" w:eastAsia="Arial" w:hAnsi="Arial"/>
                <w:sz w:val="18"/>
                <w:szCs w:val="18"/>
                <w:b w:val="1"/>
                <w:bCs w:val="1"/>
                <w:color w:val="auto"/>
              </w:rPr>
              <w:t>Q1 FY18 FROM Q1 FY17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5"/>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140" w:type="dxa"/>
            <w:vAlign w:val="bottom"/>
            <w:tcBorders>
              <w:top w:val="single" w:sz="8" w:color="auto"/>
            </w:tcBorders>
            <w:gridSpan w:val="4"/>
          </w:tcPr>
          <w:p>
            <w:pPr>
              <w:ind w:left="40"/>
              <w:spacing w:after="0" w:line="198" w:lineRule="exact"/>
              <w:rPr>
                <w:sz w:val="20"/>
                <w:szCs w:val="20"/>
                <w:color w:val="auto"/>
              </w:rPr>
            </w:pPr>
            <w:r>
              <w:rPr>
                <w:rFonts w:ascii="Arial" w:cs="Arial" w:eastAsia="Arial" w:hAnsi="Arial"/>
                <w:sz w:val="18"/>
                <w:szCs w:val="18"/>
                <w:b w:val="1"/>
                <w:bCs w:val="1"/>
                <w:color w:val="auto"/>
              </w:rPr>
              <w:t>Percent</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5"/>
              </w:rPr>
              <w:t>Increase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5"/>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160" w:type="dxa"/>
            <w:vAlign w:val="bottom"/>
            <w:tcBorders>
              <w:top w:val="single" w:sz="8" w:color="auto"/>
            </w:tcBorders>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w w:val="93"/>
              </w:rPr>
              <w:t>Percent</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Q1 FY18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2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4"/>
              </w:rPr>
              <w:t>(Decrease)</w:t>
            </w:r>
          </w:p>
        </w:tc>
        <w:tc>
          <w:tcPr>
            <w:tcW w:w="20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9"/>
              </w:rPr>
              <w:t>Q1 FY18</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Change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Korea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2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9"/>
          </w:tcPr>
          <w:p>
            <w:pPr>
              <w:ind w:left="20"/>
              <w:spacing w:after="0"/>
              <w:rPr>
                <w:sz w:val="20"/>
                <w:szCs w:val="20"/>
                <w:color w:val="auto"/>
              </w:rPr>
            </w:pPr>
            <w:r>
              <w:rPr>
                <w:rFonts w:ascii="Arial" w:cs="Arial" w:eastAsia="Arial" w:hAnsi="Arial"/>
                <w:sz w:val="18"/>
                <w:szCs w:val="18"/>
                <w:b w:val="1"/>
                <w:bCs w:val="1"/>
                <w:color w:val="auto"/>
                <w:w w:val="96"/>
              </w:rPr>
              <w:t>Three Months Ended</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3"/>
          </w:tcPr>
          <w:p>
            <w:pPr>
              <w:ind w:left="240"/>
              <w:spacing w:after="0" w:line="198" w:lineRule="exact"/>
              <w:rPr>
                <w:sz w:val="20"/>
                <w:szCs w:val="20"/>
                <w:color w:val="auto"/>
              </w:rPr>
            </w:pPr>
            <w:r>
              <w:rPr>
                <w:rFonts w:ascii="Arial" w:cs="Arial" w:eastAsia="Arial" w:hAnsi="Arial"/>
                <w:sz w:val="18"/>
                <w:szCs w:val="18"/>
                <w:b w:val="1"/>
                <w:bCs w:val="1"/>
                <w:color w:val="auto"/>
              </w:rPr>
              <w:t>Percent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rPr>
              <w:t>Percent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Q1 FY18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Q4 FY17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Q1 FY17</w:t>
            </w:r>
          </w:p>
        </w:tc>
        <w:tc>
          <w:tcPr>
            <w:tcW w:w="22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4"/>
          </w:tcPr>
          <w:p>
            <w:pPr>
              <w:spacing w:after="0"/>
              <w:rPr>
                <w:sz w:val="18"/>
                <w:szCs w:val="18"/>
                <w:color w:val="auto"/>
              </w:rPr>
            </w:pPr>
          </w:p>
        </w:tc>
        <w:tc>
          <w:tcPr>
            <w:tcW w:w="2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4"/>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79"/>
              </w:rPr>
              <w:t>27.7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1"/>
              </w:rPr>
              <w:t>26.4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w w:val="91"/>
              </w:rPr>
              <w:t>23.0</w:t>
            </w:r>
          </w:p>
        </w:tc>
        <w:tc>
          <w:tcPr>
            <w:tcW w:w="2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ind w:left="620"/>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20"/>
                <w:szCs w:val="20"/>
                <w:color w:val="auto"/>
              </w:rPr>
            </w:pPr>
          </w:p>
        </w:tc>
        <w:tc>
          <w:tcPr>
            <w:tcW w:w="1180" w:type="dxa"/>
            <w:vAlign w:val="bottom"/>
            <w:gridSpan w:val="5"/>
          </w:tcPr>
          <w:p>
            <w:pPr>
              <w:ind w:left="620"/>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ind w:left="660"/>
              <w:spacing w:after="0"/>
              <w:rPr>
                <w:sz w:val="20"/>
                <w:szCs w:val="20"/>
                <w:color w:val="auto"/>
              </w:rPr>
            </w:pPr>
            <w:r>
              <w:rPr>
                <w:rFonts w:ascii="Arial" w:cs="Arial" w:eastAsia="Arial" w:hAnsi="Arial"/>
                <w:sz w:val="18"/>
                <w:szCs w:val="18"/>
                <w:color w:val="auto"/>
              </w:rPr>
              <w:t>20.9%</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Gross profit and gross margin both increased in Q1 FY18 from Q4 FY17 as a result of increased revenue and reduced labor and overhead costs, with the greatest reductions experienced in equipment maintenance and outsourced manufacturing costs. These reductions were somewhat offset by increased material costs. Gross profit and gross margin increased in Q1 FY18, compared with Q1 FY17, primarily due to an increase in overall revenue, which was predominantly driven by increased sales of high-end IC photomasks. We operate in a high fixed cost environment and, to the extent that our revenues and utilization increase or decrease, our gross margin and gross profit will generally be positively or negatively impacted.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Selling, general and administrative expenses increased by $1.6 million, or 15.4%, to $11.8 million in Q1 FY18, from $10.2 million in Q4 FY17, primarily due to bad debt reserve adjustments that occurred in the prior quarter and increased professional fees in the current quarter. Selling, general and administrative expenses increased in Q1 FY18 by $0.9 million, or 8.1%, to $11.8 million, from $10.9 million in Q1 FY17, primarily as a result of increased professional fees, freight, and travel expenses, which increased as a result of activities related to our expansion into China.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Research and development expenses primarily consist of development efforts related to high-end process technologies for 28nm and below IC nodes, G8 and above FPDs, and AMOLED applications. Research and development expenses increased by $0.3 million, or 6.9%, to $4.1 million in Q1 FY18 from $3.8 million in Q4 FY17, and by $0.6 million, or 17.8%, from Q1 FY17, with both of the increases primarily resulting from increased customer qualification costs for high-end IC reticles in the U.S.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Q1 FY18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Q4 FY17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Q1 FY17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Other income (expense), net decreased in Q1 FY18 by $4.6 million and $2.0 million from Q4 FY17 and Q1 FY17, respectively. The decreases were primarily the result of significant foreign currency losses in Q1 FY18, while in Q4 FY17, we recognized a net gain, and in Q1 FY17, we recognized a more moderate loss from our cross-currency transactions.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Benefit (Provision)</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3"/>
              </w:rPr>
              <w:t>Three Months Ended</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Q1 FY18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Q4 FY17</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Q1 FY17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80" w:type="dxa"/>
            <w:vAlign w:val="bottom"/>
          </w:tcPr>
          <w:p>
            <w:pPr>
              <w:spacing w:after="0"/>
              <w:rPr>
                <w:sz w:val="20"/>
                <w:szCs w:val="20"/>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effective income tax rate is sensitive to the jurisdictional mix of earnings, due, in part, to the non-recognition of tax benefits on losses in jurisdictions with valuation allowances. The effective income tax rate decrease in Q1 FY18, compared with Q1 FY17 and Q4 FY17, is primarily attributable to the recognition of $3.9 million of previously unrecognized deferred tax benefits related to alternative minimum tax credits as a result of the U.S. Tax Cuts and Jobs Act ("Act"), which was signed into law on December 22, 2017 (See Note 8 to the condensed consolidated financial statements for further information), and an increase of deferred tax assets of $0.2 million, which was the result of an increase in the Taiwan tax rate. These benefits were partially offset by a higher percentage of income before income taxes being generated in jurisdictions where we recorded income tax provisions which, due to valuation allowances, were not offset by income tax benefits recorded in jurisdictions in which we incurred losses before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Net income attributable to noncontrolling interests was $3.6 million in Q1 FY18, which represented a decrease of $1.5 million and an increase of $1.0 million from Q4 FY17 and Q1 FY17, respectively. The changes from both comparative periods were due to changes in net income at our IC manufacturing facility in Taiwan, in which we hold a 50.01% ownership interest.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working capital at the end of Q1 FY18 was $404.3 million, compared with $367.3 million at the end of Q4 FY17, and our cash and cash equivalents increased in Q1 FY18 by $40.5 million from $308.6 million at October 29, 2017. Favorable effects of foreign currency exchange rates contributed $9.7 million to our increase in cash in Q1 FY18. Net cash provided by operating activities was $30.9 million in Q1 FY18, compared with $31.5 million in Q1 FY17, as increased net income and noncash expenses were exceeded by net cash consumed by operating assets and liabilities by $0.7 million. Net cash used in investing activities was $11.1 million in Q1 FY18, a decrease of $4.3 million from the $15.4 million used in Q1 FY17. The decrease was primarily attributable to cash of $5.4 million used to acquire a business in Q1 FY17, which was somewhat offset by a $1.4 million increase in purchases of property, plant and equipment in Q1 FY18. Cash flows from financing activities increased from funds used of $0.2 million in Q1 FY17 to $11.2 million provided in Q1 FY18, primarily due to the receipt of $12.0 million from a noncontrolling interest for their investment in our recently established IC business in China.</w:t>
      </w:r>
    </w:p>
    <w:p>
      <w:pPr>
        <w:spacing w:after="0" w:line="19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of January 28, 2018 and October 29, 2017, our total cash and cash equivalents included $213.3 million and $190.0 million, respectively, held by our foreign subsidiaries.</w:t>
      </w:r>
    </w:p>
    <w:p>
      <w:pPr>
        <w:spacing w:after="0" w:line="19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Our credit facility, which expires in December 2018, has a $50 million limit with an expansion capacity to $75 million, and is secured by substantially all of our assets located in the United States and the common stock of certain foreign subsidiaries. The credit facility is subject to a minimum interest coverage ratio, total leverage ratio and minimum unrestricted cash balance financial covenants, all of which we were in compliance with at January 28, 2018. We had no outstanding borrowings against the credit facility at January 28, 2018, and $50 million was available for borrowing. The interest rate on the credit facility (2.82% at January 28, 2018) is based on our total leverage ratio at LIBOR plus a spread, as defined in the credit facility.</w:t>
      </w:r>
    </w:p>
    <w:p>
      <w:pPr>
        <w:spacing w:after="0" w:line="18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As of January 28, 2018, we had capital commitments outstanding of approximately $190 million. We intend to finance our capital expenditures with our working capital, cash generated from operations, and, if necessary, additional borrowings. We have entered into a joint venture that is constructing an IC facility in China with an estimated total investment of $160 million. Our remaining funding commitment for the joint venture is approximately $68 million, over the next several years. We have also commenced construction of an FPD facility in China, in which we will invest $160 million over that same period. We believe that our cash on hand, cash generated from operations and amounts available to borrow will be sufficient to meet our cash requirements for the next twelve months. We regularly review the availability and terms at which we might issue additional equity or debt securities in the public or private markets. However, we cannot assure that additional sources of financing would be available to us on commercially favorable terms, should our capital requirements exceed our existing cash, cash generated by operations, and cash available under our credit facility.</w:t>
      </w:r>
    </w:p>
    <w:p>
      <w:pPr>
        <w:spacing w:after="0" w:line="193"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Our liquidity, as we operate in a high fixed cost environment, is highly dependent on our revenue, cash conversion cycle,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 Historically, in certain years, we have used external financing to fund these needs. Due to conditions in the credit markets and covenant restrictions on our existing debt, some financing instruments we have used in the past may not be available to us when required. Consequently, we cannot assure that additional sources of financing would be available to us on commercially favorable terms, should our long-term cash requirements exceed our existing cash and cash available under our credit facility.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January 2018, Photronics, through its wholly-owned Singapore subsidiary, and DNP, through its wholly owned subsidiary “DNP Asia Pacific PTE, Ltd.” entered into a joint venture under which DNP obtained a 49.99% interest in our IC business in Xiamen, China. The joint venture, known as “Photronics DNP Mask Corporation Xiamen” ( “PDMCX”), was established to develop and manufacture photomasks for leading edge and advanced generation semiconductors. Under the Joint Venture Operating Agreement of Photronics DNP Mask Corporation Xiamen (“the Agreement”), DNP is afforded, under certain circumstances, the right to put its interest in PDMCX to Photronics. These circumstances include disputes regarding the strategic direction of PDMCX, that arise after the initial two year term of the Agreement, that cannot be resolved between the two parties.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 Should DNP exercise an option to put their, or purchase our, interest in PDMCX we may, depending on the relationship of the fair and book value of PDMCX's net assets, incur a loss.</w:t>
      </w:r>
    </w:p>
    <w:p>
      <w:pPr>
        <w:spacing w:after="0" w:line="196" w:lineRule="exact"/>
        <w:rPr>
          <w:sz w:val="20"/>
          <w:szCs w:val="20"/>
          <w:color w:val="auto"/>
        </w:rPr>
      </w:pPr>
    </w:p>
    <w:p>
      <w:pPr>
        <w:ind w:right="300" w:firstLine="324"/>
        <w:spacing w:after="0" w:line="297" w:lineRule="auto"/>
        <w:rPr>
          <w:sz w:val="20"/>
          <w:szCs w:val="20"/>
          <w:color w:val="auto"/>
        </w:rPr>
      </w:pPr>
      <w:r>
        <w:rPr>
          <w:rFonts w:ascii="Arial" w:cs="Arial" w:eastAsia="Arial" w:hAnsi="Arial"/>
          <w:sz w:val="16"/>
          <w:szCs w:val="16"/>
          <w:color w:val="auto"/>
        </w:rPr>
        <w:t>In April 2014, we acquired a 50.01% controlling interest of PDMC, our IC manufacturing facility located in Taiwan. Under the PDMC joint venture operating agreement the shareholders of PDMC may be requested to make additional contributions to PDMC. In the event that PDMC requests additional capital from its shareholders, we may, in order to maintain a 50.01% ownership interest, be required to make such contributions to PDMC. The PDMC operating agreement limits the amount of contributions that may be requested during both PDMC’s first four years and during any individual year within those first four years. As of January 28, 2018, we had not been requested to make any additional capital contributions to PDMC.</w:t>
      </w:r>
    </w:p>
    <w:p>
      <w:pPr>
        <w:spacing w:after="0" w:line="15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lease certain office facilities and equipment under operating leases that may require us to pay taxes, insurance and maintenance expenses related to the properties. Certain of these leases contain renewal or purchase options exercisable at the end of the lease terms.</w:t>
      </w:r>
    </w:p>
    <w:p>
      <w:pPr>
        <w:sectPr>
          <w:pgSz w:w="11900" w:h="16838" w:orient="portrait"/>
          <w:cols w:equalWidth="0" w:num="1">
            <w:col w:w="11380"/>
          </w:cols>
          <w:pgMar w:left="240" w:top="121" w:right="27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A majority of our revenue growth is expected to continue to come from the Asian region, predominantly in China. In response to this expectation, we have entered into a joint venture that will complete the construction of an IC research and development and manufacturing facility in Xiamen, China, in late 2018. Production is anticipated to begin at this facility in 2019. In addition, in August 2017, we entered into an investment agreement to construct an FPD manufacturing facility in Hefei, China. Construction of this facility commenced in Q1 FY18, and production is anticipated to begin in 2019.</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continue to assess our global manufacturing strategy and monitor our revenue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20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future results of operations and the other forward-looking statements contained in this filing involve a number of risks and uncertainties. While various risks and uncertainties were discussed in Part1, Item 1A in our Annual Report on Form 10-K for the year ended October 29, 2017, a number of other unforeseen factors could cause actual results to differ materially from our expectations.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See “Item 1. Condensed Consolidated Financial Statements– Notes to Condensed Consolidated Financial Statements – Note 13 – Recent Accounting Pronouncements” for recent accounting pronouncements that may affect the Company’s financial reporting.</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renminbi and the Singapore dollar. The functional currencies of our European subsidiaries are the British pound and the euro. In addition, we have transactions and balances in Japanese yen.</w:t>
      </w:r>
    </w:p>
    <w:p>
      <w:pPr>
        <w:spacing w:after="0" w:line="21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manufacturing facility.</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217" w:lineRule="exact"/>
        <w:rPr>
          <w:sz w:val="20"/>
          <w:szCs w:val="20"/>
          <w:color w:val="auto"/>
        </w:rPr>
      </w:pPr>
    </w:p>
    <w:p>
      <w:pPr>
        <w:ind w:right="460" w:firstLine="324"/>
        <w:spacing w:after="0" w:line="286" w:lineRule="auto"/>
        <w:rPr>
          <w:sz w:val="20"/>
          <w:szCs w:val="20"/>
          <w:color w:val="auto"/>
        </w:rPr>
      </w:pPr>
      <w:r>
        <w:rPr>
          <w:rFonts w:ascii="Arial" w:cs="Arial" w:eastAsia="Arial" w:hAnsi="Arial"/>
          <w:sz w:val="17"/>
          <w:szCs w:val="17"/>
          <w:color w:val="auto"/>
        </w:rPr>
        <w:t>As of January 28, 2018, a 10% adverse movement in the value of currencies different than the functional currencies of our subsidiaries would have resulted in a net unrealized pre-tax loss of $16.0 million, which represents an increase of $3.0 million from October 29, 2017. The increase in foreign currency rate change risk is primarily the result of increased US and JPY denominated exposures in Taiwan and South Korea.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At January 28, 2018, we did not have any variable rate borrowings. A 10% change in interest rates would not have had a material effect on our consolidated financial position, results of operations, or cash flows in the three month period ended January 28, 2018.</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established and currently maintain disclosure controls and procedures, as such term is defined in Rules 13a-15(e) and 15d-15(e) of the Securities Exchange Act of 1934, as amended (the "Exchange Act"), designed to provide reasonable assurance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1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first quarter of fiscal year 2018 that has materially affected, or is reasonably likely to materially affect, our internal control over financial reporting.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There have been no material changes to risks relating to our business as disclosed in Part 1, Item 1A of our Form 10-K for the year ended October 29, 2017</w:t>
      </w:r>
      <w:r>
        <w:rPr>
          <w:rFonts w:ascii="Arial" w:cs="Arial" w:eastAsia="Arial" w:hAnsi="Arial"/>
          <w:sz w:val="18"/>
          <w:szCs w:val="18"/>
          <w:b w:val="1"/>
          <w:bCs w:val="1"/>
          <w:color w:val="auto"/>
        </w:rPr>
        <w:t>.</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56" w:lineRule="exact"/>
        <w:rPr>
          <w:sz w:val="20"/>
          <w:szCs w:val="20"/>
          <w:color w:val="auto"/>
        </w:rPr>
      </w:pPr>
    </w:p>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620"/>
        <w:spacing w:after="0"/>
        <w:tabs>
          <w:tab w:leader="none" w:pos="33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3"/>
            <w:shd w:val="clear" w:color="auto" w:fill="CCEEFF"/>
          </w:tcPr>
          <w:p>
            <w:pPr>
              <w:ind w:left="1620"/>
              <w:spacing w:after="0"/>
              <w:rPr>
                <w:rFonts w:ascii="Arial" w:cs="Arial" w:eastAsia="Arial" w:hAnsi="Arial"/>
                <w:sz w:val="18"/>
                <w:szCs w:val="18"/>
                <w:color w:val="0000EE"/>
              </w:rPr>
            </w:pPr>
            <w:hyperlink w:anchor="page26">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86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1"/>
              </w:rPr>
              <w:t>Certification of Chief Executive Officer pursuant to Rule 13a-14(a)/15d-14(a) of the Securities Exchange Act of</w:t>
            </w:r>
          </w:p>
        </w:tc>
      </w:tr>
      <w:tr>
        <w:trPr>
          <w:trHeight w:val="237"/>
        </w:trPr>
        <w:tc>
          <w:tcPr>
            <w:tcW w:w="16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86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0" w:type="dxa"/>
            <w:vAlign w:val="bottom"/>
          </w:tcPr>
          <w:p>
            <w:pPr>
              <w:spacing w:after="0"/>
              <w:rPr>
                <w:sz w:val="18"/>
                <w:szCs w:val="18"/>
                <w:color w:val="auto"/>
              </w:rPr>
            </w:pPr>
          </w:p>
        </w:tc>
      </w:tr>
      <w:tr>
        <w:trPr>
          <w:trHeight w:val="176"/>
        </w:trPr>
        <w:tc>
          <w:tcPr>
            <w:tcW w:w="2820" w:type="dxa"/>
            <w:vAlign w:val="bottom"/>
            <w:gridSpan w:val="3"/>
            <w:shd w:val="clear" w:color="auto" w:fill="CCEEFF"/>
          </w:tcPr>
          <w:p>
            <w:pPr>
              <w:ind w:left="16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860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2"/>
              </w:rPr>
              <w:t>Certification of Chief Financial Officer pursuant to Rule 13a-14(a)/15d-14(a) of the Securities Exchange Act of</w:t>
            </w:r>
          </w:p>
        </w:tc>
      </w:tr>
      <w:tr>
        <w:trPr>
          <w:trHeight w:val="237"/>
        </w:trPr>
        <w:tc>
          <w:tcPr>
            <w:tcW w:w="16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86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0" w:type="dxa"/>
            <w:vAlign w:val="bottom"/>
          </w:tcPr>
          <w:p>
            <w:pPr>
              <w:spacing w:after="0"/>
              <w:rPr>
                <w:sz w:val="18"/>
                <w:szCs w:val="18"/>
                <w:color w:val="auto"/>
              </w:rPr>
            </w:pPr>
          </w:p>
        </w:tc>
      </w:tr>
      <w:tr>
        <w:trPr>
          <w:trHeight w:val="176"/>
        </w:trPr>
        <w:tc>
          <w:tcPr>
            <w:tcW w:w="2820" w:type="dxa"/>
            <w:vAlign w:val="bottom"/>
            <w:gridSpan w:val="3"/>
            <w:shd w:val="clear" w:color="auto" w:fill="CCEEFF"/>
          </w:tcPr>
          <w:p>
            <w:pPr>
              <w:ind w:left="16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860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w:t>
            </w:r>
          </w:p>
        </w:tc>
      </w:tr>
      <w:tr>
        <w:trPr>
          <w:trHeight w:val="237"/>
        </w:trPr>
        <w:tc>
          <w:tcPr>
            <w:tcW w:w="16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86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of the Sarbanes-Oxley Act of 2002.</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0" w:type="dxa"/>
            <w:vAlign w:val="bottom"/>
          </w:tcPr>
          <w:p>
            <w:pPr>
              <w:spacing w:after="0"/>
              <w:rPr>
                <w:sz w:val="18"/>
                <w:szCs w:val="18"/>
                <w:color w:val="auto"/>
              </w:rPr>
            </w:pPr>
          </w:p>
        </w:tc>
      </w:tr>
      <w:tr>
        <w:trPr>
          <w:trHeight w:val="176"/>
        </w:trPr>
        <w:tc>
          <w:tcPr>
            <w:tcW w:w="2820" w:type="dxa"/>
            <w:vAlign w:val="bottom"/>
            <w:gridSpan w:val="3"/>
            <w:shd w:val="clear" w:color="auto" w:fill="CCEEFF"/>
          </w:tcPr>
          <w:p>
            <w:pPr>
              <w:ind w:left="16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860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w:t>
            </w:r>
          </w:p>
        </w:tc>
      </w:tr>
      <w:tr>
        <w:trPr>
          <w:trHeight w:val="237"/>
        </w:trPr>
        <w:tc>
          <w:tcPr>
            <w:tcW w:w="16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86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of the Sarbanes-Oxley Act of 2002.</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8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XBRL Instance Document</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8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8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8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8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8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59"/>
        </w:trPr>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0" w:type="dxa"/>
            <w:vAlign w:val="bottom"/>
          </w:tcPr>
          <w:p>
            <w:pPr>
              <w:ind w:left="2320"/>
              <w:spacing w:after="0"/>
              <w:rPr>
                <w:sz w:val="20"/>
                <w:szCs w:val="20"/>
                <w:color w:val="auto"/>
              </w:rPr>
            </w:pPr>
            <w:r>
              <w:rPr>
                <w:rFonts w:ascii="Arial" w:cs="Arial" w:eastAsia="Arial" w:hAnsi="Arial"/>
                <w:sz w:val="18"/>
                <w:szCs w:val="18"/>
                <w:b w:val="1"/>
                <w:bCs w:val="1"/>
                <w:color w:val="auto"/>
              </w:rPr>
              <w:t>SIGNATURES</w:t>
            </w:r>
          </w:p>
        </w:tc>
      </w:tr>
    </w:tbl>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19551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jc w:val="center"/>
        <w:ind w:right="762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2018</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Peter S. Kirlin, certify that:</w:t>
      </w:r>
    </w:p>
    <w:p>
      <w:pPr>
        <w:spacing w:after="0" w:line="25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80" w:hanging="644"/>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1800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27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P. Jordan, certify that:</w:t>
      </w:r>
    </w:p>
    <w:p>
      <w:pPr>
        <w:spacing w:after="0" w:line="25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80" w:hanging="644"/>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1800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27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Peter S. Kirlin, Chief Executive Officer of Photronics, Inc. (the “Company”), certify, to my knowledge, pursuant to Section 906 of the Sarbanes-Oxley Act of 2002, 18 U.S.C Section 1350, that:</w:t>
      </w:r>
    </w:p>
    <w:p>
      <w:pPr>
        <w:spacing w:after="0" w:line="197" w:lineRule="exact"/>
        <w:rPr>
          <w:sz w:val="20"/>
          <w:szCs w:val="20"/>
          <w:color w:val="auto"/>
        </w:rPr>
      </w:pPr>
    </w:p>
    <w:p>
      <w:pPr>
        <w:ind w:left="660" w:right="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January 28, 2018,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1800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 John P. Jordan, Chief Financial Officer of Photronics, Inc. (the “Company”), certify, to my knowledge, pursuant to Section 906 of the Sarbanes-Oxley Act of 2002, 18 U.S.C Section 1350, that:</w:t>
      </w:r>
    </w:p>
    <w:p>
      <w:pPr>
        <w:spacing w:after="0" w:line="197" w:lineRule="exact"/>
        <w:rPr>
          <w:sz w:val="20"/>
          <w:szCs w:val="20"/>
          <w:color w:val="auto"/>
        </w:rPr>
      </w:pPr>
    </w:p>
    <w:p>
      <w:pPr>
        <w:ind w:left="660" w:right="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January 28, 2018,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1800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2019-12-29T00:32:30Z</dcterms:created>
  <dcterms:modified xsi:type="dcterms:W3CDTF">2019-12-29T00:32:30Z</dcterms:modified>
</cp:coreProperties>
</file>