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6" w:lineRule="exact"/>
        <w:rPr>
          <w:sz w:val="24"/>
          <w:szCs w:val="24"/>
          <w:color w:val="auto"/>
        </w:rPr>
      </w:pPr>
    </w:p>
    <w:p>
      <w:pPr>
        <w:ind w:left="3820" w:right="1880" w:hanging="3812"/>
        <w:spacing w:after="0" w:line="277" w:lineRule="auto"/>
        <w:tabs>
          <w:tab w:leader="none" w:pos="49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February 2, 2020</w:t>
      </w:r>
    </w:p>
    <w:p>
      <w:pPr>
        <w:spacing w:after="0" w:line="170" w:lineRule="exact"/>
        <w:rPr>
          <w:sz w:val="24"/>
          <w:szCs w:val="24"/>
          <w:color w:val="auto"/>
        </w:rPr>
      </w:pPr>
    </w:p>
    <w:p>
      <w:pPr>
        <w:ind w:left="4100" w:right="1840" w:hanging="4092"/>
        <w:spacing w:after="0" w:line="532" w:lineRule="auto"/>
        <w:tabs>
          <w:tab w:leader="none" w:pos="49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168910</wp:posOffset>
            </wp:positionV>
            <wp:extent cx="53149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8"/>
              </w:rPr>
              <w:t>Connecticut</w:t>
            </w:r>
          </w:p>
        </w:tc>
        <w:tc>
          <w:tcPr>
            <w:tcW w:w="1840" w:type="dxa"/>
            <w:vAlign w:val="bottom"/>
          </w:tcPr>
          <w:p>
            <w:pPr>
              <w:spacing w:after="0"/>
              <w:rPr>
                <w:sz w:val="19"/>
                <w:szCs w:val="19"/>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4960" w:type="dxa"/>
            <w:vAlign w:val="bottom"/>
            <w:gridSpan w:val="2"/>
          </w:tcPr>
          <w:p>
            <w:pPr>
              <w:jc w:val="center"/>
              <w:ind w:left="4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496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4960" w:type="dxa"/>
            <w:vAlign w:val="bottom"/>
            <w:gridSpan w:val="2"/>
          </w:tcPr>
          <w:p>
            <w:pPr>
              <w:jc w:val="center"/>
              <w:ind w:left="4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49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(203) 775-9000</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231F20"/>
              </w:rPr>
              <w:t>Securities registered pursuant to Section 12(b) of the Act:</w:t>
            </w: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0"/>
        </w:trPr>
        <w:tc>
          <w:tcPr>
            <w:tcW w:w="3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231F20"/>
                <w:w w:val="91"/>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PREFERRED STOCK PURCHASE RIGHTS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N/A</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229"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927" w:right="339" w:bottom="902" w:gutter="0" w:footer="0" w:header="0"/>
        </w:sectPr>
      </w:pP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48"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927" w:right="339" w:bottom="902"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65,119,738 shares of common stock outstanding as of March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902"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2"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business, and political conditions in both domestic as well as international markets; pandemics affecting our labor force, customers or suppliers;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construction of new facilities and assembly of new equipment; dilutive issuances of the Company’s stock; the ability of the Company to (i) place new equipment in service on a timely basis; (ii) obtain additional financing; (iii) achieve anticipated synergies and cost savings; (iv) fully utilize its tools; (v) achieve desired yields, pricing, product mix, and market acceptance of its products and</w:t>
      </w:r>
    </w:p>
    <w:p>
      <w:pPr>
        <w:spacing w:after="0" w:line="10" w:lineRule="exact"/>
        <w:rPr>
          <w:sz w:val="20"/>
          <w:szCs w:val="20"/>
          <w:color w:val="auto"/>
        </w:rPr>
      </w:pPr>
    </w:p>
    <w:p>
      <w:pPr>
        <w:ind w:right="240" w:firstLine="8"/>
        <w:spacing w:after="0" w:line="253"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necessary import and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00" w:type="dxa"/>
            <w:vAlign w:val="bottom"/>
            <w:gridSpan w:val="8"/>
          </w:tcPr>
          <w:p>
            <w:pPr>
              <w:jc w:val="center"/>
              <w:ind w:right="2980"/>
              <w:spacing w:after="0"/>
              <w:rPr>
                <w:sz w:val="20"/>
                <w:szCs w:val="20"/>
                <w:color w:val="auto"/>
              </w:rPr>
            </w:pPr>
            <w:r>
              <w:rPr>
                <w:rFonts w:ascii="Arial" w:cs="Arial" w:eastAsia="Arial" w:hAnsi="Arial"/>
                <w:sz w:val="18"/>
                <w:szCs w:val="18"/>
                <w:b w:val="1"/>
                <w:bCs w:val="1"/>
                <w:color w:val="auto"/>
              </w:rPr>
              <w:t>PHOTRONICS, INC.</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40" w:type="dxa"/>
            <w:vAlign w:val="bottom"/>
            <w:gridSpan w:val="6"/>
          </w:tcPr>
          <w:p>
            <w:pPr>
              <w:jc w:val="center"/>
              <w:ind w:right="3320"/>
              <w:spacing w:after="0"/>
              <w:rPr>
                <w:sz w:val="20"/>
                <w:szCs w:val="20"/>
                <w:color w:val="auto"/>
              </w:rPr>
            </w:pPr>
            <w:r>
              <w:rPr>
                <w:rFonts w:ascii="Arial" w:cs="Arial" w:eastAsia="Arial" w:hAnsi="Arial"/>
                <w:sz w:val="18"/>
                <w:szCs w:val="18"/>
                <w:b w:val="1"/>
                <w:bCs w:val="1"/>
                <w:color w:val="auto"/>
              </w:rPr>
              <w:t>INDEX</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04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17"/>
                <w:szCs w:val="17"/>
                <w:color w:val="auto"/>
              </w:rPr>
            </w:pP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17"/>
                <w:szCs w:val="17"/>
                <w:color w:val="auto"/>
              </w:rPr>
            </w:pP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17"/>
                <w:szCs w:val="17"/>
                <w:color w:val="auto"/>
              </w:rPr>
            </w:pP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17"/>
                <w:szCs w:val="17"/>
                <w:color w:val="auto"/>
              </w:rPr>
            </w:pP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17"/>
                <w:szCs w:val="17"/>
                <w:color w:val="auto"/>
              </w:rPr>
            </w:pP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rPr>
                <w:sz w:val="17"/>
                <w:szCs w:val="17"/>
                <w:color w:val="auto"/>
              </w:rPr>
            </w:pP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040" w:type="dxa"/>
            <w:vAlign w:val="bottom"/>
            <w:gridSpan w:val="1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980" w:type="dxa"/>
            <w:vAlign w:val="bottom"/>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6980" w:type="dxa"/>
            <w:vAlign w:val="bottom"/>
            <w:gridSpan w:val="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8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6980" w:type="dxa"/>
            <w:vAlign w:val="bottom"/>
            <w:gridSpan w:val="5"/>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28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40" w:type="dxa"/>
            <w:vAlign w:val="bottom"/>
            <w:tcBorders>
              <w:top w:val="single" w:sz="8" w:color="0000EE"/>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6980" w:type="dxa"/>
            <w:vAlign w:val="bottom"/>
            <w:gridSpan w:val="5"/>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28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6380" w:type="dxa"/>
            <w:vAlign w:val="bottom"/>
            <w:gridSpan w:val="4"/>
          </w:tcPr>
          <w:p>
            <w:pPr>
              <w:spacing w:after="0"/>
              <w:rPr>
                <w:sz w:val="15"/>
                <w:szCs w:val="15"/>
                <w:color w:val="auto"/>
              </w:rPr>
            </w:pPr>
          </w:p>
        </w:tc>
        <w:tc>
          <w:tcPr>
            <w:tcW w:w="28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1420" w:type="dxa"/>
            <w:vAlign w:val="bottom"/>
          </w:tcPr>
          <w:p>
            <w:pPr>
              <w:spacing w:after="0"/>
              <w:rPr>
                <w:sz w:val="24"/>
                <w:szCs w:val="24"/>
                <w:color w:val="auto"/>
              </w:rPr>
            </w:pPr>
          </w:p>
        </w:tc>
        <w:tc>
          <w:tcPr>
            <w:tcW w:w="4340" w:type="dxa"/>
            <w:vAlign w:val="bottom"/>
            <w:gridSpan w:val="4"/>
          </w:tcPr>
          <w:p>
            <w:pPr>
              <w:ind w:left="4160"/>
              <w:spacing w:after="0"/>
              <w:rPr>
                <w:sz w:val="20"/>
                <w:szCs w:val="20"/>
                <w:color w:val="auto"/>
              </w:rPr>
            </w:pPr>
            <w:r>
              <w:rPr>
                <w:rFonts w:ascii="Arial" w:cs="Arial" w:eastAsia="Arial" w:hAnsi="Arial"/>
                <w:sz w:val="18"/>
                <w:szCs w:val="18"/>
                <w:color w:val="auto"/>
              </w:rPr>
              <w:t>3</w:t>
            </w:r>
          </w:p>
        </w:tc>
        <w:tc>
          <w:tcPr>
            <w:tcW w:w="2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54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7540" w:type="dxa"/>
            <w:vAlign w:val="bottom"/>
          </w:tcPr>
          <w:p>
            <w:pPr>
              <w:jc w:val="center"/>
              <w:ind w:left="133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140" w:type="dxa"/>
            <w:vAlign w:val="bottom"/>
          </w:tcPr>
          <w:p>
            <w:pPr>
              <w:spacing w:after="0"/>
              <w:rPr>
                <w:sz w:val="19"/>
                <w:szCs w:val="19"/>
                <w:color w:val="auto"/>
              </w:rPr>
            </w:pPr>
          </w:p>
        </w:tc>
        <w:tc>
          <w:tcPr>
            <w:tcW w:w="754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7540" w:type="dxa"/>
            <w:vAlign w:val="bottom"/>
          </w:tcPr>
          <w:p>
            <w:pPr>
              <w:jc w:val="center"/>
              <w:ind w:left="13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754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February 2,</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October 31,</w:t>
            </w:r>
          </w:p>
        </w:tc>
      </w:tr>
      <w:tr>
        <w:trPr>
          <w:trHeight w:val="241"/>
        </w:trPr>
        <w:tc>
          <w:tcPr>
            <w:tcW w:w="114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7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206,530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of $1,295 in 2020 and $1,334 in 2019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134,454</w:t>
            </w:r>
          </w:p>
        </w:tc>
      </w:tr>
      <w:tr>
        <w:trPr>
          <w:trHeight w:val="216"/>
        </w:trPr>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7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48,155</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31,202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38,388</w:t>
            </w: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440,904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427,527</w:t>
            </w: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632,441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17,594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20,779</w:t>
            </w:r>
          </w:p>
        </w:tc>
      </w:tr>
      <w:tr>
        <w:trPr>
          <w:trHeight w:val="22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40,180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30,048</w:t>
            </w:r>
          </w:p>
        </w:tc>
      </w:tr>
      <w:tr>
        <w:trPr>
          <w:trHeight w:val="216"/>
        </w:trPr>
        <w:tc>
          <w:tcPr>
            <w:tcW w:w="1140" w:type="dxa"/>
            <w:vAlign w:val="bottom"/>
            <w:tcBorders>
              <w:top w:val="single" w:sz="8" w:color="CCEEFF"/>
            </w:tcBorders>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5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1,125,460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1,118,665</w:t>
            </w:r>
          </w:p>
        </w:tc>
      </w:tr>
      <w:tr>
        <w:trPr>
          <w:trHeight w:val="210"/>
        </w:trPr>
        <w:tc>
          <w:tcPr>
            <w:tcW w:w="86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91,379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55,013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49,702</w:t>
            </w: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151,954</w:t>
            </w:r>
          </w:p>
        </w:tc>
        <w:tc>
          <w:tcPr>
            <w:tcW w:w="100" w:type="dxa"/>
            <w:vAlign w:val="bottom"/>
          </w:tcPr>
          <w:p>
            <w:pPr>
              <w:spacing w:after="0"/>
              <w:rPr>
                <w:sz w:val="19"/>
                <w:szCs w:val="19"/>
                <w:color w:val="auto"/>
              </w:rPr>
            </w:pPr>
          </w:p>
        </w:tc>
      </w:tr>
      <w:tr>
        <w:trPr>
          <w:trHeight w:val="216"/>
        </w:trPr>
        <w:tc>
          <w:tcPr>
            <w:tcW w:w="114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1"/>
              </w:rPr>
              <w:t>Long-term debt</w:t>
            </w:r>
          </w:p>
        </w:tc>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36,449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41,887</w:t>
            </w:r>
          </w:p>
        </w:tc>
      </w:tr>
      <w:tr>
        <w:trPr>
          <w:trHeight w:val="223"/>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liabilities</w:t>
            </w:r>
          </w:p>
        </w:tc>
        <w:tc>
          <w:tcPr>
            <w:tcW w:w="7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18,556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w:t>
            </w:r>
          </w:p>
        </w:tc>
      </w:tr>
      <w:tr>
        <w:trPr>
          <w:trHeight w:val="216"/>
        </w:trPr>
        <w:tc>
          <w:tcPr>
            <w:tcW w:w="86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207,573</w:t>
            </w: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Common stock, $0.01 par value, 150,000 shares authorized, 66,144 shares issued and 65,228 outstanding at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February 2, 2020 and 65,595 shares issued and outstanding at October 31, 2019</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524,319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253,922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Treasury stock, 916 shares at February 2, 2020</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w:t>
            </w:r>
          </w:p>
        </w:tc>
      </w:tr>
      <w:tr>
        <w:trPr>
          <w:trHeight w:val="216"/>
        </w:trPr>
        <w:tc>
          <w:tcPr>
            <w:tcW w:w="86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769,892</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142,125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141,200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912,801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911,092</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1,125,460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1,118,665</w:t>
            </w:r>
          </w:p>
        </w:tc>
      </w:tr>
      <w:tr>
        <w:trPr>
          <w:trHeight w:val="21"/>
        </w:trPr>
        <w:tc>
          <w:tcPr>
            <w:tcW w:w="11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2" w:right="339" w:bottom="114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49"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4"/>
              </w:rPr>
              <w:t>February 2,</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124,712</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125,134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98,610</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26,102</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13,792</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18,299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18,055</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8,047</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Interest income and other income (expense),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9,155</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r>
      <w:tr>
        <w:trPr>
          <w:trHeight w:val="209"/>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09"/>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65,554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66,583</w:t>
            </w:r>
          </w:p>
        </w:tc>
      </w:tr>
      <w:tr>
        <w:trPr>
          <w:trHeight w:val="209"/>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66,449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67,047</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 of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6,572</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6,591</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14,359</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10,576</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Three Months Ended February 2,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96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92"/>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65,595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employee stock</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and purchase 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vesting and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subsidiary</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0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Balance at February 2,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66,144</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528,535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264,222</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2"/>
          </w:tcPr>
          <w:p>
            <w:pPr>
              <w:jc w:val="right"/>
              <w:ind w:right="880"/>
              <w:spacing w:after="0"/>
              <w:rPr>
                <w:sz w:val="20"/>
                <w:szCs w:val="20"/>
                <w:color w:val="auto"/>
              </w:rPr>
            </w:pPr>
            <w:r>
              <w:rPr>
                <w:rFonts w:ascii="Arial" w:cs="Arial" w:eastAsia="Arial" w:hAnsi="Arial"/>
                <w:sz w:val="18"/>
                <w:szCs w:val="18"/>
                <w:b w:val="1"/>
                <w:bCs w:val="1"/>
                <w:color w:val="auto"/>
              </w:rPr>
              <w:t>Three Months Ended January 27, 2019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Photronics, Inc. Shareholders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Capital</w:t>
            </w:r>
          </w:p>
        </w:tc>
        <w:tc>
          <w:tcPr>
            <w:tcW w:w="22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19"/>
                <w:szCs w:val="19"/>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(Loss) Income</w:t>
            </w:r>
          </w:p>
        </w:tc>
        <w:tc>
          <w:tcPr>
            <w:tcW w:w="10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at October 31, 2018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69,700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3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904,569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2014-09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Adoption of ASU 2016-16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6"/>
              </w:rPr>
              <w:t>Other comprehensive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employee stock</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and purchase plans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vesting and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29,394</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(26,102)</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5"/>
              </w:rPr>
              <w:t>Repurchase of common stock</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of subsidiary</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0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Balance at January 27,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69,917</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557,188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236,665</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122"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22"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(9,333)</w:t>
            </w:r>
          </w:p>
        </w:tc>
      </w:tr>
      <w:tr>
        <w:trPr>
          <w:trHeight w:val="216"/>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(2,313)</w:t>
            </w:r>
          </w:p>
        </w:tc>
      </w:tr>
      <w:tr>
        <w:trPr>
          <w:trHeight w:val="216"/>
        </w:trPr>
        <w:tc>
          <w:tcPr>
            <w:tcW w:w="868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(22,082)</w:t>
            </w:r>
          </w:p>
        </w:tc>
      </w:tr>
      <w:tr>
        <w:trPr>
          <w:trHeight w:val="223"/>
        </w:trPr>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(13,169)</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30,785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(19,286)</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(13,807)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(106,925)</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(11,529)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(101,877)</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(10,696)</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29,394</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Dividends paid to noncontrolling interest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(26,102)</w:t>
            </w:r>
          </w:p>
        </w:tc>
      </w:tr>
      <w:tr>
        <w:trPr>
          <w:trHeight w:val="22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(96,821)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209,291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331,989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221,085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235,168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30,697</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with funds receivable from government incentives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flat-panel displays ("FPDs"), and are used as masters to transfer circuit patterns onto semiconductor wafers and FPD substrates during the fabrication of integrated circuits ("ICs" or “semiconductors”) and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fiscal 2019 and our IC facility in Xiamen, China, commenced production in the third quarter of fiscal 2019.</w:t>
      </w:r>
    </w:p>
    <w:p>
      <w:pPr>
        <w:spacing w:after="0" w:line="222"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The accompanying unaudited condensed consolidated financial statements (“the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financial statements include the accounts of Photronics, Inc., its wholly owned subsidiaries, and the majority-owned subsidiaries which it controls. All intercompany balances and transactions have been eliminated in consolidation.</w:t>
      </w:r>
    </w:p>
    <w:p>
      <w:pPr>
        <w:spacing w:after="0" w:line="191"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Actual results we report may differ from such estimates. We review these estimates periodically and reflect any effects of revisions in the period in which they are determined.</w:t>
      </w:r>
    </w:p>
    <w:p>
      <w:pPr>
        <w:spacing w:after="0" w:line="215" w:lineRule="exact"/>
        <w:rPr>
          <w:sz w:val="20"/>
          <w:szCs w:val="20"/>
          <w:color w:val="auto"/>
        </w:rPr>
      </w:pPr>
    </w:p>
    <w:p>
      <w:pPr>
        <w:ind w:right="260" w:firstLine="162"/>
        <w:spacing w:after="0" w:line="279" w:lineRule="auto"/>
        <w:rPr>
          <w:sz w:val="20"/>
          <w:szCs w:val="20"/>
          <w:color w:val="auto"/>
        </w:rPr>
      </w:pPr>
      <w:r>
        <w:rPr>
          <w:rFonts w:ascii="Arial" w:cs="Arial" w:eastAsia="Arial" w:hAnsi="Arial"/>
          <w:sz w:val="17"/>
          <w:szCs w:val="17"/>
          <w:color w:val="auto"/>
        </w:rPr>
        <w:t>Our business is typically impacted during the first, and sometimes the second, quarters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2020. For further information, refer to the consolidated financial statements, and notes thereto, included in our Annual Report on Form 10-K for the year ended October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February 2,</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2"/>
              </w:rPr>
              <w:t>October 31,</w:t>
            </w:r>
          </w:p>
        </w:tc>
        <w:tc>
          <w:tcPr>
            <w:tcW w:w="3380" w:type="dxa"/>
            <w:vAlign w:val="bottom"/>
          </w:tcPr>
          <w:p>
            <w:pPr>
              <w:spacing w:after="0"/>
              <w:rPr>
                <w:sz w:val="18"/>
                <w:szCs w:val="18"/>
                <w:color w:val="auto"/>
              </w:rPr>
            </w:pPr>
          </w:p>
        </w:tc>
      </w:tr>
      <w:tr>
        <w:trPr>
          <w:trHeight w:val="241"/>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380" w:type="dxa"/>
            <w:vAlign w:val="bottom"/>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46,027</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Work in process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2,981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2,122</w:t>
            </w:r>
          </w:p>
        </w:tc>
        <w:tc>
          <w:tcPr>
            <w:tcW w:w="3380" w:type="dxa"/>
            <w:vAlign w:val="bottom"/>
          </w:tcPr>
          <w:p>
            <w:pPr>
              <w:spacing w:after="0"/>
              <w:rPr>
                <w:sz w:val="18"/>
                <w:szCs w:val="18"/>
                <w:color w:val="auto"/>
              </w:rPr>
            </w:pPr>
          </w:p>
        </w:tc>
      </w:tr>
      <w:tr>
        <w:trPr>
          <w:trHeight w:val="22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380" w:type="dxa"/>
            <w:vAlign w:val="bottom"/>
          </w:tcPr>
          <w:p>
            <w:pPr>
              <w:spacing w:after="0"/>
              <w:rPr>
                <w:sz w:val="19"/>
                <w:szCs w:val="19"/>
                <w:color w:val="auto"/>
              </w:rPr>
            </w:pPr>
          </w:p>
        </w:tc>
      </w:tr>
      <w:tr>
        <w:trPr>
          <w:trHeight w:val="216"/>
        </w:trPr>
        <w:tc>
          <w:tcPr>
            <w:tcW w:w="338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57"/>
        </w:trPr>
        <w:tc>
          <w:tcPr>
            <w:tcW w:w="3380" w:type="dxa"/>
            <w:vAlign w:val="bottom"/>
            <w:shd w:val="clear" w:color="auto" w:fill="CCEEFF"/>
          </w:tcPr>
          <w:p>
            <w:pPr>
              <w:spacing w:after="0"/>
              <w:rPr>
                <w:sz w:val="22"/>
                <w:szCs w:val="22"/>
                <w:color w:val="auto"/>
              </w:rPr>
            </w:pP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48,155</w:t>
            </w:r>
          </w:p>
        </w:tc>
        <w:tc>
          <w:tcPr>
            <w:tcW w:w="3380" w:type="dxa"/>
            <w:vAlign w:val="bottom"/>
          </w:tcPr>
          <w:p>
            <w:pPr>
              <w:spacing w:after="0"/>
              <w:rPr>
                <w:sz w:val="22"/>
                <w:szCs w:val="22"/>
                <w:color w:val="auto"/>
              </w:rPr>
            </w:pPr>
          </w:p>
        </w:tc>
      </w:tr>
      <w:tr>
        <w:trPr>
          <w:trHeight w:val="884"/>
        </w:trPr>
        <w:tc>
          <w:tcPr>
            <w:tcW w:w="338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r>
        <w:trPr>
          <w:trHeight w:val="61"/>
        </w:trPr>
        <w:tc>
          <w:tcPr>
            <w:tcW w:w="338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32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Property, plant and equipment consists of the following:</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1"/>
        </w:trPr>
        <w:tc>
          <w:tcPr>
            <w:tcW w:w="3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February 2,</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October 31,</w:t>
            </w:r>
          </w:p>
        </w:tc>
      </w:tr>
      <w:tr>
        <w:trPr>
          <w:trHeight w:val="241"/>
        </w:trPr>
        <w:tc>
          <w:tcPr>
            <w:tcW w:w="3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6"/>
        </w:trPr>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172,340</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1,759,785</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1,748,483</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19,921</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14,404</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28,135</w:t>
            </w:r>
          </w:p>
        </w:tc>
      </w:tr>
      <w:tr>
        <w:trPr>
          <w:trHeight w:val="216"/>
        </w:trPr>
        <w:tc>
          <w:tcPr>
            <w:tcW w:w="3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1,998,183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1,995,368</w:t>
            </w:r>
          </w:p>
        </w:tc>
      </w:tr>
      <w:tr>
        <w:trPr>
          <w:trHeight w:val="223"/>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(1,378,248)</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(1,362,927)</w:t>
            </w:r>
          </w:p>
        </w:tc>
      </w:tr>
      <w:tr>
        <w:trPr>
          <w:trHeight w:val="216"/>
        </w:trPr>
        <w:tc>
          <w:tcPr>
            <w:tcW w:w="32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7"/>
        </w:trPr>
        <w:tc>
          <w:tcPr>
            <w:tcW w:w="3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619,935</w:t>
            </w: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632,441</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Depreciation and amortization expense for property, plant and equipment was $23.5 million and $17.6 million for the three-month periods ended February 2, 2020 and January 27,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PDMCX JOINT VENTURE</w:t>
      </w:r>
    </w:p>
    <w:p>
      <w:pPr>
        <w:spacing w:after="0" w:line="25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January 2018, Photronics, through its wholly owned Singapore subsidiary (hereinafter, within this Note “we”, “Photronics”, or “our”), and Dai Nippon Printing Co., Ltd., through its wholly owned subsidiary “DNP Asia Pacific PTE, Ltd.” (hereinafter, within this Note, “DNP”) entered into a joint venture under which DNP obtained a 49.99% interest in our IC business in Xiamen, China. The joint venture, known as “Xiamen American Japan Photronics Mask Co., Ltd.”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2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total investment per the PDMCX operating agreement (“the Agreement”) is $160 million. As of February 2, 2020, Photronics and DNP had each contributed cash of approximately $48 million, and PDMCX obtained local financing of approximately $35 million. The remaining $29 million investment will be funded, over the next several quarters, with additional local financing of $15 million and approximately $14 million of cash contributions from Photronics and DNP. As discussed in Note 5, liens were granted to a financing entity on assets with a total carrying value of $92.9 million, as collateral for loans.</w:t>
      </w:r>
    </w:p>
    <w:p>
      <w:pPr>
        <w:spacing w:after="0" w:line="21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recorded net losses from the operations of PDMCX of $3.7 million, and $1.3 million during the three-month periods ended February 2, 2020 and January 27, 2019, respectively. General creditors of PDMCX do not have recourse to the assets of Photronics, Inc., and our maximum exposure to loss from PDMCX at February 2, 2020, was $36.6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As required by the guidance in Topic 810 - “Consolidation” of the Accounting Standards Codification,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Inc.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was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w:t>
      </w:r>
    </w:p>
    <w:p>
      <w:pPr>
        <w:spacing w:after="0" w:line="4"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50.01% variable interest we held during the current and prior-year periods, we had the obligation to absorb losses, and the right to receive benefits, that could potentially be significant to PDMCX.</w:t>
      </w:r>
    </w:p>
    <w:p>
      <w:pPr>
        <w:spacing w:after="0" w:line="21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7"/>
          </w:tcPr>
          <w:p>
            <w:pPr>
              <w:ind w:left="240"/>
              <w:spacing w:after="0"/>
              <w:rPr>
                <w:sz w:val="20"/>
                <w:szCs w:val="20"/>
                <w:color w:val="auto"/>
              </w:rPr>
            </w:pPr>
            <w:r>
              <w:rPr>
                <w:rFonts w:ascii="Arial" w:cs="Arial" w:eastAsia="Arial" w:hAnsi="Arial"/>
                <w:sz w:val="18"/>
                <w:szCs w:val="18"/>
                <w:b w:val="1"/>
                <w:bCs w:val="1"/>
                <w:color w:val="auto"/>
              </w:rPr>
              <w:t>February 2, 2020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October 31, 2019</w:t>
            </w:r>
          </w:p>
        </w:tc>
        <w:tc>
          <w:tcPr>
            <w:tcW w:w="2260" w:type="dxa"/>
            <w:vAlign w:val="bottom"/>
          </w:tcPr>
          <w:p>
            <w:pPr>
              <w:spacing w:after="0"/>
              <w:rPr>
                <w:sz w:val="22"/>
                <w:szCs w:val="22"/>
                <w:color w:val="auto"/>
              </w:rPr>
            </w:pPr>
          </w:p>
        </w:tc>
      </w:tr>
      <w:tr>
        <w:trPr>
          <w:trHeight w:val="198"/>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Carrying</w:t>
            </w: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right"/>
              <w:ind w:right="40"/>
              <w:spacing w:after="0" w:line="198" w:lineRule="exact"/>
              <w:rPr>
                <w:sz w:val="20"/>
                <w:szCs w:val="20"/>
                <w:color w:val="auto"/>
              </w:rPr>
            </w:pPr>
            <w:r>
              <w:rPr>
                <w:rFonts w:ascii="Arial" w:cs="Arial" w:eastAsia="Arial" w:hAnsi="Arial"/>
                <w:sz w:val="18"/>
                <w:szCs w:val="18"/>
                <w:b w:val="1"/>
                <w:bCs w:val="1"/>
                <w:color w:val="auto"/>
                <w:w w:val="91"/>
              </w:rPr>
              <w:t>Photronics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100"/>
              <w:spacing w:after="0" w:line="198" w:lineRule="exact"/>
              <w:rPr>
                <w:sz w:val="20"/>
                <w:szCs w:val="20"/>
                <w:color w:val="auto"/>
              </w:rPr>
            </w:pPr>
            <w:r>
              <w:rPr>
                <w:rFonts w:ascii="Arial" w:cs="Arial" w:eastAsia="Arial" w:hAnsi="Arial"/>
                <w:sz w:val="18"/>
                <w:szCs w:val="18"/>
                <w:b w:val="1"/>
                <w:bCs w:val="1"/>
                <w:color w:val="auto"/>
                <w:w w:val="91"/>
              </w:rPr>
              <w:t>Carrying</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6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7"/>
              </w:rPr>
              <w:t>11,821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12,074</w:t>
            </w:r>
          </w:p>
        </w:tc>
        <w:tc>
          <w:tcPr>
            <w:tcW w:w="2260" w:type="dxa"/>
            <w:vAlign w:val="bottom"/>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110,296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55,159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114,015</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57,019</w:t>
            </w:r>
          </w:p>
        </w:tc>
        <w:tc>
          <w:tcPr>
            <w:tcW w:w="22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133,934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66,980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138,157</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69,093</w:t>
            </w:r>
          </w:p>
        </w:tc>
        <w:tc>
          <w:tcPr>
            <w:tcW w:w="22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24,044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12,024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8,446</w:t>
            </w:r>
          </w:p>
        </w:tc>
        <w:tc>
          <w:tcPr>
            <w:tcW w:w="2260" w:type="dxa"/>
            <w:vAlign w:val="bottom"/>
          </w:tcPr>
          <w:p>
            <w:pPr>
              <w:spacing w:after="0"/>
              <w:rPr>
                <w:sz w:val="18"/>
                <w:szCs w:val="18"/>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36,716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18,362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21,051</w:t>
            </w:r>
          </w:p>
        </w:tc>
        <w:tc>
          <w:tcPr>
            <w:tcW w:w="2260" w:type="dxa"/>
            <w:vAlign w:val="bottom"/>
          </w:tcPr>
          <w:p>
            <w:pPr>
              <w:spacing w:after="0"/>
              <w:rPr>
                <w:sz w:val="19"/>
                <w:szCs w:val="19"/>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60,760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30,386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58,983</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29,497</w:t>
            </w:r>
          </w:p>
        </w:tc>
        <w:tc>
          <w:tcPr>
            <w:tcW w:w="2260" w:type="dxa"/>
            <w:vAlign w:val="bottom"/>
          </w:tcPr>
          <w:p>
            <w:pPr>
              <w:spacing w:after="0"/>
              <w:rPr>
                <w:sz w:val="19"/>
                <w:szCs w:val="19"/>
                <w:color w:val="auto"/>
              </w:rPr>
            </w:pPr>
          </w:p>
        </w:tc>
      </w:tr>
      <w:tr>
        <w:trPr>
          <w:trHeight w:val="216"/>
        </w:trPr>
        <w:tc>
          <w:tcPr>
            <w:tcW w:w="46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r>
      <w:tr>
        <w:trPr>
          <w:trHeight w:val="25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0"/>
              </w:rPr>
              <w:t>36,594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39,596</w:t>
            </w:r>
          </w:p>
        </w:tc>
        <w:tc>
          <w:tcPr>
            <w:tcW w:w="2260" w:type="dxa"/>
            <w:vAlign w:val="bottom"/>
          </w:tcPr>
          <w:p>
            <w:pPr>
              <w:spacing w:after="0"/>
              <w:rPr>
                <w:sz w:val="22"/>
                <w:szCs w:val="22"/>
                <w:color w:val="auto"/>
              </w:rPr>
            </w:pPr>
          </w:p>
        </w:tc>
      </w:tr>
      <w:tr>
        <w:trPr>
          <w:trHeight w:val="453"/>
        </w:trPr>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5 – LONG-TERM DEBT</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459"/>
        </w:trPr>
        <w:tc>
          <w:tcPr>
            <w:tcW w:w="4680" w:type="dxa"/>
            <w:vAlign w:val="bottom"/>
          </w:tcPr>
          <w:p>
            <w:pPr>
              <w:ind w:left="340"/>
              <w:spacing w:after="0"/>
              <w:rPr>
                <w:sz w:val="20"/>
                <w:szCs w:val="20"/>
                <w:color w:val="auto"/>
              </w:rPr>
            </w:pPr>
            <w:r>
              <w:rPr>
                <w:rFonts w:ascii="Arial" w:cs="Arial" w:eastAsia="Arial" w:hAnsi="Arial"/>
                <w:sz w:val="18"/>
                <w:szCs w:val="18"/>
                <w:color w:val="auto"/>
              </w:rPr>
              <w:t>Long-term debt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1"/>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2"/>
              </w:rPr>
              <w:t>February 2,</w:t>
            </w: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w w:val="94"/>
              </w:rPr>
              <w:t>October 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41"/>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Project Loans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35,094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Working Capital Loans (value added tax component)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9,314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44,408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1"/>
              </w:rPr>
              <w:t>(7,959)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gridSpan w:val="2"/>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gridSpan w:val="2"/>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56"/>
        </w:trPr>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36,449</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41,887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641"/>
        </w:trPr>
        <w:tc>
          <w:tcPr>
            <w:tcW w:w="46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1"/>
        </w:trPr>
        <w:tc>
          <w:tcPr>
            <w:tcW w:w="4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February 2, 2020, maturities of our long-term debt over the next five fiscal years and thereafter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2020 (remainder of)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8,449</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12,648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3,501</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6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11,318</w:t>
            </w:r>
          </w:p>
        </w:tc>
        <w:tc>
          <w:tcPr>
            <w:tcW w:w="60" w:type="dxa"/>
            <w:vAlign w:val="bottom"/>
          </w:tcPr>
          <w:p>
            <w:pPr>
              <w:spacing w:after="0"/>
              <w:rPr>
                <w:sz w:val="19"/>
                <w:szCs w:val="19"/>
                <w:color w:val="auto"/>
              </w:rPr>
            </w:pPr>
          </w:p>
        </w:tc>
      </w:tr>
      <w:tr>
        <w:trPr>
          <w:trHeight w:val="257"/>
        </w:trPr>
        <w:tc>
          <w:tcPr>
            <w:tcW w:w="4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44,408</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February 2, 2020 and October 31, 2019, the weighted-average interest rates of our short-term debt were 3.90% and 3.84%,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Loans</w:t>
      </w:r>
    </w:p>
    <w:p>
      <w:pPr>
        <w:spacing w:after="0" w:line="25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November 2018, PDMCX was approved for credit of $50 million, subject to certain limitations related to PDMCX registered capital at the time of the initial approval, pursuant to which PDMCX has and will enter into separate loan agreements (“the Project Loans”) for intermittent borrowings. The Project Loans, which are denominated in Chinese renminbi (RMB), are being used to finance certain capital expenditures in China. PDMCX granted liens on its land, building, and certain equipment, which had a combined carrying value of $92.9 million as of February 2, 2020, as collateral for the Project Loans. As of February 2, 2020, PDMCX had borrowed 243.4 million RMB ($35.1 million) against this approval. Payments on these borrowings are due semi-annually through December 2025; the initial payment is scheduled for June 2020. The table below presents, in U.S. dollars, the timing of future payments against the borrowings.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3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r>
      <w:tr>
        <w:trPr>
          <w:trHeight w:val="198"/>
        </w:trPr>
        <w:tc>
          <w:tcPr>
            <w:tcW w:w="166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6,488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6,704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r>
    </w:tbl>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interest rates on the Project Loans are based on the benchmark lending rate of the People’s Bank of China (4.9% at February 2, 2020). Interest incurred on the loans will be reimbursed through incentives provided by the Xiamen Torch Hi-Tech Industrial Development Zone, which provide for such reimbursements up to a prescribed limit.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52" w:lineRule="exact"/>
        <w:rPr>
          <w:sz w:val="20"/>
          <w:szCs w:val="20"/>
          <w:color w:val="auto"/>
        </w:rPr>
      </w:pPr>
    </w:p>
    <w:p>
      <w:pPr>
        <w:ind w:right="60" w:firstLine="369"/>
        <w:spacing w:after="0" w:line="255" w:lineRule="auto"/>
        <w:rPr>
          <w:sz w:val="20"/>
          <w:szCs w:val="20"/>
          <w:color w:val="auto"/>
        </w:rPr>
      </w:pPr>
      <w:r>
        <w:rPr>
          <w:rFonts w:ascii="Arial" w:cs="Arial" w:eastAsia="Arial" w:hAnsi="Arial"/>
          <w:sz w:val="18"/>
          <w:szCs w:val="18"/>
          <w:color w:val="auto"/>
        </w:rPr>
        <w:t>In November 2018, PDMCX received approval for unsecured credit of $25.0 million, pursuant to which PDMCX may enter into separate loan agreements. Under this credit agreement (the “Working Capital Loans”), PDMCX can borrow up to 140.0 million RMB to pay value-added taxes (“VAT”), and up to 60.0 million RMB to fund operations; combined total borrowings are limited to $25.0 million. As of February 2, 2020, PDMCX had 64.6 million RMB ($9.3 million) outstanding against the approval to pay VAT. Payments on these borrowings are due semiannually, at an increasing rate, through January 2022; PDMCX made installment payments totaling $0.4 million during the three-month period ended February 2, 2020. The table below presents, in U.S. dollars, the timing of future payments against these borrowings.</w:t>
      </w:r>
    </w:p>
    <w:p>
      <w:pPr>
        <w:spacing w:after="0" w:line="242"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16973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17145"/>
                    </a:xfrm>
                    <a:prstGeom prst="rect">
                      <a:avLst/>
                    </a:prstGeom>
                    <a:noFill/>
                  </pic:spPr>
                </pic:pic>
              </a:graphicData>
            </a:graphic>
          </wp:anchor>
        </w:drawing>
      </w:r>
    </w:p>
    <w:p>
      <w:pPr>
        <w:spacing w:after="0" w:line="16" w:lineRule="exact"/>
        <w:rPr>
          <w:sz w:val="20"/>
          <w:szCs w:val="20"/>
          <w:color w:val="auto"/>
        </w:rPr>
      </w:pPr>
    </w:p>
    <w:p>
      <w:pPr>
        <w:ind w:left="5340"/>
        <w:spacing w:after="0"/>
        <w:tabs>
          <w:tab w:leader="none" w:pos="6260" w:val="left"/>
          <w:tab w:leader="none" w:pos="72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16973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5100" w:val="left"/>
          <w:tab w:leader="none" w:pos="5640" w:val="left"/>
          <w:tab w:leader="none" w:pos="6440" w:val="left"/>
          <w:tab w:leader="none" w:pos="7380" w:val="left"/>
        </w:tabs>
        <w:rPr>
          <w:sz w:val="20"/>
          <w:szCs w:val="20"/>
          <w:color w:val="auto"/>
        </w:rPr>
      </w:pPr>
      <w:r>
        <w:rPr>
          <w:rFonts w:ascii="Arial" w:cs="Arial" w:eastAsia="Arial" w:hAnsi="Arial"/>
          <w:sz w:val="18"/>
          <w:szCs w:val="18"/>
          <w:color w:val="auto"/>
        </w:rPr>
        <w:t>Principal payments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490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1,961  $</w:t>
      </w:r>
      <w:r>
        <w:rPr>
          <w:sz w:val="20"/>
          <w:szCs w:val="20"/>
          <w:color w:val="auto"/>
        </w:rPr>
        <w:tab/>
      </w:r>
      <w:r>
        <w:rPr>
          <w:rFonts w:ascii="Arial" w:cs="Arial" w:eastAsia="Arial" w:hAnsi="Arial"/>
          <w:sz w:val="15"/>
          <w:szCs w:val="15"/>
          <w:u w:val="single" w:color="auto"/>
          <w:color w:val="auto"/>
        </w:rPr>
        <w:t>6,863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8919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5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February 2, 2020, PDMCX had borrowed, in several transactions to fund operations, 44.8 million RMB ($6.5 million) against the approval, all of which was outstanding as of that date repayments are due one year from the borrowing dates.</w:t>
      </w:r>
    </w:p>
    <w:p>
      <w:pPr>
        <w:spacing w:after="0" w:line="19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interest rates on borrowings to fund operations are approximately 4.4 to 4.6% and interest rates on borrowings to pay VAT are approximately 4.8 to 4.9%; both rates are based on the RMB Loan Prime Rate of the National Interbank Funding Center, plus spreads that range from 25.75 to 67.75 basis points. Interest incurred on the loans will be reimbursed through incentives provided by the Xiamen Torch Hi-Tech Industrial Development Zone, which provide for such reimbursements up to a prescribed limit.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Loan</w:t>
      </w:r>
    </w:p>
    <w:p>
      <w:pPr>
        <w:spacing w:after="0" w:line="2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Effective July 2019, the Company entered into a Master Lease Agreement (“MLA”) which enables us to request advance payments or other funds to finance equipment to be leased or purchased in the U.S. In connection with this MLA, we were approved for financing of $35 million for the purchase of a high-end lithography tool. In the fourth quarter of fiscal 2019, the financing entity, upon our request, made an advance payment of $3.5 million to the equipment vendor on our behalf. Interest on this borrowing is payable monthly at thirty-day LIBOR plus 1% (2.67% at February 2, 2020), and will continue to accrue until the borrowing is repaid or, as allowed under the MLA, we enter into a lease for the equipment. We intend to enter into a lease agreement for the related equipment in fiscal year 2020; as such, we have classified this borrowing as current debt. All borrowings under the MLA are secured by the equipment to be leased or purchased.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minimum interest coverage ratio, total leverage ratio, and minimum unrestricted cash balance covenants (all of which we were in compliance with at February 2, 2020), and limits the amount of cash dividends, distributions, and redemptions we can pay on our common stock to an aggregate annual amount of $50 million. We had no outstanding borrowings against the Credit Agreement at February 2, 2020, and $50 million was available for borrowing. The interest rate on the Credit Agreement (2.65% at February 2, 2020) is based on our total leverage ratio at LIBOR plus a spread, as defined in the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w:t>
      </w:r>
    </w:p>
    <w:p>
      <w:pPr>
        <w:spacing w:after="0" w:line="2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(referred to as “mask sets”),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w:t>
      </w:r>
    </w:p>
    <w:p>
      <w:pPr>
        <w:spacing w:after="0" w:line="21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Our contract assets and liabilities are typically classified as current, as our production cycle and our lead times are both under one year. Contract assets of $7.9 million are included in “Other” current assets, and contract liabilities of $11.8 million are included in Accrued liabilities in our February 2, 2020 condensed consolidated balance sheet. Our October 31, 2019 condensed consolidated balance sheet includes contract assets of $7.6 million and contract liabilities of $11.5 million; with like classification to the February 2, 2020, balances. We did not impair any contract assets during the three-month periods ended February 2, 2020 or January 27, 2019, and we recognized $1.2 million and $0.7 million of revenue from the settlement of contract liabilities that existed at the beginning of those respective periods.</w:t>
      </w:r>
    </w:p>
    <w:p>
      <w:pPr>
        <w:sectPr>
          <w:pgSz w:w="11900" w:h="16838" w:orient="portrait"/>
          <w:cols w:equalWidth="0" w:num="1">
            <w:col w:w="11240"/>
          </w:cols>
          <w:pgMar w:left="320" w:top="122" w:right="33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the allowance for doubtful accounts. In the event that an amount is determined to be uncollectible, we charge the allowance for doubtful accounts and derecognize the related receivable. Credit losses incurred on our accounts receivable during the three-month period ended February 2, 2020, were immaterial, and we did not incur any credit losses on our accounts receivable during the three-month period ended January 27, 2019.</w:t>
      </w:r>
    </w:p>
    <w:p>
      <w:pPr>
        <w:spacing w:after="0" w:line="18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We have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not preceded the completion of our performance obligations by more than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following tables present our revenue for the three-month periods ended February 2, 2020 and January 27, 2019, disaggregated by product type, geographic origin, and timing of recognition. In the three-month period ended February 2, 2020, we changed the threshold for the definition of high-end FPD, from G8 and above and active matrix organic light-emitting diode (AMOLED) display screens, to G10.5 and above, AMOLED, and low-temperature polysilicon display screens (LTPS), to reflect the overall advancement of technology in the FPD industry. Our definition of high-end IC products remains as 28 nanometer or smaller. The revenue by product type for the three-month period ended January 27, 2019, presented below has been reclassified to conform to the current period presentation.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Three Months Ended</w:t>
            </w:r>
          </w:p>
        </w:tc>
      </w:tr>
      <w:tr>
        <w:trPr>
          <w:trHeight w:val="223"/>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February 2, 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January 27, 2019</w:t>
            </w:r>
          </w:p>
        </w:tc>
        <w:tc>
          <w:tcPr>
            <w:tcW w:w="100" w:type="dxa"/>
            <w:vAlign w:val="bottom"/>
          </w:tcPr>
          <w:p>
            <w:pPr>
              <w:spacing w:after="0"/>
              <w:rPr>
                <w:sz w:val="19"/>
                <w:szCs w:val="19"/>
                <w:color w:val="auto"/>
              </w:rPr>
            </w:pPr>
          </w:p>
        </w:tc>
      </w:tr>
      <w:tr>
        <w:trPr>
          <w:trHeight w:val="176"/>
        </w:trPr>
        <w:tc>
          <w:tcPr>
            <w:tcW w:w="37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Revenue by Product Type</w:t>
            </w: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2"/>
        </w:trPr>
        <w:tc>
          <w:tcPr>
            <w:tcW w:w="1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IC</w:t>
            </w:r>
          </w:p>
        </w:tc>
        <w:tc>
          <w:tcPr>
            <w:tcW w:w="1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41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34,566</w:t>
            </w:r>
          </w:p>
        </w:tc>
      </w:tr>
      <w:tr>
        <w:trPr>
          <w:trHeight w:val="223"/>
        </w:trPr>
        <w:tc>
          <w:tcPr>
            <w:tcW w:w="3760" w:type="dxa"/>
            <w:vAlign w:val="bottom"/>
            <w:gridSpan w:val="4"/>
          </w:tcPr>
          <w:p>
            <w:pPr>
              <w:ind w:left="140"/>
              <w:spacing w:after="0"/>
              <w:rPr>
                <w:sz w:val="20"/>
                <w:szCs w:val="20"/>
                <w:color w:val="auto"/>
              </w:rPr>
            </w:pPr>
            <w:r>
              <w:rPr>
                <w:rFonts w:ascii="Arial" w:cs="Arial" w:eastAsia="Arial" w:hAnsi="Arial"/>
                <w:sz w:val="18"/>
                <w:szCs w:val="18"/>
                <w:color w:val="auto"/>
              </w:rPr>
              <w:t>Mainstream</w:t>
            </w:r>
          </w:p>
        </w:tc>
        <w:tc>
          <w:tcPr>
            <w:tcW w:w="4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65,937</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60,314</w:t>
            </w:r>
          </w:p>
        </w:tc>
        <w:tc>
          <w:tcPr>
            <w:tcW w:w="100" w:type="dxa"/>
            <w:vAlign w:val="bottom"/>
          </w:tcPr>
          <w:p>
            <w:pPr>
              <w:spacing w:after="0"/>
              <w:rPr>
                <w:sz w:val="19"/>
                <w:szCs w:val="19"/>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color w:val="auto"/>
              </w:rPr>
              <w:t>Total IC</w:t>
            </w:r>
          </w:p>
        </w:tc>
        <w:tc>
          <w:tcPr>
            <w:tcW w:w="4140" w:type="dxa"/>
            <w:vAlign w:val="bottom"/>
            <w:gridSpan w:val="2"/>
          </w:tcPr>
          <w:p>
            <w:pPr>
              <w:ind w:left="402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106,978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94,880</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3420" w:type="dxa"/>
            <w:vAlign w:val="bottom"/>
            <w:tcBorders>
              <w:bottom w:val="single" w:sz="8" w:color="CCEEFF"/>
            </w:tcBorders>
            <w:gridSpan w:val="2"/>
            <w:shd w:val="clear" w:color="auto" w:fill="CCEEFF"/>
          </w:tcPr>
          <w:p>
            <w:pPr>
              <w:spacing w:after="0"/>
              <w:rPr>
                <w:sz w:val="17"/>
                <w:szCs w:val="17"/>
                <w:color w:val="auto"/>
              </w:rPr>
            </w:pPr>
          </w:p>
        </w:tc>
        <w:tc>
          <w:tcPr>
            <w:tcW w:w="4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760" w:type="dxa"/>
            <w:vAlign w:val="bottom"/>
            <w:gridSpan w:val="4"/>
          </w:tcPr>
          <w:p>
            <w:pPr>
              <w:ind w:left="140"/>
              <w:spacing w:after="0"/>
              <w:rPr>
                <w:sz w:val="20"/>
                <w:szCs w:val="20"/>
                <w:color w:val="auto"/>
              </w:rPr>
            </w:pPr>
            <w:r>
              <w:rPr>
                <w:rFonts w:ascii="Arial" w:cs="Arial" w:eastAsia="Arial" w:hAnsi="Arial"/>
                <w:sz w:val="18"/>
                <w:szCs w:val="18"/>
                <w:color w:val="auto"/>
              </w:rPr>
              <w:t>High-end</w:t>
            </w:r>
          </w:p>
        </w:tc>
        <w:tc>
          <w:tcPr>
            <w:tcW w:w="4140" w:type="dxa"/>
            <w:vAlign w:val="bottom"/>
            <w:gridSpan w:val="2"/>
          </w:tcPr>
          <w:p>
            <w:pPr>
              <w:ind w:left="402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39,770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15,350</w:t>
            </w:r>
          </w:p>
        </w:tc>
      </w:tr>
      <w:tr>
        <w:trPr>
          <w:trHeight w:val="223"/>
        </w:trPr>
        <w:tc>
          <w:tcPr>
            <w:tcW w:w="3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Mainstream</w:t>
            </w:r>
          </w:p>
        </w:tc>
        <w:tc>
          <w:tcPr>
            <w:tcW w:w="4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4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r>
      <w:tr>
        <w:trPr>
          <w:trHeight w:val="223"/>
        </w:trPr>
        <w:tc>
          <w:tcPr>
            <w:tcW w:w="180" w:type="dxa"/>
            <w:vAlign w:val="bottom"/>
            <w:shd w:val="clear" w:color="auto" w:fill="CCEEFF"/>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FPD</w:t>
            </w:r>
          </w:p>
        </w:tc>
        <w:tc>
          <w:tcPr>
            <w:tcW w:w="4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52,758</w:t>
            </w: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r>
      <w:tr>
        <w:trPr>
          <w:trHeight w:val="216"/>
        </w:trPr>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41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124,712</w:t>
            </w:r>
          </w:p>
        </w:tc>
      </w:tr>
      <w:tr>
        <w:trPr>
          <w:trHeight w:val="641"/>
        </w:trPr>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402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1"/>
        </w:trPr>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ind w:left="100"/>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Revenue by Geographic Origin</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57,740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Korea</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40,736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35,237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25,067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All other Asia</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159,736</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124,712</w:t>
            </w:r>
          </w:p>
        </w:tc>
        <w:tc>
          <w:tcPr>
            <w:tcW w:w="0" w:type="dxa"/>
            <w:vAlign w:val="bottom"/>
          </w:tcPr>
          <w:p>
            <w:pPr>
              <w:spacing w:after="0"/>
              <w:rPr>
                <w:sz w:val="1"/>
                <w:szCs w:val="1"/>
                <w:color w:val="auto"/>
              </w:rPr>
            </w:pPr>
          </w:p>
        </w:tc>
      </w:tr>
      <w:tr>
        <w:trPr>
          <w:trHeight w:val="20"/>
        </w:trPr>
        <w:tc>
          <w:tcPr>
            <w:tcW w:w="8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Revenue by Timing of Recognition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78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tcBorders>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 time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At a point in time</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22,040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8"/>
          <w:szCs w:val="18"/>
          <w:color w:val="auto"/>
        </w:rPr>
        <w:t>We pay commissions to third party sales agents for certain sales that they obtain for us.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left="100" w:right="120"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Sales and Similar Taxes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report our revenue net of any sales or similar taxes we collect on behalf of governmental entities.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52" w:lineRule="exact"/>
        <w:rPr>
          <w:sz w:val="20"/>
          <w:szCs w:val="20"/>
          <w:color w:val="auto"/>
        </w:rPr>
      </w:pPr>
    </w:p>
    <w:p>
      <w:pPr>
        <w:ind w:left="100" w:right="80"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at our option, any photomasks that fail to do so. The warranties do not represent separate performance obligations in our revenue contracts. Historically, customer claims under warranty have been immaterial.</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ind w:left="100" w:right="20" w:firstLine="324"/>
        <w:spacing w:after="0" w:line="301" w:lineRule="auto"/>
        <w:rPr>
          <w:sz w:val="20"/>
          <w:szCs w:val="20"/>
          <w:color w:val="auto"/>
        </w:rPr>
      </w:pPr>
      <w:r>
        <w:rPr>
          <w:rFonts w:ascii="Arial" w:cs="Arial" w:eastAsia="Arial" w:hAnsi="Arial"/>
          <w:sz w:val="16"/>
          <w:szCs w:val="16"/>
          <w:color w:val="auto"/>
        </w:rPr>
        <w:t>We adopted ASU 2016-02 and all subsequent amendments, collectively codified in ASC Topic 842 “Leases” (“Topic 842”), on November 1, 2019. The guidance requires modified retrospective adoption, either at the beginning of the earliest period presented or at the beginning of the period of adoption. We elected to apply the guidance at the beginning of the period of adoption and recorded, as of November 1, 2019, right-of-use (ROU) leased assets of $6.5 million. In conjuction with this, we recorded lease liabilities, which had been discounted at our incremental borrowing rates, of $6.5 million.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guidance allows a number of elections and practical expedients, of which we elected the following:</w:t>
      </w:r>
    </w:p>
    <w:p>
      <w:pPr>
        <w:spacing w:after="0" w:line="252" w:lineRule="exact"/>
        <w:rPr>
          <w:sz w:val="20"/>
          <w:szCs w:val="20"/>
          <w:color w:val="auto"/>
        </w:rPr>
      </w:pPr>
    </w:p>
    <w:p>
      <w:pPr>
        <w:ind w:left="1320" w:hanging="402"/>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not to recognize short-term leases on the balance sheet.</w:t>
      </w:r>
    </w:p>
    <w:p>
      <w:pPr>
        <w:spacing w:after="0" w:line="23" w:lineRule="exact"/>
        <w:rPr>
          <w:rFonts w:ascii="Arial" w:cs="Arial" w:eastAsia="Arial" w:hAnsi="Arial"/>
          <w:sz w:val="18"/>
          <w:szCs w:val="18"/>
          <w:color w:val="auto"/>
        </w:rPr>
      </w:pPr>
    </w:p>
    <w:p>
      <w:pPr>
        <w:ind w:left="1320" w:hanging="402"/>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Practical expedient to not separate lease and non-lease components in a contract.</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1220" w:hanging="40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Practical expedient “package” for transitioning to the new guidance:</w:t>
      </w:r>
    </w:p>
    <w:p>
      <w:pPr>
        <w:spacing w:after="0" w:line="23" w:lineRule="exact"/>
        <w:rPr>
          <w:rFonts w:ascii="Arial" w:cs="Arial" w:eastAsia="Arial" w:hAnsi="Arial"/>
          <w:sz w:val="18"/>
          <w:szCs w:val="18"/>
          <w:color w:val="auto"/>
        </w:rPr>
      </w:pPr>
    </w:p>
    <w:p>
      <w:pPr>
        <w:ind w:left="1800" w:hanging="334"/>
        <w:spacing w:after="0"/>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 reassessing whether any expired or existing contracts are, or contain,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 reassessing lease classification for any existing or expired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 reassessing initial direct costs for any existing leases.</w:t>
      </w:r>
    </w:p>
    <w:p>
      <w:pPr>
        <w:spacing w:after="0" w:line="23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date of the lease agreement or commitment, if earlier. Our evaluation considers whether the arrangement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21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recognize leases on our consolidated balance sheet when a lessor makes an asset underlying a lease having a term in excess of twelve months available for our use. The present value of lease payments over the term of the lease, which is determined using our incremental borrowing rate for collateralized loans at the commencement date of the lease, provides the basis for the initial measurement of ROU assets and their related lease liabilities. Variable lease payments, other than those that are dependent on an index or on a rate, are not included in the measurement of ROU assets and their related lease liabilities. Lease terms will include extension periods if the lease agreement includes an option to extend the lease that we are reasonably certain to exercise.</w:t>
      </w:r>
    </w:p>
    <w:p>
      <w:pPr>
        <w:spacing w:after="0" w:line="2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ROU assets underlying our leases include the land and facilities of some of our operating facilities, other real property, and machinery and equipment. As of February 2, 2020, we had ROU assets under operating leases of $7.0 million, included in “Other Assets”, and $1.9 and $4.4 million of lease liabilities in Accrued liabilities and Other liabilities, respectively, and recognized operating lease and short-term lease costs of $1.2 million and $0.1 million, respectively, in the three-month period then ended; variable lease costs incurred were not material. The following tables present lease payments under non-cancellable leases as of February 2,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6"/>
              </w:rPr>
              <w:t>Total Lease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line="198" w:lineRule="exact"/>
              <w:rPr>
                <w:sz w:val="20"/>
                <w:szCs w:val="20"/>
                <w:color w:val="auto"/>
              </w:rPr>
            </w:pPr>
            <w:r>
              <w:rPr>
                <w:rFonts w:ascii="Arial" w:cs="Arial" w:eastAsia="Arial" w:hAnsi="Arial"/>
                <w:sz w:val="18"/>
                <w:szCs w:val="18"/>
                <w:b w:val="1"/>
                <w:bCs w:val="1"/>
                <w:color w:val="auto"/>
              </w:rPr>
              <w:t>Imputed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Thereafter</w:t>
            </w: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Payments</w:t>
            </w:r>
          </w:p>
        </w:tc>
        <w:tc>
          <w:tcPr>
            <w:tcW w:w="10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2"/>
        </w:trPr>
        <w:tc>
          <w:tcPr>
            <w:tcW w:w="1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w:t>
            </w:r>
          </w:p>
        </w:tc>
      </w:tr>
    </w:tbl>
    <w:p>
      <w:pPr>
        <w:spacing w:after="0" w:line="229" w:lineRule="exact"/>
        <w:rPr>
          <w:sz w:val="20"/>
          <w:szCs w:val="20"/>
          <w:color w:val="auto"/>
        </w:rPr>
      </w:pPr>
    </w:p>
    <w:p>
      <w:pPr>
        <w:ind w:left="340" w:right="3540" w:hanging="332"/>
        <w:spacing w:after="0" w:line="529"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Imputed interest represents difference between undiscounted cash flows and discounted cash flows. Presented below is other information related to our operating leases.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700" w:type="dxa"/>
            <w:vAlign w:val="bottom"/>
            <w:gridSpan w:val="5"/>
          </w:tcPr>
          <w:p>
            <w:pPr>
              <w:spacing w:after="0"/>
              <w:rPr>
                <w:sz w:val="20"/>
                <w:szCs w:val="20"/>
                <w:color w:val="auto"/>
              </w:rPr>
            </w:pPr>
            <w:r>
              <w:rPr>
                <w:rFonts w:ascii="Arial" w:cs="Arial" w:eastAsia="Arial" w:hAnsi="Arial"/>
                <w:sz w:val="18"/>
                <w:szCs w:val="18"/>
                <w:b w:val="1"/>
                <w:bCs w:val="1"/>
                <w:color w:val="auto"/>
                <w:w w:val="94"/>
              </w:rPr>
              <w:t>Three Months Ended</w:t>
            </w:r>
          </w:p>
        </w:tc>
      </w:tr>
      <w:tr>
        <w:trPr>
          <w:trHeight w:val="175"/>
        </w:trPr>
        <w:tc>
          <w:tcPr>
            <w:tcW w:w="61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Supplemental cash flows information:</w:t>
            </w:r>
          </w:p>
        </w:tc>
        <w:tc>
          <w:tcPr>
            <w:tcW w:w="1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right"/>
              <w:ind w:right="160"/>
              <w:spacing w:after="0" w:line="176" w:lineRule="exact"/>
              <w:rPr>
                <w:sz w:val="20"/>
                <w:szCs w:val="20"/>
                <w:color w:val="auto"/>
              </w:rPr>
            </w:pPr>
            <w:r>
              <w:rPr>
                <w:rFonts w:ascii="Arial" w:cs="Arial" w:eastAsia="Arial" w:hAnsi="Arial"/>
                <w:sz w:val="18"/>
                <w:szCs w:val="18"/>
                <w:b w:val="1"/>
                <w:bCs w:val="1"/>
                <w:color w:val="auto"/>
                <w:w w:val="94"/>
              </w:rPr>
              <w:t>February 2, 2020</w:t>
            </w:r>
          </w:p>
        </w:tc>
        <w:tc>
          <w:tcPr>
            <w:tcW w:w="60" w:type="dxa"/>
            <w:vAlign w:val="bottom"/>
          </w:tcPr>
          <w:p>
            <w:pPr>
              <w:spacing w:after="0"/>
              <w:rPr>
                <w:sz w:val="15"/>
                <w:szCs w:val="15"/>
                <w:color w:val="auto"/>
              </w:rPr>
            </w:pPr>
          </w:p>
        </w:tc>
      </w:tr>
      <w:tr>
        <w:trPr>
          <w:trHeight w:val="28"/>
        </w:trPr>
        <w:tc>
          <w:tcPr>
            <w:tcW w:w="2920" w:type="dxa"/>
            <w:vAlign w:val="bottom"/>
            <w:tcBorders>
              <w:top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r>
      <w:tr>
        <w:trPr>
          <w:trHeight w:val="223"/>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r>
      <w:tr>
        <w:trPr>
          <w:trHeight w:val="466"/>
        </w:trPr>
        <w:tc>
          <w:tcPr>
            <w:tcW w:w="2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As of</w:t>
            </w:r>
          </w:p>
        </w:tc>
      </w:tr>
      <w:tr>
        <w:trPr>
          <w:trHeight w:val="223"/>
        </w:trPr>
        <w:tc>
          <w:tcPr>
            <w:tcW w:w="29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February 2, 2020</w:t>
            </w:r>
          </w:p>
        </w:tc>
        <w:tc>
          <w:tcPr>
            <w:tcW w:w="160" w:type="dxa"/>
            <w:vAlign w:val="bottom"/>
            <w:gridSpan w:val="2"/>
          </w:tcPr>
          <w:p>
            <w:pPr>
              <w:spacing w:after="0"/>
              <w:rPr>
                <w:sz w:val="19"/>
                <w:szCs w:val="19"/>
                <w:color w:val="auto"/>
              </w:rPr>
            </w:pPr>
          </w:p>
        </w:tc>
      </w:tr>
      <w:tr>
        <w:trPr>
          <w:trHeight w:val="216"/>
        </w:trPr>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 years</w:t>
            </w:r>
          </w:p>
        </w:tc>
      </w:tr>
      <w:tr>
        <w:trPr>
          <w:trHeight w:val="27"/>
        </w:trPr>
        <w:tc>
          <w:tcPr>
            <w:tcW w:w="29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29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2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Rent expense, as calculated under guidance in effect prior to our adoption of the new leases guidance, was $3.0 million in fiscal year 2019. At October 31, 2019, future minimum lease payments under non-cancelable operating leases with initial terms in excess of one year were as presented in the table below. The amounts are undiscounted and were calculated in accordance with guidance in effect prior to our adoption of the new leases guidance.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$ 1,885</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jc w:val="right"/>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44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$ 6,576</w:t>
            </w:r>
          </w:p>
        </w:tc>
        <w:tc>
          <w:tcPr>
            <w:tcW w:w="60" w:type="dxa"/>
            <w:vAlign w:val="bottom"/>
          </w:tcPr>
          <w:p>
            <w:pPr>
              <w:spacing w:after="0"/>
              <w:rPr>
                <w:sz w:val="18"/>
                <w:szCs w:val="18"/>
                <w:color w:val="auto"/>
              </w:rPr>
            </w:pPr>
          </w:p>
        </w:tc>
      </w:tr>
      <w:tr>
        <w:trPr>
          <w:trHeight w:val="21"/>
        </w:trPr>
        <w:tc>
          <w:tcPr>
            <w:tcW w:w="4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5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shares held in the treasury, or a combination thereof. The maximum number of shares of common stock approved for issuance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We incurred total share-based compensation expenses of $1.4 million and $1.1 million in the three-month periods ended February 2, 2020 and January 27, 2019, and we received cash from option exercises of $2.8 million and $0.5 million during those respective periods. No share-based compensation cost was capitalized as part of an asset and no related income tax benefits were recorded during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Option awards generally vest annually, on a straight-line basis,over four years, and have a ten-year contractual term. All incentive and non-qualified stock option grants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pacing w:after="0" w:line="2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were no options granted during the three-month period ended February 2, 2020, and there were 132,000 share options granted during the three-month period ended January 27, 2019, with a weighted-average grant date fair value of $3.31 per share. As of February 2, 2020, the total unrecognized compensation cost related to unvested option awards was approximately $0.7 million. That cost is expected to be recognized over a weighted-average amortization period of 2.1 years.</w:t>
      </w:r>
    </w:p>
    <w:p>
      <w:pPr>
        <w:spacing w:after="0" w:line="21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weighted-average inputs and risk-free rates of return used to calculate the grant-date fair value of options issued during the three-month period ended January 27, 2019,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Three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8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January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27, 2019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February 2, 2020,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860" w:type="dxa"/>
            <w:vAlign w:val="bottom"/>
            <w:gridSpan w:val="2"/>
          </w:tcPr>
          <w:p>
            <w:pPr>
              <w:ind w:left="202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February 2,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1,795,989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5.4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w:t>
            </w: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February 2,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1,487,661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4.8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r>
      <w:tr>
        <w:trPr>
          <w:trHeight w:val="459"/>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periodically grant restricted stock awards, the restrictions on which typically lapse over a service period of one to four years. . The fair value of an award is the closing price of our common stock on the date of grant. There were 522,000 restricted stock awards issued during the three-month period ended February 2, 2020, with a weighted-average grant-date fair value of $15.26 per share, and there were 435,000 restricted stock awards issued during the three-month period ended January 27, 2019, with a weighted-average grant-date fair value of $9.80 per share. As of February 2, 2020, the total compensation cost not yet recognized related to unvested restricted stock awards was approximately $10.6 million. That cost is expected to be recognized over a weighted-average amortization period of 3.2 years. As of February 2, 2020, there were 939,766 shares of restricted stock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9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effective tax rate of 45.4% exceeds the U.S. statutory rate of 21.0% in the three-month period ended February 2, 2020, primarily due to the non-recognition of the tax benefit of losses that, in certain jurisdictions, have been offset by valuation allowances, and the establishment of a valuation allowance for a loss carryforward in a non-U.S. jurisdiction, which were partially offset by the benefit of tax holidays and investment credits in certain foreign jurisdictions.</w:t>
      </w:r>
    </w:p>
    <w:p>
      <w:pPr>
        <w:spacing w:after="0" w:line="21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Valuation allowances, in jurisdictions with historic losses, eliminate the current tax benefit of losses in these jurisdictions where, based on the weight of information available to us, we determined that it is more likely than not that the tax benefits will not be realized. In the three-month period ended February 2,2020, as a result of the reassessment of the aforementioned available information, we established a valuation allowance of $2.1 million against a non-U.S. based loss carryforward deferred tax asset that is not more likely than not to be realized.</w:t>
      </w:r>
    </w:p>
    <w:p>
      <w:pPr>
        <w:spacing w:after="0" w:line="19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Unrecognized tax benefits related to uncertain tax positions were $1.9 million at February 2, 2020, and October 31, 2019, substantially all of which, if recognized, would favorably impact the Company’s effective tax rate. Accrued interest and penalties related to unrecognized tax benefits was $0.2 million at February 2, 2020 and October 31, 2019. Although the timing of the expirations of statutes of limitations may be uncertain, as they can be dependent upon the settlement of tax audits, the Company believes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The Company is no longer subject to tax authority examinations in the U.S. and major foreign or state jurisdictions for years prior to fiscal year 2015.</w:t>
      </w:r>
    </w:p>
    <w:p>
      <w:pPr>
        <w:spacing w:after="0" w:line="222"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were granted a five-year tax holiday in Taiwan that expired on December 31, 2019. This tax holiday reduced foreign taxes by $0.1 million, and $0.8 million in the three-month periods ended February 2, 2020 and January 27, 2019, respectively, with an immaterial per share impact in the February 2, 2020 period and a one half-cent per share effect in the January 27, 2019 period.</w:t>
      </w:r>
    </w:p>
    <w:p>
      <w:pPr>
        <w:spacing w:after="0" w:line="21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The effective tax rate of 15.2% differs from the U.S. statutory rate of 21.0% in the three-month period ended January 27, 2019, primarily due to earnings being taxed at lower statutory rates in foreign jurisdictions, the settlement of a tax audit, the benefit of a tax holiday, and investment credits in certain foreign jurisdictions.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10 - EARNINGS PER SHARE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ind w:left="34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February 2,</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January 27,</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Earnings used for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66,583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Share-based payment awards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Potentially dilutive common shares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66,449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67,047</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bl>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56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34"/>
        </w:trPr>
        <w:tc>
          <w:tcPr>
            <w:tcW w:w="86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868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27,</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Convertible notes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6,605</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Subsequent to February 2, 2020, and through March 9, 2020, we repurchased 0.1 million shares of our common stock. See Note 13 for information on our share repurchase programs.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ACCUMULATED OTHER COMPREHENSIVE INCOME BY COMPONENT</w:t>
      </w:r>
    </w:p>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three-month periods ended February 2, 2020 and January 27,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7"/>
              </w:rPr>
              <w:t>Three Months Ended February 2, 2020</w:t>
            </w:r>
          </w:p>
        </w:tc>
      </w:tr>
      <w:tr>
        <w:trPr>
          <w:trHeight w:val="34"/>
        </w:trPr>
        <w:tc>
          <w:tcPr>
            <w:tcW w:w="58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58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Foreign Currency</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(1,547)</w:t>
            </w: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other comprehensive income attributable to noncontrolling interests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w:t>
            </w:r>
          </w:p>
        </w:tc>
      </w:tr>
      <w:tr>
        <w:trPr>
          <w:trHeight w:val="216"/>
        </w:trPr>
        <w:tc>
          <w:tcPr>
            <w:tcW w:w="58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(11,742)</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96"/>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6"/>
              </w:rPr>
              <w:t>Three Months Ended January 27, 2019</w:t>
            </w:r>
          </w:p>
        </w:tc>
      </w:tr>
      <w:tr>
        <w:trPr>
          <w:trHeight w:val="34"/>
        </w:trPr>
        <w:tc>
          <w:tcPr>
            <w:tcW w:w="58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58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Foreign Currency</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6,572</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6,591</w:t>
            </w: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other comprehensive income attributable to noncontrolling interests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r>
      <w:tr>
        <w:trPr>
          <w:trHeight w:val="216"/>
        </w:trPr>
        <w:tc>
          <w:tcPr>
            <w:tcW w:w="58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27, 2019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25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4"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approximates their carrying values due to the variable nature of the underlying interest rates. We did not have any assets or liabilities measured at fair value, on a recurring or a nonrecurring basis, at February 2, 2020 or October 31,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PROGRAMS</w:t>
      </w:r>
    </w:p>
    <w:p>
      <w:pPr>
        <w:spacing w:after="0" w:line="256"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In August 2019, the Company’s board of directors authorized the repurchase of up to $100 million of its common stock, pursuant to a repurchase plan under Rule 10b5-1 of the Securities Act of 1933 (as amended). All of the 0.9 million shares repurchased under this program prior to the three-month period ended February 2, 2020 were retired in fiscal 2019. The table below presents information on this repurchase program.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780" w:type="dxa"/>
            <w:vAlign w:val="bottom"/>
            <w:gridSpan w:val="4"/>
          </w:tcPr>
          <w:p>
            <w:pPr>
              <w:ind w:left="1020"/>
              <w:spacing w:after="0"/>
              <w:rPr>
                <w:sz w:val="20"/>
                <w:szCs w:val="20"/>
                <w:color w:val="auto"/>
              </w:rPr>
            </w:pPr>
            <w:r>
              <w:rPr>
                <w:rFonts w:ascii="Arial" w:cs="Arial" w:eastAsia="Arial" w:hAnsi="Arial"/>
                <w:sz w:val="18"/>
                <w:szCs w:val="18"/>
                <w:b w:val="1"/>
                <w:bCs w:val="1"/>
                <w:color w:val="auto"/>
                <w:w w:val="97"/>
              </w:rPr>
              <w:t>Three Months Ended</w:t>
            </w: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w w:val="93"/>
              </w:rPr>
              <w:t>From Inception Date of</w:t>
            </w:r>
          </w:p>
        </w:tc>
      </w:tr>
      <w:tr>
        <w:trPr>
          <w:trHeight w:val="241"/>
        </w:trPr>
        <w:tc>
          <w:tcPr>
            <w:tcW w:w="3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February 2, 2020</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September 25, 2019</w:t>
            </w:r>
          </w:p>
        </w:tc>
        <w:tc>
          <w:tcPr>
            <w:tcW w:w="60" w:type="dxa"/>
            <w:vAlign w:val="bottom"/>
          </w:tcPr>
          <w:p>
            <w:pPr>
              <w:spacing w:after="0"/>
              <w:rPr>
                <w:sz w:val="20"/>
                <w:szCs w:val="20"/>
                <w:color w:val="auto"/>
              </w:rPr>
            </w:pPr>
          </w:p>
        </w:tc>
      </w:tr>
      <w:tr>
        <w:trPr>
          <w:trHeight w:val="216"/>
        </w:trPr>
        <w:tc>
          <w:tcPr>
            <w:tcW w:w="3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1,911</w:t>
            </w:r>
          </w:p>
        </w:tc>
      </w:tr>
      <w:tr>
        <w:trPr>
          <w:trHeight w:val="216"/>
        </w:trPr>
        <w:tc>
          <w:tcPr>
            <w:tcW w:w="3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22,000</w:t>
            </w:r>
          </w:p>
        </w:tc>
      </w:tr>
      <w:tr>
        <w:trPr>
          <w:trHeight w:val="216"/>
        </w:trPr>
        <w:tc>
          <w:tcPr>
            <w:tcW w:w="3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on October 22, 2018, and was terminated on February 1, 2019. All of the shares repurchased under this program were retired in fiscal 2019. The table below presents information on this repurchase program.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780" w:type="dxa"/>
            <w:vAlign w:val="bottom"/>
            <w:gridSpan w:val="4"/>
          </w:tcPr>
          <w:p>
            <w:pPr>
              <w:ind w:left="1020"/>
              <w:spacing w:after="0"/>
              <w:rPr>
                <w:sz w:val="20"/>
                <w:szCs w:val="20"/>
                <w:color w:val="auto"/>
              </w:rPr>
            </w:pPr>
            <w:r>
              <w:rPr>
                <w:rFonts w:ascii="Arial" w:cs="Arial" w:eastAsia="Arial" w:hAnsi="Arial"/>
                <w:sz w:val="18"/>
                <w:szCs w:val="18"/>
                <w:b w:val="1"/>
                <w:bCs w:val="1"/>
                <w:color w:val="auto"/>
                <w:w w:val="97"/>
              </w:rPr>
              <w:t>Three Months Ended</w:t>
            </w: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w w:val="93"/>
              </w:rPr>
              <w:t>From Inception Date of</w:t>
            </w:r>
          </w:p>
        </w:tc>
      </w:tr>
      <w:tr>
        <w:trPr>
          <w:trHeight w:val="241"/>
        </w:trPr>
        <w:tc>
          <w:tcPr>
            <w:tcW w:w="3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January 27, 2019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October 22, 2018</w:t>
            </w:r>
          </w:p>
        </w:tc>
        <w:tc>
          <w:tcPr>
            <w:tcW w:w="60" w:type="dxa"/>
            <w:vAlign w:val="bottom"/>
          </w:tcPr>
          <w:p>
            <w:pPr>
              <w:spacing w:after="0"/>
              <w:rPr>
                <w:sz w:val="20"/>
                <w:szCs w:val="20"/>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Number of shares repurchased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24"/>
                <w:szCs w:val="2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r>
      <w:tr>
        <w:trPr>
          <w:trHeight w:val="216"/>
        </w:trPr>
        <w:tc>
          <w:tcPr>
            <w:tcW w:w="3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13,807</w:t>
            </w:r>
          </w:p>
        </w:tc>
      </w:tr>
      <w:tr>
        <w:trPr>
          <w:trHeight w:val="216"/>
        </w:trPr>
        <w:tc>
          <w:tcPr>
            <w:tcW w:w="3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February 2, 2020, the Company had commitments outstanding for capital expenditures of approximately $113.6 million, primarily for the purchase of high-end IC equipment. See Note 7 for information on our operating lease commitments.</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that such claims, individually or in the aggregate, will not have a material effect on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w:t>
      </w:r>
    </w:p>
    <w:p>
      <w:pPr>
        <w:spacing w:after="0" w:line="25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adopted ASU 2016-02 and all subsequent amendments, collectively codified in ASC Topic 842 “Leases” (“Topic 842”), on November 1, 2019. The guidance requires modified retrospective adoption, either at the beginning of the earliest period presented or at the beginning of the period of adoption. We elected to apply the guidance at the beginning of the period of adoption and recorded, as of November 1, 2019, right-of-use (ROU) leased assets of $6.5 million. In conjunction with this, we recorded lease liabilities, which had been discounted at our incremental borrowing rates, of $6.5 million. Our adoption of Topic 842 did not affect our cash flows or our ability to comply with covenants under our credit agreement. Please see Note 7 for our leases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beginning in the first quarter of fiscal year 2019. We are currently evaluating the effect that this ASU will have on our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2019 year), that may cause actual results to materially differ from these expectations.</w:t>
      </w:r>
    </w:p>
    <w:p>
      <w:pPr>
        <w:spacing w:after="0" w:line="18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semiconductor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w:t>
      </w:r>
    </w:p>
    <w:p>
      <w:pPr>
        <w:spacing w:after="0" w:line="2" w:lineRule="exact"/>
        <w:rPr>
          <w:sz w:val="20"/>
          <w:szCs w:val="20"/>
          <w:color w:val="auto"/>
        </w:rPr>
      </w:pPr>
    </w:p>
    <w:p>
      <w:pPr>
        <w:ind w:right="20" w:firstLine="8"/>
        <w:spacing w:after="0" w:line="254" w:lineRule="auto"/>
        <w:tabs>
          <w:tab w:leader="none" w:pos="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21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We are typically required to fulfill customer orders within a short period of time after receipt of an order, sometimes within twenty-four hours. This results in a minimal level of backlog orders, typically one to two weeks of backlog for IC photomasks and two to three weeks of backlog for FPD photomasks.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fiscal 2020, we acquired the remaining 0.2% of noncontrolling interests in PK, Ltd. for $0.6 million.</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first quarter of fiscal 2020, we adopted ASU 2016-02 and all subsequent amendments, collectively codified in Accounting Standards Codification Topic 842 - “Leases” (“Topic 842”). This guidance requires modified retrospective adoption, either at the beginning of the earliest period presented or at the beginning of the period of adoption; we elected to apply the guidance at the beginning of the period of adoption, and recognized right-of-use leased assets of $6.5 million and corresponding lease liabilities which were discounted at our incremental borrowing rates, on our November 1, 2019 condensed consolidated balance sheet to reflect our adoption of the guidance. Our adoption of Topic 842 did not affect our cash flows or our ability to comply with covenants under our credit agreements.</w:t>
      </w:r>
    </w:p>
    <w:p>
      <w:pPr>
        <w:spacing w:after="0" w:line="219"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In the fourth quarter of fiscal 2019, our board of directors declared a dividend of one preferred stock purchase right (a “Right”), payable on or about October 1, 2019, for each share of common stock, par value $0.01 per share, of the Company outstanding on September 30, 2019, to the stockholders of record on that date. In connection with the distribution of the Rights, we entered into a Section 382 Rights Agreement (the “Rights Agreement”), dated as of September 23, 2019, between the Company and Computershare Trust Company, N.A., a federally chartered trust company, as rights agent. The purpose of the Rights Agreement is to deter trading of our common stock that would result in a change in control (as defined in Internal Revenue Code Section 382), thereby preserving our future ability to use our historical federal net operating losses and other Tax Attributes (as defined in the Rights Agreement). Each Right entitles the registered holder to purchase from the Company one one-thousandth of a share of Series A Preferred Stock, par value $0.01 per share, at a price of $33.63, subject to adjustment. The Rights, which are described in the Company’s Current Report on Form 8-K filed on September 24, 2019, are in all respects subject to and governed by the provisions of the Rights Agreement. The Rights will expire at the earliest to occur of</w:t>
      </w:r>
    </w:p>
    <w:p>
      <w:pPr>
        <w:spacing w:after="0" w:line="6" w:lineRule="exact"/>
        <w:rPr>
          <w:sz w:val="20"/>
          <w:szCs w:val="20"/>
          <w:color w:val="auto"/>
        </w:rPr>
      </w:pPr>
    </w:p>
    <w:p>
      <w:pPr>
        <w:ind w:right="100" w:firstLine="8"/>
        <w:spacing w:after="0" w:line="253"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close of business on the day following the certification of the voting results of the Company’s 2020 annual meeting of stockholders, if at that meeting, or any other meeting of stockholders of the Company duly held prior to September 22, 2020, a proposal to approve this Rights Agreement is not passed by the affirmative vote of the majority of the voting interests; (ii) the date on which our board of directors determines, in its sole discretion, that the Rights Agreement is no longer necessary for the preservation of material valuable tax attributes, or the tax attributes have been fully utilized and may no longer be carried forward, and (iii) the close of business on September 22, 2022.</w:t>
      </w: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the fourth quarter of fiscal 2019, PDMC, the Company’s majority-owned IC subsidiary in Taiwan, paid a dividend of which 49.99%, or approximately $18.9 million, was paid to noncontrolling interests.</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fourth quarter of fiscal 2019, upon our request, a financing entity made an advance payment of $3.5 million to an equipment vendor. We entered into a Master Lease Agreement (“MLA”) with this financing entity, which became effective in July 2019. The MLA enables us to request advance payments or other funds to finance equipment to be leased or purchased in the U.S. In connection with this MLA, we have been approved for financing of $35 million for the purchase of a high-end lithography tool. Interest on this borrowing is payable monthly at thirty-day LIBOR plus 1% (2.67% at February 2, 2020), and will continue to accrue until the borrowing is repaid or, as allowed under the MLA, we enter into a lease for the equipment. We intend to enter into a lease agreement for the related equipment in fiscal year 2020.</w:t>
      </w:r>
    </w:p>
    <w:p>
      <w:pPr>
        <w:spacing w:after="0" w:line="205"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In the fourth quarter of fiscal 2019, the Company’s board of directors authorized the repurchase of up to $100 million of its common stock, pursuant to a repurchase plan under Rule 10b5-1 of the Securities Act of 1933 (as amended). As of February 2, 2020, we had repurchased 1.9 million shares, at a cost of $22.0 million (an average price of $11.51 per share), under this authorization. The repurchase program may be suspended or discontinued at any time.</w:t>
      </w:r>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second quarter of fiscal 2019, we repaid, upon maturity, the entire $57.5 million principal amount of the convertible senior notes we issued in April 2016.</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first quarter of fiscal 2019, PDMC paid a dividend, of which 49.99%, or approximately $26.1 million, was paid to noncontrolling interests.</w:t>
      </w:r>
    </w:p>
    <w:p>
      <w:pPr>
        <w:spacing w:after="0" w:line="27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the first quarter of fiscal 2019, PDMCX was approved for credit of $50 million, subject to certain limitations related to PDMCX registered capital at the time of the initial approval, pursuant to which PDMCX has and will enter into separate loan agreements (“the Project Loans”) for intermittent borrowings. The Project Loans, which are denominated in Chinese renminbi (RMB), are being used to finance certain capital expenditures in China. PDMCX granted liens on its land, building, and certain equipment as collateral for the Project Loans. As of February 2, 2020, PDMCX had borrowed 243.4 million RMB ($35.1 million) against this approval. Payments on these borrowings are due semi-annually through December 2025; the initial payment is scheduled for June 2020. See Note 5 of the condensed consolidated financial statements for additional information on these loans.</w:t>
      </w:r>
    </w:p>
    <w:p>
      <w:pPr>
        <w:spacing w:after="0" w:line="19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first quarter of fiscal 2019, PDMCX received approval for unsecured credit of $25.0 million, pursuant to which PDMCX may enter into separate loan agreements. Under this credit agreement (the “Working Capital Loans”), PDMCX can borrow up to 140.0 million RMB to pay value-added taxes (“VAT”) and up to 60.0 million RMB to fund operations; combined total borrowings are limited to $25.0 million. As of February 2, 2020, PDMCX had outstanding 44.8 million RMB ($6.5 million) to fund operations, with repayments due one year from the borrowing dates of the separate loan agreements. As of February 2, 2020, PDMCX had outstanding 64.6 million RMB ($9.3 million) borrowed to pay VAT. Payments on these borrowings are due semiannually, at an increasing rate, through January 2022. See Note 5 of the condensed consolidated financial statements for additional information on these loans.</w:t>
      </w:r>
    </w:p>
    <w:p>
      <w:pPr>
        <w:spacing w:after="0" w:line="222" w:lineRule="exact"/>
        <w:rPr>
          <w:sz w:val="20"/>
          <w:szCs w:val="20"/>
          <w:color w:val="auto"/>
        </w:rPr>
      </w:pPr>
    </w:p>
    <w:p>
      <w:pPr>
        <w:ind w:right="20" w:firstLine="693"/>
        <w:spacing w:after="0" w:line="272" w:lineRule="auto"/>
        <w:rPr>
          <w:sz w:val="20"/>
          <w:szCs w:val="20"/>
          <w:color w:val="auto"/>
        </w:rPr>
      </w:pPr>
      <w:r>
        <w:rPr>
          <w:rFonts w:ascii="Arial" w:cs="Arial" w:eastAsia="Arial" w:hAnsi="Arial"/>
          <w:sz w:val="17"/>
          <w:szCs w:val="17"/>
          <w:color w:val="auto"/>
        </w:rPr>
        <w:t>In the fourth quarter of fiscal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minimum interest coverage ratio, total leverage ratio, and minimum unrestricted cash balance covenants (all of which we were in compliance with at February 2, 2020), and limits the amount of dividends, distributions, and redemptions we can pay on our stock to an aggregate amount of $50 million. We had no outstanding borrowings against the credit agreement at February 2, 2020, and $50 million was available for borrowing. The interest rate on the credit agreement (2.65% at February 2, 2020) is based on our total leverage ratio at LIBOR plus a spread, as defined in the credit agreement.</w:t>
      </w:r>
    </w:p>
    <w:p>
      <w:pPr>
        <w:spacing w:after="0" w:line="20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the fourth quarter of fiscal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under Rule 10b5-1, on October 22, 2018, and was terminated on February 1, 2019. In total, we repurchased 1.5 million shares at a cost of $13.8 million (an average of $9.41 per share) under this authorization.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February 2, 2020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operating information expressed as a percent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9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540" w:type="dxa"/>
            <w:vAlign w:val="bottom"/>
            <w:gridSpan w:val="2"/>
          </w:tcPr>
          <w:p>
            <w:pPr>
              <w:spacing w:after="0"/>
              <w:rPr>
                <w:sz w:val="19"/>
                <w:szCs w:val="19"/>
                <w:color w:val="auto"/>
              </w:rPr>
            </w:pPr>
          </w:p>
        </w:tc>
        <w:tc>
          <w:tcPr>
            <w:tcW w:w="144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r>
      <w:tr>
        <w:trPr>
          <w:trHeight w:val="198"/>
        </w:trPr>
        <w:tc>
          <w:tcPr>
            <w:tcW w:w="7320" w:type="dxa"/>
            <w:vAlign w:val="bottom"/>
          </w:tcPr>
          <w:p>
            <w:pPr>
              <w:spacing w:after="0"/>
              <w:rPr>
                <w:sz w:val="17"/>
                <w:szCs w:val="17"/>
                <w:color w:val="auto"/>
              </w:rPr>
            </w:pPr>
          </w:p>
        </w:tc>
        <w:tc>
          <w:tcPr>
            <w:tcW w:w="1540" w:type="dxa"/>
            <w:vAlign w:val="bottom"/>
            <w:tcBorders>
              <w:top w:val="single" w:sz="8" w:color="auto"/>
            </w:tcBorders>
            <w:gridSpan w:val="2"/>
          </w:tcPr>
          <w:p>
            <w:pPr>
              <w:jc w:val="right"/>
              <w:ind w:right="430"/>
              <w:spacing w:after="0" w:line="198" w:lineRule="exact"/>
              <w:rPr>
                <w:sz w:val="20"/>
                <w:szCs w:val="20"/>
                <w:color w:val="auto"/>
              </w:rPr>
            </w:pPr>
            <w:r>
              <w:rPr>
                <w:rFonts w:ascii="Arial" w:cs="Arial" w:eastAsia="Arial" w:hAnsi="Arial"/>
                <w:sz w:val="18"/>
                <w:szCs w:val="18"/>
                <w:b w:val="1"/>
                <w:bCs w:val="1"/>
                <w:color w:val="auto"/>
              </w:rPr>
              <w:t>February 2,</w:t>
            </w:r>
          </w:p>
        </w:tc>
        <w:tc>
          <w:tcPr>
            <w:tcW w:w="1440" w:type="dxa"/>
            <w:vAlign w:val="bottom"/>
            <w:tcBorders>
              <w:top w:val="single" w:sz="8" w:color="auto"/>
            </w:tcBorders>
            <w:gridSpan w:val="2"/>
          </w:tcPr>
          <w:p>
            <w:pPr>
              <w:jc w:val="right"/>
              <w:ind w:right="390"/>
              <w:spacing w:after="0" w:line="198" w:lineRule="exact"/>
              <w:rPr>
                <w:sz w:val="20"/>
                <w:szCs w:val="20"/>
                <w:color w:val="auto"/>
              </w:rPr>
            </w:pPr>
            <w:r>
              <w:rPr>
                <w:rFonts w:ascii="Arial" w:cs="Arial" w:eastAsia="Arial" w:hAnsi="Arial"/>
                <w:sz w:val="18"/>
                <w:szCs w:val="18"/>
                <w:b w:val="1"/>
                <w:bCs w:val="1"/>
                <w:color w:val="auto"/>
                <w:w w:val="94"/>
              </w:rPr>
              <w:t>October 31,</w:t>
            </w:r>
          </w:p>
        </w:tc>
        <w:tc>
          <w:tcPr>
            <w:tcW w:w="7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January</w:t>
            </w:r>
          </w:p>
        </w:tc>
        <w:tc>
          <w:tcPr>
            <w:tcW w:w="22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gridSpan w:val="2"/>
          </w:tcPr>
          <w:p>
            <w:pPr>
              <w:jc w:val="right"/>
              <w:ind w:right="310"/>
              <w:spacing w:after="0"/>
              <w:rPr>
                <w:sz w:val="20"/>
                <w:szCs w:val="20"/>
                <w:color w:val="auto"/>
              </w:rPr>
            </w:pPr>
            <w:r>
              <w:rPr>
                <w:rFonts w:ascii="Arial" w:cs="Arial" w:eastAsia="Arial" w:hAnsi="Arial"/>
                <w:sz w:val="18"/>
                <w:szCs w:val="18"/>
                <w:color w:val="auto"/>
              </w:rPr>
              <w:t>78.3</w:t>
            </w: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75.6</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79.1</w:t>
            </w: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Gross margin</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21.7</w:t>
            </w:r>
          </w:p>
        </w:tc>
        <w:tc>
          <w:tcPr>
            <w:tcW w:w="4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24.4</w:t>
            </w:r>
          </w:p>
        </w:tc>
        <w:tc>
          <w:tcPr>
            <w:tcW w:w="4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20.9</w:t>
            </w:r>
          </w:p>
        </w:tc>
        <w:tc>
          <w:tcPr>
            <w:tcW w:w="22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8.9</w:t>
            </w:r>
          </w:p>
        </w:tc>
        <w:tc>
          <w:tcPr>
            <w:tcW w:w="14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7.8</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310"/>
              <w:spacing w:after="0"/>
              <w:rPr>
                <w:sz w:val="20"/>
                <w:szCs w:val="20"/>
                <w:color w:val="auto"/>
              </w:rPr>
            </w:pPr>
            <w:r>
              <w:rPr>
                <w:rFonts w:ascii="Arial" w:cs="Arial" w:eastAsia="Arial" w:hAnsi="Arial"/>
                <w:sz w:val="18"/>
                <w:szCs w:val="18"/>
                <w:color w:val="auto"/>
              </w:rPr>
              <w:t>2.6</w:t>
            </w: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10.2</w:t>
            </w:r>
          </w:p>
        </w:tc>
        <w:tc>
          <w:tcPr>
            <w:tcW w:w="4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13.7</w:t>
            </w:r>
          </w:p>
        </w:tc>
        <w:tc>
          <w:tcPr>
            <w:tcW w:w="4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2.3</w:t>
            </w:r>
          </w:p>
        </w:tc>
        <w:tc>
          <w:tcPr>
            <w:tcW w:w="1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23"/>
        </w:trPr>
        <w:tc>
          <w:tcPr>
            <w:tcW w:w="7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tax provision</w:t>
            </w:r>
          </w:p>
        </w:tc>
        <w:tc>
          <w:tcPr>
            <w:tcW w:w="1540" w:type="dxa"/>
            <w:vAlign w:val="bottom"/>
            <w:gridSpan w:val="2"/>
          </w:tcPr>
          <w:p>
            <w:pPr>
              <w:jc w:val="right"/>
              <w:ind w:right="310"/>
              <w:spacing w:after="0"/>
              <w:rPr>
                <w:sz w:val="20"/>
                <w:szCs w:val="20"/>
                <w:color w:val="auto"/>
              </w:rPr>
            </w:pPr>
            <w:r>
              <w:rPr>
                <w:rFonts w:ascii="Arial" w:cs="Arial" w:eastAsia="Arial" w:hAnsi="Arial"/>
                <w:sz w:val="18"/>
                <w:szCs w:val="18"/>
                <w:color w:val="auto"/>
              </w:rPr>
              <w:t>5.7</w:t>
            </w: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4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8.3</w:t>
            </w:r>
          </w:p>
        </w:tc>
        <w:tc>
          <w:tcPr>
            <w:tcW w:w="4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0.4</w:t>
            </w:r>
          </w:p>
        </w:tc>
        <w:tc>
          <w:tcPr>
            <w:tcW w:w="14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23"/>
        </w:trPr>
        <w:tc>
          <w:tcPr>
            <w:tcW w:w="7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three-months ended February 2, 2020 (Q1 FY20), October 31, 2019 (Q4 FY19), and January 27, 2019 (Q1 FY19).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19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Q1 FY20, we changed the threshold for the definition of high-end FPD, from G8 and above and active matrix organic light-emitting diode (AMOLED) display screens, to G10.5 and above, AMOLED, and low-temperature polysilicon display screens (LTPS), to reflect the overall advancement of technology in the FPD industry. Our definition of high-end IC products remains as 28 nanometer or smaller. Quarterly changes in revenue by product type for the three-month periods ended October 31, 2019 and January 27, 2019, have been modified to reflect this change. High-end photomasks typically have higher selling prices (ASPs) than mainstream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present changes in disaggregated revenue in Q1 FY20 from revenue in prior reporting periods. Columns may not total due to rounding.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i w:val="1"/>
                <w:iCs w:val="1"/>
                <w:color w:val="auto"/>
              </w:rPr>
              <w:t>Quarterly Changes in Revenue by Product Type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5"/>
              </w:rPr>
              <w:t>Q1 FY20 from Q4 FY19</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Q1 FY20 from Q1 FY19</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Revenue in</w:t>
            </w: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center"/>
              <w:ind w:right="5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Increase</w:t>
            </w:r>
          </w:p>
        </w:tc>
        <w:tc>
          <w:tcPr>
            <w:tcW w:w="1100" w:type="dxa"/>
            <w:vAlign w:val="bottom"/>
            <w:tcBorders>
              <w:top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Q1 FY20</w:t>
            </w:r>
          </w:p>
        </w:tc>
        <w:tc>
          <w:tcPr>
            <w:tcW w:w="120" w:type="dxa"/>
            <w:vAlign w:val="bottom"/>
          </w:tcPr>
          <w:p>
            <w:pPr>
              <w:spacing w:after="0"/>
              <w:rPr>
                <w:sz w:val="20"/>
                <w:szCs w:val="20"/>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(Decrease)</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20" w:type="dxa"/>
            <w:vAlign w:val="bottom"/>
            <w:vMerge w:val="restart"/>
          </w:tcPr>
          <w:p>
            <w:pPr>
              <w:spacing w:after="0"/>
              <w:rPr>
                <w:sz w:val="20"/>
                <w:szCs w:val="20"/>
                <w:color w:val="auto"/>
              </w:rPr>
            </w:pPr>
            <w:r>
              <w:rPr>
                <w:rFonts w:ascii="Arial" w:cs="Arial" w:eastAsia="Arial" w:hAnsi="Arial"/>
                <w:sz w:val="18"/>
                <w:szCs w:val="18"/>
                <w:color w:val="auto"/>
              </w:rPr>
              <w:t>IC</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520" w:type="dxa"/>
            <w:vAlign w:val="bottom"/>
          </w:tcPr>
          <w:p>
            <w:pPr>
              <w:ind w:left="66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660"/>
              <w:spacing w:after="0"/>
              <w:rPr>
                <w:sz w:val="20"/>
                <w:szCs w:val="20"/>
                <w:color w:val="auto"/>
              </w:rPr>
            </w:pPr>
            <w:r>
              <w:rPr>
                <w:rFonts w:ascii="Arial" w:cs="Arial" w:eastAsia="Arial" w:hAnsi="Arial"/>
                <w:sz w:val="18"/>
                <w:szCs w:val="18"/>
                <w:color w:val="auto"/>
              </w:rPr>
              <w:t>Total 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FPD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4520" w:type="dxa"/>
            <w:vAlign w:val="bottom"/>
          </w:tcPr>
          <w:p>
            <w:pPr>
              <w:ind w:left="66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660"/>
              <w:spacing w:after="0"/>
              <w:rPr>
                <w:sz w:val="20"/>
                <w:szCs w:val="20"/>
                <w:color w:val="auto"/>
              </w:rPr>
            </w:pPr>
            <w:r>
              <w:rPr>
                <w:rFonts w:ascii="Arial" w:cs="Arial" w:eastAsia="Arial" w:hAnsi="Arial"/>
                <w:sz w:val="18"/>
                <w:szCs w:val="18"/>
                <w:color w:val="auto"/>
              </w:rPr>
              <w:t>Total FPD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Quarterly Changes in Revenue by Geographic Origin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w w:val="95"/>
              </w:rPr>
              <w:t>Q1 FY20 from Q4 FY19</w:t>
            </w: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Q1 FY20 from Q1 FY19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Revenue in</w:t>
            </w:r>
          </w:p>
        </w:tc>
        <w:tc>
          <w:tcPr>
            <w:tcW w:w="120" w:type="dxa"/>
            <w:vAlign w:val="bottom"/>
          </w:tcPr>
          <w:p>
            <w:pPr>
              <w:spacing w:after="0"/>
              <w:rPr>
                <w:sz w:val="24"/>
                <w:szCs w:val="2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Increase</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Increase</w:t>
            </w:r>
          </w:p>
        </w:tc>
        <w:tc>
          <w:tcPr>
            <w:tcW w:w="132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Q1 FY20</w:t>
            </w:r>
          </w:p>
        </w:tc>
        <w:tc>
          <w:tcPr>
            <w:tcW w:w="120" w:type="dxa"/>
            <w:vAlign w:val="bottom"/>
          </w:tcPr>
          <w:p>
            <w:pPr>
              <w:spacing w:after="0"/>
              <w:rPr>
                <w:sz w:val="20"/>
                <w:szCs w:val="20"/>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(Decrease)</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7,467.7%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Revenue increased 2.2% in Q1 FY20, compared with Q4 FY19, primarily due to increased high-end FPD; the increase in high-end FPD was largely offset by mainstream FPD and both high-end and mainstream IC. High-end FPD increased 56.4% as demand grew for AMOLED and LTPS mobile displays, as well as G10.5+ for large-format televisions. Mainstream FPD decreased 29.0% due to a decline in demand for G8.5 and smaller masks used for LCD displays. High-end and mainstream IC photomasks decreased 8.7%, and 2.4%, respectively as demand was softer, in line with seasonal trends.</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 increased 28.1% in Q1 FY20, compared with Q1FY19, primarily due to increased high-end FPD and increased high-end and mainstream IC, partially offset by decreased mainstream FPD. High-end FPD increased 159.1% as the current quarter reflects revenues from our fully ramped FPD facility in China, and an overall increased demand for AMOLED, LTPS, and G10.5+ photomasks. High-end IC increased due to stronger end-market demand. Mainstream IC increased due to stronger demand in the current quarter, a portion of which was met by our new IC facility in China. Mainstream FPD revenues decreased due to a decline in demand for G8.5 and below photomasks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due to Coronavirus Outbreak</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implemented policies to keep our employees safe while complying with all governmental regulations. We are actively working with our suppliers to minimize any impact to our operations. While we have limited visibility of the impact the virus is having on our customers’ operations, we have seen some design releases delayed in both our Asia IC and FPD businesses, and we believe our second quarter results may reflect the effect of these delays.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2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center"/>
              <w:ind w:right="480"/>
              <w:spacing w:after="0" w:line="198" w:lineRule="exact"/>
              <w:rPr>
                <w:sz w:val="20"/>
                <w:szCs w:val="20"/>
                <w:color w:val="auto"/>
              </w:rPr>
            </w:pPr>
            <w:r>
              <w:rPr>
                <w:rFonts w:ascii="Arial" w:cs="Arial" w:eastAsia="Arial" w:hAnsi="Arial"/>
                <w:sz w:val="18"/>
                <w:szCs w:val="18"/>
                <w:b w:val="1"/>
                <w:bCs w:val="1"/>
                <w:color w:val="auto"/>
                <w:w w:val="87"/>
              </w:rPr>
              <w:t>Percent</w:t>
            </w: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r>
      <w:tr>
        <w:trPr>
          <w:trHeight w:val="234"/>
        </w:trPr>
        <w:tc>
          <w:tcPr>
            <w:tcW w:w="2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Q1 FY20</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Q4 FY19</w:t>
            </w:r>
          </w:p>
        </w:tc>
        <w:tc>
          <w:tcPr>
            <w:tcW w:w="240" w:type="dxa"/>
            <w:vAlign w:val="bottom"/>
          </w:tcPr>
          <w:p>
            <w:pPr>
              <w:spacing w:after="0"/>
              <w:rPr>
                <w:sz w:val="20"/>
                <w:szCs w:val="20"/>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Q1 FY19</w:t>
            </w: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20" w:type="dxa"/>
            <w:vAlign w:val="bottom"/>
            <w:gridSpan w:val="4"/>
          </w:tcPr>
          <w:p>
            <w:pPr>
              <w:spacing w:after="0"/>
              <w:rPr>
                <w:sz w:val="18"/>
                <w:szCs w:val="18"/>
                <w:color w:val="auto"/>
              </w:rPr>
            </w:pPr>
          </w:p>
        </w:tc>
        <w:tc>
          <w:tcPr>
            <w:tcW w:w="1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38.2</w:t>
            </w:r>
          </w:p>
        </w:tc>
        <w:tc>
          <w:tcPr>
            <w:tcW w:w="1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  $</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Gross margin</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24.4%</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20.9%</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Gross margin decreased in Q1 FY20 from Q4 FY19 primarily as a result of a 5.1% increase in material costs, which were caused by higher glass blank and pellicle costs, and an 11.8% increase in compensation and related expenses. Gross margin increased in Q1 FY20, compared with Q1 FY19, primarily due to the 28% increase in revenue from the prior year. As we operate in a high fixed cost environment, increases or decreases in our revenues and capacity utilization will generally positively or negatively impact our gross margin.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Selling, general and administrative expenses increased by $2.1 million, or 17.1%, to $14.2 million in Q1 FY20, from $12.1 million in Q4 FY19, primarily due to increased compensation and related expenses. Selling, general and administrative expenses increased in Q1 FY20 by $0.4 million, or</w:t>
      </w:r>
    </w:p>
    <w:p>
      <w:pPr>
        <w:ind w:right="100"/>
        <w:spacing w:after="0" w:line="260" w:lineRule="auto"/>
        <w:rPr>
          <w:sz w:val="20"/>
          <w:szCs w:val="20"/>
          <w:color w:val="auto"/>
        </w:rPr>
      </w:pPr>
      <w:r>
        <w:rPr>
          <w:rFonts w:ascii="Arial" w:cs="Arial" w:eastAsia="Arial" w:hAnsi="Arial"/>
          <w:sz w:val="18"/>
          <w:szCs w:val="18"/>
          <w:color w:val="auto"/>
        </w:rPr>
        <w:t>3.1%, from $13.8 million in Q1 FY19, primarily as a result of increased compensation and related benefits, primarily resulting from increased share-based compensation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Research and development expenses consist of development efforts related to high-end process technologies for 28nm and smaller IC nodes. In Asia, in addition to the focus on high-end IC technology nodes, applications are also under development for G10.5 and above, AMOLED, and LTPS FPD.</w:t>
      </w:r>
    </w:p>
    <w:p>
      <w:pPr>
        <w:spacing w:after="0" w:line="151"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Research and development expense decreased $0.4 million, to $4.1 million, or 10.2%, in Q1 FY20 from Q4 FY19, primarily as a result of decreased IC development activities in Taiwan and China. Research and development expense decreased $ 0.2 million, or 4.3% in Q1 FY20 from Q1 FY19, due to decreased spending in the U.S. exceeding increased combined expenditures at the two China-based facilities.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34"/>
        </w:trPr>
        <w:tc>
          <w:tcPr>
            <w:tcW w:w="7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Q1 FY20</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9"/>
              </w:rPr>
              <w:t>Q4 FY19</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Q1 FY19</w:t>
            </w:r>
          </w:p>
        </w:tc>
        <w:tc>
          <w:tcPr>
            <w:tcW w:w="100" w:type="dxa"/>
            <w:vAlign w:val="bottom"/>
          </w:tcPr>
          <w:p>
            <w:pPr>
              <w:spacing w:after="0"/>
              <w:rPr>
                <w:sz w:val="20"/>
                <w:szCs w:val="20"/>
                <w:color w:val="auto"/>
              </w:rPr>
            </w:pPr>
          </w:p>
        </w:tc>
      </w:tr>
      <w:tr>
        <w:trPr>
          <w:trHeight w:val="205"/>
        </w:trPr>
        <w:tc>
          <w:tcPr>
            <w:tcW w:w="7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57"/>
        </w:trPr>
        <w:tc>
          <w:tcPr>
            <w:tcW w:w="7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income and other income (expense), net increased in Q1 FY20 by $11.4 million from Q4 FY19, primarily as a result of foreign currency gains of $4.7 million experienced in Q1 FY20, in contrast to losses of $6.2 million recognized in Q4 FY19.</w:t>
      </w:r>
    </w:p>
    <w:p>
      <w:pPr>
        <w:spacing w:after="0" w:line="19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Interest income and other income (expense), net increased in Q1 FY20 by $3.9 million from Q1 FY19, primarily due to $3.6 million greater foreign currency gains experienced in the current quarter than in the prior year quarter.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34"/>
        </w:trPr>
        <w:tc>
          <w:tcPr>
            <w:tcW w:w="7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Q1 FY20</w:t>
            </w: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Q4 FY19</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Q1 FY19</w:t>
            </w:r>
          </w:p>
        </w:tc>
        <w:tc>
          <w:tcPr>
            <w:tcW w:w="160" w:type="dxa"/>
            <w:vAlign w:val="bottom"/>
          </w:tcPr>
          <w:p>
            <w:pPr>
              <w:spacing w:after="0"/>
              <w:rPr>
                <w:sz w:val="20"/>
                <w:szCs w:val="20"/>
                <w:color w:val="auto"/>
              </w:rPr>
            </w:pPr>
          </w:p>
        </w:tc>
      </w:tr>
      <w:tr>
        <w:trPr>
          <w:trHeight w:val="205"/>
        </w:trPr>
        <w:tc>
          <w:tcPr>
            <w:tcW w:w="7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bl>
    <w:p>
      <w:pPr>
        <w:spacing w:after="0" w:line="214"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effective income tax rate is sensitive to the jurisdictional mix of earnings, due, in part, to the non-recognition of tax benefits on losses in jurisdictions with valuation allowances. The effective income tax rate increase in Q1 FY20, compared with Q4 FY19, is primarily attributable to the non-recognition of tax benefits on losses in jurisdictions with valuation allowances, the establishment of a valuation allowance for a non-U.S. based loss carryforward, the expiration of a tax holiday in Q1 FY20, and a net decrease in tax accruals no longer required as a result of the settlement of a non-U.S. income tax audit and statute of limitations expiration in Q4 FY19. The effective income tax rate increase in Q1 FY20, compared with Q1 FY19, is primarily attributable to the aforementioned factors that occurred in Q1 FY20, and the benefit of an alternative minimum tax credit in Q1 FY19.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income attributable to noncontrolling interests was $0.6 million in Q1 FY20, which represented a decrease of $2.7 million and $1.9 million from Q4 FY19 and Q1 FY19, respectively. The change from Q4 FY19 was due to decreased net income at our Taiwan-based IC facility and an increased loss at our China-based IC facility; we hold 50.01% ownership interests in each of these facilities. The change from Q1 FY19 resulted from an increased loss at our China-based IC facility, which was partially offset by increased net income at our Taiwan-based IC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had cash and cash equivalents of $218.3 million at the end of Q1 FY20, compared with $206.5 million at the end of fiscal 2019. The net increase is primarily attributable to:</w:t>
      </w:r>
    </w:p>
    <w:p>
      <w:pPr>
        <w:spacing w:after="0" w:line="197"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$30.8 million provided by operating activities;</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$2.9 million received from exercises of employee stock options;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 million received from government incentives in China;</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 million received from borrowings in China;</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$13.8 million paid for property, plant, and equipment;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$11.0 million used to repurchase our common stock.</w:t>
      </w:r>
    </w:p>
    <w:p>
      <w:pPr>
        <w:spacing w:after="0" w:line="23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working capital at the end of Q1 FY20 was $283.3 million, compared with $275.6 million at the end of fiscal 2019. The $7.7 million net increase is primarily attributable to the below increases (decreases) in working capital:</w:t>
      </w:r>
    </w:p>
    <w:p>
      <w:pPr>
        <w:spacing w:after="0" w:line="197"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cash and cash equivalents of $11.8 million;</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accounts receivable of $7.3 million, the predominance of which were in China reflecting their increased revenue in Q1 FY20;</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receivables for investment subsidies in China of $(3.2);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current portion of long-term debt of $(5.8) million;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accounts payable of $6.7 million, $4.9 million of which was the result of a reduction in payables for capital assets;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value added taxes payable of $(3.1) million;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income taxes payable of $(2.7) million;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lease liabilities of $(1.7) million, which resulted from our adoption of ASC 842 in Q1 FY20.</w:t>
      </w:r>
    </w:p>
    <w:p>
      <w:pPr>
        <w:spacing w:after="0" w:line="23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net cash provided by operating activities of $30.8 million in Q1 FY20 was a $50.1 million increase from $19.3 million used in Q1 FY19. The net increase was due primarily to:</w:t>
      </w:r>
    </w:p>
    <w:p>
      <w:pPr>
        <w:spacing w:after="0" w:line="197"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net income of $3.2 million in Q1 FY20;</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non-cash add backs to net income, including depreciation, share-based compensation and deferred income taxes of $10.8 million;</w:t>
      </w:r>
    </w:p>
    <w:p>
      <w:pPr>
        <w:spacing w:after="0" w:line="20" w:lineRule="exact"/>
        <w:rPr>
          <w:rFonts w:ascii="Arial" w:cs="Arial" w:eastAsia="Arial" w:hAnsi="Arial"/>
          <w:sz w:val="17"/>
          <w:szCs w:val="17"/>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comparative decrease in government subsidies receivable in China of $15.2 million;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comparative decrease in value added tax prepayments related to our China facilities of $19.9 million in Q1 FY20.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prepayments are recoverable through future sales transactions of the facilities.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Net cash used in investing activities was $11.5 million in Q1 FY20, a decrease of $90.3 million from the $101.9 million used in Q1 FY19. The net decrease was primarily attributable to decreased capital expenditures of $93.1 million; this was the result of a reduction in payments to equip our China-based facilities, which were in the start-up phase in Q1 FY19.</w:t>
      </w:r>
    </w:p>
    <w:p>
      <w:pPr>
        <w:spacing w:after="0" w:line="200" w:lineRule="exact"/>
        <w:rPr>
          <w:sz w:val="20"/>
          <w:szCs w:val="20"/>
          <w:color w:val="auto"/>
        </w:rPr>
      </w:pPr>
    </w:p>
    <w:p>
      <w:pPr>
        <w:spacing w:after="0" w:line="2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cash flows from financing activities decreased from funds provided of $21.4 million in Q1 FY19 to $7.6 million used in Q1 FY20. Significant components of the $29.0 million net decrease were:</w:t>
      </w:r>
    </w:p>
    <w:p>
      <w:pPr>
        <w:spacing w:after="0" w:line="197"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$26.1 million used to pay dividends to DNP (related to their 49.99% interest in our IC facility in Taiwan) in Q1 FY19;</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$(27.0) million less received from borrowings in China in Q1 FY20 than in the prior year quarter;</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$(29.4) million contributed in Q1 FY19 by DNP to maintain their proportionate ownership interest in our IC joint venture in China.</w:t>
      </w:r>
    </w:p>
    <w:p>
      <w:pPr>
        <w:spacing w:after="0" w:line="23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As of February 2, 2020 and October 31, 2019, our total cash and cash equivalents included $163.2 million and $147.2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Furthermore, our foreign subsidiaries continue to grow through the reinvestment of earnings in additional manufacturing capacity and capability, particularly in the high-end IC and FPD areas.</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facility.</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February 2, 2020, we had outstanding capital commitments of approximately $113.6 million. We intend to finance our capital expenditures with our working capital, contributions from our joint venture partners, borrowings under the Master Lease Agreement we entered into in fiscal 2019 (as discussed in Note 5 to the condensed consolidated financial statements), cash generated from operations and, if necessary, additional borrowings. Our remaining funding commitment for our IC facility in China, which commenced production in the third quarter of fiscal 2019, was approximately $7 million as of February 2, 2020; we will fulfill this commitment over the next several quarters.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January 2018, Photronics, through its wholly owned Singapore subsidiary, and DNP, through its wholly owned subsidiary “DNP Asia Pacific PTE, Ltd.” entered into a joint venture under which DNP obtained a 49.99% interest in our IC business in Xiamen, China. The joint venture, known as “Xiamen American Japan Photronics Mask Co., Ltd.” (“PDMCX”), was established to develop and manufacture photomasks for leading edge and advanced generation semiconductors. Under the joint venture’s operating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As of the date of issuance of this report, DNP had not indicated its intention to exercise this right.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February 2, 2020, Photronics and DNP each had net investments in PDMCX of $36.6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 majority of growth in the IC and FPD markets is expected to continue to come from the Asia region, predominantly in China. We expect to meet these demands both through the utilization of our new facilities in China, and by importing photomasks into China from our other facilities. We make continual assessments of our global manufacturing strategy and monitor our revenue and related cash flows from operations. These ongoing assessments could result in future facility closures, asset redeployments, additional impairments of intangible or long-lived assets, workforce reductions, or the addition of manufacturing facilities, all of which would be based on market conditions and customer requirements.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some of which are discussed in Part1, Item 1A in our Annual Report on Form 10-K for the year ended October 31, 2019; a number of other unforeseen factors could cause actual results to differ materially from our expectations.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See “Item 1. Condensed Consolidated Financial Statements– Notes to Condensed Consolidated Financial Statements – Note 15 – Recent Accounting Pronouncements” for recent accounting pronouncements that may affect the Company’s financial reporting.</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engage in transactions in, and have exposures to, the Japanese yen.</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primary net foreign currency exposures as of February 2, 2020, included the South Korean won, the Japanese yen, the New Taiwan dollar, the Chinese renminbi, the Singapore dollar, the British pound sterling, and the euro. As of that date, a 10% adverse movement in the value of currencies different than the functional currencies of our subsidiaries would have resulted in a net unrealized pre-tax loss of $33.9 million, which represents an increase of $0.8 million from our exposure at October 31, 2019. The increase in foreign currency rate change risk is primarily the result of increased exposures of the Chinese renminbi against the U.S. dollar. We do not believe that a 10% change in the exchange rates of non-US dollar currencies, other than the aforementioned currencies and the Japanese Yen, would have had a material effect on our February 2, 2020,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February 2, 2020, condensed consolidated financial statements.</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ectPr>
          <w:pgSz w:w="11900" w:h="16838" w:orient="portrait"/>
          <w:cols w:equalWidth="0" w:num="1">
            <w:col w:w="11240"/>
          </w:cols>
          <w:pgMar w:left="320" w:top="121"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fiscal quarter that has materially affected, or is reasonably likely to materially affect, our internal control over financial reporting.</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following risk factors update risk factors from our Annual Report on Form 10-K for the fiscal year ended October 31, 2019. There have been no other material changes to risks relating to our business as disclosed in Part 1, Item 1A of our Annual Report on Form 10-K for the year ended October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256"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Our business could be adversely affected by terrorist acts, widespread outbreaks of infectious diseases, or the outbreak or escalation of wars, especially in the Asian markets in which we generate a significant portion of our sales and in Japan where we purchase raw materials and capital equipment. Such events in the geographic regions in which we do business, including escalations of political tensions and military operations within the Korean Peninsula, where a significant portion of our foreign operations are located, could have material adverse impacts on our revenue, cost and availability of raw materials, results of operations, cash flows, and financial condition.</w:t>
      </w:r>
    </w:p>
    <w:p>
      <w:pPr>
        <w:spacing w:after="0" w:line="20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eventual impact the coronavirus outbreak will have on our business is uncertain at this time. However, as we now have substantial investments and generate significant revenues in China, and have significant operations in Korea and Taiwan, our business may be adversely affected by the bearing of the epidemic on the general economies of these countries and our customers and suppliers. Our FPD and IC facilities in China are located within two hundred and five hundred miles, respectively, of Wuhan, Hubei Province, China, the epicenter of the outbreak. Although all of our manufacturing facilities have remained in operation, we cannot offer assurance that they will not be temporarily idled if: our workforce is directly or indirectly impacted, our means of obtaining supplies are obstructed, or the production or development activities of our customers are impacted by the virus.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of 1933 (as amended). The authorization does not obligate us to repurchase any dollar amount or number of shares of common stock, and the repurchases program may be suspended or discontinued at any time. All of the 0.9 million shares repurchased under this program prior to the three-month period ended February 2, 2020 were retired in fiscal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r>
      <w:tr>
        <w:trPr>
          <w:trHeight w:val="241"/>
        </w:trPr>
        <w:tc>
          <w:tcPr>
            <w:tcW w:w="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39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19, 2019 – October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November 1, 2019 – December 2, 2019</w:t>
            </w: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57"/>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repurchase program was terminated on February 1, 2019, and all of the shares repurchased under this program were retired in fiscal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Dollar Value of</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r>
      <w:tr>
        <w:trPr>
          <w:trHeight w:val="241"/>
        </w:trPr>
        <w:tc>
          <w:tcPr>
            <w:tcW w:w="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millions)</w:t>
            </w:r>
          </w:p>
        </w:tc>
      </w:tr>
      <w:tr>
        <w:trPr>
          <w:trHeight w:val="39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12, 2018 – October 31,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21.9</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November 1, 2018 – November 25, 2018</w:t>
            </w: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9.49</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20.1</w:t>
            </w: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26, 2018 – December 23,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13.4</w:t>
            </w: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December 24, 2018 – January 27, 2019</w:t>
            </w: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w w:val="95"/>
              </w:rPr>
              <w:t>11.2*</w:t>
            </w:r>
          </w:p>
        </w:tc>
      </w:tr>
      <w:tr>
        <w:trPr>
          <w:trHeight w:val="257"/>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The share repurchase program was terminated on February 1, 2019, with no additional shares being purchased subsequent to January 27, 2019.</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March 9, 2020 Photronics Dai Nippon Mask Corporation (“PDMC”) and Frank Lee entered into an Employment Agreement effective as of October 31, 2019. The agreement provides for a salary of $428,926 and is automatically extended for consecutive one-year periods unless PDMC gives at least 30 days’ notice of its intent not to renew. Dr. Lee is entitled to participate in employee benefit plans and arrangements as established by PDMC for similarly situated executives. If the agreement is terminated by PDMC for reasons other than for “cause”, or Dr. Lee resigns for “good reason”, Dr. Lee will receive a payment equal to 100% of his base salary paid out over 12 months. The agreement also provides severance payments equal to 150% of his base salary payable over 18 months in the event of involuntary termination other than for “cause” (including resignation for “good reason”) following a “change in control” and Dr. Lee’s stock options or similar rights will become immediately vested. Dr. Lee has agreed not to engage in any activity that competes with the business of PDMC or its parent entity during the term of his employment agreement and for twelve months after. Dr. Lee is President of PDMC and a Named Executive Officer of Photronics, Inc. The employment agreement is included as Exhibit 10.36 of this report.</w:t>
      </w:r>
    </w:p>
    <w:p>
      <w:pPr>
        <w:spacing w:after="0" w:line="193"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On March 9, 2020, the Consulting Agreement (the “Agreement”) between DEMA Associates, LLC and Photronics, Inc. dated January 20, 2018 was amended. The compensation paid under Article 2 of the Agreement was amended to reduce the amount to $9,000 per month or $108,000 per year. Furthermore, Mr. George Macricostas is no longer a member of DEMA Associates, LLC. The revised agreement is attached as Exhibit 10.37 of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7"/>
          </w:tcPr>
          <w:p>
            <w:pPr>
              <w:spacing w:after="0"/>
              <w:rPr>
                <w:sz w:val="20"/>
                <w:szCs w:val="20"/>
                <w:color w:val="auto"/>
              </w:rPr>
            </w:pPr>
            <w:r>
              <w:rPr>
                <w:rFonts w:ascii="Arial" w:cs="Arial" w:eastAsia="Arial" w:hAnsi="Arial"/>
                <w:sz w:val="18"/>
                <w:szCs w:val="18"/>
                <w:b w:val="1"/>
                <w:bCs w:val="1"/>
                <w:color w:val="auto"/>
              </w:rPr>
              <w:t>Item 6.</w:t>
            </w:r>
          </w:p>
        </w:tc>
        <w:tc>
          <w:tcPr>
            <w:tcW w:w="6500" w:type="dxa"/>
            <w:vAlign w:val="bottom"/>
            <w:gridSpan w:val="3"/>
          </w:tcPr>
          <w:p>
            <w:pPr>
              <w:ind w:left="400"/>
              <w:spacing w:after="0"/>
              <w:rPr>
                <w:sz w:val="20"/>
                <w:szCs w:val="20"/>
                <w:color w:val="auto"/>
              </w:rPr>
            </w:pPr>
            <w:r>
              <w:rPr>
                <w:rFonts w:ascii="Arial" w:cs="Arial" w:eastAsia="Arial" w:hAnsi="Arial"/>
                <w:sz w:val="18"/>
                <w:szCs w:val="18"/>
                <w:b w:val="1"/>
                <w:bCs w:val="1"/>
                <w:color w:val="auto"/>
              </w:rPr>
              <w:t>EXHIBITS</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ind w:left="240"/>
              <w:spacing w:after="0"/>
              <w:rPr>
                <w:sz w:val="20"/>
                <w:szCs w:val="20"/>
                <w:color w:val="auto"/>
              </w:rPr>
            </w:pPr>
            <w:r>
              <w:rPr>
                <w:rFonts w:ascii="Arial" w:cs="Arial" w:eastAsia="Arial" w:hAnsi="Arial"/>
                <w:sz w:val="18"/>
                <w:szCs w:val="18"/>
                <w:b w:val="1"/>
                <w:bCs w:val="1"/>
                <w:color w:val="auto"/>
              </w:rPr>
              <w:t>Incorporated by Reference</w:t>
            </w:r>
          </w:p>
        </w:tc>
        <w:tc>
          <w:tcPr>
            <w:tcW w:w="280" w:type="dxa"/>
            <w:vAlign w:val="bottom"/>
          </w:tcPr>
          <w:p>
            <w:pPr>
              <w:spacing w:after="0"/>
              <w:rPr>
                <w:sz w:val="24"/>
                <w:szCs w:val="24"/>
                <w:color w:val="auto"/>
              </w:rPr>
            </w:pPr>
          </w:p>
        </w:tc>
        <w:tc>
          <w:tcPr>
            <w:tcW w:w="88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6"/>
              </w:rPr>
              <w:t>Exhibit</w:t>
            </w:r>
          </w:p>
        </w:tc>
        <w:tc>
          <w:tcPr>
            <w:tcW w:w="60" w:type="dxa"/>
            <w:vAlign w:val="bottom"/>
            <w:gridSpan w:val="2"/>
          </w:tcPr>
          <w:p>
            <w:pPr>
              <w:spacing w:after="0"/>
              <w:rPr>
                <w:sz w:val="17"/>
                <w:szCs w:val="17"/>
                <w:color w:val="auto"/>
              </w:rPr>
            </w:pPr>
          </w:p>
        </w:tc>
        <w:tc>
          <w:tcPr>
            <w:tcW w:w="2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6"/>
          </w:tcPr>
          <w:p>
            <w:pPr>
              <w:ind w:left="180"/>
              <w:spacing w:after="0" w:line="196" w:lineRule="exact"/>
              <w:rPr>
                <w:sz w:val="20"/>
                <w:szCs w:val="20"/>
                <w:color w:val="auto"/>
              </w:rPr>
            </w:pPr>
            <w:r>
              <w:rPr>
                <w:rFonts w:ascii="Arial" w:cs="Arial" w:eastAsia="Arial" w:hAnsi="Arial"/>
                <w:sz w:val="18"/>
                <w:szCs w:val="18"/>
                <w:b w:val="1"/>
                <w:bCs w:val="1"/>
                <w:color w:val="auto"/>
              </w:rPr>
              <w:t>File</w:t>
            </w:r>
          </w:p>
        </w:tc>
        <w:tc>
          <w:tcPr>
            <w:tcW w:w="64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Filing</w:t>
            </w:r>
          </w:p>
        </w:tc>
        <w:tc>
          <w:tcPr>
            <w:tcW w:w="1160" w:type="dxa"/>
            <w:vAlign w:val="bottom"/>
            <w:gridSpan w:val="4"/>
          </w:tcPr>
          <w:p>
            <w:pPr>
              <w:jc w:val="center"/>
              <w:spacing w:after="0" w:line="196" w:lineRule="exact"/>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660" w:type="dxa"/>
            <w:vAlign w:val="bottom"/>
            <w:gridSpan w:val="6"/>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Number</w:t>
            </w:r>
          </w:p>
        </w:tc>
        <w:tc>
          <w:tcPr>
            <w:tcW w:w="6500" w:type="dxa"/>
            <w:vAlign w:val="bottom"/>
            <w:gridSpan w:val="3"/>
          </w:tcPr>
          <w:p>
            <w:pPr>
              <w:ind w:left="2460"/>
              <w:spacing w:after="0" w:line="196" w:lineRule="exact"/>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7"/>
                <w:szCs w:val="17"/>
                <w:color w:val="auto"/>
              </w:rPr>
            </w:pPr>
          </w:p>
        </w:tc>
        <w:tc>
          <w:tcPr>
            <w:tcW w:w="2060" w:type="dxa"/>
            <w:vAlign w:val="bottom"/>
            <w:gridSpan w:val="8"/>
          </w:tcPr>
          <w:p>
            <w:pPr>
              <w:spacing w:after="0" w:line="196" w:lineRule="exact"/>
              <w:rPr>
                <w:sz w:val="20"/>
                <w:szCs w:val="20"/>
                <w:color w:val="auto"/>
              </w:rPr>
            </w:pPr>
            <w:r>
              <w:rPr>
                <w:rFonts w:ascii="Arial" w:cs="Arial" w:eastAsia="Arial" w:hAnsi="Arial"/>
                <w:sz w:val="18"/>
                <w:szCs w:val="18"/>
                <w:b w:val="1"/>
                <w:bCs w:val="1"/>
                <w:color w:val="auto"/>
              </w:rPr>
              <w:t>Form  Number  Exhibit</w:t>
            </w:r>
          </w:p>
        </w:tc>
        <w:tc>
          <w:tcPr>
            <w:tcW w:w="140" w:type="dxa"/>
            <w:vAlign w:val="bottom"/>
          </w:tcPr>
          <w:p>
            <w:pPr>
              <w:spacing w:after="0"/>
              <w:rPr>
                <w:sz w:val="17"/>
                <w:szCs w:val="17"/>
                <w:color w:val="auto"/>
              </w:rPr>
            </w:pPr>
          </w:p>
        </w:tc>
        <w:tc>
          <w:tcPr>
            <w:tcW w:w="500" w:type="dxa"/>
            <w:vAlign w:val="bottom"/>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7"/>
                <w:szCs w:val="17"/>
                <w:color w:val="auto"/>
              </w:rPr>
            </w:pPr>
          </w:p>
        </w:tc>
        <w:tc>
          <w:tcPr>
            <w:tcW w:w="880" w:type="dxa"/>
            <w:vAlign w:val="bottom"/>
            <w:gridSpan w:val="3"/>
          </w:tcPr>
          <w:p>
            <w:pPr>
              <w:jc w:val="center"/>
              <w:ind w:right="220"/>
              <w:spacing w:after="0" w:line="196" w:lineRule="exact"/>
              <w:rPr>
                <w:sz w:val="20"/>
                <w:szCs w:val="20"/>
                <w:color w:val="auto"/>
              </w:rPr>
            </w:pPr>
            <w:r>
              <w:rPr>
                <w:rFonts w:ascii="Arial" w:cs="Arial" w:eastAsia="Arial" w:hAnsi="Arial"/>
                <w:sz w:val="18"/>
                <w:szCs w:val="18"/>
                <w:b w:val="1"/>
                <w:bCs w:val="1"/>
                <w:color w:val="auto"/>
                <w:w w:val="86"/>
              </w:rPr>
              <w:t>Herewith</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Executive Officer pursuant to Rule 13a-14(a)/15d-14(a)</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5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 the Securities Exchange Act of 1934, as adopted pursuant to Section 302 of</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4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 Sarbanes-Oxley Act of 2002.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Financial Officer pursuant to Rule 13a-14(a)/15d-14(a)</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5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 the Securities Exchange Act of 1934, as adopted pursuant to Section 302 of</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4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 Sarbanes-Oxley Act of 2002.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Executive Officer pursuant to 18 U.S.C. Section 1350, as</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5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Financial Officer pursuant to 18 U.S.C. Section 1350, as</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5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10.</w:t>
              </w:r>
              <w:r>
                <w:rPr>
                  <w:rFonts w:ascii="Arial" w:cs="Arial" w:eastAsia="Arial" w:hAnsi="Arial"/>
                  <w:sz w:val="18"/>
                  <w:szCs w:val="18"/>
                  <w:u w:val="single" w:color="auto"/>
                  <w:color w:val="0000EE"/>
                </w:rPr>
                <w:t>36</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Employment Agreement dated March 9, 2020, between Photronics Dai</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5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Nippon Mask Corporation and Frank Lee.</w:t>
            </w:r>
          </w:p>
        </w:tc>
        <w:tc>
          <w:tcPr>
            <w:tcW w:w="1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10.</w:t>
              </w:r>
              <w:r>
                <w:rPr>
                  <w:rFonts w:ascii="Arial" w:cs="Arial" w:eastAsia="Arial" w:hAnsi="Arial"/>
                  <w:sz w:val="18"/>
                  <w:szCs w:val="18"/>
                  <w:u w:val="single" w:color="auto"/>
                  <w:color w:val="0000EE"/>
                </w:rPr>
                <w:t>37</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50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Amendment dated March 9, 2020, between DEMA Associates, LLC and</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8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5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Photronics, Inc.</w:t>
            </w:r>
          </w:p>
        </w:tc>
        <w:tc>
          <w:tcPr>
            <w:tcW w:w="1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101.INS</w:t>
            </w: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8"/>
              </w:rPr>
              <w:t>101.SCH</w:t>
            </w: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101.CAL</w:t>
            </w: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101.DEF</w:t>
            </w: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101.LAB</w:t>
            </w: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101.PRE</w:t>
            </w:r>
          </w:p>
        </w:tc>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60" w:type="dxa"/>
            <w:vAlign w:val="bottom"/>
          </w:tcPr>
          <w:p>
            <w:pPr>
              <w:ind w:left="960"/>
              <w:spacing w:after="0"/>
              <w:rPr>
                <w:sz w:val="20"/>
                <w:szCs w:val="20"/>
                <w:color w:val="auto"/>
              </w:rPr>
            </w:pPr>
            <w:r>
              <w:rPr>
                <w:rFonts w:ascii="Arial" w:cs="Arial" w:eastAsia="Arial" w:hAnsi="Arial"/>
                <w:sz w:val="18"/>
                <w:szCs w:val="18"/>
                <w:b w:val="1"/>
                <w:bCs w:val="1"/>
                <w:color w:val="auto"/>
              </w:rPr>
              <w:t>SIGNATURES</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By:    /s/ JOHN P. JORDAN</w:t>
            </w:r>
          </w:p>
        </w:tc>
        <w:tc>
          <w:tcPr>
            <w:tcW w:w="4480" w:type="dxa"/>
            <w:vAlign w:val="bottom"/>
            <w:gridSpan w:val="2"/>
          </w:tcPr>
          <w:p>
            <w:pPr>
              <w:ind w:left="1120"/>
              <w:spacing w:after="0"/>
              <w:rPr>
                <w:sz w:val="20"/>
                <w:szCs w:val="20"/>
                <w:color w:val="auto"/>
              </w:rPr>
            </w:pPr>
            <w:r>
              <w:rPr>
                <w:rFonts w:ascii="Arial" w:cs="Arial" w:eastAsia="Arial" w:hAnsi="Arial"/>
                <w:sz w:val="18"/>
                <w:szCs w:val="18"/>
                <w:color w:val="auto"/>
              </w:rPr>
              <w:t>By:   /s/ ERIC RIVERA</w:t>
            </w:r>
          </w:p>
        </w:tc>
        <w:tc>
          <w:tcPr>
            <w:tcW w:w="336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JOHN P. JORDAN</w:t>
            </w:r>
          </w:p>
        </w:tc>
        <w:tc>
          <w:tcPr>
            <w:tcW w:w="168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ERIC RIVERA</w:t>
            </w:r>
          </w:p>
        </w:tc>
        <w:tc>
          <w:tcPr>
            <w:tcW w:w="33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6"/>
              </w:rPr>
              <w:t>Vice President, Corporate Controller</w:t>
            </w:r>
          </w:p>
        </w:tc>
        <w:tc>
          <w:tcPr>
            <w:tcW w:w="33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33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Date: March 11, 2020</w:t>
            </w:r>
          </w:p>
        </w:tc>
        <w:tc>
          <w:tcPr>
            <w:tcW w:w="4480" w:type="dxa"/>
            <w:vAlign w:val="bottom"/>
            <w:gridSpan w:val="2"/>
          </w:tcPr>
          <w:p>
            <w:pPr>
              <w:ind w:left="1120"/>
              <w:spacing w:after="0"/>
              <w:rPr>
                <w:sz w:val="20"/>
                <w:szCs w:val="20"/>
                <w:color w:val="auto"/>
              </w:rPr>
            </w:pPr>
            <w:r>
              <w:rPr>
                <w:rFonts w:ascii="Arial" w:cs="Arial" w:eastAsia="Arial" w:hAnsi="Arial"/>
                <w:sz w:val="18"/>
                <w:szCs w:val="18"/>
                <w:color w:val="auto"/>
              </w:rPr>
              <w:t>Date: March 11, 2020</w:t>
            </w:r>
          </w:p>
        </w:tc>
        <w:tc>
          <w:tcPr>
            <w:tcW w:w="3360" w:type="dxa"/>
            <w:vAlign w:val="bottom"/>
          </w:tcPr>
          <w:p>
            <w:pPr>
              <w:spacing w:after="0"/>
              <w:rPr>
                <w:sz w:val="24"/>
                <w:szCs w:val="24"/>
                <w:color w:val="auto"/>
              </w:rPr>
            </w:pPr>
          </w:p>
        </w:tc>
      </w:tr>
      <w:tr>
        <w:trPr>
          <w:trHeight w:val="945"/>
        </w:trPr>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80" w:type="dxa"/>
            <w:vAlign w:val="bottom"/>
            <w:gridSpan w:val="2"/>
          </w:tcPr>
          <w:p>
            <w:pPr>
              <w:jc w:val="right"/>
              <w:ind w:right="2070"/>
              <w:spacing w:after="0"/>
              <w:rPr>
                <w:sz w:val="20"/>
                <w:szCs w:val="20"/>
                <w:color w:val="auto"/>
              </w:rPr>
            </w:pPr>
            <w:r>
              <w:rPr>
                <w:rFonts w:ascii="Arial" w:cs="Arial" w:eastAsia="Arial" w:hAnsi="Arial"/>
                <w:sz w:val="18"/>
                <w:szCs w:val="18"/>
                <w:color w:val="auto"/>
              </w:rPr>
              <w:t>32</w:t>
            </w:r>
          </w:p>
        </w:tc>
        <w:tc>
          <w:tcPr>
            <w:tcW w:w="33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ind w:left="100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10.36</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31, 2019 by and between Photronics Dai Nippon Mask Corporation having a principal place of business located at 1F, No.2 Li-Hsin Road, Science Park, Hsin Chu City, Taiwan, ROC (the Company”) and Kang Jyh Lee ("</w:t>
      </w:r>
      <w:r>
        <w:rPr>
          <w:rFonts w:ascii="Arial" w:cs="Arial" w:eastAsia="Arial" w:hAnsi="Arial"/>
          <w:sz w:val="22"/>
          <w:szCs w:val="22"/>
          <w:u w:val="single" w:color="auto"/>
          <w:color w:val="auto"/>
        </w:rPr>
        <w:t>Executive</w:t>
      </w:r>
      <w:r>
        <w:rPr>
          <w:rFonts w:ascii="Arial" w:cs="Arial" w:eastAsia="Arial" w:hAnsi="Arial"/>
          <w:sz w:val="22"/>
          <w:szCs w:val="22"/>
          <w:color w:val="auto"/>
        </w:rPr>
        <w:t>") residing at 13F, #202, Chi-Yu Road, Sec #1, Taipei, Taiwan. The Company and Executive are collectively referred to as the “Parties”.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39"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WHEREAS, the Company and Executive desire to enter into this Agreement to assure the Company of the continuing service of Executive and to set forth the terms and conditions of Executive's employment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mutual promises and covenants set forth herein, the Parties agree as follows:</w:t>
      </w:r>
    </w:p>
    <w:p>
      <w:pPr>
        <w:spacing w:after="0" w:line="262" w:lineRule="exact"/>
        <w:rPr>
          <w:sz w:val="20"/>
          <w:szCs w:val="20"/>
          <w:color w:val="auto"/>
        </w:rPr>
      </w:pPr>
    </w:p>
    <w:p>
      <w:pPr>
        <w:ind w:right="280" w:firstLine="8"/>
        <w:spacing w:after="0" w:line="280" w:lineRule="auto"/>
        <w:tabs>
          <w:tab w:leader="none" w:pos="216"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agrees to employ Executive and Executive hereby accepts such employment,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terms of this Agreement. Subject to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19"/>
          <w:szCs w:val="19"/>
          <w:u w:val="single" w:color="auto"/>
          <w:color w:val="auto"/>
        </w:rPr>
        <w:t>Section 1</w:t>
      </w:r>
      <w:r>
        <w:rPr>
          <w:rFonts w:ascii="Arial" w:cs="Arial" w:eastAsia="Arial" w:hAnsi="Arial"/>
          <w:sz w:val="19"/>
          <w:szCs w:val="19"/>
          <w:color w:val="auto"/>
        </w:rPr>
        <w:t>), on each anniversary of the date hereof, the Term of this Agreement shall automatically be extended for an additional one (1) year period.</w:t>
      </w:r>
    </w:p>
    <w:p>
      <w:pPr>
        <w:spacing w:after="0" w:line="171" w:lineRule="exact"/>
        <w:rPr>
          <w:rFonts w:ascii="Arial" w:cs="Arial" w:eastAsia="Arial" w:hAnsi="Arial"/>
          <w:sz w:val="19"/>
          <w:szCs w:val="19"/>
          <w:b w:val="1"/>
          <w:bCs w:val="1"/>
          <w:color w:val="auto"/>
        </w:rPr>
      </w:pPr>
    </w:p>
    <w:p>
      <w:pPr>
        <w:ind w:right="100" w:firstLine="8"/>
        <w:spacing w:after="0" w:line="289" w:lineRule="auto"/>
        <w:tabs>
          <w:tab w:leader="none" w:pos="216"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this Agreement shall continue in effect, Executive shall devote Executive's full business time, energy and</w:t>
      </w:r>
      <w:r>
        <w:rPr>
          <w:rFonts w:ascii="Arial" w:cs="Arial" w:eastAsia="Arial" w:hAnsi="Arial"/>
          <w:sz w:val="19"/>
          <w:szCs w:val="19"/>
          <w:b w:val="1"/>
          <w:bCs w:val="1"/>
          <w:color w:val="auto"/>
        </w:rPr>
        <w:t xml:space="preserve"> </w:t>
      </w:r>
      <w:r>
        <w:rPr>
          <w:rFonts w:ascii="Arial" w:cs="Arial" w:eastAsia="Arial" w:hAnsi="Arial"/>
          <w:sz w:val="19"/>
          <w:szCs w:val="19"/>
          <w:color w:val="auto"/>
        </w:rPr>
        <w:t>ability to the business, affairs 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162" w:lineRule="exact"/>
        <w:rPr>
          <w:rFonts w:ascii="Arial" w:cs="Arial" w:eastAsia="Arial" w:hAnsi="Arial"/>
          <w:sz w:val="19"/>
          <w:szCs w:val="19"/>
          <w:b w:val="1"/>
          <w:bCs w:val="1"/>
          <w:color w:val="auto"/>
        </w:rPr>
      </w:pPr>
    </w:p>
    <w:p>
      <w:pPr>
        <w:ind w:left="220" w:hanging="212"/>
        <w:spacing w:after="0"/>
        <w:tabs>
          <w:tab w:leader="none" w:pos="22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and Responsibilities.</w:t>
      </w:r>
    </w:p>
    <w:p>
      <w:pPr>
        <w:spacing w:after="0" w:line="239" w:lineRule="exact"/>
        <w:rPr>
          <w:sz w:val="20"/>
          <w:szCs w:val="20"/>
          <w:color w:val="auto"/>
        </w:rPr>
      </w:pPr>
    </w:p>
    <w:p>
      <w:pPr>
        <w:ind w:right="100" w:firstLine="8"/>
        <w:spacing w:after="0" w:line="236" w:lineRule="auto"/>
        <w:tabs>
          <w:tab w:leader="none" w:pos="294"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Executive shall serve as the President of the Company. In the performance of Executive's duties, Executive shall report to the CEO of Photronics. Photronics is the controlling shareholder of the Company. Executive shall have such duties, responsibilities and authority as may from time to time be assigned to the Executive by the CEO of Photronics. Executive also acknowledges that he is a Named Executive Officer of Photronics and agrees to abide by the requirements of such position as well as the rules and regulations of the Company and Photronics.</w:t>
      </w:r>
    </w:p>
    <w:p>
      <w:pPr>
        <w:spacing w:after="0" w:line="208"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39" w:lineRule="exact"/>
        <w:rPr>
          <w:sz w:val="20"/>
          <w:szCs w:val="20"/>
          <w:color w:val="auto"/>
        </w:rPr>
      </w:pPr>
    </w:p>
    <w:p>
      <w:pPr>
        <w:jc w:val="both"/>
        <w:ind w:right="320" w:firstLine="8"/>
        <w:spacing w:after="0"/>
        <w:tabs>
          <w:tab w:leader="none" w:pos="29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 During the Term, the Company agrees to pay Executive a base salary at the rate of $428,926 per year payable in accordance with the Company's customary payroll practices generally applicable to similarly situated employees as may be in effect from time to time (the "</w:t>
      </w:r>
      <w:r>
        <w:rPr>
          <w:rFonts w:ascii="Arial" w:cs="Arial" w:eastAsia="Arial" w:hAnsi="Arial"/>
          <w:sz w:val="22"/>
          <w:szCs w:val="22"/>
          <w:u w:val="single" w:color="auto"/>
          <w:color w:val="auto"/>
        </w:rPr>
        <w:t>Base Salary</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right="80" w:firstLine="8"/>
        <w:spacing w:after="0" w:line="287" w:lineRule="auto"/>
        <w:tabs>
          <w:tab w:leader="none" w:pos="30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Periodic Review</w:t>
      </w:r>
      <w:r>
        <w:rPr>
          <w:rFonts w:ascii="Arial" w:cs="Arial" w:eastAsia="Arial" w:hAnsi="Arial"/>
          <w:sz w:val="19"/>
          <w:szCs w:val="19"/>
          <w:color w:val="auto"/>
        </w:rPr>
        <w:t>. The Compensation Committee or the Board of Directors of Photronics shall review Executive's Base Salary and Benefits (as defined below) from time to time in accordance with the normal business practices of Photronics. Photronics may in its sole discretion increase the Base Salary during the Term. The amount of any increase combined with the previous year's Base Salary shall then constitute Executive's Base Salary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 w:name="page34"/>
    <w:bookmarkEnd w:id="33"/>
    <w:p>
      <w:pPr>
        <w:ind w:right="60" w:firstLine="8"/>
        <w:spacing w:after="0" w:line="279" w:lineRule="auto"/>
        <w:tabs>
          <w:tab w:leader="none" w:pos="29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Additional Benefits</w:t>
      </w:r>
      <w:r>
        <w:rPr>
          <w:rFonts w:ascii="Arial" w:cs="Arial" w:eastAsia="Arial" w:hAnsi="Arial"/>
          <w:sz w:val="19"/>
          <w:szCs w:val="19"/>
          <w:color w:val="auto"/>
        </w:rPr>
        <w:t>. During the Term, the Executive shall be entitled to participate in the employee benefit plans and compensation arrangements as Photronics or the Company may establish from time to time in which other employees similarly situated are entitled to participate (which may include, without limitation, the 2011 Executive Incentive Plan or any similar or subsequent plan, medical plan, dental plan, disability plan, basic life insurance and business travel accident insurance plan, stock option or stock purchase plans or any successor plans thereto (collectively referred to as the "</w:t>
      </w:r>
      <w:r>
        <w:rPr>
          <w:rFonts w:ascii="Arial" w:cs="Arial" w:eastAsia="Arial" w:hAnsi="Arial"/>
          <w:sz w:val="19"/>
          <w:szCs w:val="19"/>
          <w:u w:val="single" w:color="auto"/>
          <w:color w:val="auto"/>
        </w:rPr>
        <w:t>Benefits</w:t>
      </w:r>
      <w:r>
        <w:rPr>
          <w:rFonts w:ascii="Arial" w:cs="Arial" w:eastAsia="Arial" w:hAnsi="Arial"/>
          <w:sz w:val="19"/>
          <w:szCs w:val="19"/>
          <w:color w:val="auto"/>
        </w:rPr>
        <w:t>")). Photronics or the Company shall have the right to terminate or change any such plans or programs at any time.</w:t>
      </w:r>
    </w:p>
    <w:p>
      <w:pPr>
        <w:spacing w:after="0" w:line="177" w:lineRule="exact"/>
        <w:rPr>
          <w:rFonts w:ascii="Arial" w:cs="Arial" w:eastAsia="Arial" w:hAnsi="Arial"/>
          <w:sz w:val="19"/>
          <w:szCs w:val="19"/>
          <w:color w:val="auto"/>
        </w:rPr>
      </w:pPr>
    </w:p>
    <w:p>
      <w:pPr>
        <w:ind w:left="320" w:hanging="312"/>
        <w:spacing w:after="0"/>
        <w:tabs>
          <w:tab w:leader="none" w:pos="32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Automobile Allowance</w:t>
      </w:r>
      <w:r>
        <w:rPr>
          <w:rFonts w:ascii="Arial" w:cs="Arial" w:eastAsia="Arial" w:hAnsi="Arial"/>
          <w:sz w:val="19"/>
          <w:szCs w:val="19"/>
          <w:color w:val="auto"/>
        </w:rPr>
        <w:t>. During the Term of this Agreement, the Company shall provide the Executive with an automobile.</w:t>
      </w:r>
    </w:p>
    <w:p>
      <w:pPr>
        <w:spacing w:after="0" w:line="267" w:lineRule="exact"/>
        <w:rPr>
          <w:rFonts w:ascii="Arial" w:cs="Arial" w:eastAsia="Arial" w:hAnsi="Arial"/>
          <w:sz w:val="19"/>
          <w:szCs w:val="19"/>
          <w:color w:val="auto"/>
        </w:rPr>
      </w:pPr>
    </w:p>
    <w:p>
      <w:pPr>
        <w:ind w:right="200" w:firstLine="8"/>
        <w:spacing w:after="0" w:line="250" w:lineRule="auto"/>
        <w:tabs>
          <w:tab w:leader="none" w:pos="29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of this Agreement, Executive shall be entitled to four (4) weeks' paid vacation per calendar year, which shall not be transferable to any subsequent year.</w:t>
      </w:r>
    </w:p>
    <w:p>
      <w:pPr>
        <w:spacing w:after="0" w:line="196"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all rights and obligations hereunder, except the rights and obligations contained in this</w:t>
      </w:r>
    </w:p>
    <w:p>
      <w:pPr>
        <w:spacing w:after="0" w:line="48" w:lineRule="exact"/>
        <w:rPr>
          <w:rFonts w:ascii="Arial" w:cs="Arial" w:eastAsia="Arial" w:hAnsi="Arial"/>
          <w:sz w:val="19"/>
          <w:szCs w:val="19"/>
          <w:b w:val="1"/>
          <w:bCs w:val="1"/>
          <w:color w:val="auto"/>
        </w:rPr>
      </w:pPr>
    </w:p>
    <w:p>
      <w:pPr>
        <w:ind w:right="220"/>
        <w:spacing w:after="0" w:line="308" w:lineRule="auto"/>
        <w:rPr>
          <w:rFonts w:ascii="Arial" w:cs="Arial" w:eastAsia="Arial" w:hAnsi="Arial"/>
          <w:sz w:val="19"/>
          <w:szCs w:val="19"/>
          <w:b w:val="1"/>
          <w:bCs w:val="1"/>
          <w:color w:val="auto"/>
        </w:rPr>
      </w:pP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(Confidential Information),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(Non-Competition),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(Intellectual Property) and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(Remedies), which shall survive any termination hereunder, shall terminate upon the earliest to occur of any of the following:</w:t>
      </w:r>
    </w:p>
    <w:p>
      <w:pPr>
        <w:spacing w:after="0" w:line="150" w:lineRule="exact"/>
        <w:rPr>
          <w:sz w:val="20"/>
          <w:szCs w:val="20"/>
          <w:color w:val="auto"/>
        </w:rPr>
      </w:pPr>
    </w:p>
    <w:p>
      <w:pPr>
        <w:ind w:firstLine="8"/>
        <w:spacing w:after="0" w:line="275" w:lineRule="auto"/>
        <w:tabs>
          <w:tab w:leader="none" w:pos="294"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Resignation without Good Reason; Retirement</w:t>
      </w:r>
      <w:r>
        <w:rPr>
          <w:rFonts w:ascii="Arial" w:cs="Arial" w:eastAsia="Arial" w:hAnsi="Arial"/>
          <w:sz w:val="19"/>
          <w:szCs w:val="19"/>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date of termination to the extent not theretofore paid, (B) any compensation previously deferred by Executive (together with any accrued interest or earnings thereon), and (C) any accrued vacation pay, in each case to the extent not theretofore paid (the sum of the amounts described in clauses (A), (B) and (C) shall be hereinafter referred to as the "</w:t>
      </w:r>
      <w:r>
        <w:rPr>
          <w:rFonts w:ascii="Arial" w:cs="Arial" w:eastAsia="Arial" w:hAnsi="Arial"/>
          <w:sz w:val="19"/>
          <w:szCs w:val="19"/>
          <w:u w:val="single" w:color="auto"/>
          <w:color w:val="auto"/>
        </w:rPr>
        <w:t>Accrued</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in a lump sum, subject to statutory deductions and withholdings, in cash within ten (10) business days after the date of termination or any earlier time required by applicable law.</w:t>
      </w:r>
    </w:p>
    <w:p>
      <w:pPr>
        <w:spacing w:after="0" w:line="184" w:lineRule="exact"/>
        <w:rPr>
          <w:rFonts w:ascii="Arial" w:cs="Arial" w:eastAsia="Arial" w:hAnsi="Arial"/>
          <w:sz w:val="19"/>
          <w:szCs w:val="19"/>
          <w:color w:val="auto"/>
        </w:rPr>
      </w:pPr>
    </w:p>
    <w:p>
      <w:pPr>
        <w:ind w:left="320" w:hanging="312"/>
        <w:spacing w:after="0"/>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Death or Disability of Executive</w:t>
      </w:r>
      <w:r>
        <w:rPr>
          <w:rFonts w:ascii="Arial" w:cs="Arial" w:eastAsia="Arial" w:hAnsi="Arial"/>
          <w:sz w:val="22"/>
          <w:szCs w:val="22"/>
          <w:color w:val="auto"/>
        </w:rPr>
        <w:t>.</w:t>
      </w:r>
    </w:p>
    <w:p>
      <w:pPr>
        <w:spacing w:after="0" w:line="233" w:lineRule="exact"/>
        <w:rPr>
          <w:sz w:val="20"/>
          <w:szCs w:val="20"/>
          <w:color w:val="auto"/>
        </w:rPr>
      </w:pPr>
    </w:p>
    <w:p>
      <w:pPr>
        <w:ind w:right="180" w:firstLine="8"/>
        <w:spacing w:after="0" w:line="328" w:lineRule="auto"/>
        <w:tabs>
          <w:tab w:leader="none" w:pos="258"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32" w:lineRule="exact"/>
        <w:rPr>
          <w:sz w:val="20"/>
          <w:szCs w:val="20"/>
          <w:color w:val="auto"/>
        </w:rPr>
      </w:pPr>
    </w:p>
    <w:p>
      <w:pPr>
        <w:jc w:val="both"/>
        <w:ind w:right="20" w:firstLine="8"/>
        <w:spacing w:after="0"/>
        <w:tabs>
          <w:tab w:leader="none" w:pos="306" w:val="left"/>
        </w:tabs>
        <w:numPr>
          <w:ilvl w:val="0"/>
          <w:numId w:val="21"/>
        </w:numPr>
        <w:rPr>
          <w:rFonts w:ascii="Arial" w:cs="Arial" w:eastAsia="Arial" w:hAnsi="Arial"/>
          <w:sz w:val="22"/>
          <w:szCs w:val="22"/>
          <w:color w:val="auto"/>
        </w:rPr>
      </w:pPr>
      <w:r>
        <w:rPr>
          <w:rFonts w:ascii="Arial" w:cs="Arial" w:eastAsia="Arial" w:hAnsi="Arial"/>
          <w:sz w:val="22"/>
          <w:szCs w:val="22"/>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213" w:lineRule="exact"/>
        <w:rPr>
          <w:rFonts w:ascii="Arial" w:cs="Arial" w:eastAsia="Arial" w:hAnsi="Arial"/>
          <w:sz w:val="22"/>
          <w:szCs w:val="22"/>
          <w:color w:val="auto"/>
        </w:rPr>
      </w:pPr>
    </w:p>
    <w:p>
      <w:pPr>
        <w:ind w:right="120" w:firstLine="8"/>
        <w:spacing w:after="0" w:line="250" w:lineRule="auto"/>
        <w:tabs>
          <w:tab w:leader="none" w:pos="306" w:val="left"/>
        </w:tabs>
        <w:numPr>
          <w:ilvl w:val="0"/>
          <w:numId w:val="21"/>
        </w:numPr>
        <w:rPr>
          <w:rFonts w:ascii="Arial" w:cs="Arial" w:eastAsia="Arial" w:hAnsi="Arial"/>
          <w:sz w:val="22"/>
          <w:szCs w:val="22"/>
          <w:color w:val="auto"/>
        </w:rPr>
      </w:pPr>
      <w:r>
        <w:rPr>
          <w:rFonts w:ascii="Arial" w:cs="Arial" w:eastAsia="Arial" w:hAnsi="Arial"/>
          <w:sz w:val="22"/>
          <w:szCs w:val="22"/>
          <w:color w:val="auto"/>
        </w:rPr>
        <w:t>Payment to Executive or Executive's estate or beneficiary, as applicable, of any amount accrued pursuant to the terms of any other applicable benefit plan.</w:t>
      </w:r>
    </w:p>
    <w:p>
      <w:pPr>
        <w:spacing w:after="0" w:line="202" w:lineRule="exact"/>
        <w:rPr>
          <w:sz w:val="20"/>
          <w:szCs w:val="20"/>
          <w:color w:val="auto"/>
        </w:rPr>
      </w:pPr>
    </w:p>
    <w:p>
      <w:pPr>
        <w:ind w:right="80" w:firstLine="8"/>
        <w:spacing w:after="0" w:line="250" w:lineRule="auto"/>
        <w:tabs>
          <w:tab w:leader="none" w:pos="318"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Executive shall become disabled, Executive's employment may be terminated only by written notice from the Company to Executive.</w:t>
      </w:r>
    </w:p>
    <w:p>
      <w:pPr>
        <w:spacing w:after="0" w:line="201" w:lineRule="exact"/>
        <w:rPr>
          <w:rFonts w:ascii="Arial" w:cs="Arial" w:eastAsia="Arial" w:hAnsi="Arial"/>
          <w:sz w:val="22"/>
          <w:szCs w:val="22"/>
          <w:color w:val="auto"/>
        </w:rPr>
      </w:pPr>
    </w:p>
    <w:p>
      <w:pPr>
        <w:ind w:right="160" w:firstLine="8"/>
        <w:spacing w:after="0"/>
        <w:tabs>
          <w:tab w:leader="none" w:pos="378"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disability</w:t>
      </w:r>
      <w:r>
        <w:rPr>
          <w:rFonts w:ascii="Arial" w:cs="Arial" w:eastAsia="Arial" w:hAnsi="Arial"/>
          <w:sz w:val="22"/>
          <w:szCs w:val="22"/>
          <w:color w:val="auto"/>
        </w:rPr>
        <w:t>" or "</w:t>
      </w:r>
      <w:r>
        <w:rPr>
          <w:rFonts w:ascii="Arial" w:cs="Arial" w:eastAsia="Arial" w:hAnsi="Arial"/>
          <w:sz w:val="22"/>
          <w:szCs w:val="22"/>
          <w:u w:val="single" w:color="auto"/>
          <w:color w:val="auto"/>
        </w:rPr>
        <w:t>disabled</w:t>
      </w:r>
      <w:r>
        <w:rPr>
          <w:rFonts w:ascii="Arial" w:cs="Arial" w:eastAsia="Arial" w:hAnsi="Arial"/>
          <w:sz w:val="22"/>
          <w:szCs w:val="22"/>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213"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33" w:lineRule="exact"/>
        <w:rPr>
          <w:sz w:val="20"/>
          <w:szCs w:val="20"/>
          <w:color w:val="auto"/>
        </w:rPr>
      </w:pPr>
    </w:p>
    <w:p>
      <w:pPr>
        <w:ind w:right="240" w:firstLine="8"/>
        <w:spacing w:after="0" w:line="250" w:lineRule="auto"/>
        <w:tabs>
          <w:tab w:leader="none" w:pos="258"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Company may terminate Executive's employment and all of Executive's rights to receive Base Salary, and any Benefits hereunder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ind w:left="-8" w:right="100" w:firstLine="8"/>
        <w:spacing w:after="0"/>
        <w:tabs>
          <w:tab w:leader="none" w:pos="31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213" w:lineRule="exact"/>
        <w:rPr>
          <w:rFonts w:ascii="Arial" w:cs="Arial" w:eastAsia="Arial" w:hAnsi="Arial"/>
          <w:sz w:val="22"/>
          <w:szCs w:val="22"/>
          <w:color w:val="auto"/>
        </w:rPr>
      </w:pPr>
    </w:p>
    <w:p>
      <w:pPr>
        <w:ind w:left="372" w:hanging="372"/>
        <w:spacing w:after="0"/>
        <w:tabs>
          <w:tab w:leader="none" w:pos="3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For purposes of this Agreement, the term "</w:t>
      </w:r>
      <w:r>
        <w:rPr>
          <w:rFonts w:ascii="Arial" w:cs="Arial" w:eastAsia="Arial" w:hAnsi="Arial"/>
          <w:sz w:val="22"/>
          <w:szCs w:val="22"/>
          <w:u w:val="single" w:color="auto"/>
          <w:color w:val="auto"/>
        </w:rPr>
        <w:t>Cause</w:t>
      </w:r>
      <w:r>
        <w:rPr>
          <w:rFonts w:ascii="Arial" w:cs="Arial" w:eastAsia="Arial" w:hAnsi="Arial"/>
          <w:sz w:val="22"/>
          <w:szCs w:val="22"/>
          <w:color w:val="auto"/>
        </w:rPr>
        <w:t>" shall be defined as any of the following</w:t>
      </w:r>
    </w:p>
    <w:p>
      <w:pPr>
        <w:spacing w:after="0" w:line="233" w:lineRule="exact"/>
        <w:rPr>
          <w:sz w:val="20"/>
          <w:szCs w:val="20"/>
          <w:color w:val="auto"/>
        </w:rPr>
      </w:pPr>
    </w:p>
    <w:p>
      <w:pPr>
        <w:ind w:left="-8" w:right="640" w:firstLine="8"/>
        <w:spacing w:after="0" w:line="250" w:lineRule="auto"/>
        <w:tabs>
          <w:tab w:leader="none" w:pos="298"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Executive's material breach of any of any obligations under this Agreement (other than by reason of physical or mental illness, injury, or condition);</w:t>
      </w:r>
    </w:p>
    <w:p>
      <w:pPr>
        <w:spacing w:after="0" w:line="201" w:lineRule="exact"/>
        <w:rPr>
          <w:rFonts w:ascii="Arial" w:cs="Arial" w:eastAsia="Arial" w:hAnsi="Arial"/>
          <w:sz w:val="22"/>
          <w:szCs w:val="22"/>
          <w:color w:val="auto"/>
        </w:rPr>
      </w:pPr>
    </w:p>
    <w:p>
      <w:pPr>
        <w:ind w:left="-8" w:right="100" w:firstLine="8"/>
        <w:spacing w:after="0" w:line="274" w:lineRule="auto"/>
        <w:tabs>
          <w:tab w:leader="none" w:pos="298" w:val="left"/>
        </w:tabs>
        <w:numPr>
          <w:ilvl w:val="0"/>
          <w:numId w:val="26"/>
        </w:numPr>
        <w:rPr>
          <w:rFonts w:ascii="Arial" w:cs="Arial" w:eastAsia="Arial" w:hAnsi="Arial"/>
          <w:sz w:val="21"/>
          <w:szCs w:val="21"/>
          <w:color w:val="auto"/>
        </w:rPr>
      </w:pPr>
      <w:r>
        <w:rPr>
          <w:rFonts w:ascii="Arial" w:cs="Arial" w:eastAsia="Arial" w:hAnsi="Arial"/>
          <w:sz w:val="21"/>
          <w:szCs w:val="21"/>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77" w:lineRule="exact"/>
        <w:rPr>
          <w:rFonts w:ascii="Arial" w:cs="Arial" w:eastAsia="Arial" w:hAnsi="Arial"/>
          <w:sz w:val="21"/>
          <w:szCs w:val="21"/>
          <w:color w:val="auto"/>
        </w:rPr>
      </w:pPr>
    </w:p>
    <w:p>
      <w:pPr>
        <w:ind w:left="312" w:hanging="312"/>
        <w:spacing w:after="0"/>
        <w:tabs>
          <w:tab w:leader="none" w:pos="312"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Executive's commission of an act of fraud upon the Company;</w:t>
      </w:r>
    </w:p>
    <w:p>
      <w:pPr>
        <w:spacing w:after="0" w:line="233" w:lineRule="exact"/>
        <w:rPr>
          <w:rFonts w:ascii="Arial" w:cs="Arial" w:eastAsia="Arial" w:hAnsi="Arial"/>
          <w:sz w:val="22"/>
          <w:szCs w:val="22"/>
          <w:color w:val="auto"/>
        </w:rPr>
      </w:pPr>
    </w:p>
    <w:p>
      <w:pPr>
        <w:ind w:left="-8" w:right="180" w:firstLine="8"/>
        <w:spacing w:after="0" w:line="250" w:lineRule="auto"/>
        <w:tabs>
          <w:tab w:leader="none" w:pos="298"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Executive's engaging in willful or reckless misconduct or gross negligence in connection with any property or activity of the Company or its Affiliates;</w:t>
      </w:r>
    </w:p>
    <w:p>
      <w:pPr>
        <w:spacing w:after="0" w:line="201" w:lineRule="exact"/>
        <w:rPr>
          <w:rFonts w:ascii="Arial" w:cs="Arial" w:eastAsia="Arial" w:hAnsi="Arial"/>
          <w:sz w:val="22"/>
          <w:szCs w:val="22"/>
          <w:color w:val="auto"/>
        </w:rPr>
      </w:pPr>
    </w:p>
    <w:p>
      <w:pPr>
        <w:ind w:left="-8" w:right="740" w:firstLine="8"/>
        <w:spacing w:after="0" w:line="250" w:lineRule="auto"/>
        <w:tabs>
          <w:tab w:leader="none" w:pos="298"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Executive's repeated and intemperate use of alcohol or illegal drugs after written notice from the CEO or the Board of Directors;</w:t>
      </w:r>
    </w:p>
    <w:p>
      <w:pPr>
        <w:spacing w:after="0" w:line="201" w:lineRule="exact"/>
        <w:rPr>
          <w:rFonts w:ascii="Arial" w:cs="Arial" w:eastAsia="Arial" w:hAnsi="Arial"/>
          <w:sz w:val="22"/>
          <w:szCs w:val="22"/>
          <w:color w:val="auto"/>
        </w:rPr>
      </w:pPr>
    </w:p>
    <w:p>
      <w:pPr>
        <w:ind w:left="-8" w:right="560" w:firstLine="8"/>
        <w:spacing w:after="0" w:line="328" w:lineRule="auto"/>
        <w:tabs>
          <w:tab w:leader="none" w:pos="298"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31" w:lineRule="exact"/>
        <w:rPr>
          <w:rFonts w:ascii="Arial" w:cs="Arial" w:eastAsia="Arial" w:hAnsi="Arial"/>
          <w:sz w:val="19"/>
          <w:szCs w:val="19"/>
          <w:color w:val="auto"/>
        </w:rPr>
      </w:pPr>
    </w:p>
    <w:p>
      <w:pPr>
        <w:ind w:left="312" w:hanging="312"/>
        <w:spacing w:after="0"/>
        <w:tabs>
          <w:tab w:leader="none" w:pos="312"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Executive's becoming insolvent or filing for bankruptcy;</w:t>
      </w:r>
    </w:p>
    <w:p>
      <w:pPr>
        <w:spacing w:after="0" w:line="233" w:lineRule="exact"/>
        <w:rPr>
          <w:rFonts w:ascii="Arial" w:cs="Arial" w:eastAsia="Arial" w:hAnsi="Arial"/>
          <w:sz w:val="22"/>
          <w:szCs w:val="22"/>
          <w:color w:val="auto"/>
        </w:rPr>
      </w:pPr>
    </w:p>
    <w:p>
      <w:pPr>
        <w:ind w:left="312" w:hanging="312"/>
        <w:spacing w:after="0"/>
        <w:tabs>
          <w:tab w:leader="none" w:pos="312"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Executive's becoming barred or prohibited by the SEC from holding my position with the Company; or</w:t>
      </w:r>
    </w:p>
    <w:p>
      <w:pPr>
        <w:spacing w:after="0" w:line="233" w:lineRule="exact"/>
        <w:rPr>
          <w:rFonts w:ascii="Arial" w:cs="Arial" w:eastAsia="Arial" w:hAnsi="Arial"/>
          <w:sz w:val="22"/>
          <w:szCs w:val="22"/>
          <w:color w:val="auto"/>
        </w:rPr>
      </w:pPr>
    </w:p>
    <w:p>
      <w:pPr>
        <w:ind w:left="-8" w:right="720" w:firstLine="8"/>
        <w:spacing w:after="0" w:line="274" w:lineRule="auto"/>
        <w:tabs>
          <w:tab w:leader="none" w:pos="298" w:val="left"/>
        </w:tabs>
        <w:numPr>
          <w:ilvl w:val="0"/>
          <w:numId w:val="26"/>
        </w:numPr>
        <w:rPr>
          <w:rFonts w:ascii="Arial" w:cs="Arial" w:eastAsia="Arial" w:hAnsi="Arial"/>
          <w:sz w:val="21"/>
          <w:szCs w:val="21"/>
          <w:color w:val="auto"/>
        </w:rPr>
      </w:pPr>
      <w:r>
        <w:rPr>
          <w:rFonts w:ascii="Arial" w:cs="Arial" w:eastAsia="Arial" w:hAnsi="Arial"/>
          <w:sz w:val="21"/>
          <w:szCs w:val="21"/>
          <w:color w:val="auto"/>
        </w:rPr>
        <w:t>Executive's violation of any duty of loyalty (i.e., engaging in self-interested transactions, misappropriation of business opportunities that belong to the Company, or a breach of Executive's fiduciary duties to the Company).</w:t>
      </w:r>
    </w:p>
    <w:p>
      <w:pPr>
        <w:spacing w:after="0" w:line="178" w:lineRule="exact"/>
        <w:rPr>
          <w:sz w:val="20"/>
          <w:szCs w:val="20"/>
          <w:color w:val="auto"/>
        </w:rPr>
      </w:pPr>
    </w:p>
    <w:p>
      <w:pPr>
        <w:ind w:left="312" w:hanging="312"/>
        <w:spacing w:after="0"/>
        <w:tabs>
          <w:tab w:leader="none" w:pos="31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Resignation For Good Reason</w:t>
      </w:r>
      <w:r>
        <w:rPr>
          <w:rFonts w:ascii="Arial" w:cs="Arial" w:eastAsia="Arial" w:hAnsi="Arial"/>
          <w:sz w:val="22"/>
          <w:szCs w:val="22"/>
          <w:color w:val="auto"/>
        </w:rPr>
        <w:t>.</w:t>
      </w:r>
    </w:p>
    <w:p>
      <w:pPr>
        <w:spacing w:after="0" w:line="233" w:lineRule="exact"/>
        <w:rPr>
          <w:sz w:val="20"/>
          <w:szCs w:val="20"/>
          <w:color w:val="auto"/>
        </w:rPr>
      </w:pPr>
    </w:p>
    <w:p>
      <w:pPr>
        <w:ind w:left="-8" w:right="320" w:firstLine="8"/>
        <w:spacing w:after="0" w:line="238" w:lineRule="auto"/>
        <w:tabs>
          <w:tab w:leader="none" w:pos="250"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w:t>
      </w:r>
      <w:r>
        <w:rPr>
          <w:rFonts w:ascii="Arial" w:cs="Arial" w:eastAsia="Arial" w:hAnsi="Arial"/>
          <w:sz w:val="22"/>
          <w:szCs w:val="22"/>
          <w:u w:val="single" w:color="auto"/>
          <w:color w:val="auto"/>
        </w:rPr>
        <w:t>Section 5</w:t>
      </w:r>
      <w:r>
        <w:rPr>
          <w:rFonts w:ascii="Arial" w:cs="Arial" w:eastAsia="Arial" w:hAnsi="Arial"/>
          <w:sz w:val="22"/>
          <w:szCs w:val="22"/>
          <w:color w:val="auto"/>
        </w:rPr>
        <w:t>, (i) the Company, upon thirty (30) days advance notice to Executive, shall have the right to terminate Executive's employment with the Company without Cause at any time, including, without limitation, in connection expiration of the Term and (ii) Executive, upon thirty (30) days advance notice to the Company, shall have the right to resign for Good Reason.</w:t>
      </w:r>
    </w:p>
    <w:p>
      <w:pPr>
        <w:spacing w:after="0" w:line="211" w:lineRule="exact"/>
        <w:rPr>
          <w:rFonts w:ascii="Arial" w:cs="Arial" w:eastAsia="Arial" w:hAnsi="Arial"/>
          <w:sz w:val="22"/>
          <w:szCs w:val="22"/>
          <w:color w:val="auto"/>
        </w:rPr>
      </w:pPr>
    </w:p>
    <w:p>
      <w:pPr>
        <w:ind w:left="312" w:hanging="312"/>
        <w:spacing w:after="0"/>
        <w:tabs>
          <w:tab w:leader="none" w:pos="312" w:val="left"/>
        </w:tabs>
        <w:numPr>
          <w:ilvl w:val="0"/>
          <w:numId w:val="28"/>
        </w:numPr>
        <w:rPr>
          <w:rFonts w:ascii="Arial" w:cs="Arial" w:eastAsia="Arial" w:hAnsi="Arial"/>
          <w:sz w:val="21"/>
          <w:szCs w:val="21"/>
          <w:color w:val="auto"/>
        </w:rPr>
      </w:pPr>
      <w:r>
        <w:rPr>
          <w:rFonts w:ascii="Arial" w:cs="Arial" w:eastAsia="Arial" w:hAnsi="Arial"/>
          <w:sz w:val="21"/>
          <w:szCs w:val="21"/>
          <w:color w:val="auto"/>
        </w:rPr>
        <w:t>If Executive is so terminated without Cause or resigns for Good Reason, Executive shall receive from the Company:</w:t>
      </w:r>
    </w:p>
    <w:p>
      <w:pPr>
        <w:spacing w:after="0" w:line="245" w:lineRule="exact"/>
        <w:rPr>
          <w:sz w:val="20"/>
          <w:szCs w:val="20"/>
          <w:color w:val="auto"/>
        </w:rPr>
      </w:pPr>
    </w:p>
    <w:p>
      <w:pPr>
        <w:ind w:left="-8" w:firstLine="8"/>
        <w:spacing w:after="0"/>
        <w:tabs>
          <w:tab w:leader="none" w:pos="298"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213" w:lineRule="exact"/>
        <w:rPr>
          <w:rFonts w:ascii="Arial" w:cs="Arial" w:eastAsia="Arial" w:hAnsi="Arial"/>
          <w:sz w:val="22"/>
          <w:szCs w:val="22"/>
          <w:color w:val="auto"/>
        </w:rPr>
      </w:pPr>
    </w:p>
    <w:p>
      <w:pPr>
        <w:jc w:val="both"/>
        <w:ind w:left="-8" w:firstLine="8"/>
        <w:spacing w:after="0" w:line="238" w:lineRule="auto"/>
        <w:tabs>
          <w:tab w:leader="none" w:pos="298"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payment ("</w:t>
      </w:r>
      <w:r>
        <w:rPr>
          <w:rFonts w:ascii="Arial" w:cs="Arial" w:eastAsia="Arial" w:hAnsi="Arial"/>
          <w:sz w:val="22"/>
          <w:szCs w:val="22"/>
          <w:u w:val="single" w:color="auto"/>
          <w:color w:val="auto"/>
        </w:rPr>
        <w:t>Severance Payment</w:t>
      </w:r>
      <w:r>
        <w:rPr>
          <w:rFonts w:ascii="Arial" w:cs="Arial" w:eastAsia="Arial" w:hAnsi="Arial"/>
          <w:sz w:val="22"/>
          <w:szCs w:val="22"/>
          <w:color w:val="auto"/>
        </w:rPr>
        <w:t>") equal to twelve (12) months of Executive's current Base Salary. The Severance Payment shall be paid by the Company to Executive in equal installments in accordance with the Company's customary payroll practices generally applicable to similarly situated employees as may be in effect from time and shall be subject to statutory deductions and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35" w:name="page36"/>
    <w:bookmarkEnd w:id="35"/>
    <w:p>
      <w:pPr>
        <w:ind w:firstLine="8"/>
        <w:spacing w:after="0" w:line="287" w:lineRule="auto"/>
        <w:tabs>
          <w:tab w:leader="none" w:pos="306"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 the extent permitted by applicable law and the terms of the plans, the continuation of medical and dental plan benefits for a period of three hundred sixty (360) days ("</w:t>
      </w:r>
      <w:r>
        <w:rPr>
          <w:rFonts w:ascii="Arial" w:cs="Arial" w:eastAsia="Arial" w:hAnsi="Arial"/>
          <w:sz w:val="19"/>
          <w:szCs w:val="19"/>
          <w:u w:val="single" w:color="auto"/>
          <w:color w:val="auto"/>
        </w:rPr>
        <w:t>Benefit Period</w:t>
      </w:r>
      <w:r>
        <w:rPr>
          <w:rFonts w:ascii="Arial" w:cs="Arial" w:eastAsia="Arial" w:hAnsi="Arial"/>
          <w:sz w:val="19"/>
          <w:szCs w:val="19"/>
          <w:color w:val="auto"/>
        </w:rPr>
        <w:t>"), provided that Executive shall be required to make all required contributions to such plans as Executive did prior to the date of termination date. Subsequent to the Benefit Period, Executive will be eligible to continue medical insurance coverage for any remaining period required under COBRA.</w:t>
      </w:r>
    </w:p>
    <w:p>
      <w:pPr>
        <w:spacing w:after="0" w:line="170" w:lineRule="exact"/>
        <w:rPr>
          <w:sz w:val="20"/>
          <w:szCs w:val="20"/>
          <w:color w:val="auto"/>
        </w:rPr>
      </w:pPr>
    </w:p>
    <w:p>
      <w:pPr>
        <w:jc w:val="both"/>
        <w:ind w:right="180" w:firstLine="8"/>
        <w:spacing w:after="0" w:line="276" w:lineRule="auto"/>
        <w:tabs>
          <w:tab w:leader="none" w:pos="378"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As used in this Agreement, the term "Good Reason" shall mean (i) (except as set forth in </w:t>
      </w:r>
      <w:r>
        <w:rPr>
          <w:rFonts w:ascii="Arial" w:cs="Arial" w:eastAsia="Arial" w:hAnsi="Arial"/>
          <w:sz w:val="19"/>
          <w:szCs w:val="19"/>
          <w:u w:val="single" w:color="auto"/>
          <w:color w:val="auto"/>
        </w:rPr>
        <w:t>Section 5(e)</w:t>
      </w:r>
      <w:r>
        <w:rPr>
          <w:rFonts w:ascii="Arial" w:cs="Arial" w:eastAsia="Arial" w:hAnsi="Arial"/>
          <w:sz w:val="19"/>
          <w:szCs w:val="19"/>
          <w:color w:val="auto"/>
        </w:rPr>
        <w:t>) the relocation of the Company's principal executive offices to a location outside the contiguous 48 United States without the consent of Executive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reduction in salary or benefits contrary to this Agreement, without the consent of Executive.</w:t>
      </w:r>
    </w:p>
    <w:p>
      <w:pPr>
        <w:spacing w:after="0" w:line="215" w:lineRule="exact"/>
        <w:rPr>
          <w:rFonts w:ascii="Arial" w:cs="Arial" w:eastAsia="Arial" w:hAnsi="Arial"/>
          <w:sz w:val="22"/>
          <w:szCs w:val="22"/>
          <w:color w:val="auto"/>
        </w:rPr>
      </w:pPr>
    </w:p>
    <w:p>
      <w:pPr>
        <w:ind w:right="640" w:firstLine="8"/>
        <w:spacing w:after="0" w:line="328" w:lineRule="auto"/>
        <w:tabs>
          <w:tab w:leader="none" w:pos="36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As a condition to receiving the payment and benefits extension contemplated by this </w:t>
      </w:r>
      <w:r>
        <w:rPr>
          <w:rFonts w:ascii="Arial" w:cs="Arial" w:eastAsia="Arial" w:hAnsi="Arial"/>
          <w:sz w:val="19"/>
          <w:szCs w:val="19"/>
          <w:u w:val="single" w:color="auto"/>
          <w:color w:val="auto"/>
        </w:rPr>
        <w:t>Section 5(d)</w:t>
      </w:r>
      <w:r>
        <w:rPr>
          <w:rFonts w:ascii="Arial" w:cs="Arial" w:eastAsia="Arial" w:hAnsi="Arial"/>
          <w:sz w:val="19"/>
          <w:szCs w:val="19"/>
          <w:color w:val="auto"/>
        </w:rPr>
        <w:t xml:space="preserve">, Executive agrees to execute and deliver to the Company the Release substantially in the form attached to this Agreement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32"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For purposes of the Agreement, a "change of control" means, and shall be deemed to have taken place, if;</w:t>
      </w:r>
    </w:p>
    <w:p>
      <w:pPr>
        <w:spacing w:after="0" w:line="233" w:lineRule="exact"/>
        <w:rPr>
          <w:sz w:val="20"/>
          <w:szCs w:val="20"/>
          <w:color w:val="auto"/>
        </w:rPr>
      </w:pPr>
    </w:p>
    <w:p>
      <w:pPr>
        <w:ind w:right="80" w:firstLine="8"/>
        <w:spacing w:after="0" w:line="249" w:lineRule="auto"/>
        <w:tabs>
          <w:tab w:leader="none" w:pos="306"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Photronics, Inc. representing 50% or more of the combined voting power of Photronics then outstanding securities entitled to vote in the election of directors of the Photronics, Inc.</w:t>
      </w:r>
    </w:p>
    <w:p>
      <w:pPr>
        <w:spacing w:after="0" w:line="205" w:lineRule="exact"/>
        <w:rPr>
          <w:rFonts w:ascii="Arial" w:cs="Arial" w:eastAsia="Arial" w:hAnsi="Arial"/>
          <w:sz w:val="21"/>
          <w:szCs w:val="21"/>
          <w:color w:val="auto"/>
        </w:rPr>
      </w:pPr>
    </w:p>
    <w:p>
      <w:pPr>
        <w:ind w:right="20" w:firstLine="8"/>
        <w:spacing w:after="0" w:line="249" w:lineRule="auto"/>
        <w:tabs>
          <w:tab w:leader="none" w:pos="306" w:val="left"/>
        </w:tabs>
        <w:numPr>
          <w:ilvl w:val="0"/>
          <w:numId w:val="35"/>
        </w:numPr>
        <w:rPr>
          <w:rFonts w:ascii="Arial" w:cs="Arial" w:eastAsia="Arial" w:hAnsi="Arial"/>
          <w:sz w:val="21"/>
          <w:szCs w:val="21"/>
          <w:color w:val="auto"/>
        </w:rPr>
      </w:pPr>
      <w:r>
        <w:rPr>
          <w:rFonts w:ascii="Arial" w:cs="Arial" w:eastAsia="Arial" w:hAnsi="Arial"/>
          <w:sz w:val="21"/>
          <w:szCs w:val="21"/>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Photronics'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205" w:lineRule="exact"/>
        <w:rPr>
          <w:rFonts w:ascii="Arial" w:cs="Arial" w:eastAsia="Arial" w:hAnsi="Arial"/>
          <w:sz w:val="21"/>
          <w:szCs w:val="21"/>
          <w:color w:val="auto"/>
        </w:rPr>
      </w:pPr>
    </w:p>
    <w:p>
      <w:pPr>
        <w:ind w:left="320" w:hanging="312"/>
        <w:spacing w:after="0"/>
        <w:tabs>
          <w:tab w:leader="none" w:pos="3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there occurs a reorganization, merger, consolidation or other corporate transaction involving the Photronics, Inc. (a</w:t>
      </w:r>
    </w:p>
    <w:p>
      <w:pPr>
        <w:spacing w:after="0" w:line="20"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and shareholders of the Company immediately prior to such Transaction do not, immediately after the Transaction, own more than 50% of the combined voting power of the Photronics, Inc. or other corporation resulting from such Transaction; or</w:t>
      </w:r>
    </w:p>
    <w:p>
      <w:pPr>
        <w:spacing w:after="0" w:line="214" w:lineRule="exact"/>
        <w:rPr>
          <w:sz w:val="20"/>
          <w:szCs w:val="20"/>
          <w:color w:val="auto"/>
        </w:rPr>
      </w:pPr>
    </w:p>
    <w:p>
      <w:pPr>
        <w:ind w:right="160" w:firstLine="8"/>
        <w:spacing w:after="0" w:line="250" w:lineRule="auto"/>
        <w:tabs>
          <w:tab w:leader="none" w:pos="30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there is a "change in control" of Photronics within the meaning of Section 280G of the U.S. Federal internal revenue code of 1986.</w:t>
      </w:r>
    </w:p>
    <w:p>
      <w:pPr>
        <w:spacing w:after="0" w:line="202" w:lineRule="exact"/>
        <w:rPr>
          <w:sz w:val="20"/>
          <w:szCs w:val="20"/>
          <w:color w:val="auto"/>
        </w:rPr>
      </w:pPr>
    </w:p>
    <w:p>
      <w:pPr>
        <w:ind w:firstLine="8"/>
        <w:spacing w:after="0" w:line="246" w:lineRule="auto"/>
        <w:tabs>
          <w:tab w:leader="none" w:pos="318"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In the event Executive is terminated by Photronics or the Company for any reason (other than for Cause as defined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5(c)</w:t>
      </w:r>
      <w:r>
        <w:rPr>
          <w:rFonts w:ascii="Arial" w:cs="Arial" w:eastAsia="Arial" w:hAnsi="Arial"/>
          <w:sz w:val="21"/>
          <w:szCs w:val="21"/>
          <w:color w:val="auto"/>
        </w:rPr>
        <w:t xml:space="preserve"> thereof, during the period three (3) months before or two (2) years following a "change in control" of the Photronics, Inc. (or any successor), Executive shall be entitled to receive a cash payment equal to eighteen (18) months of Executive's current Base Salary and the benefits described in </w:t>
      </w:r>
      <w:r>
        <w:rPr>
          <w:rFonts w:ascii="Arial" w:cs="Arial" w:eastAsia="Arial" w:hAnsi="Arial"/>
          <w:sz w:val="21"/>
          <w:szCs w:val="21"/>
          <w:u w:val="single" w:color="auto"/>
          <w:color w:val="auto"/>
        </w:rPr>
        <w:t>Section 5(d)(iii)</w:t>
      </w:r>
      <w:r>
        <w:rPr>
          <w:rFonts w:ascii="Arial" w:cs="Arial" w:eastAsia="Arial" w:hAnsi="Arial"/>
          <w:sz w:val="21"/>
          <w:szCs w:val="21"/>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21"/>
          <w:szCs w:val="21"/>
          <w:u w:val="single" w:color="auto"/>
          <w:color w:val="auto"/>
        </w:rPr>
        <w:t>Section 5(d)</w:t>
      </w:r>
      <w:r>
        <w:rPr>
          <w:rFonts w:ascii="Arial" w:cs="Arial" w:eastAsia="Arial" w:hAnsi="Arial"/>
          <w:sz w:val="21"/>
          <w:szCs w:val="21"/>
          <w:color w:val="auto"/>
        </w:rPr>
        <w:t xml:space="preserve"> hereof and the "change of control" payment described in this </w:t>
      </w:r>
      <w:r>
        <w:rPr>
          <w:rFonts w:ascii="Arial" w:cs="Arial" w:eastAsia="Arial" w:hAnsi="Arial"/>
          <w:sz w:val="21"/>
          <w:szCs w:val="21"/>
          <w:u w:val="single" w:color="auto"/>
          <w:color w:val="auto"/>
        </w:rPr>
        <w:t>Section 5(e)</w:t>
      </w:r>
      <w:r>
        <w:rPr>
          <w:rFonts w:ascii="Arial" w:cs="Arial" w:eastAsia="Arial" w:hAnsi="Arial"/>
          <w:sz w:val="21"/>
          <w:szCs w:val="21"/>
          <w:color w:val="auto"/>
        </w:rPr>
        <w:t>.</w:t>
      </w:r>
    </w:p>
    <w:p>
      <w:pPr>
        <w:spacing w:after="0" w:line="206" w:lineRule="exact"/>
        <w:rPr>
          <w:rFonts w:ascii="Arial" w:cs="Arial" w:eastAsia="Arial" w:hAnsi="Arial"/>
          <w:sz w:val="21"/>
          <w:szCs w:val="21"/>
          <w:color w:val="auto"/>
        </w:rPr>
      </w:pPr>
    </w:p>
    <w:p>
      <w:pPr>
        <w:ind w:right="20" w:firstLine="8"/>
        <w:spacing w:after="0"/>
        <w:tabs>
          <w:tab w:leader="none" w:pos="378"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Any payments to be made to Executive in connection with this </w:t>
      </w:r>
      <w:r>
        <w:rPr>
          <w:rFonts w:ascii="Arial" w:cs="Arial" w:eastAsia="Arial" w:hAnsi="Arial"/>
          <w:sz w:val="22"/>
          <w:szCs w:val="22"/>
          <w:u w:val="single" w:color="auto"/>
          <w:color w:val="auto"/>
        </w:rPr>
        <w:t>Section 5(e)</w:t>
      </w:r>
      <w:r>
        <w:rPr>
          <w:rFonts w:ascii="Arial" w:cs="Arial" w:eastAsia="Arial" w:hAnsi="Arial"/>
          <w:sz w:val="22"/>
          <w:szCs w:val="22"/>
          <w:color w:val="auto"/>
        </w:rPr>
        <w:t xml:space="preserve"> shall be made in a lump sum, subject to statutory deductions and withholdings, in cash within ten (10) business days after the date of termination or any earlier time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ind w:left="280" w:hanging="272"/>
        <w:spacing w:after="0"/>
        <w:tabs>
          <w:tab w:leader="none" w:pos="2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Treatment of Stock Upon a Termination</w:t>
      </w:r>
      <w:r>
        <w:rPr>
          <w:rFonts w:ascii="Arial" w:cs="Arial" w:eastAsia="Arial" w:hAnsi="Arial"/>
          <w:sz w:val="22"/>
          <w:szCs w:val="22"/>
          <w:color w:val="auto"/>
        </w:rPr>
        <w:t>.</w:t>
      </w:r>
    </w:p>
    <w:p>
      <w:pPr>
        <w:spacing w:after="0" w:line="234" w:lineRule="exact"/>
        <w:rPr>
          <w:sz w:val="20"/>
          <w:szCs w:val="20"/>
          <w:color w:val="auto"/>
        </w:rPr>
      </w:pPr>
    </w:p>
    <w:p>
      <w:pPr>
        <w:ind w:right="80" w:firstLine="8"/>
        <w:spacing w:after="0" w:line="238" w:lineRule="auto"/>
        <w:tabs>
          <w:tab w:leader="none" w:pos="2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this Agreement is terminated pursuant to clause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5</w:t>
      </w:r>
      <w:r>
        <w:rPr>
          <w:rFonts w:ascii="Arial" w:cs="Arial" w:eastAsia="Arial" w:hAnsi="Arial"/>
          <w:sz w:val="22"/>
          <w:szCs w:val="22"/>
          <w:color w:val="auto"/>
        </w:rPr>
        <w:t>, all stock options or similar rights granted to Executive pursuant to the Company's stock compensation plans shall immediately vest as of the date of termination and Executive may exercise any such vested stock options for a period of 390 days following such termination, but in no event later than ten (10) years after grant.</w:t>
      </w:r>
    </w:p>
    <w:p>
      <w:pPr>
        <w:spacing w:after="0" w:line="211" w:lineRule="exact"/>
        <w:rPr>
          <w:rFonts w:ascii="Arial" w:cs="Arial" w:eastAsia="Arial" w:hAnsi="Arial"/>
          <w:sz w:val="22"/>
          <w:szCs w:val="22"/>
          <w:color w:val="auto"/>
        </w:rPr>
      </w:pPr>
    </w:p>
    <w:p>
      <w:pPr>
        <w:ind w:right="120" w:firstLine="8"/>
        <w:spacing w:after="0" w:line="250" w:lineRule="auto"/>
        <w:tabs>
          <w:tab w:leader="none" w:pos="318"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this Agreement is terminated pursuant to clause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5</w:t>
      </w:r>
      <w:r>
        <w:rPr>
          <w:rFonts w:ascii="Arial" w:cs="Arial" w:eastAsia="Arial" w:hAnsi="Arial"/>
          <w:sz w:val="22"/>
          <w:szCs w:val="22"/>
          <w:color w:val="auto"/>
        </w:rPr>
        <w:t>, all stock options granted to Executive pursuant to the Company's stock plans shall terminate immediately.</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201"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 xml:space="preserve">Except as expressly modified by this clause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5</w:t>
      </w:r>
      <w:r>
        <w:rPr>
          <w:rFonts w:ascii="Arial" w:cs="Arial" w:eastAsia="Arial" w:hAnsi="Arial"/>
          <w:sz w:val="22"/>
          <w:szCs w:val="22"/>
          <w:color w:val="auto"/>
        </w:rPr>
        <w:t>, all stock options and similar rights granted under the Photronics's stock plans shall remain subject to all of the terms and conditions of the applicable stock plans and agreements evidencing the grants thereof.</w:t>
      </w:r>
    </w:p>
    <w:p>
      <w:pPr>
        <w:spacing w:after="0" w:line="213" w:lineRule="exact"/>
        <w:rPr>
          <w:sz w:val="20"/>
          <w:szCs w:val="20"/>
          <w:color w:val="auto"/>
        </w:rPr>
      </w:pPr>
    </w:p>
    <w:p>
      <w:pPr>
        <w:ind w:right="200" w:firstLine="8"/>
        <w:spacing w:after="0"/>
        <w:tabs>
          <w:tab w:leader="none" w:pos="30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Status of Executive During Exclusivity Period</w:t>
      </w:r>
      <w:r>
        <w:rPr>
          <w:rFonts w:ascii="Arial" w:cs="Arial" w:eastAsia="Arial" w:hAnsi="Arial"/>
          <w:sz w:val="22"/>
          <w:szCs w:val="22"/>
          <w:color w:val="auto"/>
        </w:rPr>
        <w:t xml:space="preserve">. If this Agreement is terminated pursuant to clauses </w:t>
      </w:r>
      <w:r>
        <w:rPr>
          <w:rFonts w:ascii="Arial" w:cs="Arial" w:eastAsia="Arial" w:hAnsi="Arial"/>
          <w:sz w:val="22"/>
          <w:szCs w:val="22"/>
          <w:u w:val="single" w:color="auto"/>
          <w:color w:val="auto"/>
        </w:rPr>
        <w:t>(a), (b), or (d)</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5</w:t>
      </w:r>
      <w:r>
        <w:rPr>
          <w:rFonts w:ascii="Arial" w:cs="Arial" w:eastAsia="Arial" w:hAnsi="Arial"/>
          <w:sz w:val="22"/>
          <w:szCs w:val="22"/>
          <w:color w:val="auto"/>
        </w:rPr>
        <w:t>, during Executive's Exclusivity Period the Executive shall be deemed and treated as an employee of the Company for the purposes of all payroll, benefits, welfare and stock option plans.</w:t>
      </w:r>
    </w:p>
    <w:p>
      <w:pPr>
        <w:spacing w:after="0" w:line="213" w:lineRule="exact"/>
        <w:rPr>
          <w:rFonts w:ascii="Arial" w:cs="Arial" w:eastAsia="Arial" w:hAnsi="Arial"/>
          <w:sz w:val="22"/>
          <w:szCs w:val="22"/>
          <w:color w:val="auto"/>
        </w:rPr>
      </w:pPr>
    </w:p>
    <w:p>
      <w:pPr>
        <w:ind w:right="120" w:firstLine="8"/>
        <w:spacing w:after="0" w:line="236" w:lineRule="auto"/>
        <w:tabs>
          <w:tab w:leader="none" w:pos="25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208" w:lineRule="exact"/>
        <w:rPr>
          <w:sz w:val="20"/>
          <w:szCs w:val="20"/>
          <w:color w:val="auto"/>
        </w:rPr>
      </w:pPr>
    </w:p>
    <w:p>
      <w:pPr>
        <w:ind w:firstLine="8"/>
        <w:spacing w:after="0" w:line="283" w:lineRule="auto"/>
        <w:tabs>
          <w:tab w:leader="none" w:pos="216"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this Agreement, to the extent that such expenditures satisfy the criteria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Internal Revenue Code or other 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69" w:lineRule="exact"/>
        <w:rPr>
          <w:rFonts w:ascii="Arial" w:cs="Arial" w:eastAsia="Arial" w:hAnsi="Arial"/>
          <w:sz w:val="19"/>
          <w:szCs w:val="19"/>
          <w:b w:val="1"/>
          <w:bCs w:val="1"/>
          <w:color w:val="auto"/>
        </w:rPr>
      </w:pPr>
    </w:p>
    <w:p>
      <w:pPr>
        <w:ind w:left="220" w:hanging="212"/>
        <w:spacing w:after="0"/>
        <w:tabs>
          <w:tab w:leader="none" w:pos="22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w:t>
      </w:r>
    </w:p>
    <w:p>
      <w:pPr>
        <w:spacing w:after="0" w:line="239" w:lineRule="exact"/>
        <w:rPr>
          <w:sz w:val="20"/>
          <w:szCs w:val="20"/>
          <w:color w:val="auto"/>
        </w:rPr>
      </w:pPr>
    </w:p>
    <w:p>
      <w:pPr>
        <w:ind w:right="120" w:firstLine="8"/>
        <w:spacing w:after="0" w:line="273" w:lineRule="auto"/>
        <w:tabs>
          <w:tab w:leader="none" w:pos="294" w:val="left"/>
        </w:tabs>
        <w:numPr>
          <w:ilvl w:val="0"/>
          <w:numId w:val="42"/>
        </w:numPr>
        <w:rPr>
          <w:rFonts w:ascii="Arial" w:cs="Arial" w:eastAsia="Arial" w:hAnsi="Arial"/>
          <w:sz w:val="19"/>
          <w:szCs w:val="19"/>
          <w:color w:val="auto"/>
        </w:rPr>
      </w:pPr>
      <w:r>
        <w:rPr>
          <w:rFonts w:ascii="Arial" w:cs="Arial" w:eastAsia="Arial" w:hAnsi="Arial"/>
          <w:sz w:val="19"/>
          <w:szCs w:val="19"/>
          <w:color w:val="auto"/>
        </w:rPr>
        <w:t>Executive acknowledges that the nature of Executive's employment by the Company is such that Executive shall have access to information of a confidential and/or trade secret nature which has great value to Photronics and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ind w:left="-8" w:right="120" w:firstLine="8"/>
        <w:spacing w:after="0" w:line="277" w:lineRule="auto"/>
        <w:tabs>
          <w:tab w:leader="none" w:pos="298"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shall keep all such Confidential Information in confidence during the Term of this Agreement and at any time thereafter and shall not disclose any of such Confidential Information to any other person, except to the extent such disclosure is</w:t>
      </w:r>
    </w:p>
    <w:p>
      <w:pPr>
        <w:ind w:left="-8" w:right="80" w:firstLine="8"/>
        <w:spacing w:after="0" w:line="280" w:lineRule="auto"/>
        <w:tabs>
          <w:tab w:leader="none" w:pos="25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necessary to the performance of this Agreement and in furtherance of the Company's best interests, (ii) required by applicable law, (iii) lawfully obtainable from other sources,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71" w:lineRule="exact"/>
        <w:rPr>
          <w:sz w:val="20"/>
          <w:szCs w:val="20"/>
          <w:color w:val="auto"/>
        </w:rPr>
      </w:pPr>
    </w:p>
    <w:p>
      <w:pPr>
        <w:ind w:left="-8" w:right="120" w:firstLine="8"/>
        <w:spacing w:after="0" w:line="334" w:lineRule="auto"/>
        <w:tabs>
          <w:tab w:leader="none" w:pos="208"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covenants and agrees that commencing on the date hereof and continuing for the entire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and for period of twelve (12) months thereafter (the "</w:t>
      </w:r>
      <w:r>
        <w:rPr>
          <w:rFonts w:ascii="Arial" w:cs="Arial" w:eastAsia="Arial" w:hAnsi="Arial"/>
          <w:sz w:val="19"/>
          <w:szCs w:val="19"/>
          <w:u w:val="single" w:color="auto"/>
          <w:color w:val="auto"/>
        </w:rPr>
        <w:t>Exclusivity Period</w:t>
      </w:r>
      <w:r>
        <w:rPr>
          <w:rFonts w:ascii="Arial" w:cs="Arial" w:eastAsia="Arial" w:hAnsi="Arial"/>
          <w:sz w:val="19"/>
          <w:szCs w:val="19"/>
          <w:color w:val="auto"/>
        </w:rPr>
        <w:t>"), Executive shall not:</w:t>
      </w:r>
    </w:p>
    <w:p>
      <w:pPr>
        <w:spacing w:after="0" w:line="127" w:lineRule="exact"/>
        <w:rPr>
          <w:sz w:val="20"/>
          <w:szCs w:val="20"/>
          <w:color w:val="auto"/>
        </w:rPr>
      </w:pPr>
    </w:p>
    <w:p>
      <w:pPr>
        <w:ind w:left="-8" w:right="80" w:firstLine="8"/>
        <w:spacing w:after="0" w:line="297" w:lineRule="auto"/>
        <w:tabs>
          <w:tab w:leader="none" w:pos="286" w:val="left"/>
        </w:tabs>
        <w:numPr>
          <w:ilvl w:val="0"/>
          <w:numId w:val="46"/>
        </w:numPr>
        <w:rPr>
          <w:rFonts w:ascii="Arial" w:cs="Arial" w:eastAsia="Arial" w:hAnsi="Arial"/>
          <w:sz w:val="19"/>
          <w:szCs w:val="19"/>
          <w:color w:val="auto"/>
        </w:rPr>
      </w:pPr>
      <w:r>
        <w:rPr>
          <w:rFonts w:ascii="Arial" w:cs="Arial" w:eastAsia="Arial" w:hAnsi="Arial"/>
          <w:sz w:val="19"/>
          <w:szCs w:val="19"/>
          <w:color w:val="auto"/>
        </w:rPr>
        <w:t>Acquire any controlling ownership interest in or engage, directly or indirectly, for themselves or as agent, consultant, employee or otherwise, in any business which is competitive with or damaging to the business of the Company or any subsidiary of the Company or the parent entity of the Company, whether such business is now owned or hereafter organized or acquired;</w:t>
      </w:r>
    </w:p>
    <w:p>
      <w:pPr>
        <w:spacing w:after="0" w:line="160" w:lineRule="exact"/>
        <w:rPr>
          <w:rFonts w:ascii="Arial" w:cs="Arial" w:eastAsia="Arial" w:hAnsi="Arial"/>
          <w:sz w:val="19"/>
          <w:szCs w:val="19"/>
          <w:color w:val="auto"/>
        </w:rPr>
      </w:pPr>
    </w:p>
    <w:p>
      <w:pPr>
        <w:jc w:val="both"/>
        <w:ind w:left="-8" w:right="360" w:firstLine="8"/>
        <w:spacing w:after="0"/>
        <w:tabs>
          <w:tab w:leader="none" w:pos="298" w:val="left"/>
        </w:tabs>
        <w:numPr>
          <w:ilvl w:val="0"/>
          <w:numId w:val="46"/>
        </w:numPr>
        <w:rPr>
          <w:rFonts w:ascii="Arial" w:cs="Arial" w:eastAsia="Arial" w:hAnsi="Arial"/>
          <w:sz w:val="22"/>
          <w:szCs w:val="22"/>
          <w:color w:val="auto"/>
        </w:rPr>
      </w:pPr>
      <w:r>
        <w:rPr>
          <w:rFonts w:ascii="Arial" w:cs="Arial" w:eastAsia="Arial" w:hAnsi="Arial"/>
          <w:sz w:val="22"/>
          <w:szCs w:val="22"/>
          <w:color w:val="auto"/>
        </w:rPr>
        <w:t>Undertake the planning for or organization of, directly or indirectly, alone or in combination with any person or entity any business activity which is competitive with or damaging to the business of the Company or any subsidiary of the Company or parent entity of the Company;</w:t>
      </w:r>
    </w:p>
    <w:p>
      <w:pPr>
        <w:spacing w:after="0" w:line="207" w:lineRule="exact"/>
        <w:rPr>
          <w:rFonts w:ascii="Arial" w:cs="Arial" w:eastAsia="Arial" w:hAnsi="Arial"/>
          <w:sz w:val="22"/>
          <w:szCs w:val="22"/>
          <w:color w:val="auto"/>
        </w:rPr>
      </w:pPr>
    </w:p>
    <w:p>
      <w:pPr>
        <w:ind w:left="-8" w:right="20" w:firstLine="8"/>
        <w:spacing w:after="0" w:line="280" w:lineRule="auto"/>
        <w:tabs>
          <w:tab w:leader="none" w:pos="286"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Solicit, attempt to solicit, </w:t>
      </w:r>
      <w:r>
        <w:rPr>
          <w:rFonts w:ascii="Arial" w:cs="Arial" w:eastAsia="Arial" w:hAnsi="Arial"/>
          <w:sz w:val="19"/>
          <w:szCs w:val="19"/>
          <w:b w:val="1"/>
          <w:bCs w:val="1"/>
          <w:color w:val="auto"/>
        </w:rPr>
        <w:t>or assist others in soliciting or attempting to solicit,</w:t>
      </w:r>
      <w:r>
        <w:rPr>
          <w:rFonts w:ascii="Arial" w:cs="Arial" w:eastAsia="Arial" w:hAnsi="Arial"/>
          <w:sz w:val="19"/>
          <w:szCs w:val="19"/>
          <w:color w:val="auto"/>
        </w:rPr>
        <w:t xml:space="preserve"> directly or indirectly, any business related to the business of the Company or Photronics, Inc. from any customers or prospective customers of the Company or Photronics, Inc.; for the purposes of this </w:t>
      </w:r>
      <w:r>
        <w:rPr>
          <w:rFonts w:ascii="Arial" w:cs="Arial" w:eastAsia="Arial" w:hAnsi="Arial"/>
          <w:sz w:val="19"/>
          <w:szCs w:val="19"/>
          <w:u w:val="single" w:color="auto"/>
          <w:color w:val="auto"/>
        </w:rPr>
        <w:t>Section 8</w:t>
      </w:r>
      <w:r>
        <w:rPr>
          <w:rFonts w:ascii="Arial" w:cs="Arial" w:eastAsia="Arial" w:hAnsi="Arial"/>
          <w:sz w:val="19"/>
          <w:szCs w:val="19"/>
          <w:color w:val="auto"/>
        </w:rPr>
        <w:t>, the term "</w:t>
      </w:r>
      <w:r>
        <w:rPr>
          <w:rFonts w:ascii="Arial" w:cs="Arial" w:eastAsia="Arial" w:hAnsi="Arial"/>
          <w:sz w:val="19"/>
          <w:szCs w:val="19"/>
          <w:u w:val="single" w:color="auto"/>
          <w:color w:val="auto"/>
        </w:rPr>
        <w:t>customer</w:t>
      </w:r>
      <w:r>
        <w:rPr>
          <w:rFonts w:ascii="Arial" w:cs="Arial" w:eastAsia="Arial" w:hAnsi="Arial"/>
          <w:sz w:val="19"/>
          <w:szCs w:val="19"/>
          <w:color w:val="auto"/>
        </w:rPr>
        <w:t>" means any entity or person who is or has been a client or customer of the Company during the time which Executive was employed with the Company, and the term "</w:t>
      </w:r>
      <w:r>
        <w:rPr>
          <w:rFonts w:ascii="Arial" w:cs="Arial" w:eastAsia="Arial" w:hAnsi="Arial"/>
          <w:sz w:val="19"/>
          <w:szCs w:val="19"/>
          <w:u w:val="single" w:color="auto"/>
          <w:color w:val="auto"/>
        </w:rPr>
        <w:t>prospective customer</w:t>
      </w:r>
      <w:r>
        <w:rPr>
          <w:rFonts w:ascii="Arial" w:cs="Arial" w:eastAsia="Arial" w:hAnsi="Arial"/>
          <w:sz w:val="19"/>
          <w:szCs w:val="19"/>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71" w:lineRule="exact"/>
        <w:rPr>
          <w:rFonts w:ascii="Arial" w:cs="Arial" w:eastAsia="Arial" w:hAnsi="Arial"/>
          <w:sz w:val="19"/>
          <w:szCs w:val="19"/>
          <w:color w:val="auto"/>
        </w:rPr>
      </w:pPr>
    </w:p>
    <w:p>
      <w:pPr>
        <w:jc w:val="both"/>
        <w:ind w:left="-8" w:firstLine="8"/>
        <w:spacing w:after="0" w:line="239" w:lineRule="auto"/>
        <w:tabs>
          <w:tab w:leader="none" w:pos="298" w:val="left"/>
        </w:tabs>
        <w:numPr>
          <w:ilvl w:val="0"/>
          <w:numId w:val="46"/>
        </w:numPr>
        <w:rPr>
          <w:rFonts w:ascii="Arial" w:cs="Arial" w:eastAsia="Arial" w:hAnsi="Arial"/>
          <w:sz w:val="22"/>
          <w:szCs w:val="22"/>
          <w:color w:val="auto"/>
        </w:rPr>
      </w:pPr>
      <w:r>
        <w:rPr>
          <w:rFonts w:ascii="Arial" w:cs="Arial" w:eastAsia="Arial" w:hAnsi="Arial"/>
          <w:sz w:val="22"/>
          <w:szCs w:val="22"/>
          <w:color w:val="auto"/>
        </w:rPr>
        <w:t>Solicit, attempt to solicit</w:t>
      </w:r>
      <w:r>
        <w:rPr>
          <w:rFonts w:ascii="Arial" w:cs="Arial" w:eastAsia="Arial" w:hAnsi="Arial"/>
          <w:sz w:val="22"/>
          <w:szCs w:val="22"/>
          <w:b w:val="1"/>
          <w:bCs w:val="1"/>
          <w:color w:val="auto"/>
        </w:rPr>
        <w:t>, or assist others in soliciting or attempting to solicit, directly or indirectly, for employment or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any similar capacity, </w:t>
      </w:r>
      <w:r>
        <w:rPr>
          <w:rFonts w:ascii="Arial" w:cs="Arial" w:eastAsia="Arial" w:hAnsi="Arial"/>
          <w:sz w:val="22"/>
          <w:szCs w:val="22"/>
          <w:color w:val="auto"/>
        </w:rPr>
        <w:t>any person who is an employee of, or an independent contractor for, the Company or its direct or indirect</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parents or Affiliates or who was such an employee within twelve (12) months prior to the date of such solicitation or attempted solicitation.</w:t>
      </w:r>
    </w:p>
    <w:p>
      <w:pPr>
        <w:spacing w:after="0" w:line="213" w:lineRule="exact"/>
        <w:rPr>
          <w:rFonts w:ascii="Arial" w:cs="Arial" w:eastAsia="Arial" w:hAnsi="Arial"/>
          <w:sz w:val="22"/>
          <w:szCs w:val="22"/>
          <w:color w:val="auto"/>
        </w:rPr>
      </w:pPr>
    </w:p>
    <w:p>
      <w:pPr>
        <w:ind w:left="-8" w:right="140" w:firstLine="8"/>
        <w:spacing w:after="0" w:line="250" w:lineRule="auto"/>
        <w:tabs>
          <w:tab w:leader="none" w:pos="286" w:val="left"/>
        </w:tabs>
        <w:numPr>
          <w:ilvl w:val="0"/>
          <w:numId w:val="46"/>
        </w:numPr>
        <w:rPr>
          <w:rFonts w:ascii="Arial" w:cs="Arial" w:eastAsia="Arial" w:hAnsi="Arial"/>
          <w:sz w:val="22"/>
          <w:szCs w:val="22"/>
          <w:color w:val="auto"/>
        </w:rPr>
      </w:pPr>
      <w:r>
        <w:rPr>
          <w:rFonts w:ascii="Arial" w:cs="Arial" w:eastAsia="Arial" w:hAnsi="Arial"/>
          <w:sz w:val="22"/>
          <w:szCs w:val="22"/>
          <w:color w:val="auto"/>
        </w:rPr>
        <w:t>Executive acknowledges that in the event of his employment with the Company terminates for any reason, Executive will be able to earn a livelihood without violating the foregoing restrictions.</w:t>
      </w:r>
    </w:p>
    <w:p>
      <w:pPr>
        <w:spacing w:after="0" w:line="201" w:lineRule="exact"/>
        <w:rPr>
          <w:rFonts w:ascii="Arial" w:cs="Arial" w:eastAsia="Arial" w:hAnsi="Arial"/>
          <w:sz w:val="22"/>
          <w:szCs w:val="22"/>
          <w:color w:val="auto"/>
        </w:rPr>
      </w:pPr>
    </w:p>
    <w:p>
      <w:pPr>
        <w:ind w:left="-8" w:right="80" w:firstLine="8"/>
        <w:spacing w:after="0" w:line="279" w:lineRule="auto"/>
        <w:tabs>
          <w:tab w:leader="none" w:pos="262"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If any provision or clause, or portion thereof, within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9"/>
          <w:szCs w:val="19"/>
          <w:u w:val="single" w:color="auto"/>
          <w:color w:val="auto"/>
        </w:rPr>
        <w:t>Section 8</w:t>
      </w:r>
      <w:r>
        <w:rPr>
          <w:rFonts w:ascii="Arial" w:cs="Arial" w:eastAsia="Arial" w:hAnsi="Arial"/>
          <w:sz w:val="19"/>
          <w:szCs w:val="19"/>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71" w:lineRule="exact"/>
        <w:rPr>
          <w:sz w:val="20"/>
          <w:szCs w:val="20"/>
          <w:color w:val="auto"/>
        </w:rPr>
      </w:pPr>
    </w:p>
    <w:p>
      <w:pPr>
        <w:ind w:left="212" w:hanging="212"/>
        <w:spacing w:after="0"/>
        <w:tabs>
          <w:tab w:leader="none" w:pos="212"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color w:val="auto"/>
        </w:rPr>
        <w:t>.</w:t>
      </w:r>
    </w:p>
    <w:p>
      <w:pPr>
        <w:spacing w:after="0" w:line="239" w:lineRule="exact"/>
        <w:rPr>
          <w:sz w:val="20"/>
          <w:szCs w:val="20"/>
          <w:color w:val="auto"/>
        </w:rPr>
      </w:pPr>
    </w:p>
    <w:p>
      <w:pPr>
        <w:ind w:left="-8" w:right="20" w:firstLine="8"/>
        <w:spacing w:after="0" w:line="245" w:lineRule="auto"/>
        <w:tabs>
          <w:tab w:leader="none" w:pos="286"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Executive has no interest (except as disclosed to the Company) in any inventions, designs, improvements, patents, copyrights and discoveries which are useful in or directly or indirectly related to the business of the Company or Photronics, Inc. or to any experimental work carried on by the Company or Photronics, Inc. Except as may be limited by applicable law, all inventions, designs, improvements, patents, copyrights and discoveries conceived by Executive during the Term of this Agreement which are useful in or directly or indirectly related to the business of the Company or Photronics, Inc. or to any experimental work carried on by the Company or Photronics, Inc., shall be the property of the Company and/or Photronics, Inc.. Executive will promptly and fully disclose to the Company all such inventions, designs, improvements, patents, copyrights and discoveries (whether developed individually or with other persons) and will take all steps necessary and reasonably required to assure the Company's or Photronics, Inc. ownership thereof and to assist the Company and/or Photronics in protecting or defending the Company's or Photronics’ proprietary rights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38" w:name="page39"/>
    <w:bookmarkEnd w:id="38"/>
    <w:p>
      <w:pPr>
        <w:ind w:firstLine="8"/>
        <w:spacing w:after="0" w:line="271" w:lineRule="auto"/>
        <w:tabs>
          <w:tab w:leader="none" w:pos="3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or for any other reason to secure Executive's signature to apply for or to pursue any application for any United States or foreign letters patent or copyright registrations covering inventions assigned to the Company,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further assist the Company in every way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200" w:lineRule="exact"/>
        <w:rPr>
          <w:sz w:val="20"/>
          <w:szCs w:val="20"/>
          <w:color w:val="auto"/>
        </w:rPr>
      </w:pPr>
    </w:p>
    <w:p>
      <w:pPr>
        <w:spacing w:after="0" w:line="229" w:lineRule="exact"/>
        <w:rPr>
          <w:sz w:val="20"/>
          <w:szCs w:val="20"/>
          <w:color w:val="auto"/>
        </w:rPr>
      </w:pPr>
    </w:p>
    <w:p>
      <w:pPr>
        <w:ind w:right="200" w:firstLine="8"/>
        <w:spacing w:after="0" w:line="278" w:lineRule="auto"/>
        <w:tabs>
          <w:tab w:leader="none" w:pos="324"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agree that the services to be rendered by Executive pursuant to this Agreement, and the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privileges granted to the 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shall not be construed as a waiver of any other rights or remedies which the Company may have for damages or otherwise.</w:t>
      </w:r>
    </w:p>
    <w:p>
      <w:pPr>
        <w:spacing w:after="0" w:line="172" w:lineRule="exact"/>
        <w:rPr>
          <w:rFonts w:ascii="Arial" w:cs="Arial" w:eastAsia="Arial" w:hAnsi="Arial"/>
          <w:sz w:val="19"/>
          <w:szCs w:val="19"/>
          <w:b w:val="1"/>
          <w:bCs w:val="1"/>
          <w:color w:val="auto"/>
        </w:rPr>
      </w:pPr>
    </w:p>
    <w:p>
      <w:pPr>
        <w:ind w:right="80" w:firstLine="8"/>
        <w:spacing w:after="0" w:line="260" w:lineRule="auto"/>
        <w:tabs>
          <w:tab w:leader="none" w:pos="312"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Return of Property</w:t>
      </w:r>
      <w:r>
        <w:rPr>
          <w:rFonts w:ascii="Arial" w:cs="Arial" w:eastAsia="Arial" w:hAnsi="Arial"/>
          <w:sz w:val="21"/>
          <w:szCs w:val="21"/>
          <w:color w:val="auto"/>
        </w:rPr>
        <w:t>. Executive agrees to return, on or before the termination date, all property belonging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but not limited to computers, PDA, telephone and other credit cards, Company business records, Company automobile (if applicable), etc.</w:t>
      </w:r>
    </w:p>
    <w:p>
      <w:pPr>
        <w:spacing w:after="0" w:line="187" w:lineRule="exact"/>
        <w:rPr>
          <w:rFonts w:ascii="Arial" w:cs="Arial" w:eastAsia="Arial" w:hAnsi="Arial"/>
          <w:sz w:val="21"/>
          <w:szCs w:val="21"/>
          <w:b w:val="1"/>
          <w:bCs w:val="1"/>
          <w:color w:val="auto"/>
        </w:rPr>
      </w:pPr>
    </w:p>
    <w:p>
      <w:pPr>
        <w:ind w:right="140" w:firstLine="8"/>
        <w:spacing w:after="0" w:line="243" w:lineRule="auto"/>
        <w:tabs>
          <w:tab w:leader="none" w:pos="324"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is held to be unenforceable for any reason, it shall be adjusted rather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voided, if possible, to achieve the intent of the parties to the extent possible. In any event, all other provisions of this Agreement shall be deemed valid and enforceable to the extent possible.</w:t>
      </w:r>
    </w:p>
    <w:p>
      <w:pPr>
        <w:spacing w:after="0" w:line="203" w:lineRule="exact"/>
        <w:rPr>
          <w:rFonts w:ascii="Arial" w:cs="Arial" w:eastAsia="Arial" w:hAnsi="Arial"/>
          <w:sz w:val="22"/>
          <w:szCs w:val="22"/>
          <w:b w:val="1"/>
          <w:bCs w:val="1"/>
          <w:color w:val="auto"/>
        </w:rPr>
      </w:pPr>
    </w:p>
    <w:p>
      <w:pPr>
        <w:ind w:right="20" w:firstLine="8"/>
        <w:spacing w:after="0" w:line="278" w:lineRule="auto"/>
        <w:tabs>
          <w:tab w:leader="none" w:pos="324"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Succession</w:t>
      </w:r>
      <w:r>
        <w:rPr>
          <w:rFonts w:ascii="Arial" w:cs="Arial" w:eastAsia="Arial" w:hAnsi="Arial"/>
          <w:sz w:val="19"/>
          <w:szCs w:val="19"/>
          <w:color w:val="auto"/>
        </w:rPr>
        <w:t>. This Agreement shall inure to the benefit of and be binding upon the Company and its 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such successor or 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172" w:lineRule="exact"/>
        <w:rPr>
          <w:rFonts w:ascii="Arial" w:cs="Arial" w:eastAsia="Arial" w:hAnsi="Arial"/>
          <w:sz w:val="19"/>
          <w:szCs w:val="19"/>
          <w:b w:val="1"/>
          <w:bCs w:val="1"/>
          <w:color w:val="auto"/>
        </w:rPr>
      </w:pPr>
    </w:p>
    <w:p>
      <w:pPr>
        <w:ind w:right="60" w:firstLine="8"/>
        <w:spacing w:after="0" w:line="256" w:lineRule="auto"/>
        <w:tabs>
          <w:tab w:leader="none" w:pos="324"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or other communication provided for in this Agreement shall be in writing and sent if to the Company to</w:t>
      </w:r>
      <w:r>
        <w:rPr>
          <w:rFonts w:ascii="Arial" w:cs="Arial" w:eastAsia="Arial" w:hAnsi="Arial"/>
          <w:sz w:val="22"/>
          <w:szCs w:val="22"/>
          <w:b w:val="1"/>
          <w:bCs w:val="1"/>
          <w:color w:val="auto"/>
        </w:rPr>
        <w:t xml:space="preserve"> </w:t>
      </w:r>
      <w:r>
        <w:rPr>
          <w:rFonts w:ascii="Arial" w:cs="Arial" w:eastAsia="Arial" w:hAnsi="Arial"/>
          <w:sz w:val="22"/>
          <w:szCs w:val="22"/>
          <w:color w:val="auto"/>
        </w:rPr>
        <w:t>its principal office at: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Photronics, Inc.</w:t>
      </w:r>
    </w:p>
    <w:p>
      <w:pPr>
        <w:spacing w:after="0" w:line="238" w:lineRule="auto"/>
        <w:rPr>
          <w:sz w:val="20"/>
          <w:szCs w:val="20"/>
          <w:color w:val="auto"/>
        </w:rPr>
      </w:pPr>
      <w:r>
        <w:rPr>
          <w:rFonts w:ascii="Arial" w:cs="Arial" w:eastAsia="Arial" w:hAnsi="Arial"/>
          <w:sz w:val="22"/>
          <w:szCs w:val="22"/>
          <w:color w:val="auto"/>
        </w:rPr>
        <w:t>15 Secor Road, PO Box 5226</w:t>
      </w:r>
    </w:p>
    <w:p>
      <w:pPr>
        <w:spacing w:after="0" w:line="230" w:lineRule="auto"/>
        <w:rPr>
          <w:sz w:val="20"/>
          <w:szCs w:val="20"/>
          <w:color w:val="auto"/>
        </w:rPr>
      </w:pPr>
      <w:r>
        <w:rPr>
          <w:rFonts w:ascii="Arial" w:cs="Arial" w:eastAsia="Arial" w:hAnsi="Arial"/>
          <w:sz w:val="22"/>
          <w:szCs w:val="22"/>
          <w:color w:val="auto"/>
        </w:rPr>
        <w:t>Brookfield, Connecticut 06804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ind w:left="-8" w:right="40" w:firstLine="8"/>
        <w:spacing w:after="0" w:line="237" w:lineRule="auto"/>
        <w:tabs>
          <w:tab w:leader="none" w:pos="31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Adequate Consideration</w:t>
      </w:r>
      <w:r>
        <w:rPr>
          <w:rFonts w:ascii="Arial" w:cs="Arial" w:eastAsia="Arial" w:hAnsi="Arial"/>
          <w:sz w:val="22"/>
          <w:szCs w:val="22"/>
          <w:color w:val="auto"/>
        </w:rPr>
        <w:t>. Executive acknowledges that the cash severance and other benefits to be provided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to Executive are not available 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(Confidential Information),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(Non-Competition),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(Remedies) and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(Release).</w:t>
      </w:r>
    </w:p>
    <w:p>
      <w:pPr>
        <w:spacing w:after="0" w:line="209" w:lineRule="exact"/>
        <w:rPr>
          <w:rFonts w:ascii="Arial" w:cs="Arial" w:eastAsia="Arial" w:hAnsi="Arial"/>
          <w:sz w:val="22"/>
          <w:szCs w:val="22"/>
          <w:b w:val="1"/>
          <w:bCs w:val="1"/>
          <w:color w:val="auto"/>
        </w:rPr>
      </w:pPr>
    </w:p>
    <w:p>
      <w:pPr>
        <w:ind w:left="-8" w:right="80" w:firstLine="8"/>
        <w:spacing w:after="0" w:line="334" w:lineRule="auto"/>
        <w:tabs>
          <w:tab w:leader="none" w:pos="316"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agreement of the parties relating to the subject matter hereof and</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supersedes any prior agreements, undertakings, commitments and practices relating to Executive's employment by the Company.</w:t>
      </w:r>
    </w:p>
    <w:p>
      <w:pPr>
        <w:spacing w:after="0" w:line="120" w:lineRule="exact"/>
        <w:rPr>
          <w:rFonts w:ascii="Arial" w:cs="Arial" w:eastAsia="Arial" w:hAnsi="Arial"/>
          <w:sz w:val="19"/>
          <w:szCs w:val="19"/>
          <w:b w:val="1"/>
          <w:bCs w:val="1"/>
          <w:color w:val="auto"/>
        </w:rPr>
      </w:pPr>
    </w:p>
    <w:p>
      <w:pPr>
        <w:ind w:left="-8" w:right="420" w:firstLine="8"/>
        <w:spacing w:after="0" w:line="256" w:lineRule="auto"/>
        <w:tabs>
          <w:tab w:leader="none" w:pos="31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No amendment or modification of the terms of this Agreement shall be valid unless made in writing,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both parties.</w:t>
      </w:r>
    </w:p>
    <w:p>
      <w:pPr>
        <w:spacing w:after="0" w:line="189" w:lineRule="exact"/>
        <w:rPr>
          <w:rFonts w:ascii="Arial" w:cs="Arial" w:eastAsia="Arial" w:hAnsi="Arial"/>
          <w:sz w:val="22"/>
          <w:szCs w:val="22"/>
          <w:b w:val="1"/>
          <w:bCs w:val="1"/>
          <w:color w:val="auto"/>
        </w:rPr>
      </w:pPr>
    </w:p>
    <w:p>
      <w:pPr>
        <w:ind w:left="-8" w:right="260" w:firstLine="8"/>
        <w:spacing w:after="0" w:line="243" w:lineRule="auto"/>
        <w:tabs>
          <w:tab w:leader="none" w:pos="31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No failure on the part of any party to exercise or delay in exercising any right hereunder shall be deemed a waiver</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or of any other right, nor shall any single or partial exercise preclude any further or other exercise of such right or any other right.</w:t>
      </w:r>
    </w:p>
    <w:p>
      <w:pPr>
        <w:spacing w:after="0" w:line="203" w:lineRule="exact"/>
        <w:rPr>
          <w:rFonts w:ascii="Arial" w:cs="Arial" w:eastAsia="Arial" w:hAnsi="Arial"/>
          <w:sz w:val="22"/>
          <w:szCs w:val="22"/>
          <w:b w:val="1"/>
          <w:bCs w:val="1"/>
          <w:color w:val="auto"/>
        </w:rPr>
      </w:pPr>
    </w:p>
    <w:p>
      <w:pPr>
        <w:ind w:left="-8" w:right="100" w:firstLine="8"/>
        <w:spacing w:after="0" w:line="260" w:lineRule="auto"/>
        <w:tabs>
          <w:tab w:leader="none" w:pos="316"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Agreement, and the legal relations between the parties,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Connecticut without regard to conflicts of law doctrines and any court action arising out of this Agreement shall be brought in any court of competent jurisdiction within the State of Connecticut.</w:t>
      </w:r>
    </w:p>
    <w:p>
      <w:pPr>
        <w:spacing w:after="0" w:line="187" w:lineRule="exact"/>
        <w:rPr>
          <w:rFonts w:ascii="Arial" w:cs="Arial" w:eastAsia="Arial" w:hAnsi="Arial"/>
          <w:sz w:val="21"/>
          <w:szCs w:val="21"/>
          <w:b w:val="1"/>
          <w:bCs w:val="1"/>
          <w:color w:val="auto"/>
        </w:rPr>
      </w:pPr>
    </w:p>
    <w:p>
      <w:pPr>
        <w:jc w:val="both"/>
        <w:ind w:left="-8" w:firstLine="8"/>
        <w:spacing w:after="0" w:line="239" w:lineRule="auto"/>
        <w:tabs>
          <w:tab w:leader="none" w:pos="31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If any litigation shall occur between Executive and the Company which litigation arises out of or as a result</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or the acts of the parties hereto pursuant to this Agreement, or which seeks an interpretation of this Agreement, the prevailing party shall be entitled to recover all costs and expenses of such litigation, including reasonable attorneys' fees and costs.</w:t>
      </w:r>
    </w:p>
    <w:p>
      <w:pPr>
        <w:spacing w:after="0" w:line="207" w:lineRule="exact"/>
        <w:rPr>
          <w:rFonts w:ascii="Arial" w:cs="Arial" w:eastAsia="Arial" w:hAnsi="Arial"/>
          <w:sz w:val="22"/>
          <w:szCs w:val="22"/>
          <w:b w:val="1"/>
          <w:bCs w:val="1"/>
          <w:color w:val="auto"/>
        </w:rPr>
      </w:pPr>
    </w:p>
    <w:p>
      <w:pPr>
        <w:ind w:left="-8" w:right="200" w:firstLine="8"/>
        <w:spacing w:after="0" w:line="256" w:lineRule="auto"/>
        <w:tabs>
          <w:tab w:leader="none" w:pos="31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All compensation payable hereunder, including salary and other benefits, shall be subject to applicable taxes,</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and other required, normal or elected employee deductions.</w:t>
      </w:r>
    </w:p>
    <w:p>
      <w:pPr>
        <w:spacing w:after="0" w:line="189" w:lineRule="exact"/>
        <w:rPr>
          <w:rFonts w:ascii="Arial" w:cs="Arial" w:eastAsia="Arial" w:hAnsi="Arial"/>
          <w:sz w:val="22"/>
          <w:szCs w:val="22"/>
          <w:b w:val="1"/>
          <w:bCs w:val="1"/>
          <w:color w:val="auto"/>
        </w:rPr>
      </w:pPr>
    </w:p>
    <w:p>
      <w:pPr>
        <w:ind w:left="-8" w:right="140" w:firstLine="8"/>
        <w:spacing w:after="0" w:line="243" w:lineRule="auto"/>
        <w:tabs>
          <w:tab w:leader="none" w:pos="31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and any amendment hereto may be executed in one or more counterparts. All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shall constitute one and the same agreement and shall become effective when a copy signed by each party has been delivered to the other party.</w:t>
      </w:r>
    </w:p>
    <w:p>
      <w:pPr>
        <w:spacing w:after="0" w:line="203" w:lineRule="exact"/>
        <w:rPr>
          <w:rFonts w:ascii="Arial" w:cs="Arial" w:eastAsia="Arial" w:hAnsi="Arial"/>
          <w:sz w:val="22"/>
          <w:szCs w:val="22"/>
          <w:b w:val="1"/>
          <w:bCs w:val="1"/>
          <w:color w:val="auto"/>
        </w:rPr>
      </w:pPr>
    </w:p>
    <w:p>
      <w:pPr>
        <w:ind w:left="-8" w:right="100" w:firstLine="8"/>
        <w:spacing w:after="0" w:line="256" w:lineRule="auto"/>
        <w:tabs>
          <w:tab w:leader="none" w:pos="31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Section and other headings contained in this Agreement are for convenience of reference only and shall not affect</w:t>
      </w:r>
      <w:r>
        <w:rPr>
          <w:rFonts w:ascii="Arial" w:cs="Arial" w:eastAsia="Arial" w:hAnsi="Arial"/>
          <w:sz w:val="22"/>
          <w:szCs w:val="22"/>
          <w:b w:val="1"/>
          <w:bCs w:val="1"/>
          <w:color w:val="auto"/>
        </w:rPr>
        <w:t xml:space="preserve"> </w:t>
      </w:r>
      <w:r>
        <w:rPr>
          <w:rFonts w:ascii="Arial" w:cs="Arial" w:eastAsia="Arial" w:hAnsi="Arial"/>
          <w:sz w:val="22"/>
          <w:szCs w:val="22"/>
          <w:color w:val="auto"/>
        </w:rPr>
        <w:t>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2" w:right="35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IN WITNESS WHEREOF, the parties have executed this Agreement as of the date and year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Peter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19970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Peter Kirlin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1170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RELEASE</w:t>
      </w:r>
    </w:p>
    <w:p>
      <w:pPr>
        <w:spacing w:after="0" w:line="233" w:lineRule="exact"/>
        <w:rPr>
          <w:sz w:val="20"/>
          <w:szCs w:val="20"/>
          <w:color w:val="auto"/>
        </w:rPr>
      </w:pPr>
    </w:p>
    <w:p>
      <w:pPr>
        <w:ind w:right="260" w:firstLine="8"/>
        <w:spacing w:after="0" w:line="238" w:lineRule="auto"/>
        <w:tabs>
          <w:tab w:leader="none" w:pos="2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I signed an Employment Agreement with Photronics, Inc. (the "Company"), dated October 31, 2019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211" w:lineRule="exact"/>
        <w:rPr>
          <w:rFonts w:ascii="Arial" w:cs="Arial" w:eastAsia="Arial" w:hAnsi="Arial"/>
          <w:sz w:val="22"/>
          <w:szCs w:val="22"/>
          <w:color w:val="auto"/>
        </w:rPr>
      </w:pPr>
    </w:p>
    <w:p>
      <w:pPr>
        <w:ind w:firstLine="8"/>
        <w:spacing w:after="0" w:line="270" w:lineRule="auto"/>
        <w:tabs>
          <w:tab w:leader="none" w:pos="216"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the Agreement. In recognition of the consideration set forth in the Agreement, I hereby release and forever discharge the Released Parties from any and all claims, actions and causes of action, I have or may have as of the date of this Release arising under any state or federal civil rights or human rights law, or under the Federal Age Discrimination in Employment Act of 1967, as amended, and the applicable rules and regulations promulgated thereunder ("ADEA"). By signing this Release, I hereby acknowledge and confirm the following: (a) I was advised in writing by the Company in connection with my termination to consult with an attorney of my choice prior to signing this Agreement, including without limitation, the terms relating to my release of claims arising under ADEA and any other law, rule or regulation referred to above; (b) I was given a period of not fewer than 21 days to consider the terms of this Agreement and to consult with an attorney of my choosing with respect hereto; and (c) I am providing the release and discharge set forth in this paragraph only in exchange for consideration in addition to anything of value to which I was already entitled.</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right="200" w:firstLine="8"/>
        <w:spacing w:after="0" w:line="235" w:lineRule="auto"/>
        <w:tabs>
          <w:tab w:leader="none" w:pos="2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Agreement and this Release may be revoked by me within the 7-day period commencing on the date I sign this Release (the "Revocation Period"). In the event of any such revocation, all obligations of the Company under the Agreement will terminate and be of no further force and effect as of the date of such revocation and both the Company and I will have and be entitled to exercise all rights that would have existed had the Agreement and Release not been entered into. No such revocation will be effective unless it is in writing and signed by me and received by the Company prior to the expiration of the Revocation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854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Witness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F1F1F"/>
        </w:rPr>
        <w:t>First Amendment to Agreement</w:t>
      </w:r>
    </w:p>
    <w:p>
      <w:pPr>
        <w:spacing w:after="0" w:line="239" w:lineRule="exact"/>
        <w:rPr>
          <w:sz w:val="20"/>
          <w:szCs w:val="20"/>
          <w:color w:val="auto"/>
        </w:rPr>
      </w:pPr>
    </w:p>
    <w:p>
      <w:pPr>
        <w:ind w:right="660" w:firstLine="486"/>
        <w:spacing w:after="0" w:line="250" w:lineRule="auto"/>
        <w:rPr>
          <w:sz w:val="20"/>
          <w:szCs w:val="20"/>
          <w:color w:val="auto"/>
        </w:rPr>
      </w:pPr>
      <w:r>
        <w:rPr>
          <w:rFonts w:ascii="Arial" w:cs="Arial" w:eastAsia="Arial" w:hAnsi="Arial"/>
          <w:sz w:val="22"/>
          <w:szCs w:val="22"/>
          <w:color w:val="1F1F1F"/>
        </w:rPr>
        <w:t>This First Amendment (“Amendment”) amends the Agreement between DEMA Associates, LLC ("Consultant") and Photronics, Inc. (the “Company”) effective as of January 20, 2018 ("Agreement").</w:t>
      </w:r>
    </w:p>
    <w:p>
      <w:pPr>
        <w:spacing w:after="0" w:line="202" w:lineRule="exact"/>
        <w:rPr>
          <w:sz w:val="20"/>
          <w:szCs w:val="20"/>
          <w:color w:val="auto"/>
        </w:rPr>
      </w:pPr>
    </w:p>
    <w:p>
      <w:pPr>
        <w:ind w:right="60" w:firstLine="486"/>
        <w:spacing w:after="0" w:line="250" w:lineRule="auto"/>
        <w:rPr>
          <w:sz w:val="20"/>
          <w:szCs w:val="20"/>
          <w:color w:val="auto"/>
        </w:rPr>
      </w:pPr>
      <w:r>
        <w:rPr>
          <w:rFonts w:ascii="Arial" w:cs="Arial" w:eastAsia="Arial" w:hAnsi="Arial"/>
          <w:sz w:val="22"/>
          <w:szCs w:val="22"/>
          <w:color w:val="1F1F1F"/>
        </w:rPr>
        <w:t>Now, therefore, Consultant and the Company (collectively the "Parties") hereby agree that the Agreement shall be amended as follows: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color w:val="1F1F1F"/>
        </w:rPr>
        <w:t>Article 2, Paragraph two shall be deleted in its entirety and replaced with the following:</w:t>
      </w:r>
    </w:p>
    <w:p>
      <w:pPr>
        <w:spacing w:after="0" w:line="227" w:lineRule="exact"/>
        <w:rPr>
          <w:sz w:val="20"/>
          <w:szCs w:val="20"/>
          <w:color w:val="auto"/>
        </w:rPr>
      </w:pPr>
    </w:p>
    <w:p>
      <w:pPr>
        <w:jc w:val="both"/>
        <w:ind w:left="660" w:right="40"/>
        <w:spacing w:after="0" w:line="239" w:lineRule="auto"/>
        <w:rPr>
          <w:sz w:val="20"/>
          <w:szCs w:val="20"/>
          <w:color w:val="auto"/>
        </w:rPr>
      </w:pPr>
      <w:r>
        <w:rPr>
          <w:rFonts w:ascii="Arial" w:cs="Arial" w:eastAsia="Arial" w:hAnsi="Arial"/>
          <w:sz w:val="22"/>
          <w:szCs w:val="22"/>
          <w:b w:val="1"/>
          <w:bCs w:val="1"/>
          <w:color w:val="1F1F1F"/>
        </w:rPr>
        <w:t xml:space="preserve">Fees: </w:t>
      </w:r>
      <w:r>
        <w:rPr>
          <w:rFonts w:ascii="Arial" w:cs="Arial" w:eastAsia="Arial" w:hAnsi="Arial"/>
          <w:sz w:val="22"/>
          <w:szCs w:val="22"/>
          <w:color w:val="1F1F1F"/>
        </w:rPr>
        <w:t>In consideration for the consulting services, the Company will pay the Consultant a consulting fee in the amount of</w:t>
      </w:r>
      <w:r>
        <w:rPr>
          <w:rFonts w:ascii="Arial" w:cs="Arial" w:eastAsia="Arial" w:hAnsi="Arial"/>
          <w:sz w:val="22"/>
          <w:szCs w:val="22"/>
          <w:b w:val="1"/>
          <w:bCs w:val="1"/>
          <w:color w:val="1F1F1F"/>
        </w:rPr>
        <w:t xml:space="preserve"> </w:t>
      </w:r>
      <w:r>
        <w:rPr>
          <w:rFonts w:ascii="Arial" w:cs="Arial" w:eastAsia="Arial" w:hAnsi="Arial"/>
          <w:sz w:val="22"/>
          <w:szCs w:val="22"/>
          <w:color w:val="1F1F1F"/>
        </w:rPr>
        <w:t>one hundred and eight thousand dollars ($108,000) per year (“Consulting Fees”). The Company shall pay the Consulting Fees in equal monthly payments of nine thousand dollars ($9,000.00) throughout the Consulting Period. The Consulting Fees will be paid at the address set forth above.</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1F1F1F"/>
        </w:rPr>
        <w:t>This Amendment shall be effective as of March 9, 2020.</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9"/>
          <w:szCs w:val="19"/>
          <w:color w:val="1F1F1F"/>
        </w:rPr>
        <w:t>The signatures of the Parties below acknowledge the acceptance and ratification of this Amendment to the Agreement.</w:t>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22"/>
          <w:szCs w:val="22"/>
          <w:color w:val="1F1F1F"/>
        </w:rPr>
        <w:t>Except as set forth above all other terms of the Agreement remain effective.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PHOTRONICS, INC.</w:t>
            </w:r>
          </w:p>
        </w:tc>
        <w:tc>
          <w:tcPr>
            <w:tcW w:w="6500" w:type="dxa"/>
            <w:vAlign w:val="bottom"/>
            <w:gridSpan w:val="2"/>
          </w:tcPr>
          <w:p>
            <w:pPr>
              <w:ind w:left="1900"/>
              <w:spacing w:after="0"/>
              <w:rPr>
                <w:sz w:val="20"/>
                <w:szCs w:val="20"/>
                <w:color w:val="auto"/>
              </w:rPr>
            </w:pPr>
            <w:r>
              <w:rPr>
                <w:rFonts w:ascii="Arial" w:cs="Arial" w:eastAsia="Arial" w:hAnsi="Arial"/>
                <w:sz w:val="18"/>
                <w:szCs w:val="18"/>
                <w:color w:val="auto"/>
              </w:rPr>
              <w:t>DEMA ASSOCIATES, LLC</w:t>
            </w:r>
          </w:p>
        </w:tc>
      </w:tr>
      <w:tr>
        <w:trPr>
          <w:trHeight w:val="439"/>
        </w:trPr>
        <w:tc>
          <w:tcPr>
            <w:tcW w:w="4740" w:type="dxa"/>
            <w:vAlign w:val="bottom"/>
            <w:gridSpan w:val="2"/>
          </w:tcPr>
          <w:p>
            <w:pPr>
              <w:spacing w:after="0"/>
              <w:rPr>
                <w:sz w:val="20"/>
                <w:szCs w:val="20"/>
                <w:color w:val="auto"/>
              </w:rPr>
            </w:pPr>
            <w:r>
              <w:rPr>
                <w:rFonts w:ascii="Arial" w:cs="Arial" w:eastAsia="Arial" w:hAnsi="Arial"/>
                <w:sz w:val="18"/>
                <w:szCs w:val="18"/>
                <w:color w:val="auto"/>
              </w:rPr>
              <w:t>By: /s/ Richelle E. Burr</w:t>
            </w:r>
          </w:p>
        </w:tc>
        <w:tc>
          <w:tcPr>
            <w:tcW w:w="6500" w:type="dxa"/>
            <w:vAlign w:val="bottom"/>
            <w:gridSpan w:val="2"/>
          </w:tcPr>
          <w:p>
            <w:pPr>
              <w:ind w:left="1920"/>
              <w:spacing w:after="0"/>
              <w:rPr>
                <w:sz w:val="20"/>
                <w:szCs w:val="20"/>
                <w:color w:val="auto"/>
              </w:rPr>
            </w:pPr>
            <w:r>
              <w:rPr>
                <w:rFonts w:ascii="Arial" w:cs="Arial" w:eastAsia="Arial" w:hAnsi="Arial"/>
                <w:sz w:val="18"/>
                <w:szCs w:val="18"/>
                <w:color w:val="auto"/>
              </w:rPr>
              <w:t>By: /s/ Constantine S. Macricostas</w:t>
            </w:r>
          </w:p>
        </w:tc>
      </w:tr>
      <w:tr>
        <w:trPr>
          <w:trHeight w:val="34"/>
        </w:trPr>
        <w:tc>
          <w:tcPr>
            <w:tcW w:w="340" w:type="dxa"/>
            <w:vAlign w:val="bottom"/>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4260" w:type="dxa"/>
            <w:vAlign w:val="bottom"/>
            <w:shd w:val="clear" w:color="auto" w:fill="000000"/>
          </w:tcPr>
          <w:p>
            <w:pPr>
              <w:spacing w:after="0"/>
              <w:rPr>
                <w:sz w:val="2"/>
                <w:szCs w:val="2"/>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Richelle E. Burr</w:t>
            </w:r>
          </w:p>
        </w:tc>
        <w:tc>
          <w:tcPr>
            <w:tcW w:w="6500" w:type="dxa"/>
            <w:vAlign w:val="bottom"/>
            <w:gridSpan w:val="2"/>
          </w:tcPr>
          <w:p>
            <w:pPr>
              <w:ind w:left="1900"/>
              <w:spacing w:after="0" w:line="201" w:lineRule="exact"/>
              <w:rPr>
                <w:sz w:val="20"/>
                <w:szCs w:val="20"/>
                <w:color w:val="auto"/>
              </w:rPr>
            </w:pPr>
            <w:r>
              <w:rPr>
                <w:rFonts w:ascii="Arial" w:cs="Arial" w:eastAsia="Arial" w:hAnsi="Arial"/>
                <w:sz w:val="18"/>
                <w:szCs w:val="18"/>
                <w:color w:val="auto"/>
              </w:rPr>
              <w:t>Constantine S. Macricostas</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EVP, Chief Administrative Officer &amp; General Counsel</w:t>
            </w:r>
          </w:p>
        </w:tc>
        <w:tc>
          <w:tcPr>
            <w:tcW w:w="6500" w:type="dxa"/>
            <w:vAlign w:val="bottom"/>
            <w:gridSpan w:val="2"/>
          </w:tcPr>
          <w:p>
            <w:pPr>
              <w:ind w:left="1900"/>
              <w:spacing w:after="0"/>
              <w:rPr>
                <w:sz w:val="20"/>
                <w:szCs w:val="20"/>
                <w:color w:val="auto"/>
              </w:rPr>
            </w:pPr>
            <w:r>
              <w:rPr>
                <w:rFonts w:ascii="Arial" w:cs="Arial" w:eastAsia="Arial" w:hAnsi="Arial"/>
                <w:sz w:val="18"/>
                <w:szCs w:val="18"/>
                <w:color w:val="auto"/>
              </w:rPr>
              <w:t>President</w:t>
            </w:r>
          </w:p>
        </w:tc>
      </w:tr>
      <w:tr>
        <w:trPr>
          <w:trHeight w:val="601"/>
        </w:trPr>
        <w:tc>
          <w:tcPr>
            <w:tcW w:w="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25" w:lineRule="exact"/>
        <w:rPr>
          <w:rFonts w:ascii="Arial" w:cs="Arial" w:eastAsia="Arial" w:hAnsi="Arial"/>
          <w:sz w:val="18"/>
          <w:szCs w:val="18"/>
          <w:color w:val="auto"/>
        </w:rPr>
      </w:pPr>
    </w:p>
    <w:p>
      <w:pPr>
        <w:jc w:val="both"/>
        <w:ind w:left="660" w:right="100" w:hanging="652"/>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400" w:hanging="744"/>
        <w:spacing w:after="0" w:line="263"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400" w:right="40" w:hanging="744"/>
        <w:spacing w:after="0" w:line="263"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400" w:right="100" w:hanging="744"/>
        <w:spacing w:after="0" w:line="342" w:lineRule="auto"/>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00" w:right="160" w:hanging="744"/>
        <w:spacing w:after="0" w:line="263"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00" w:right="380" w:hanging="744"/>
        <w:spacing w:after="0" w:line="342" w:lineRule="auto"/>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00" w:right="100" w:hanging="744"/>
        <w:spacing w:after="0" w:line="277"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25" w:lineRule="exact"/>
        <w:rPr>
          <w:rFonts w:ascii="Arial" w:cs="Arial" w:eastAsia="Arial" w:hAnsi="Arial"/>
          <w:sz w:val="18"/>
          <w:szCs w:val="18"/>
          <w:color w:val="auto"/>
        </w:rPr>
      </w:pPr>
    </w:p>
    <w:p>
      <w:pPr>
        <w:jc w:val="both"/>
        <w:ind w:left="660" w:right="100" w:hanging="652"/>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400" w:hanging="744"/>
        <w:spacing w:after="0" w:line="263"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400" w:right="40" w:hanging="744"/>
        <w:spacing w:after="0" w:line="263"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400" w:right="100" w:hanging="744"/>
        <w:spacing w:after="0" w:line="342" w:lineRule="auto"/>
        <w:tabs>
          <w:tab w:leader="none" w:pos="14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00" w:right="160" w:hanging="744"/>
        <w:spacing w:after="0" w:line="263"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00" w:right="380" w:hanging="744"/>
        <w:spacing w:after="0" w:line="342" w:lineRule="auto"/>
        <w:tabs>
          <w:tab w:leader="none" w:pos="14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00" w:right="100" w:hanging="744"/>
        <w:spacing w:after="0" w:line="277" w:lineRule="auto"/>
        <w:tabs>
          <w:tab w:leader="none" w:pos="14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70" w:lineRule="exact"/>
        <w:rPr>
          <w:sz w:val="20"/>
          <w:szCs w:val="20"/>
          <w:color w:val="auto"/>
        </w:rPr>
      </w:pPr>
    </w:p>
    <w:p>
      <w:pPr>
        <w:ind w:left="660" w:right="12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February 2, 2020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70" w:lineRule="exact"/>
        <w:rPr>
          <w:sz w:val="20"/>
          <w:szCs w:val="20"/>
          <w:color w:val="auto"/>
        </w:rPr>
      </w:pPr>
    </w:p>
    <w:p>
      <w:pPr>
        <w:ind w:left="660" w:right="12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February 2, 2020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431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8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Roman"/>
      <w:start w:val="6"/>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Roman"/>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decimal"/>
      <w:start w:val="4"/>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3"/>
    </w:lvl>
  </w:abstractNum>
  <w:abstractNum w:abstractNumId="17">
    <w:nsid w:val="77465F01"/>
    <w:multiLevelType w:val="hybridMultilevel"/>
    <w:lvl w:ilvl="0">
      <w:lvlJc w:val="left"/>
      <w:lvlText w:val="%1."/>
      <w:numFmt w:val="decimal"/>
      <w:start w:val="5"/>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Roman"/>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lowerRoman"/>
      <w:start w:val="2"/>
    </w:lvl>
  </w:abstractNum>
  <w:abstractNum w:abstractNumId="22">
    <w:nsid w:val="51EAD36B"/>
    <w:multiLevelType w:val="hybridMultilevel"/>
    <w:lvl w:ilvl="0">
      <w:lvlJc w:val="left"/>
      <w:lvlText w:val="(%1)"/>
      <w:numFmt w:val="lowerLetter"/>
      <w:start w:val="3"/>
    </w:lvl>
  </w:abstractNum>
  <w:abstractNum w:abstractNumId="23">
    <w:nsid w:val="2D517796"/>
    <w:multiLevelType w:val="hybridMultilevel"/>
    <w:lvl w:ilvl="0">
      <w:lvlJc w:val="left"/>
      <w:lvlText w:val="(%1)"/>
      <w:numFmt w:val="lowerRoman"/>
      <w:start w:val="1"/>
    </w:lvl>
  </w:abstractNum>
  <w:abstractNum w:abstractNumId="24">
    <w:nsid w:val="580BD78F"/>
    <w:multiLevelType w:val="hybridMultilevel"/>
    <w:lvl w:ilvl="0">
      <w:lvlJc w:val="left"/>
      <w:lvlText w:val="(%1)"/>
      <w:numFmt w:val="lowerRoman"/>
      <w:start w:val="2"/>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lowerLetter"/>
      <w:start w:val="4"/>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3"/>
    </w:lvl>
  </w:abstractNum>
  <w:abstractNum w:abstractNumId="30">
    <w:nsid w:val="1D4ED43B"/>
    <w:multiLevelType w:val="hybridMultilevel"/>
    <w:lvl w:ilvl="0">
      <w:lvlJc w:val="left"/>
      <w:lvlText w:val="(%1)"/>
      <w:numFmt w:val="lowerRoman"/>
      <w:start w:val="3"/>
    </w:lvl>
  </w:abstractNum>
  <w:abstractNum w:abstractNumId="31">
    <w:nsid w:val="725A06FB"/>
    <w:multiLevelType w:val="hybridMultilevel"/>
    <w:lvl w:ilvl="0">
      <w:lvlJc w:val="left"/>
      <w:lvlText w:val="(%1)"/>
      <w:numFmt w:val="lowerRoman"/>
      <w:start w:val="2"/>
    </w:lvl>
  </w:abstractNum>
  <w:abstractNum w:abstractNumId="32">
    <w:nsid w:val="2CD89A32"/>
    <w:multiLevelType w:val="hybridMultilevel"/>
    <w:lvl w:ilvl="0">
      <w:lvlJc w:val="left"/>
      <w:lvlText w:val="(%1)"/>
      <w:numFmt w:val="lowerRoman"/>
      <w:start w:val="4"/>
    </w:lvl>
  </w:abstractNum>
  <w:abstractNum w:abstractNumId="33">
    <w:nsid w:val="57E4CCAF"/>
    <w:multiLevelType w:val="hybridMultilevel"/>
    <w:lvl w:ilvl="0">
      <w:lvlJc w:val="left"/>
      <w:lvlText w:val="(%1)"/>
      <w:numFmt w:val="lowerLetter"/>
      <w:start w:val="5"/>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4"/>
    </w:lvl>
  </w:abstractNum>
  <w:abstractNum w:abstractNumId="36">
    <w:nsid w:val="542289EC"/>
    <w:multiLevelType w:val="hybridMultilevel"/>
    <w:lvl w:ilvl="0">
      <w:lvlJc w:val="left"/>
      <w:lvlText w:val="(%1)"/>
      <w:numFmt w:val="lowerRoman"/>
      <w:start w:val="2"/>
    </w:lvl>
  </w:abstractNum>
  <w:abstractNum w:abstractNumId="37">
    <w:nsid w:val="6DE91B18"/>
    <w:multiLevelType w:val="hybridMultilevel"/>
    <w:lvl w:ilvl="0">
      <w:lvlJc w:val="left"/>
      <w:lvlText w:val="(%1)"/>
      <w:numFmt w:val="lowerLetter"/>
      <w:start w:val="6"/>
    </w:lvl>
  </w:abstractNum>
  <w:abstractNum w:abstractNumId="38">
    <w:nsid w:val="38437FDB"/>
    <w:multiLevelType w:val="hybridMultilevel"/>
    <w:lvl w:ilvl="0">
      <w:lvlJc w:val="left"/>
      <w:lvlText w:val="(%1)"/>
      <w:numFmt w:val="lowerRoman"/>
      <w:start w:val="1"/>
    </w:lvl>
  </w:abstractNum>
  <w:abstractNum w:abstractNumId="39">
    <w:nsid w:val="7644A45C"/>
    <w:multiLevelType w:val="hybridMultilevel"/>
    <w:lvl w:ilvl="0">
      <w:lvlJc w:val="left"/>
      <w:lvlText w:val="(%1)"/>
      <w:numFmt w:val="lowerLetter"/>
      <w:start w:val="8"/>
    </w:lvl>
  </w:abstractNum>
  <w:abstractNum w:abstractNumId="40">
    <w:nsid w:val="32FFF902"/>
    <w:multiLevelType w:val="hybridMultilevel"/>
    <w:lvl w:ilvl="0">
      <w:lvlJc w:val="left"/>
      <w:lvlText w:val="%1."/>
      <w:numFmt w:val="decimal"/>
      <w:start w:val="6"/>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lowerLetter"/>
      <w:start w:val="9"/>
    </w:lvl>
  </w:abstractNum>
  <w:abstractNum w:abstractNumId="44">
    <w:nsid w:val="3DC240FB"/>
    <w:multiLevelType w:val="hybridMultilevel"/>
    <w:lvl w:ilvl="0">
      <w:lvlJc w:val="left"/>
      <w:lvlText w:val="%1."/>
      <w:numFmt w:val="decimal"/>
      <w:start w:val="8"/>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9"/>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2"/>
    </w:lvl>
  </w:abstractNum>
  <w:abstractNum w:abstractNumId="49">
    <w:nsid w:val="70C6A529"/>
    <w:multiLevelType w:val="hybridMultilevel"/>
    <w:lvl w:ilvl="0">
      <w:lvlJc w:val="left"/>
      <w:lvlText w:val="%1."/>
      <w:numFmt w:val="decimal"/>
      <w:start w:val="10"/>
    </w:lvl>
  </w:abstractNum>
  <w:abstractNum w:abstractNumId="50">
    <w:nsid w:val="520EEDD1"/>
    <w:multiLevelType w:val="hybridMultilevel"/>
    <w:lvl w:ilvl="0">
      <w:lvlJc w:val="left"/>
      <w:lvlText w:val="%1."/>
      <w:numFmt w:val="decimal"/>
      <w:start w:val="15"/>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2020-03-11T16:22:55Z</dcterms:created>
  <dcterms:modified xsi:type="dcterms:W3CDTF">2020-03-11T16:22:55Z</dcterms:modified>
</cp:coreProperties>
</file>