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940" w:right="1440" w:hanging="3689"/>
        <w:spacing w:after="0" w:line="253" w:lineRule="auto"/>
        <w:tabs>
          <w:tab w:leader="none" w:pos="65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3, 2026</w:t>
      </w: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4040" w:right="1420" w:hanging="3789"/>
        <w:spacing w:after="0" w:line="490" w:lineRule="auto"/>
        <w:tabs>
          <w:tab w:leader="none" w:pos="64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w:t>
      </w:r>
    </w:p>
    <w:p>
      <w:pPr>
        <w:spacing w:after="0" w:line="1" w:lineRule="exact"/>
        <w:rPr>
          <w:rFonts w:ascii="MS PGothic" w:cs="MS PGothic" w:eastAsia="MS PGothic" w:hAnsi="MS PGothic"/>
          <w:sz w:val="18"/>
          <w:szCs w:val="18"/>
          <w:color w:val="auto"/>
          <w:highlight w:val="black"/>
        </w:rPr>
      </w:pPr>
    </w:p>
    <w:p>
      <w:pPr>
        <w:ind w:left="43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156845</wp:posOffset>
            </wp:positionV>
            <wp:extent cx="56578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66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2520" w:type="dxa"/>
            <w:vAlign w:val="bottom"/>
          </w:tcPr>
          <w:p>
            <w:pPr>
              <w:spacing w:after="0"/>
              <w:rPr>
                <w:sz w:val="19"/>
                <w:szCs w:val="19"/>
                <w:color w:val="auto"/>
              </w:rPr>
            </w:pPr>
          </w:p>
        </w:tc>
        <w:tc>
          <w:tcPr>
            <w:tcW w:w="406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06-0854886</w:t>
            </w:r>
          </w:p>
        </w:tc>
      </w:tr>
      <w:tr>
        <w:trPr>
          <w:trHeight w:val="234"/>
        </w:trPr>
        <w:tc>
          <w:tcPr>
            <w:tcW w:w="7180" w:type="dxa"/>
            <w:vAlign w:val="bottom"/>
            <w:gridSpan w:val="3"/>
          </w:tcPr>
          <w:p>
            <w:pPr>
              <w:jc w:val="center"/>
              <w:ind w:right="15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0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466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2520" w:type="dxa"/>
            <w:vAlign w:val="bottom"/>
          </w:tcPr>
          <w:p>
            <w:pPr>
              <w:spacing w:after="0"/>
              <w:rPr>
                <w:sz w:val="24"/>
                <w:szCs w:val="24"/>
                <w:color w:val="auto"/>
              </w:rPr>
            </w:pPr>
          </w:p>
        </w:tc>
        <w:tc>
          <w:tcPr>
            <w:tcW w:w="406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06804</w:t>
            </w:r>
          </w:p>
        </w:tc>
      </w:tr>
      <w:tr>
        <w:trPr>
          <w:trHeight w:val="234"/>
        </w:trPr>
        <w:tc>
          <w:tcPr>
            <w:tcW w:w="466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520" w:type="dxa"/>
            <w:vAlign w:val="bottom"/>
          </w:tcPr>
          <w:p>
            <w:pPr>
              <w:spacing w:after="0"/>
              <w:rPr>
                <w:sz w:val="20"/>
                <w:szCs w:val="20"/>
                <w:color w:val="auto"/>
              </w:rPr>
            </w:pPr>
          </w:p>
        </w:tc>
        <w:tc>
          <w:tcPr>
            <w:tcW w:w="40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466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520" w:type="dxa"/>
            <w:vAlign w:val="bottom"/>
          </w:tcPr>
          <w:p>
            <w:pPr>
              <w:spacing w:after="0"/>
              <w:rPr>
                <w:sz w:val="24"/>
                <w:szCs w:val="24"/>
                <w:color w:val="auto"/>
              </w:rPr>
            </w:pPr>
          </w:p>
        </w:tc>
        <w:tc>
          <w:tcPr>
            <w:tcW w:w="406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r>
        <w:trPr>
          <w:trHeight w:val="432"/>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Securities registered pursuant to Section 12(b) of the Act:</w:t>
            </w:r>
          </w:p>
        </w:tc>
        <w:tc>
          <w:tcPr>
            <w:tcW w:w="25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23"/>
        </w:trPr>
        <w:tc>
          <w:tcPr>
            <w:tcW w:w="3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r>
      <w:tr>
        <w:trPr>
          <w:trHeight w:val="223"/>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Title of each class</w:t>
            </w:r>
          </w:p>
        </w:tc>
        <w:tc>
          <w:tcPr>
            <w:tcW w:w="106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231F20"/>
                <w:w w:val="99"/>
              </w:rPr>
              <w:t>Trading Symbol(s)</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Name of each exchange on which registered</w:t>
            </w:r>
          </w:p>
        </w:tc>
      </w:tr>
      <w:tr>
        <w:trPr>
          <w:trHeight w:val="223"/>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06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w w:val="99"/>
              </w:rPr>
              <w:t>PLAB</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rPr>
        <w:t>☐</w:t>
      </w:r>
    </w:p>
    <w:p>
      <w:pPr>
        <w:spacing w:after="0" w:line="27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rPr>
        <w:t>☐</w:t>
      </w:r>
    </w:p>
    <w:p>
      <w:pPr>
        <w:spacing w:after="0" w:line="277"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17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Large Accelerated</w:t>
            </w:r>
          </w:p>
        </w:tc>
        <w:tc>
          <w:tcPr>
            <w:tcW w:w="20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w:t>
            </w:r>
          </w:p>
        </w:tc>
        <w:tc>
          <w:tcPr>
            <w:tcW w:w="17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Emerging</w:t>
            </w:r>
          </w:p>
        </w:tc>
      </w:tr>
      <w:tr>
        <w:trPr>
          <w:trHeight w:val="180"/>
        </w:trPr>
        <w:tc>
          <w:tcPr>
            <w:tcW w:w="1720" w:type="dxa"/>
            <w:vAlign w:val="bottom"/>
          </w:tcPr>
          <w:p>
            <w:pPr>
              <w:jc w:val="center"/>
              <w:ind w:right="250"/>
              <w:spacing w:after="0" w:line="181" w:lineRule="exact"/>
              <w:rPr>
                <w:sz w:val="20"/>
                <w:szCs w:val="20"/>
                <w:color w:val="auto"/>
              </w:rPr>
            </w:pPr>
            <w:r>
              <w:rPr>
                <w:rFonts w:ascii="Times New Roman" w:cs="Times New Roman" w:eastAsia="Times New Roman" w:hAnsi="Times New Roman"/>
                <w:sz w:val="18"/>
                <w:szCs w:val="18"/>
                <w:color w:val="auto"/>
                <w:w w:val="99"/>
              </w:rPr>
              <w:t>Filer</w:t>
            </w:r>
          </w:p>
        </w:tc>
        <w:tc>
          <w:tcPr>
            <w:tcW w:w="20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Accelerated Filer</w:t>
            </w:r>
          </w:p>
        </w:tc>
        <w:tc>
          <w:tcPr>
            <w:tcW w:w="2440" w:type="dxa"/>
            <w:vAlign w:val="bottom"/>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w w:val="99"/>
              </w:rPr>
              <w:t>Non-Accelerated Filer</w:t>
            </w:r>
          </w:p>
        </w:tc>
        <w:tc>
          <w:tcPr>
            <w:tcW w:w="23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Reporting Company</w:t>
            </w:r>
          </w:p>
        </w:tc>
        <w:tc>
          <w:tcPr>
            <w:tcW w:w="1760" w:type="dxa"/>
            <w:vAlign w:val="bottom"/>
          </w:tcPr>
          <w:p>
            <w:pPr>
              <w:jc w:val="center"/>
              <w:ind w:left="370"/>
              <w:spacing w:after="0" w:line="181" w:lineRule="exact"/>
              <w:rPr>
                <w:sz w:val="20"/>
                <w:szCs w:val="20"/>
                <w:color w:val="auto"/>
              </w:rPr>
            </w:pPr>
            <w:r>
              <w:rPr>
                <w:rFonts w:ascii="Times New Roman" w:cs="Times New Roman" w:eastAsia="Times New Roman" w:hAnsi="Times New Roman"/>
                <w:sz w:val="18"/>
                <w:szCs w:val="18"/>
                <w:color w:val="auto"/>
              </w:rPr>
              <w:t>Growth Company</w:t>
            </w:r>
          </w:p>
        </w:tc>
      </w:tr>
      <w:tr>
        <w:trPr>
          <w:trHeight w:val="303"/>
        </w:trPr>
        <w:tc>
          <w:tcPr>
            <w:tcW w:w="1720" w:type="dxa"/>
            <w:vAlign w:val="bottom"/>
          </w:tcPr>
          <w:p>
            <w:pPr>
              <w:jc w:val="center"/>
              <w:ind w:right="270"/>
              <w:spacing w:after="0" w:line="181" w:lineRule="exact"/>
              <w:rPr>
                <w:sz w:val="20"/>
                <w:szCs w:val="20"/>
                <w:color w:val="auto"/>
              </w:rPr>
            </w:pPr>
            <w:r>
              <w:rPr>
                <w:rFonts w:ascii="MS PGothic" w:cs="MS PGothic" w:eastAsia="MS PGothic" w:hAnsi="MS PGothic"/>
                <w:sz w:val="18"/>
                <w:szCs w:val="18"/>
                <w:color w:val="auto"/>
                <w:w w:val="88"/>
              </w:rPr>
              <w:t>☒</w:t>
            </w:r>
          </w:p>
        </w:tc>
        <w:tc>
          <w:tcPr>
            <w:tcW w:w="2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44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2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760" w:type="dxa"/>
            <w:vAlign w:val="bottom"/>
          </w:tcPr>
          <w:p>
            <w:pPr>
              <w:jc w:val="center"/>
              <w:ind w:left="35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58,963,698 shares of common stock outstanding as of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3,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Glossary of Terms and Acronyms</w:t>
            </w:r>
          </w:p>
        </w:tc>
        <w:tc>
          <w:tcPr>
            <w:tcW w:w="202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84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92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1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9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02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1240" w:type="dxa"/>
            <w:vAlign w:val="bottom"/>
            <w:shd w:val="clear" w:color="auto" w:fill="CCEEFF"/>
          </w:tcPr>
          <w:p>
            <w:pPr>
              <w:spacing w:after="0"/>
              <w:rPr>
                <w:sz w:val="17"/>
                <w:szCs w:val="17"/>
                <w:color w:val="auto"/>
              </w:rPr>
            </w:pP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1240" w:type="dxa"/>
            <w:vAlign w:val="bottom"/>
            <w:shd w:val="clear" w:color="auto" w:fill="CCEEFF"/>
          </w:tcPr>
          <w:p>
            <w:pPr>
              <w:spacing w:after="0"/>
              <w:rPr>
                <w:sz w:val="17"/>
                <w:szCs w:val="17"/>
                <w:color w:val="auto"/>
              </w:rPr>
            </w:pP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Income</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1240" w:type="dxa"/>
            <w:vAlign w:val="bottom"/>
            <w:shd w:val="clear" w:color="auto" w:fill="CCEEFF"/>
          </w:tcPr>
          <w:p>
            <w:pPr>
              <w:spacing w:after="0"/>
              <w:rPr>
                <w:sz w:val="17"/>
                <w:szCs w:val="17"/>
                <w:color w:val="auto"/>
              </w:rPr>
            </w:pP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1240" w:type="dxa"/>
            <w:vAlign w:val="bottom"/>
            <w:shd w:val="clear" w:color="auto" w:fill="CCEEFF"/>
          </w:tcPr>
          <w:p>
            <w:pPr>
              <w:spacing w:after="0"/>
              <w:rPr>
                <w:sz w:val="17"/>
                <w:szCs w:val="17"/>
                <w:color w:val="auto"/>
              </w:rPr>
            </w:pP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Equity</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1240" w:type="dxa"/>
            <w:vAlign w:val="bottom"/>
            <w:shd w:val="clear" w:color="auto" w:fill="CCEEFF"/>
          </w:tcPr>
          <w:p>
            <w:pPr>
              <w:spacing w:after="0"/>
              <w:rPr>
                <w:sz w:val="17"/>
                <w:szCs w:val="17"/>
                <w:color w:val="auto"/>
              </w:rPr>
            </w:pP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10</w:t>
            </w: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1240" w:type="dxa"/>
            <w:vAlign w:val="bottom"/>
            <w:shd w:val="clear" w:color="auto" w:fill="CCEEFF"/>
          </w:tcPr>
          <w:p>
            <w:pPr>
              <w:spacing w:after="0"/>
              <w:rPr>
                <w:sz w:val="17"/>
                <w:szCs w:val="17"/>
                <w:color w:val="auto"/>
              </w:rPr>
            </w:pP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11</w:t>
            </w: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26</w:t>
            </w: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9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02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37</w:t>
            </w: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37</w:t>
            </w: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37</w:t>
            </w: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79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202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38</w:t>
            </w:r>
          </w:p>
        </w:tc>
      </w:tr>
      <w:tr>
        <w:trPr>
          <w:trHeight w:val="557"/>
        </w:trPr>
        <w:tc>
          <w:tcPr>
            <w:tcW w:w="124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0" w:type="dxa"/>
            <w:vAlign w:val="bottom"/>
            <w:tcBorders>
              <w:top w:val="single" w:sz="8" w:color="CCEEFF"/>
            </w:tcBorders>
            <w:gridSpan w:val="16"/>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186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r>
      <w:tr>
        <w:trPr>
          <w:trHeight w:val="44"/>
        </w:trPr>
        <w:tc>
          <w:tcPr>
            <w:tcW w:w="1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88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 of certain terms and acronyms that may appear in this report are provided below.</w:t>
            </w:r>
          </w:p>
        </w:tc>
      </w:tr>
      <w:tr>
        <w:trPr>
          <w:trHeight w:val="216"/>
        </w:trPr>
        <w:tc>
          <w:tcPr>
            <w:tcW w:w="2420" w:type="dxa"/>
            <w:vAlign w:val="bottom"/>
          </w:tcPr>
          <w:p>
            <w:pPr>
              <w:spacing w:after="0"/>
              <w:rPr>
                <w:sz w:val="18"/>
                <w:szCs w:val="18"/>
                <w:color w:val="auto"/>
              </w:rPr>
            </w:pPr>
          </w:p>
        </w:tc>
        <w:tc>
          <w:tcPr>
            <w:tcW w:w="8820" w:type="dxa"/>
            <w:vAlign w:val="bottom"/>
          </w:tcPr>
          <w:p>
            <w:pPr>
              <w:spacing w:after="0"/>
              <w:rPr>
                <w:sz w:val="18"/>
                <w:szCs w:val="18"/>
                <w:color w:val="auto"/>
              </w:rPr>
            </w:pPr>
          </w:p>
        </w:tc>
      </w:tr>
      <w:tr>
        <w:trPr>
          <w:trHeight w:val="216"/>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AI</w:t>
            </w:r>
          </w:p>
        </w:tc>
        <w:tc>
          <w:tcPr>
            <w:tcW w:w="8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Artificial Intelligence</w:t>
            </w:r>
          </w:p>
        </w:tc>
      </w:t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AMOLED</w:t>
            </w:r>
          </w:p>
        </w:tc>
        <w:tc>
          <w:tcPr>
            <w:tcW w:w="8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Active-matrix organic light-emitting diode. A technology used in mobile devices</w:t>
            </w:r>
          </w:p>
        </w:tc>
      </w:tr>
      <w:tr>
        <w:trPr>
          <w:trHeight w:val="216"/>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Application-specific IC</w:t>
            </w:r>
          </w:p>
        </w:tc>
        <w:tc>
          <w:tcPr>
            <w:tcW w:w="8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 integrated circuit customized for a particular use, rather than intended for general-purpose use</w:t>
            </w:r>
          </w:p>
        </w:tc>
      </w:t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ASC</w:t>
            </w:r>
          </w:p>
        </w:tc>
        <w:tc>
          <w:tcPr>
            <w:tcW w:w="8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ASP</w:t>
            </w:r>
          </w:p>
        </w:tc>
        <w:tc>
          <w:tcPr>
            <w:tcW w:w="8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Average Selling Price</w:t>
            </w:r>
          </w:p>
        </w:tc>
      </w:t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ASU</w:t>
            </w:r>
          </w:p>
        </w:tc>
        <w:tc>
          <w:tcPr>
            <w:tcW w:w="8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16"/>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CNY</w:t>
            </w:r>
          </w:p>
        </w:tc>
        <w:tc>
          <w:tcPr>
            <w:tcW w:w="8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Chinese Yuan</w:t>
            </w:r>
          </w:p>
        </w:tc>
      </w:t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DNP</w:t>
            </w:r>
          </w:p>
        </w:tc>
        <w:tc>
          <w:tcPr>
            <w:tcW w:w="8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Dai Nippon Printing Co., Ltd.</w:t>
            </w:r>
          </w:p>
        </w:tc>
      </w:tr>
      <w:tr>
        <w:trPr>
          <w:trHeight w:val="198"/>
        </w:trPr>
        <w:tc>
          <w:tcPr>
            <w:tcW w:w="24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EUV</w:t>
            </w:r>
          </w:p>
        </w:tc>
        <w:tc>
          <w:tcPr>
            <w:tcW w:w="88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 wafer lithography technology using the industry standard extreme ultraviolet (EUV) wavelength. EUV photomasks</w:t>
            </w:r>
          </w:p>
        </w:tc>
      </w:tr>
      <w:tr>
        <w:trPr>
          <w:trHeight w:val="216"/>
        </w:trPr>
        <w:tc>
          <w:tcPr>
            <w:tcW w:w="2420" w:type="dxa"/>
            <w:vAlign w:val="bottom"/>
            <w:shd w:val="clear" w:color="auto" w:fill="CCEEFF"/>
          </w:tcPr>
          <w:p>
            <w:pPr>
              <w:spacing w:after="0"/>
              <w:rPr>
                <w:sz w:val="18"/>
                <w:szCs w:val="18"/>
                <w:color w:val="auto"/>
              </w:rPr>
            </w:pPr>
          </w:p>
        </w:tc>
        <w:tc>
          <w:tcPr>
            <w:tcW w:w="8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function by selectively reflecting or blocking light, in contrast to conventional photomasks which function by selectively</w:t>
            </w:r>
          </w:p>
        </w:tc>
      </w:tr>
      <w:tr>
        <w:trPr>
          <w:trHeight w:val="234"/>
        </w:trPr>
        <w:tc>
          <w:tcPr>
            <w:tcW w:w="2420" w:type="dxa"/>
            <w:vAlign w:val="bottom"/>
            <w:shd w:val="clear" w:color="auto" w:fill="CCEEFF"/>
          </w:tcPr>
          <w:p>
            <w:pPr>
              <w:spacing w:after="0"/>
              <w:rPr>
                <w:sz w:val="20"/>
                <w:szCs w:val="20"/>
                <w:color w:val="auto"/>
              </w:rPr>
            </w:pPr>
          </w:p>
        </w:tc>
        <w:tc>
          <w:tcPr>
            <w:tcW w:w="8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transmitting or blocking light</w:t>
            </w:r>
          </w:p>
        </w:tc>
      </w:t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16"/>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FASB</w:t>
            </w:r>
          </w:p>
        </w:tc>
        <w:tc>
          <w:tcPr>
            <w:tcW w:w="8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16"/>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FPD</w:t>
            </w:r>
          </w:p>
        </w:tc>
        <w:tc>
          <w:tcPr>
            <w:tcW w:w="8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Flat-panel displays, or “displays”</w:t>
            </w:r>
          </w:p>
        </w:tc>
      </w:tr>
      <w:tr>
        <w:trPr>
          <w:trHeight w:val="216"/>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FY</w:t>
            </w:r>
          </w:p>
        </w:tc>
        <w:tc>
          <w:tcPr>
            <w:tcW w:w="8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Fiscal Year</w:t>
            </w:r>
          </w:p>
        </w:tc>
      </w:tr>
      <w:tr>
        <w:trPr>
          <w:trHeight w:val="198"/>
        </w:trPr>
        <w:tc>
          <w:tcPr>
            <w:tcW w:w="24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Generation</w:t>
            </w:r>
          </w:p>
        </w:tc>
        <w:tc>
          <w:tcPr>
            <w:tcW w:w="88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In reference to flat panel displays, it refers to the size range of the underlying substrate to which a photomask is applied.</w:t>
            </w:r>
          </w:p>
        </w:tc>
      </w:tr>
      <w:tr>
        <w:trPr>
          <w:trHeight w:val="234"/>
        </w:trPr>
        <w:tc>
          <w:tcPr>
            <w:tcW w:w="2420" w:type="dxa"/>
            <w:vAlign w:val="bottom"/>
          </w:tcPr>
          <w:p>
            <w:pPr>
              <w:spacing w:after="0"/>
              <w:rPr>
                <w:sz w:val="20"/>
                <w:szCs w:val="20"/>
                <w:color w:val="auto"/>
              </w:rPr>
            </w:pPr>
          </w:p>
        </w:tc>
        <w:tc>
          <w:tcPr>
            <w:tcW w:w="8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Higher generation (or “G”) numbers represent larger substrates</w:t>
            </w:r>
          </w:p>
        </w:tc>
      </w:tr>
      <w:tr>
        <w:trPr>
          <w:trHeight w:val="216"/>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High-end (photomasks)</w:t>
            </w:r>
          </w:p>
        </w:tc>
        <w:tc>
          <w:tcPr>
            <w:tcW w:w="8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 IC, photomasks that are 28nm or smaller; for FPD, AMOLED, G10.5+, and LTPS photomasks</w:t>
            </w:r>
          </w:p>
        </w:tc>
      </w:t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IC</w:t>
            </w:r>
          </w:p>
        </w:tc>
        <w:tc>
          <w:tcPr>
            <w:tcW w:w="8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Integrated circuits, or semiconductors</w:t>
            </w:r>
          </w:p>
        </w:tc>
      </w:tr>
      <w:tr>
        <w:trPr>
          <w:trHeight w:val="198"/>
        </w:trPr>
        <w:tc>
          <w:tcPr>
            <w:tcW w:w="24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LTPS</w:t>
            </w:r>
          </w:p>
        </w:tc>
        <w:tc>
          <w:tcPr>
            <w:tcW w:w="88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Low-Temperature Poly Silicon, a polycrystalline silicon synthesized at relatively low temperatures; polycrystalline</w:t>
            </w:r>
          </w:p>
        </w:tc>
      </w:tr>
      <w:tr>
        <w:trPr>
          <w:trHeight w:val="216"/>
        </w:trPr>
        <w:tc>
          <w:tcPr>
            <w:tcW w:w="2420" w:type="dxa"/>
            <w:vAlign w:val="bottom"/>
            <w:shd w:val="clear" w:color="auto" w:fill="CCEEFF"/>
          </w:tcPr>
          <w:p>
            <w:pPr>
              <w:spacing w:after="0"/>
              <w:rPr>
                <w:sz w:val="18"/>
                <w:szCs w:val="18"/>
                <w:color w:val="auto"/>
              </w:rPr>
            </w:pPr>
          </w:p>
        </w:tc>
        <w:tc>
          <w:tcPr>
            <w:tcW w:w="8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silicon in thin-film transistors (TFTs) are used in liquid-crystal display (LCD) flat panels and to drive organic light-</w:t>
            </w:r>
          </w:p>
        </w:tc>
      </w:tr>
      <w:tr>
        <w:trPr>
          <w:trHeight w:val="234"/>
        </w:trPr>
        <w:tc>
          <w:tcPr>
            <w:tcW w:w="2420" w:type="dxa"/>
            <w:vAlign w:val="bottom"/>
            <w:shd w:val="clear" w:color="auto" w:fill="CCEEFF"/>
          </w:tcPr>
          <w:p>
            <w:pPr>
              <w:spacing w:after="0"/>
              <w:rPr>
                <w:sz w:val="20"/>
                <w:szCs w:val="20"/>
                <w:color w:val="auto"/>
              </w:rPr>
            </w:pPr>
          </w:p>
        </w:tc>
        <w:tc>
          <w:tcPr>
            <w:tcW w:w="8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emitting diode (OLED) displays</w:t>
            </w:r>
          </w:p>
        </w:tc>
      </w:t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Mainstream (photomasks)</w:t>
            </w:r>
          </w:p>
        </w:tc>
        <w:tc>
          <w:tcPr>
            <w:tcW w:w="8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 IC, photomasks that service IC nodes greater than 28nm; for FPD, G8 and smaller photomasks</w:t>
            </w:r>
          </w:p>
        </w:tc>
      </w:tr>
      <w:tr>
        <w:trPr>
          <w:trHeight w:val="198"/>
        </w:trPr>
        <w:tc>
          <w:tcPr>
            <w:tcW w:w="24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Optical proximity correction</w:t>
            </w:r>
          </w:p>
        </w:tc>
        <w:tc>
          <w:tcPr>
            <w:tcW w:w="88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 photolithography enhancement technique applied to compensate for the limitations of light to maintain the edge</w:t>
            </w:r>
          </w:p>
        </w:tc>
      </w:tr>
      <w:tr>
        <w:trPr>
          <w:trHeight w:val="234"/>
        </w:trPr>
        <w:tc>
          <w:tcPr>
            <w:tcW w:w="2420" w:type="dxa"/>
            <w:vAlign w:val="bottom"/>
            <w:shd w:val="clear" w:color="auto" w:fill="CCEEFF"/>
          </w:tcPr>
          <w:p>
            <w:pPr>
              <w:spacing w:after="0"/>
              <w:rPr>
                <w:sz w:val="20"/>
                <w:szCs w:val="20"/>
                <w:color w:val="auto"/>
              </w:rPr>
            </w:pPr>
          </w:p>
        </w:tc>
        <w:tc>
          <w:tcPr>
            <w:tcW w:w="8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placement integrity of an original design, imaged onto a silicon wafer, for further processing to an etched pattern.</w:t>
            </w:r>
          </w:p>
        </w:tc>
      </w:t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PDMCX</w:t>
            </w:r>
          </w:p>
        </w:tc>
        <w:tc>
          <w:tcPr>
            <w:tcW w:w="8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Xiamen American Japan Photronics Mask Co., Ltd., a joint venture of Photronics and DNP</w:t>
            </w:r>
          </w:p>
        </w:tc>
      </w:tr>
      <w:tr>
        <w:trPr>
          <w:trHeight w:val="216"/>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8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Right-of-use asset</w:t>
            </w:r>
          </w:p>
        </w:tc>
      </w:t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w:t>
            </w:r>
          </w:p>
        </w:tc>
        <w:tc>
          <w:tcPr>
            <w:tcW w:w="8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8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VIE</w:t>
            </w:r>
          </w:p>
        </w:tc>
        <w:tc>
          <w:tcPr>
            <w:tcW w:w="8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198"/>
        </w:trPr>
        <w:tc>
          <w:tcPr>
            <w:tcW w:w="24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Wafer</w:t>
            </w:r>
          </w:p>
        </w:tc>
        <w:tc>
          <w:tcPr>
            <w:tcW w:w="88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 wafer, or silicon wafer, is a thin slice of semiconductor material that, in the fabrication of microelectronics, serves as</w:t>
            </w:r>
          </w:p>
        </w:tc>
      </w:tr>
      <w:tr>
        <w:trPr>
          <w:trHeight w:val="234"/>
        </w:trPr>
        <w:tc>
          <w:tcPr>
            <w:tcW w:w="2420" w:type="dxa"/>
            <w:vAlign w:val="bottom"/>
            <w:shd w:val="clear" w:color="auto" w:fill="CCEEFF"/>
          </w:tcPr>
          <w:p>
            <w:pPr>
              <w:spacing w:after="0"/>
              <w:rPr>
                <w:sz w:val="20"/>
                <w:szCs w:val="20"/>
                <w:color w:val="auto"/>
              </w:rPr>
            </w:pPr>
          </w:p>
        </w:tc>
        <w:tc>
          <w:tcPr>
            <w:tcW w:w="8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 substrate for microelectronic devices built in and upon the wafer</w:t>
            </w:r>
          </w:p>
        </w:tc>
      </w:tr>
      <w:tr>
        <w:trPr>
          <w:trHeight w:val="571"/>
        </w:trPr>
        <w:tc>
          <w:tcPr>
            <w:tcW w:w="242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3</w:t>
            </w:r>
          </w:p>
        </w:tc>
      </w:tr>
      <w:tr>
        <w:trPr>
          <w:trHeight w:val="44"/>
        </w:trPr>
        <w:tc>
          <w:tcPr>
            <w:tcW w:w="242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160" w:firstLine="324"/>
        <w:spacing w:after="0" w:line="273" w:lineRule="auto"/>
        <w:rPr>
          <w:sz w:val="20"/>
          <w:szCs w:val="20"/>
          <w:color w:val="auto"/>
        </w:rPr>
      </w:pPr>
      <w:r>
        <w:rPr>
          <w:rFonts w:ascii="Times New Roman" w:cs="Times New Roman" w:eastAsia="Times New Roman" w:hAnsi="Times New Roman"/>
          <w:sz w:val="17"/>
          <w:szCs w:val="17"/>
          <w:color w:val="auto"/>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 Item 2 – “Management’s Discussion &amp; Analysis of Financial Condition and Results of Operations” of this Form 10-Q.</w:t>
      </w:r>
    </w:p>
    <w:p>
      <w:pPr>
        <w:spacing w:after="0" w:line="171"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 have obtained from other parties. However, we can offer no assurance that our expectations, beliefs, or projections will be realized, accomplished, or achieved.</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within this Form 10-Q speak only as of the date of its filing, and we undertake no obligation to update any such statements to reflect changes in events or circumstances that may subsequently occur. Users of this Form 10-Q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Part I, Item 1A “Risk Factors” contained in Form 10-K for the year ended October 31, 2025, filed with the SEC on December 17, 2025, as well as any additional risk factors we may provide in Part II, Item 1A in this Quarterly Report on Form 10-Q.</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40" w:type="dxa"/>
            <w:vAlign w:val="bottom"/>
          </w:tcPr>
          <w:p>
            <w:pPr>
              <w:spacing w:after="0"/>
              <w:rPr>
                <w:sz w:val="24"/>
                <w:szCs w:val="24"/>
                <w:color w:val="auto"/>
              </w:rPr>
            </w:pPr>
          </w:p>
        </w:tc>
        <w:tc>
          <w:tcPr>
            <w:tcW w:w="794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94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94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p>
        </w:tc>
        <w:tc>
          <w:tcPr>
            <w:tcW w:w="794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200" w:type="dxa"/>
            <w:vAlign w:val="bottom"/>
          </w:tcPr>
          <w:p>
            <w:pPr>
              <w:spacing w:after="0"/>
              <w:rPr>
                <w:sz w:val="20"/>
                <w:szCs w:val="20"/>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tcPr>
          <w:p>
            <w:pPr>
              <w:spacing w:after="0"/>
              <w:rPr>
                <w:sz w:val="20"/>
                <w:szCs w:val="20"/>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40" w:type="dxa"/>
            <w:vAlign w:val="bottom"/>
          </w:tcPr>
          <w:p>
            <w:pPr>
              <w:spacing w:after="0"/>
              <w:rPr>
                <w:sz w:val="21"/>
                <w:szCs w:val="21"/>
                <w:color w:val="auto"/>
              </w:rPr>
            </w:pPr>
          </w:p>
        </w:tc>
        <w:tc>
          <w:tcPr>
            <w:tcW w:w="79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7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511,490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492,256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95,909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Accounts receivable, net </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195,921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67,826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61,767</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49,482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44,199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943,926</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890,052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854,436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40,207</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21,575</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19,839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1,930,826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84,209</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78,984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81,653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186,965</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165,873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46,547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41,341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237,365</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207,227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7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58,152 shares issued and outstanding as of May 3,</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2026, and 57,633 shares issued and outstanding as of October 31, 2025</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486,934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772,199</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(97,949)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(86,120)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1,241,250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1,173,589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452,211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423,718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1,693,461</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1,597,307</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1,930,826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8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net included amounts due from a related party of $33.3 million and $38.3 million as of May 3, 2026, and October 31, 2025, respectively. The allowance for credit losses included in the Company’s total accounts receivable balance was $1.1 million and $1.2 million as of May 3, 2026, and October 31, 2025, respectively.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3660" w:type="dxa"/>
            <w:vAlign w:val="bottom"/>
          </w:tcPr>
          <w:p>
            <w:pPr>
              <w:spacing w:after="0"/>
              <w:rPr>
                <w:sz w:val="24"/>
                <w:szCs w:val="24"/>
                <w:color w:val="auto"/>
              </w:rPr>
            </w:pPr>
          </w:p>
        </w:tc>
        <w:tc>
          <w:tcPr>
            <w:tcW w:w="268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6520" w:type="dxa"/>
            <w:vAlign w:val="bottom"/>
            <w:gridSpan w:val="6"/>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340" w:type="dxa"/>
            <w:vAlign w:val="bottom"/>
            <w:gridSpan w:val="5"/>
          </w:tcPr>
          <w:p>
            <w:pPr>
              <w:jc w:val="center"/>
              <w:ind w:left="279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5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0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4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5"/>
                <w:szCs w:val="25"/>
                <w:b w:val="1"/>
                <w:bCs w:val="1"/>
                <w:color w:val="auto"/>
                <w:vertAlign w:val="superscript"/>
              </w:rPr>
              <w:t>[1]</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435,006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423,130</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144,183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133,086</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290,547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269,689</w:t>
            </w:r>
          </w:p>
        </w:tc>
      </w:tr>
      <w:tr>
        <w:trPr>
          <w:trHeight w:val="216"/>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65,757</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153,441</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18,099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42,067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37,201</w:t>
            </w:r>
          </w:p>
        </w:tc>
      </w:tr>
      <w:tr>
        <w:trPr>
          <w:trHeight w:val="216"/>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8,346</w:t>
            </w:r>
          </w:p>
        </w:tc>
      </w:tr>
      <w:tr>
        <w:trPr>
          <w:trHeight w:val="27"/>
        </w:trPr>
        <w:tc>
          <w:tcPr>
            <w:tcW w:w="102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22,189</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47,477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45,547</w:t>
            </w:r>
          </w:p>
        </w:tc>
      </w:tr>
      <w:tr>
        <w:trPr>
          <w:trHeight w:val="216"/>
        </w:trPr>
        <w:tc>
          <w:tcPr>
            <w:tcW w:w="10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42,179</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55,717</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107,894</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(31,111)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20,734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(12,668)</w:t>
            </w:r>
          </w:p>
        </w:tc>
      </w:tr>
      <w:tr>
        <w:trPr>
          <w:trHeight w:val="216"/>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11,915</w:t>
            </w:r>
          </w:p>
        </w:tc>
      </w:tr>
      <w:tr>
        <w:trPr>
          <w:trHeight w:val="223"/>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53,856</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107,089</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24,961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24,615</w:t>
            </w:r>
          </w:p>
        </w:tc>
      </w:tr>
      <w:tr>
        <w:trPr>
          <w:trHeight w:val="223"/>
        </w:trPr>
        <w:tc>
          <w:tcPr>
            <w:tcW w:w="10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43,250</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24,217</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103,427</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82,474</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23"/>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15,356</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29,059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30,762</w:t>
            </w:r>
          </w:p>
        </w:tc>
      </w:tr>
      <w:tr>
        <w:trPr>
          <w:trHeight w:val="216"/>
        </w:trPr>
        <w:tc>
          <w:tcPr>
            <w:tcW w:w="102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5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31,429</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8,861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74,368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51,712</w:t>
            </w:r>
          </w:p>
        </w:tc>
      </w:tr>
      <w:tr>
        <w:trPr>
          <w:trHeight w:val="209"/>
        </w:trPr>
        <w:tc>
          <w:tcPr>
            <w:tcW w:w="102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attributable to Photronics, Inc. shareholders: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0.84</w:t>
            </w:r>
          </w:p>
        </w:tc>
      </w:tr>
      <w:tr>
        <w:trPr>
          <w:trHeight w:val="223"/>
        </w:trPr>
        <w:tc>
          <w:tcPr>
            <w:tcW w:w="4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60,793</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57,959</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61,443</w:t>
            </w:r>
          </w:p>
        </w:tc>
      </w:tr>
      <w:tr>
        <w:trPr>
          <w:trHeight w:val="223"/>
        </w:trPr>
        <w:tc>
          <w:tcPr>
            <w:tcW w:w="4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58,745</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60,974</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340" w:right="16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included $28.6 million and $67.2 million for the three and six months ended May 3, 2026, respectively, and $39.0 million and $69.7 million for the three and six months ended May 4, 2025, respectively, in each case from a related party.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ectPr>
          <w:pgSz w:w="11900" w:h="16838" w:orient="portrait"/>
          <w:cols w:equalWidth="0" w:num="1">
            <w:col w:w="11240"/>
          </w:cols>
          <w:pgMar w:left="320" w:top="115" w:right="339" w:bottom="1440" w:gutter="0" w:footer="0" w:header="0"/>
        </w:sectPr>
      </w:pPr>
    </w:p>
    <w:p>
      <w:pPr>
        <w:spacing w:after="0" w:line="20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5980" w:type="dxa"/>
        <w:tblCellMar>
          <w:top w:w="0" w:type="dxa"/>
          <w:left w:w="0" w:type="dxa"/>
          <w:bottom w:w="0" w:type="dxa"/>
          <w:right w:w="0" w:type="dxa"/>
        </w:tblCellMar>
      </w:tblPr>
      <w:tr>
        <w:trPr>
          <w:trHeight w:val="201"/>
        </w:trPr>
        <w:tc>
          <w:tcPr>
            <w:tcW w:w="1260" w:type="dxa"/>
            <w:vAlign w:val="bottom"/>
            <w:tcBorders>
              <w:top w:val="single" w:sz="8" w:color="auto"/>
            </w:tcBorders>
          </w:tcPr>
          <w:p>
            <w:pPr>
              <w:jc w:val="center"/>
              <w:ind w:right="5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240" w:type="dxa"/>
            <w:vAlign w:val="bottom"/>
            <w:tcBorders>
              <w:top w:val="single" w:sz="8" w:color="auto"/>
            </w:tcBorders>
          </w:tcPr>
          <w:p>
            <w:pPr>
              <w:jc w:val="center"/>
              <w:ind w:left="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220" w:type="dxa"/>
            <w:vAlign w:val="bottom"/>
            <w:tcBorders>
              <w:top w:val="single" w:sz="8" w:color="auto"/>
            </w:tcBorders>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220" w:type="dxa"/>
            <w:vAlign w:val="bottom"/>
            <w:tcBorders>
              <w:top w:val="single" w:sz="8" w:color="auto"/>
            </w:tcBorders>
          </w:tcPr>
          <w:p>
            <w:pPr>
              <w:jc w:val="center"/>
              <w:ind w:lef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1" w:lineRule="exact"/>
        <w:rPr>
          <w:sz w:val="20"/>
          <w:szCs w:val="20"/>
          <w:color w:val="auto"/>
        </w:rPr>
      </w:pPr>
    </w:p>
    <w:p>
      <w:pPr>
        <w:sectPr>
          <w:pgSz w:w="11900" w:h="16838" w:orient="portrait"/>
          <w:cols w:equalWidth="0" w:num="2">
            <w:col w:w="8480" w:space="220"/>
            <w:col w:w="254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43,250</w:t>
            </w:r>
          </w:p>
        </w:tc>
        <w:tc>
          <w:tcPr>
            <w:tcW w:w="2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24,217</w:t>
            </w:r>
          </w:p>
        </w:tc>
        <w:tc>
          <w:tcPr>
            <w:tcW w:w="22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103,427</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82,474</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(3,782)</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(12,450)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9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3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(3,770)</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(12,395)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4,216</w:t>
            </w: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91,032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86,690</w:t>
            </w:r>
          </w:p>
        </w:tc>
      </w:tr>
      <w:tr>
        <w:trPr>
          <w:trHeight w:val="216"/>
        </w:trPr>
        <w:tc>
          <w:tcPr>
            <w:tcW w:w="5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28,493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35,954</w:t>
            </w: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Photronics, Inc. shareholders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25,800</w:t>
            </w:r>
          </w:p>
        </w:tc>
        <w:tc>
          <w:tcPr>
            <w:tcW w:w="26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41,892</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62,539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50,736</w:t>
            </w:r>
          </w:p>
        </w:tc>
      </w:tr>
      <w:tr>
        <w:trPr>
          <w:trHeight w:val="27"/>
        </w:trPr>
        <w:tc>
          <w:tcPr>
            <w:tcW w:w="59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6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60" w:type="dxa"/>
            <w:vAlign w:val="bottom"/>
            <w:gridSpan w:val="6"/>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20" w:type="dxa"/>
            <w:vAlign w:val="bottom"/>
            <w:gridSpan w:val="8"/>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Equity</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May 3, 2026</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Photronics, Inc. Shareholders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4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gridSpan w:val="5"/>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60" w:type="dxa"/>
            <w:vAlign w:val="bottom"/>
          </w:tcPr>
          <w:p>
            <w:pPr>
              <w:spacing w:after="0"/>
              <w:rPr>
                <w:sz w:val="20"/>
                <w:szCs w:val="20"/>
                <w:color w:val="auto"/>
              </w:rPr>
            </w:pP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8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6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February 1, 2026</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58,108</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488,806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814,323</w:t>
            </w:r>
          </w:p>
        </w:tc>
        <w:tc>
          <w:tcPr>
            <w:tcW w:w="2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(92,320)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438,531</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31,429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11,821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43,250</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(5,629)</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1,859</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r>
        <w:trPr>
          <w:trHeight w:val="216"/>
        </w:trPr>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equity plans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3,725</w:t>
            </w:r>
          </w:p>
        </w:tc>
        <w:tc>
          <w:tcPr>
            <w:tcW w:w="1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May 3, 2026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492,865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845,752</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(97,949)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452,211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1,693,461</w:t>
            </w:r>
          </w:p>
        </w:tc>
        <w:tc>
          <w:tcPr>
            <w:tcW w:w="0" w:type="dxa"/>
            <w:vAlign w:val="bottom"/>
          </w:tcPr>
          <w:p>
            <w:pPr>
              <w:spacing w:after="0"/>
              <w:rPr>
                <w:sz w:val="1"/>
                <w:szCs w:val="1"/>
                <w:color w:val="auto"/>
              </w:rPr>
            </w:pPr>
          </w:p>
        </w:tc>
      </w:tr>
      <w:tr>
        <w:trPr>
          <w:trHeight w:val="655"/>
        </w:trPr>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3660" w:type="dxa"/>
            <w:vAlign w:val="bottom"/>
            <w:tcBorders>
              <w:top w:val="single" w:sz="8" w:color="auto"/>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May 4, 2025</w:t>
            </w: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7"/>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Photronics, Inc. Shareholders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4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80" w:type="dxa"/>
            <w:vAlign w:val="bottom"/>
            <w:gridSpan w:val="2"/>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gridSpan w:val="5"/>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6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8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6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February 2, 2025</w:t>
            </w:r>
          </w:p>
        </w:tc>
        <w:tc>
          <w:tcPr>
            <w:tcW w:w="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62,303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515,742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731,709</w:t>
            </w:r>
          </w:p>
        </w:tc>
        <w:tc>
          <w:tcPr>
            <w:tcW w:w="2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(120,325)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366,460</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8,861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15,356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33,030</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14,033</w:t>
            </w:r>
          </w:p>
        </w:tc>
        <w:tc>
          <w:tcPr>
            <w:tcW w:w="2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47,063</w:t>
            </w:r>
          </w:p>
        </w:tc>
        <w:tc>
          <w:tcPr>
            <w:tcW w:w="0" w:type="dxa"/>
            <w:vAlign w:val="bottom"/>
          </w:tcPr>
          <w:p>
            <w:pPr>
              <w:spacing w:after="0"/>
              <w:rPr>
                <w:sz w:val="1"/>
                <w:szCs w:val="1"/>
                <w:color w:val="auto"/>
              </w:rPr>
            </w:pPr>
          </w:p>
        </w:tc>
      </w:tr>
      <w:tr>
        <w:trPr>
          <w:trHeight w:val="216"/>
        </w:trPr>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equity plans</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3,375</w:t>
            </w:r>
          </w:p>
        </w:tc>
        <w:tc>
          <w:tcPr>
            <w:tcW w:w="16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198"/>
        </w:trPr>
        <w:tc>
          <w:tcPr>
            <w:tcW w:w="26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and retirement of</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through</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program</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2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(29,927)</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(42,147)</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(72,110)</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gridSpan w:val="2"/>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May 4, 2025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58,711</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489,205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698,423</w:t>
            </w: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(87,295)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395,849</w:t>
            </w: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70"/>
        </w:trPr>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 May 3, 2026</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7"/>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4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gridSpan w:val="5"/>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6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6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October 31, 2025</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57,633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486,934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772,199</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(86,120)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423,718</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74,368</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29,059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103,427</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(11,829)</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(12,395)</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equity plans</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6,576</w:t>
            </w: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6,576</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changes in equity</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May 3, 2026</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58,152</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492,865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845,752</w:t>
            </w: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(97,949)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452,211</w:t>
            </w:r>
          </w:p>
        </w:tc>
        <w:tc>
          <w:tcPr>
            <w:tcW w:w="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1,693,461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55"/>
        </w:trPr>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 May 4, 2025</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7"/>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4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gridSpan w:val="5"/>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30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6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6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October 31, 2024</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61,949</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514,757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691,807</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(86,319)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359,895</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51,712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30,762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82,474</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(976)</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5,192</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4,216</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equity plans</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6,710</w:t>
            </w: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198"/>
        </w:trPr>
        <w:tc>
          <w:tcPr>
            <w:tcW w:w="2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and retirement of</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through</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program</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2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(31,548)</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(45,096)</w:t>
            </w: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(76,682)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May 4, 2025</w:t>
            </w: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58,711</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489,205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698,423</w:t>
            </w: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(87,295)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395,849</w:t>
            </w:r>
          </w:p>
        </w:tc>
        <w:tc>
          <w:tcPr>
            <w:tcW w:w="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82,474</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40,386</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4,293</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(4,694)</w:t>
            </w: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(6,932)</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(12,318)</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144,284</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109,919</w:t>
            </w: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(93,436)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(95,749)</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(105,831)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(27,689)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41,482</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short-term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Government incentives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(117,890)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(80,847)</w:t>
            </w: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Repayments of debt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(17,966)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(76,682)</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1,583</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settlements of restricted stock awards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(2,007)</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(95,072)</w:t>
            </w: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601,243</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533,546</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Ending restricted cash</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2,838</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511,490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530,708</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Accruals for property, plant and equipment purchased not yet paid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32,131</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13,657</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The Company currently has eleven manufacturing facilities, located in Taiwan (3), China (2), South Korea (1), the United States (3), and Europe (2).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and assumptions that affect amounts reported in them. The Company’s estimates are based on historical experience and on various assumptions that are believed to be reasonable based on the facts and circumstances available at the time they are made. Subsequent actual results may differ from such estimates. The Company reviews these estimates periodically and reflects any effects of revisions in the period in which they are determined.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financial statements”) have been prepared in accordance with U.S. GAAP for interim financial reporting information, and with the instructions to Form 10-Q and Article 10 of Regulation S-X. Accordingly, they do not include all the information and footnotes required by U.S. GAAP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intercompany balances and transactions have been eliminated in consolidation. These financial statements should be read in conjunction with the consolidated financial statements and accompanying notes included in the Company’s Form 10-K for the fiscal year ended October 31, 2025, which provides additional information about the Company’s accounting policies and the methods and assumptions used in the Company’s estimates.</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is typically impacted during the first quarter of the Company’s fiscal year by the North American, European, and Asian holiday periods, as some customers may change their development and buying activities during this period. Operating results for the interim periods are not necessarily indicative of the results that may be expected for the fiscal year ending October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December 2025, the Financial Accounting Standards Board (the “FASB”) issued Accounting Standards Update (“ASU”) No. 2025-11, “Interim Reporting (Topic 270): Narrow Scope Improvements”, which improves the navigability of the required interim disclosures and clarifies when that guidance is applicable. The guidance in this ASU will be effective for Photronics for interim reporting periods in its first quarter of fiscal year 2028 Form 10-Q. The amendments can be applied either (1) prospectively or (2) retrospectively to any or all prior periods presented in the financial statements. The Company does not expect adoption of this ASU to have a material effect on the Company’s consolidated financial statements and related disclosures.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Accounting for Government Grants Received by Business Entities”. This update establishes authoritative guidance on the accounting for government grants received by business entities. The guidance in this ASU will be effective for Photronics in its fiscal year 2030 Form 10-K, with early application of the amendments allowed. The standard may be applied using a modified prospective, modified retrospective or full retrospective transition approach. The Company is currently evaluating the timing and impact of this ASU on the Company’s consolidated financial statements and related disclosures.</w:t>
      </w:r>
    </w:p>
    <w:p>
      <w:pPr>
        <w:spacing w:after="0" w:line="183" w:lineRule="exact"/>
        <w:rPr>
          <w:sz w:val="20"/>
          <w:szCs w:val="20"/>
          <w:color w:val="auto"/>
        </w:rPr>
      </w:pPr>
    </w:p>
    <w:p>
      <w:pPr>
        <w:ind w:right="100" w:firstLine="324"/>
        <w:spacing w:after="0" w:line="273"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as well as qualitatively describe remaining amounts included in those captions. The guidance in this ASU will be effective for Photronics in its fiscal year 2028 Form 10-K, with early application of the amendments allowed. The Company is currently evaluating the impact the adoption of this ASU may have on the Company’s consolidated financial statements and related disclosures.</w:t>
      </w:r>
    </w:p>
    <w:p>
      <w:pPr>
        <w:spacing w:after="0" w:line="17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The amendments in this ASU related to the rate reconciliation and income taxes paid disclosures to improve the transparency of income tax disclosures by requiring (1) consistent categories and greater disaggregation of information in the rate reconciliation and (2) income taxes paid disaggregated by jurisdiction. The amendments allow investors to better assess, in their capital allocation decisions, how an entity’s worldwide operations and related tax risks and tax planning and operational opportunities affect its income tax rate and prospects for future cash flows. The guidance in this ASU will be effective for Photronics in its fiscal year 2026 Form 10-K, with early application of the amendments allowed. The Company is currently evaluating the effect of this ASU adoption on its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CASH, CASH EQUIVALENTS AND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 invests excess cash primarily in bank time deposits and money market funds. The Company’s classification of investments is as follows:</w:t>
      </w:r>
    </w:p>
    <w:p>
      <w:pPr>
        <w:spacing w:after="0" w:line="237" w:lineRule="exact"/>
        <w:rPr>
          <w:sz w:val="20"/>
          <w:szCs w:val="20"/>
          <w:color w:val="auto"/>
        </w:rPr>
      </w:pPr>
    </w:p>
    <w:p>
      <w:pPr>
        <w:ind w:left="340"/>
        <w:spacing w:after="0"/>
        <w:tabs>
          <w:tab w:leader="none" w:pos="660" w:val="left"/>
          <w:tab w:leader="none" w:pos="9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Maturing within three months or less from the date of purchase</w:t>
      </w:r>
      <w:r>
        <w:rPr>
          <w:sz w:val="20"/>
          <w:szCs w:val="20"/>
          <w:color w:val="auto"/>
        </w:rPr>
        <w:tab/>
      </w: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680" w:hanging="335"/>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Maturing, as of the date of purchase, more than three months, but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remaining maturities of less than one year, from the balance sheet date</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Short-term investments</w:t>
            </w:r>
          </w:p>
        </w:tc>
      </w:tr>
      <w:tr>
        <w:trPr>
          <w:trHeight w:val="216"/>
        </w:trPr>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Maturing one year or more from the balance sheet date</w:t>
            </w: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Long-term marketable investments</w:t>
            </w:r>
          </w:p>
        </w:tc>
      </w:tr>
    </w:tbl>
    <w:p>
      <w:pPr>
        <w:spacing w:after="0" w:line="19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1- These are investments where values are based on unadjusted quoted prices for identical assets in an active market the Company has the ability to access.</w:t>
      </w:r>
    </w:p>
    <w:p>
      <w:pPr>
        <w:spacing w:after="0" w:line="162" w:lineRule="exact"/>
        <w:rPr>
          <w:sz w:val="20"/>
          <w:szCs w:val="20"/>
          <w:color w:val="auto"/>
        </w:rPr>
      </w:pPr>
    </w:p>
    <w:p>
      <w:pPr>
        <w:ind w:left="660" w:right="20" w:firstLine="13"/>
        <w:spacing w:after="0" w:line="282" w:lineRule="auto"/>
        <w:rPr>
          <w:sz w:val="20"/>
          <w:szCs w:val="20"/>
          <w:color w:val="auto"/>
        </w:rPr>
      </w:pPr>
      <w:r>
        <w:rPr>
          <w:rFonts w:ascii="Times New Roman" w:cs="Times New Roman" w:eastAsia="Times New Roman" w:hAnsi="Times New Roman"/>
          <w:sz w:val="18"/>
          <w:szCs w:val="18"/>
          <w:color w:val="auto"/>
        </w:rPr>
        <w:t>Level 2- These are investments where values are based on quoted market prices that are not active or model derived valuations in which all significant inputs are observable in active markets.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These are investments where values are derived from techniques in which one or more significant inputs are unobservable.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cash, cash equivalents and investments measured at fair value on a recurring basis using quoted prices in active markets for identical assets (Level 1), significant other observable inputs (Level 2) and significant unobservable inputs (Level 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May 3, 2026</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October 31, 2025</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w:t>
            </w:r>
          </w:p>
        </w:tc>
        <w:tc>
          <w:tcPr>
            <w:tcW w:w="80" w:type="dxa"/>
            <w:vAlign w:val="bottom"/>
          </w:tcPr>
          <w:p>
            <w:pPr>
              <w:spacing w:after="0"/>
              <w:rPr>
                <w:sz w:val="16"/>
                <w:szCs w:val="16"/>
                <w:color w:val="auto"/>
              </w:rPr>
            </w:pPr>
          </w:p>
        </w:tc>
        <w:tc>
          <w:tcPr>
            <w:tcW w:w="1160" w:type="dxa"/>
            <w:vAlign w:val="bottom"/>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Short-term</w:t>
            </w:r>
          </w:p>
        </w:tc>
        <w:tc>
          <w:tcPr>
            <w:tcW w:w="260" w:type="dxa"/>
            <w:vAlign w:val="bottom"/>
          </w:tcPr>
          <w:p>
            <w:pPr>
              <w:spacing w:after="0"/>
              <w:rPr>
                <w:sz w:val="16"/>
                <w:szCs w:val="16"/>
                <w:color w:val="auto"/>
              </w:rPr>
            </w:pPr>
          </w:p>
        </w:tc>
        <w:tc>
          <w:tcPr>
            <w:tcW w:w="100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Total Fair</w:t>
            </w:r>
          </w:p>
        </w:tc>
        <w:tc>
          <w:tcPr>
            <w:tcW w:w="220" w:type="dxa"/>
            <w:vAlign w:val="bottom"/>
          </w:tcPr>
          <w:p>
            <w:pPr>
              <w:spacing w:after="0"/>
              <w:rPr>
                <w:sz w:val="16"/>
                <w:szCs w:val="16"/>
                <w:color w:val="auto"/>
              </w:rPr>
            </w:pPr>
          </w:p>
        </w:tc>
        <w:tc>
          <w:tcPr>
            <w:tcW w:w="1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Short-term</w:t>
            </w:r>
          </w:p>
        </w:tc>
        <w:tc>
          <w:tcPr>
            <w:tcW w:w="20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6"/>
              </w:rPr>
              <w:t>Total Fair</w:t>
            </w:r>
          </w:p>
        </w:tc>
        <w:tc>
          <w:tcPr>
            <w:tcW w:w="100" w:type="dxa"/>
            <w:vAlign w:val="bottom"/>
          </w:tcPr>
          <w:p>
            <w:pPr>
              <w:spacing w:after="0"/>
              <w:rPr>
                <w:sz w:val="16"/>
                <w:szCs w:val="16"/>
                <w:color w:val="auto"/>
              </w:rPr>
            </w:pPr>
          </w:p>
        </w:tc>
      </w:tr>
      <w:tr>
        <w:trPr>
          <w:trHeight w:val="238"/>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8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6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equivalents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0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204,959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204,959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222,166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U.S. Government Securities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28,314</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31,339</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25,157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28,946</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Money market funds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11,159</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Commercial paper</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37,058</w:t>
            </w: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9,788</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46,846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2,259</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33,006</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Time deposits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260,542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88,075</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348,617</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68,493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292,888</w:t>
            </w:r>
          </w:p>
        </w:tc>
      </w:tr>
      <w:tr>
        <w:trPr>
          <w:trHeight w:val="27"/>
        </w:trPr>
        <w:tc>
          <w:tcPr>
            <w:tcW w:w="3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511,490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126,177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637,667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95,909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588,165</w:t>
            </w:r>
          </w:p>
        </w:tc>
      </w:tr>
      <w:tr>
        <w:trPr>
          <w:trHeight w:val="20"/>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Restricted Cash </w:t>
            </w:r>
            <w:r>
              <w:rPr>
                <w:rFonts w:ascii="Times New Roman" w:cs="Times New Roman" w:eastAsia="Times New Roman" w:hAnsi="Times New Roman"/>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
        </w:trPr>
        <w:tc>
          <w:tcPr>
            <w:tcW w:w="3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514,364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Restricted cash is included in other assets and primarily relates to customs requirements and land lease agreements.</w:t>
      </w:r>
    </w:p>
    <w:p>
      <w:pPr>
        <w:spacing w:after="0" w:line="19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Based upon the Company’s intent and ability to hold its time deposits to maturity (which maturities range up to twelve months at purchase), such securities have been classified as held-to-maturity and are carried at amortized cost, which approximates market value. The Company’s U.S. Government Securities, Commercial paper and Money market funds are classified as available-for-sale. Available-for-sale investments are reported at fair value, with unrealized gains or losses (net of tax) reported in </w:t>
      </w:r>
      <w:r>
        <w:rPr>
          <w:rFonts w:ascii="Times New Roman" w:cs="Times New Roman" w:eastAsia="Times New Roman" w:hAnsi="Times New Roman"/>
          <w:sz w:val="18"/>
          <w:szCs w:val="18"/>
          <w:i w:val="1"/>
          <w:iCs w:val="1"/>
          <w:color w:val="auto"/>
        </w:rPr>
        <w:t>Accumulated other comprehensive income (loss)</w:t>
      </w:r>
      <w:r>
        <w:rPr>
          <w:rFonts w:ascii="Times New Roman" w:cs="Times New Roman" w:eastAsia="Times New Roman" w:hAnsi="Times New Roman"/>
          <w:sz w:val="18"/>
          <w:szCs w:val="18"/>
          <w:color w:val="auto"/>
        </w:rPr>
        <w:t xml:space="preserve">. In the event of a sale of these securities, the Company would determine the cost of the investment sold at the specific individual security level and would include any gain or loss in </w:t>
      </w:r>
      <w:r>
        <w:rPr>
          <w:rFonts w:ascii="Times New Roman" w:cs="Times New Roman" w:eastAsia="Times New Roman" w:hAnsi="Times New Roman"/>
          <w:sz w:val="18"/>
          <w:szCs w:val="18"/>
          <w:i w:val="1"/>
          <w:iCs w:val="1"/>
          <w:color w:val="auto"/>
        </w:rPr>
        <w:t>Interest income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net</w:t>
      </w:r>
      <w:r>
        <w:rPr>
          <w:rFonts w:ascii="Times New Roman" w:cs="Times New Roman" w:eastAsia="Times New Roman" w:hAnsi="Times New Roman"/>
          <w:sz w:val="18"/>
          <w:szCs w:val="18"/>
          <w:color w:val="auto"/>
        </w:rPr>
        <w:t>, where the Company also reports periodic interest earned and the amortization (accretion) of discounts (premiums) related to these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May 3, 2026, and October 31, 2025, the unrealized gains or losses related to short-term investments were immaterial.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ACCOUNTS RECEIVABLE, NET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at the balance sheet dates are presented below.</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May 3,</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29,676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30,576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(1,166)</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188,951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195,921</w:t>
            </w: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at the balance sheet dates are presented below.</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May 3,</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61,767</w:t>
            </w:r>
          </w:p>
        </w:tc>
      </w:tr>
      <w:tr>
        <w:trPr>
          <w:trHeight w:val="571"/>
        </w:trPr>
        <w:tc>
          <w:tcPr>
            <w:tcW w:w="8680" w:type="dxa"/>
            <w:vAlign w:val="bottom"/>
          </w:tcPr>
          <w:p>
            <w:pPr>
              <w:ind w:left="5560"/>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86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at the balance sheet dates.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192,860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2,182,518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2,109,456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20,474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19,394</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134,880</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2,584,389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2,489,309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(1,656,453)</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(1,634,873)</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927,936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854,436</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on ROU assets resulting from finance leases, at the balance sheet dates, is presented below. Please refer to Note 7 for further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depreciation expense (including the amortization of ROU assets), related to property, plant and equipment incurred during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40,207</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PDMCX JOINT VENTURE</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January 2018, Photronics, Inc., through its wholly-owned Photronics Singapore PTE. LTD. subsidiary (hereinafter, within this Note “we”, “Photronics”, “us”, or “our”), and DNP, through its wholly owned subsidiary DNP Asia Pacific PTE, Ltd., entered into a joint venture under which DNP obtained a 49.99% interest in the Company’s IC business in Xiamen, China. The joint venture, which the Company refers to as “PDMCX”, was established to develop and manufacture photomasks for semiconductors. The Company entered into this joint venture to enable the Company to compete more effectively for the merchant photomask business in China, and to benefit from the additional resources and investment that DNP provides to enable the Company to offer advanced-process technology to the Company’s customers.</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Under the joint venture agreement, should either Photronics’ or DNP’s ownership interest fall below 20.0% for a period of more than six consecutive months, such party (an “exiting party”) has the option to sell to the other party, and the other party has the option to purchase from such exiting party, the exiting party’s remaining ownership interest. In either case, the sales of ownership interests would be at the exiting party’s ownership percentage of the joint venture’s net book value, with closing to take place within three business days of obtaining required approvals and clearance.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020" w:type="dxa"/>
            <w:vAlign w:val="bottom"/>
            <w:gridSpan w:val="11"/>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net income the Company recorded from the operations of PDMCX during the reporting periods.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0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PDMCX</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required by the guidance in ASC Topic 810 - “Consolidation”, the Company evaluated the Company’s involvement in PDMCX for the purpose of determining whether the Company should consolidate its results in the Company’s financial statements. The initial step of the Company’s evaluation was to determine whether PDMCX was a VIE. Due to its lack of sufficient equity at risk to finance its activities without additional subordinated financial support, the Company determined that it is a VIE. Having made this determination, the Company then assessed whether the Company was the primary beneficiary of the VIE and concluded that the Company was the primary beneficiary during the current and prior years reporting periods; thus, as required, the PDMCX financial results have been consolidated with Photronics. The Company’s conclusion was based on the fact that the Company held a controlling financial interest in PDMCX (which resulted from the Company’s having the power to direct the activities that most significantly impacted its economic performance) and had both the obligation to absorb losses and the right to receive benefits that could potentially be significant to PDMCX. The Company’s conclusion that the Company had the power to direct the activities that most significantly affected the economic performance of PDMCX during the current and prior year periods were based on the Company’s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the Company held during the current and prior year periods, the Company had the obligation to absorb losses, and the right to receive benefits, which could potentially be significant to PDMCX.</w:t>
      </w:r>
    </w:p>
    <w:p>
      <w:pPr>
        <w:spacing w:after="0" w:line="18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amounts of PDMCX assets and liabilities included in the Company’s condensed consolidated balance sheets. General creditors of PDMCX do not have recourse to the assets of Photronics (other than the net assets of PDMCX); therefore, the Company’s maximum exposure to loss from PDMCX is the Company’s interest in the carrying amount of the net assets of the joint venture.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May 3,</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5"/>
        </w:trPr>
        <w:tc>
          <w:tcPr>
            <w:tcW w:w="35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9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6"/>
                <w:szCs w:val="16"/>
                <w:color w:val="auto"/>
              </w:rPr>
            </w:pPr>
          </w:p>
        </w:tc>
        <w:tc>
          <w:tcPr>
            <w:tcW w:w="98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Photronics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4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1"/>
                <w:szCs w:val="11"/>
                <w:color w:val="auto"/>
              </w:rPr>
            </w:pPr>
          </w:p>
        </w:tc>
        <w:tc>
          <w:tcPr>
            <w:tcW w:w="12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11"/>
                <w:szCs w:val="11"/>
                <w:color w:val="auto"/>
              </w:rPr>
            </w:pP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219,834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109,939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180,289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90,163</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171,649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85,842</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166,756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83,395</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391,483</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195,781</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347,045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34,221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17,114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11,599</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1,542</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37,305</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258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2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354,178</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177,125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320,882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71"/>
        </w:trPr>
        <w:tc>
          <w:tcPr>
            <w:tcW w:w="3540" w:type="dxa"/>
            <w:vAlign w:val="bottom"/>
          </w:tcPr>
          <w:p>
            <w:pPr>
              <w:spacing w:after="0"/>
              <w:rPr>
                <w:sz w:val="24"/>
                <w:szCs w:val="24"/>
                <w:color w:val="auto"/>
              </w:rPr>
            </w:pPr>
          </w:p>
        </w:tc>
        <w:tc>
          <w:tcPr>
            <w:tcW w:w="2440" w:type="dxa"/>
            <w:vAlign w:val="bottom"/>
          </w:tcPr>
          <w:p>
            <w:pPr>
              <w:jc w:val="right"/>
              <w:ind w:right="199"/>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54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of long-term debt and its current portion was comprised of the following finance leases as described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82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8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49 – 60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at balance sheet date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Basis spread on interest rates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reset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98"/>
        </w:trPr>
        <w:tc>
          <w:tcPr>
            <w:tcW w:w="8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Periodic payment amount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6"/>
              </w:rPr>
              <w:t>Varies as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Varies as</w:t>
            </w:r>
          </w:p>
        </w:tc>
        <w:tc>
          <w:tcPr>
            <w:tcW w:w="0" w:type="dxa"/>
            <w:vAlign w:val="bottom"/>
          </w:tcPr>
          <w:p>
            <w:pPr>
              <w:spacing w:after="0"/>
              <w:rPr>
                <w:sz w:val="1"/>
                <w:szCs w:val="1"/>
                <w:color w:val="auto"/>
              </w:rPr>
            </w:pPr>
          </w:p>
        </w:tc>
      </w:tr>
      <w:tr>
        <w:trPr>
          <w:trHeight w:val="126"/>
        </w:trPr>
        <w:tc>
          <w:tcPr>
            <w:tcW w:w="82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8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Lease matures</w:t>
            </w:r>
          </w:p>
        </w:tc>
        <w:tc>
          <w:tcPr>
            <w:tcW w:w="10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Lease matures</w:t>
            </w:r>
          </w:p>
        </w:tc>
        <w:tc>
          <w:tcPr>
            <w:tcW w:w="0" w:type="dxa"/>
            <w:vAlign w:val="bottom"/>
          </w:tcPr>
          <w:p>
            <w:pPr>
              <w:spacing w:after="0"/>
              <w:rPr>
                <w:sz w:val="1"/>
                <w:szCs w:val="1"/>
                <w:color w:val="auto"/>
              </w:rPr>
            </w:pPr>
          </w:p>
        </w:tc>
      </w:tr>
      <w:tr>
        <w:trPr>
          <w:trHeight w:val="108"/>
        </w:trPr>
        <w:tc>
          <w:tcPr>
            <w:tcW w:w="8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Periodic payment frequency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Varies</w:t>
            </w: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Monthly</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ROU assets (carrying amount)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3,846</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540" w:hanging="208"/>
        <w:spacing w:after="0"/>
        <w:tabs>
          <w:tab w:leader="none" w:pos="540" w:val="left"/>
        </w:tabs>
        <w:numPr>
          <w:ilvl w:val="0"/>
          <w:numId w:val="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the carrying amount at the balance sheet date of the related ROU assets, in which the lessors have secured interests. Please refer to Note</w:t>
      </w:r>
    </w:p>
    <w:p>
      <w:pPr>
        <w:spacing w:after="0" w:line="1" w:lineRule="exact"/>
        <w:rPr>
          <w:rFonts w:ascii="Times New Roman" w:cs="Times New Roman" w:eastAsia="Times New Roman" w:hAnsi="Times New Roman"/>
          <w:sz w:val="26"/>
          <w:szCs w:val="26"/>
          <w:color w:val="auto"/>
          <w:vertAlign w:val="superscript"/>
        </w:rPr>
      </w:pPr>
    </w:p>
    <w:p>
      <w:pPr>
        <w:ind w:left="34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April 2026, the Company received a tool component associated with the purchase of an FPD lithography tool. Under the arrangement, the Company may either return or purchase the tool component from the vendor after a 12-month period. The Company has determined that the arrangement contains an embedded finance lease under ASC 842, as it contains an identified asset, has the right to direct the use of the asset and obtains substantially all the economic benefits from its 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or as, control of a good or service transfers to a customer, in an amount that reflects the consideration to which the Company expects to be entitled in exchange for transferring those goods or services. The Company accounts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the Company’s revenue comes from the sales of photomasks. The Company typically contracts with its customers to sell sets of photomasks, which are comprised of multiple layers, the predominance of which the Company invoices as they ship to customers. As the photomasks are manufactured to customer specifications, they have no alternative use to the Company and, as the Company’s contracts generally provide it with the right to payment for work completed to date, the Company recognizes revenue as it performs, or “over time,” on most of its contracts. The Company measures its performance to date using an input method, which is based on the Company’s estimated costs to complete the various manufacturing phases of a photomask. At the end of a reporting period, there are a number of uncompleted revenue contracts on which the Company has performed; for any such contracts under which the Company is entitled to be compensated for its costs incurred plus a reasonable profit, the Company recognizes revenue and a corresponding contract asset for such performance. The Company accounts for shipping and handling activities that it performs after a customer obtains control of a good as being activities to fulfill the Company’s promise to transfer the good to the customer, rather than as promised services, or performance obligations, under the contract. The Company reports its revenue net of any sales or similar taxes the Company collects on behalf of governmental entities.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the Company’s photomasks do not have standard or “list” prices. The transaction prices of the vast majority of the Company’s revenue contracts include only fixed amounts of consideration. In certain instances, such as when the Company offers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Contract Liabilities, and Accounts Receivable</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Company recognizes a contract asset when its performance under a contract precedes the Company’s receipt of consideration from a customer, or before payment is due, and the right to receive consideration is conditional upon factors other than the passage of time. Contract assets reflect the Company’s transfer of control to customers of photomasks that are in process or completed but not yet shipped to customers. A receivable is recognized when the Company has an unconditional right to payment, which generally occurs upon the shipment of the photomasks. The Company’s contract assets primarily consist of in-process production orders and fully manufactured photomasks which have not yet shipped, for which the Company has an enforceable right to consideration (including a reasonable profit) in the event the in-process orders are cancelled by customers. On an individual contract basis, the Company nets contract assets with contract liabilities for financial reporting purposes. The Company did not identify impairment indicators for any outstanding contract assets during the three-month and six-month periods ended May 3, 2026, or May 4,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contract balances at the balance sheet dates.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175"/>
        </w:trPr>
        <w:tc>
          <w:tcPr>
            <w:tcW w:w="8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12,670</w:t>
            </w:r>
          </w:p>
        </w:tc>
      </w:tr>
      <w:tr>
        <w:trPr>
          <w:trHeight w:val="216"/>
        </w:trPr>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7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9,491</w:t>
            </w:r>
          </w:p>
        </w:tc>
      </w:tr>
      <w:tr>
        <w:trPr>
          <w:trHeight w:val="223"/>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25,606</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revenue from performance obligations satisfied in the previous periods. The following table presents revenue recognized from contract liabilities that existed at the beginning of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liability</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generally records accounts receivable at their billed amounts. All outstanding past due customer invoices are reviewed for collectability during, and at the end of, every reporting period. To the extent the Company believes a loss on the collection of a customer invoice is probable, the Company would record the loss and credit an allowance for credit losses. In the event that an amount is determined to be uncollectible, the Company charges the allowance for credit losses and derecognizes the related receivable. The amount of credit losses recorded for the three-month or six-month periods ended May 3, 2026, and May 4, 2025 were not material.</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Company’s invoice terms generally range from net thirty to ninety days, depending on both the geographic market in which the transaction occurs and the Company’s payment agreements with specific customers. In the event that the Company’s evaluation of a customer’s business prospects, and financial conditions indicate that the customer presents a collectability risk, the Company will modify terms of sale, which may require payment in advance of performance. At the time of adoption, the Company elected the practical expedient allowed under ASC Topic 606 “Revenue from Contracts with Customers” (“Topic 606”) that permits the Company not to adjust a contract’s promised amount of consideration to reflect a financing component when the period between when the Company transfers control of goods or services to customers and when the Company is paid is one year or less.</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instances when the Company is paid in advance of the Company’s performance, the Company records a contract liability and, as allowed under the practical expedient in Topic 606, recognizes interest expense only if the period between when the Company receives payment from the customer and the date when the Company expects to be entitled to the payment is greater than one year. Historically, advance payments the Company has received from customers have generally not preceded the completion of the Company’s performance obligations by more than one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for the three-month and six-month periods ended May 3, 2026, and May 4, 2025, disaggregated by product type, geographic origin, and timing of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6"/>
                <w:szCs w:val="16"/>
                <w:color w:val="auto"/>
              </w:rPr>
            </w:pPr>
          </w:p>
        </w:tc>
      </w:tr>
      <w:tr>
        <w:trPr>
          <w:trHeight w:val="245"/>
        </w:trPr>
        <w:tc>
          <w:tcPr>
            <w:tcW w:w="5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 by Product Type</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175"/>
        </w:trPr>
        <w:tc>
          <w:tcPr>
            <w:tcW w:w="5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IC</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56,655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59,299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127,937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119,405</w:t>
            </w:r>
          </w:p>
        </w:tc>
      </w:tr>
      <w:tr>
        <w:trPr>
          <w:trHeight w:val="223"/>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90,852</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96,578</w:t>
            </w:r>
          </w:p>
        </w:tc>
        <w:tc>
          <w:tcPr>
            <w:tcW w:w="200" w:type="dxa"/>
            <w:vAlign w:val="bottom"/>
          </w:tcPr>
          <w:p>
            <w:pPr>
              <w:spacing w:after="0"/>
              <w:rPr>
                <w:sz w:val="19"/>
                <w:szCs w:val="19"/>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184,861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190,429</w:t>
            </w:r>
          </w:p>
        </w:tc>
      </w:tr>
      <w:tr>
        <w:trPr>
          <w:trHeight w:val="216"/>
        </w:trPr>
        <w:tc>
          <w:tcPr>
            <w:tcW w:w="18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147,507</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155,877</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312,798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309,834</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5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52,828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43,613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99,777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93,292</w:t>
            </w:r>
          </w:p>
        </w:tc>
      </w:tr>
      <w:tr>
        <w:trPr>
          <w:trHeight w:val="223"/>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11,502</w:t>
            </w:r>
          </w:p>
        </w:tc>
        <w:tc>
          <w:tcPr>
            <w:tcW w:w="200" w:type="dxa"/>
            <w:vAlign w:val="bottom"/>
          </w:tcPr>
          <w:p>
            <w:pPr>
              <w:spacing w:after="0"/>
              <w:rPr>
                <w:sz w:val="19"/>
                <w:szCs w:val="19"/>
                <w:color w:val="auto"/>
              </w:rPr>
            </w:pP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22,431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20,004</w:t>
            </w:r>
          </w:p>
        </w:tc>
      </w:tr>
      <w:tr>
        <w:trPr>
          <w:trHeight w:val="216"/>
        </w:trPr>
        <w:tc>
          <w:tcPr>
            <w:tcW w:w="18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62,433</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55,115</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122,208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113,296</w:t>
            </w:r>
          </w:p>
        </w:tc>
        <w:tc>
          <w:tcPr>
            <w:tcW w:w="100" w:type="dxa"/>
            <w:vAlign w:val="bottom"/>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209,940</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210,992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435,006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423,130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6"/>
                <w:szCs w:val="16"/>
                <w:color w:val="auto"/>
              </w:rPr>
            </w:pPr>
          </w:p>
        </w:tc>
      </w:tr>
      <w:tr>
        <w:trPr>
          <w:trHeight w:val="245"/>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Origin*</w:t>
            </w:r>
          </w:p>
        </w:tc>
        <w:tc>
          <w:tcPr>
            <w:tcW w:w="5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7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65,047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139,366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148,094</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60,598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58,742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123,317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112,300</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40,033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37,594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81,113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77,831</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34,156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30,727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71,558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67,626</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17,829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16,094</w:t>
            </w: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w:t>
            </w:r>
          </w:p>
        </w:tc>
      </w:tr>
      <w:tr>
        <w:trPr>
          <w:trHeight w:val="223"/>
        </w:trPr>
        <w:tc>
          <w:tcPr>
            <w:tcW w:w="54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209,940</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210,992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435,006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2"/>
        </w:trPr>
        <w:tc>
          <w:tcPr>
            <w:tcW w:w="5440" w:type="dxa"/>
            <w:vAlign w:val="bottom"/>
          </w:tcPr>
          <w:p>
            <w:pPr>
              <w:spacing w:after="0"/>
              <w:rPr>
                <w:sz w:val="24"/>
                <w:szCs w:val="24"/>
                <w:color w:val="auto"/>
              </w:rPr>
            </w:pPr>
          </w:p>
        </w:tc>
        <w:tc>
          <w:tcPr>
            <w:tcW w:w="540" w:type="dxa"/>
            <w:vAlign w:val="bottom"/>
          </w:tcPr>
          <w:p>
            <w:pPr>
              <w:jc w:val="right"/>
              <w:ind w:right="199"/>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4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0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6"/>
                <w:szCs w:val="16"/>
                <w:color w:val="auto"/>
              </w:rPr>
            </w:pPr>
          </w:p>
        </w:tc>
      </w:tr>
      <w:tr>
        <w:trPr>
          <w:trHeight w:val="245"/>
        </w:trPr>
        <w:tc>
          <w:tcPr>
            <w:tcW w:w="5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 by Timing of Recognition</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203,667</w:t>
            </w:r>
          </w:p>
        </w:tc>
        <w:tc>
          <w:tcPr>
            <w:tcW w:w="4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421,864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405,264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10,804</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13,142</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17,866</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209,940</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210,992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435,006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423,130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pays commissions to third-party sales agents for certain sales they procure on the Company’s behalf. However, the bases of the commissions are the transaction prices of the sales, which are completed in less than one year; thus, no relationship is established with a customer that will result in future business. Therefore, the Company would not recognize any portion of these sales commissions as costs of obtaining a contract, nor does the Company currently foresee other circumstances under which the Company would recognize such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the Company is typically required to fulfill customer orders within a short time period, the Company’s backlog of orders is generally not in excess of one to two weeks for IC photomasks and two to three weeks for FPD photomasks. As allowed under ASC 606 </w:t>
      </w:r>
      <w:r>
        <w:rPr>
          <w:rFonts w:ascii="Times New Roman" w:cs="Times New Roman" w:eastAsia="Times New Roman" w:hAnsi="Times New Roman"/>
          <w:sz w:val="18"/>
          <w:szCs w:val="18"/>
          <w:i w:val="1"/>
          <w:iCs w:val="1"/>
          <w:color w:val="auto"/>
        </w:rPr>
        <w:t>– Revenue Contracts with Customers</w:t>
      </w:r>
      <w:r>
        <w:rPr>
          <w:rFonts w:ascii="Times New Roman" w:cs="Times New Roman" w:eastAsia="Times New Roman" w:hAnsi="Times New Roman"/>
          <w:sz w:val="18"/>
          <w:szCs w:val="18"/>
          <w:color w:val="auto"/>
        </w:rPr>
        <w:t>, the Company has elected not to disclose the Company’s remaining performance obligations, which represent the costs associated with the completion of the manufacturing process of in-process photomasks related to contracts that have an original duration of one year or 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Company’s photomasks are sold under warranties that generally range from one to twenty-four months. The Company warrants that the Company’s photomasks conform to customer specifications, and the Company will typically repair, replace, or issue a refund for any photomasks that fail to do so. The warranties do not represent separate performance obligations in the Company’s revenue contracts. Historically, customer claims under warranties have been immaterial.</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SHARE-BASED COMPENSATION</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April 2, 2025, at its annual meeting of shareholders, the shareholders of Photronics, Inc., approved the Company’s 2025 Equity Incentive Compensation Plan (the “2025 Plan”) under which incentive stock options, non-qualified stock options, stock grants, stock-based awards, restricted stock, restricted stock units, stock appreciation rights, performance units, performance stock, and other stock or cash awards may be granted. The maximum number of shares of common stock that may be issued under the 2025 Plan is five million shares. Awards may be granted to officers, employees, directors, consultants, advisors, and independent contractors of Photronics or its subsidiaries. In the event of a change in control (as defined in the 2025 Plan), the vesting of awards may be accelerated. The 2025 Plan prohibits further awards from being issued under prior plans. The table below presents information on the Company’s share-based compensation expenses.</w:t>
      </w:r>
    </w:p>
    <w:p>
      <w:pPr>
        <w:sectPr>
          <w:pgSz w:w="11900" w:h="16838" w:orient="portrait"/>
          <w:cols w:equalWidth="0" w:num="1">
            <w:col w:w="11240"/>
          </w:cols>
          <w:pgMar w:left="320" w:top="115" w:right="339" w:bottom="1440" w:gutter="0" w:footer="0" w:header="0"/>
        </w:sectPr>
      </w:pPr>
    </w:p>
    <w:p>
      <w:pPr>
        <w:spacing w:after="0" w:line="18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5980" w:type="dxa"/>
        <w:tblCellMar>
          <w:top w:w="0" w:type="dxa"/>
          <w:left w:w="0" w:type="dxa"/>
          <w:bottom w:w="0" w:type="dxa"/>
          <w:right w:w="0" w:type="dxa"/>
        </w:tblCellMar>
      </w:tblPr>
      <w:tr>
        <w:trPr>
          <w:trHeight w:val="201"/>
        </w:trPr>
        <w:tc>
          <w:tcPr>
            <w:tcW w:w="1260" w:type="dxa"/>
            <w:vAlign w:val="bottom"/>
            <w:tcBorders>
              <w:top w:val="single" w:sz="8" w:color="auto"/>
            </w:tcBorders>
          </w:tcPr>
          <w:p>
            <w:pPr>
              <w:jc w:val="center"/>
              <w:ind w:right="5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240" w:type="dxa"/>
            <w:vAlign w:val="bottom"/>
            <w:tcBorders>
              <w:top w:val="single" w:sz="8" w:color="auto"/>
            </w:tcBorders>
          </w:tcPr>
          <w:p>
            <w:pPr>
              <w:jc w:val="center"/>
              <w:ind w:left="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220" w:type="dxa"/>
            <w:vAlign w:val="bottom"/>
            <w:tcBorders>
              <w:top w:val="single" w:sz="8" w:color="auto"/>
            </w:tcBorders>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220" w:type="dxa"/>
            <w:vAlign w:val="bottom"/>
            <w:tcBorders>
              <w:top w:val="single" w:sz="8" w:color="auto"/>
            </w:tcBorders>
          </w:tcPr>
          <w:p>
            <w:pPr>
              <w:jc w:val="center"/>
              <w:ind w:lef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1" w:lineRule="exact"/>
        <w:rPr>
          <w:sz w:val="20"/>
          <w:szCs w:val="20"/>
          <w:color w:val="auto"/>
        </w:rPr>
      </w:pPr>
    </w:p>
    <w:p>
      <w:pPr>
        <w:sectPr>
          <w:pgSz w:w="11900" w:h="16838" w:orient="portrait"/>
          <w:cols w:equalWidth="0" w:num="2">
            <w:col w:w="8480" w:space="220"/>
            <w:col w:w="254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Expense reported in:</w:t>
            </w:r>
          </w:p>
        </w:tc>
        <w:tc>
          <w:tcPr>
            <w:tcW w:w="4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894</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785</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1,825</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2,288</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5,140</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r>
      <w:tr>
        <w:trPr>
          <w:trHeight w:val="27"/>
        </w:trPr>
        <w:tc>
          <w:tcPr>
            <w:tcW w:w="59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60" w:type="dxa"/>
            <w:vAlign w:val="bottom"/>
          </w:tcPr>
          <w:p>
            <w:pPr>
              <w:spacing w:after="0"/>
              <w:rPr>
                <w:sz w:val="19"/>
                <w:szCs w:val="19"/>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3,375</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6,576</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6,710</w:t>
            </w:r>
          </w:p>
        </w:tc>
      </w:tr>
      <w:tr>
        <w:trPr>
          <w:trHeight w:val="216"/>
        </w:trPr>
        <w:tc>
          <w:tcPr>
            <w:tcW w:w="59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Expense by award type: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2,259</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59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60" w:type="dxa"/>
            <w:vAlign w:val="bottom"/>
          </w:tcPr>
          <w:p>
            <w:pPr>
              <w:spacing w:after="0"/>
              <w:rPr>
                <w:sz w:val="19"/>
                <w:szCs w:val="19"/>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3,375</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6,576</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6,710</w:t>
            </w:r>
          </w:p>
        </w:tc>
      </w:tr>
      <w:tr>
        <w:trPr>
          <w:trHeight w:val="216"/>
        </w:trPr>
        <w:tc>
          <w:tcPr>
            <w:tcW w:w="59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benefits on share-based compensation</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780</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1,362</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w:t>
            </w:r>
          </w:p>
        </w:tc>
      </w:tr>
    </w:tbl>
    <w:p>
      <w:pPr>
        <w:spacing w:after="0" w:line="17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research and development credit for the six months ended May 3, 2026, was primarily attributable to the forfeiture of previously granted time-vesting restricted stock awards, following the departure of an executive.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periodically grants restricted stock awards, the restrictions on which typically lapse over a service period of one to four years. The fair values of the awards are determined on the date of grant, based on the closing stock price of the Company’s common stock. The table below presents information on the Company’s restricted stock awards.</w:t>
      </w:r>
    </w:p>
    <w:p>
      <w:pPr>
        <w:sectPr>
          <w:pgSz w:w="11900" w:h="16838" w:orient="portrait"/>
          <w:cols w:equalWidth="0" w:num="1">
            <w:col w:w="11240"/>
          </w:cols>
          <w:pgMar w:left="320" w:top="115" w:right="339" w:bottom="1440" w:gutter="0" w:footer="0" w:header="0"/>
          <w:type w:val="continuous"/>
        </w:sectPr>
      </w:pPr>
    </w:p>
    <w:p>
      <w:pPr>
        <w:spacing w:after="0" w:line="17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5980" w:type="dxa"/>
        <w:tblCellMar>
          <w:top w:w="0" w:type="dxa"/>
          <w:left w:w="0" w:type="dxa"/>
          <w:bottom w:w="0" w:type="dxa"/>
          <w:right w:w="0" w:type="dxa"/>
        </w:tblCellMar>
      </w:tblPr>
      <w:tr>
        <w:trPr>
          <w:trHeight w:val="201"/>
        </w:trPr>
        <w:tc>
          <w:tcPr>
            <w:tcW w:w="1260" w:type="dxa"/>
            <w:vAlign w:val="bottom"/>
            <w:tcBorders>
              <w:top w:val="single" w:sz="8" w:color="auto"/>
            </w:tcBorders>
          </w:tcPr>
          <w:p>
            <w:pPr>
              <w:jc w:val="center"/>
              <w:ind w:right="5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240" w:type="dxa"/>
            <w:vAlign w:val="bottom"/>
            <w:tcBorders>
              <w:top w:val="single" w:sz="8" w:color="auto"/>
            </w:tcBorders>
          </w:tcPr>
          <w:p>
            <w:pPr>
              <w:jc w:val="center"/>
              <w:ind w:left="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220" w:type="dxa"/>
            <w:vAlign w:val="bottom"/>
            <w:tcBorders>
              <w:top w:val="single" w:sz="8" w:color="auto"/>
            </w:tcBorders>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220" w:type="dxa"/>
            <w:vAlign w:val="bottom"/>
            <w:tcBorders>
              <w:top w:val="single" w:sz="8" w:color="auto"/>
            </w:tcBorders>
          </w:tcPr>
          <w:p>
            <w:pPr>
              <w:jc w:val="center"/>
              <w:ind w:lef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1" w:lineRule="exact"/>
        <w:rPr>
          <w:sz w:val="20"/>
          <w:szCs w:val="20"/>
          <w:color w:val="auto"/>
        </w:rPr>
      </w:pPr>
    </w:p>
    <w:p>
      <w:pPr>
        <w:sectPr>
          <w:pgSz w:w="11900" w:h="16838" w:orient="portrait"/>
          <w:cols w:equalWidth="0" w:num="2">
            <w:col w:w="8480" w:space="220"/>
            <w:col w:w="254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granted in period</w:t>
            </w:r>
          </w:p>
        </w:tc>
        <w:tc>
          <w:tcPr>
            <w:tcW w:w="4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237,738</w:t>
            </w:r>
          </w:p>
        </w:tc>
        <w:tc>
          <w:tcPr>
            <w:tcW w:w="22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583,238</w:t>
            </w:r>
          </w:p>
        </w:tc>
        <w:tc>
          <w:tcPr>
            <w:tcW w:w="100" w:type="dxa"/>
            <w:vAlign w:val="bottom"/>
            <w:shd w:val="clear" w:color="auto" w:fill="CCEEFF"/>
          </w:tcPr>
          <w:p>
            <w:pPr>
              <w:spacing w:after="0"/>
              <w:rPr>
                <w:sz w:val="19"/>
                <w:szCs w:val="19"/>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23.42</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15,225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27,028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15,225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27,028</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outstanding at balance sheet date</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809,986</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1,439,672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809,986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1,439,672</w:t>
            </w:r>
          </w:p>
        </w:tc>
      </w:tr>
      <w:tr>
        <w:trPr>
          <w:trHeight w:val="571"/>
        </w:trPr>
        <w:tc>
          <w:tcPr>
            <w:tcW w:w="5500" w:type="dxa"/>
            <w:vAlign w:val="bottom"/>
          </w:tcPr>
          <w:p>
            <w:pPr>
              <w:spacing w:after="0"/>
              <w:rPr>
                <w:sz w:val="24"/>
                <w:szCs w:val="24"/>
                <w:color w:val="auto"/>
              </w:rPr>
            </w:pPr>
          </w:p>
        </w:tc>
        <w:tc>
          <w:tcPr>
            <w:tcW w:w="48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20</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5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Commencing FY25, the Company began granting restricted stock units, the restrictions on which typically lapse over a service period of one to four years. The fair value of the awards is determined on the date of grant, based on the closing price of the Company’s common stock. The table below presents information on the Company’s restricted stock unit awards.</w:t>
      </w:r>
    </w:p>
    <w:p>
      <w:pPr>
        <w:sectPr>
          <w:pgSz w:w="11900" w:h="16838" w:orient="portrait"/>
          <w:cols w:equalWidth="0" w:num="1">
            <w:col w:w="11240"/>
          </w:cols>
          <w:pgMar w:left="320" w:top="115" w:right="339" w:bottom="1440" w:gutter="0" w:footer="0" w:header="0"/>
        </w:sectPr>
      </w:pPr>
    </w:p>
    <w:p>
      <w:pPr>
        <w:spacing w:after="0" w:line="17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5980" w:type="dxa"/>
        <w:tblCellMar>
          <w:top w:w="0" w:type="dxa"/>
          <w:left w:w="0" w:type="dxa"/>
          <w:bottom w:w="0" w:type="dxa"/>
          <w:right w:w="0" w:type="dxa"/>
        </w:tblCellMar>
      </w:tblPr>
      <w:tr>
        <w:trPr>
          <w:trHeight w:val="201"/>
        </w:trPr>
        <w:tc>
          <w:tcPr>
            <w:tcW w:w="1260" w:type="dxa"/>
            <w:vAlign w:val="bottom"/>
            <w:tcBorders>
              <w:top w:val="single" w:sz="8" w:color="auto"/>
            </w:tcBorders>
          </w:tcPr>
          <w:p>
            <w:pPr>
              <w:jc w:val="center"/>
              <w:ind w:right="5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240" w:type="dxa"/>
            <w:vAlign w:val="bottom"/>
            <w:tcBorders>
              <w:top w:val="single" w:sz="8" w:color="auto"/>
            </w:tcBorders>
          </w:tcPr>
          <w:p>
            <w:pPr>
              <w:jc w:val="center"/>
              <w:ind w:left="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220" w:type="dxa"/>
            <w:vAlign w:val="bottom"/>
            <w:tcBorders>
              <w:top w:val="single" w:sz="8" w:color="auto"/>
            </w:tcBorders>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220" w:type="dxa"/>
            <w:vAlign w:val="bottom"/>
            <w:tcBorders>
              <w:top w:val="single" w:sz="8" w:color="auto"/>
            </w:tcBorders>
          </w:tcPr>
          <w:p>
            <w:pPr>
              <w:jc w:val="center"/>
              <w:ind w:lef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1" w:lineRule="exact"/>
        <w:rPr>
          <w:sz w:val="20"/>
          <w:szCs w:val="20"/>
          <w:color w:val="auto"/>
        </w:rPr>
      </w:pPr>
    </w:p>
    <w:p>
      <w:pPr>
        <w:sectPr>
          <w:pgSz w:w="11900" w:h="16838" w:orient="portrait"/>
          <w:cols w:equalWidth="0" w:num="2">
            <w:col w:w="8480" w:space="220"/>
            <w:col w:w="254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units granted in period</w:t>
            </w:r>
          </w:p>
        </w:tc>
        <w:tc>
          <w:tcPr>
            <w:tcW w:w="3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80,529</w:t>
            </w:r>
          </w:p>
        </w:tc>
        <w:tc>
          <w:tcPr>
            <w:tcW w:w="4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52,836</w:t>
            </w:r>
          </w:p>
        </w:tc>
        <w:tc>
          <w:tcPr>
            <w:tcW w:w="22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589,601</w:t>
            </w:r>
          </w:p>
        </w:tc>
        <w:tc>
          <w:tcPr>
            <w:tcW w:w="4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52,836</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41.09</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33.99</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16,992</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16,992</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3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 outstanding at balance sheet date</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676,982</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676,982</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33,966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Stock 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the Company’s common stock on the dates of grant and are calculated using the Black-Scholes option pricing model. Expected volatility is based on the historical volatility of the Company’s common stock. The Company uses historical option exercise behavior and employee termination data to estimate expected term, which represents the period of time that options granted are expected to remain outstanding. The risk-free rate of return for the estimated term of an option is based on the U.S. Treasury yield curve in effect at the date of grant. The table below presents information on the Company’s stock options.</w:t>
      </w:r>
    </w:p>
    <w:p>
      <w:pPr>
        <w:sectPr>
          <w:pgSz w:w="11900" w:h="16838" w:orient="portrait"/>
          <w:cols w:equalWidth="0" w:num="1">
            <w:col w:w="11240"/>
          </w:cols>
          <w:pgMar w:left="320" w:top="115" w:right="339" w:bottom="1440" w:gutter="0" w:footer="0" w:header="0"/>
          <w:type w:val="continuous"/>
        </w:sectPr>
      </w:pPr>
    </w:p>
    <w:p>
      <w:pPr>
        <w:spacing w:after="0" w:line="18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5980" w:type="dxa"/>
        <w:tblCellMar>
          <w:top w:w="0" w:type="dxa"/>
          <w:left w:w="0" w:type="dxa"/>
          <w:bottom w:w="0" w:type="dxa"/>
          <w:right w:w="0" w:type="dxa"/>
        </w:tblCellMar>
      </w:tblPr>
      <w:tr>
        <w:trPr>
          <w:trHeight w:val="201"/>
        </w:trPr>
        <w:tc>
          <w:tcPr>
            <w:tcW w:w="1260" w:type="dxa"/>
            <w:vAlign w:val="bottom"/>
            <w:tcBorders>
              <w:top w:val="single" w:sz="8" w:color="auto"/>
            </w:tcBorders>
          </w:tcPr>
          <w:p>
            <w:pPr>
              <w:jc w:val="center"/>
              <w:ind w:right="5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240" w:type="dxa"/>
            <w:vAlign w:val="bottom"/>
            <w:tcBorders>
              <w:top w:val="single" w:sz="8" w:color="auto"/>
            </w:tcBorders>
          </w:tcPr>
          <w:p>
            <w:pPr>
              <w:jc w:val="center"/>
              <w:ind w:left="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220" w:type="dxa"/>
            <w:vAlign w:val="bottom"/>
            <w:tcBorders>
              <w:top w:val="single" w:sz="8" w:color="auto"/>
            </w:tcBorders>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220" w:type="dxa"/>
            <w:vAlign w:val="bottom"/>
            <w:tcBorders>
              <w:top w:val="single" w:sz="8" w:color="auto"/>
            </w:tcBorders>
          </w:tcPr>
          <w:p>
            <w:pPr>
              <w:jc w:val="center"/>
              <w:ind w:lef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1" w:lineRule="exact"/>
        <w:rPr>
          <w:sz w:val="20"/>
          <w:szCs w:val="20"/>
          <w:color w:val="auto"/>
        </w:rPr>
      </w:pPr>
    </w:p>
    <w:p>
      <w:pPr>
        <w:sectPr>
          <w:pgSz w:w="11900" w:h="16838" w:orient="portrait"/>
          <w:cols w:equalWidth="0" w:num="2">
            <w:col w:w="8480" w:space="220"/>
            <w:col w:w="254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 in period</w:t>
            </w:r>
          </w:p>
        </w:tc>
        <w:tc>
          <w:tcPr>
            <w:tcW w:w="4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from options exercised</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359</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992</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4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regarding outstanding and exercisable option awards as of May 3, 2026,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4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440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900" w:type="dxa"/>
            <w:vAlign w:val="bottom"/>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1"/>
                <w:szCs w:val="21"/>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24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6"/>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May 3, 2026</w:t>
            </w:r>
          </w:p>
        </w:tc>
        <w:tc>
          <w:tcPr>
            <w:tcW w:w="29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19,250</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8"/>
                <w:szCs w:val="18"/>
                <w:color w:val="auto"/>
              </w:rPr>
            </w:pPr>
          </w:p>
        </w:tc>
      </w:tr>
      <w:tr>
        <w:trPr>
          <w:trHeight w:val="570"/>
        </w:trPr>
        <w:tc>
          <w:tcPr>
            <w:tcW w:w="4400" w:type="dxa"/>
            <w:vAlign w:val="bottom"/>
          </w:tcPr>
          <w:p>
            <w:pPr>
              <w:spacing w:after="0"/>
              <w:rPr>
                <w:sz w:val="24"/>
                <w:szCs w:val="24"/>
                <w:color w:val="auto"/>
              </w:rPr>
            </w:pPr>
          </w:p>
        </w:tc>
        <w:tc>
          <w:tcPr>
            <w:tcW w:w="2900" w:type="dxa"/>
            <w:vAlign w:val="bottom"/>
          </w:tcPr>
          <w:p>
            <w:pPr>
              <w:jc w:val="right"/>
              <w:ind w:right="1516"/>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40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calculates its provision for income taxes at the end of each interim reporting period on the basis of an estimated annual effective tax rate adjusted for tax items that are discrete to each period. The table below sets forth the primary reasons that the Company’s effective income tax rates differed from the U.S. statutory tax rates in effect during the periods ended May 3, 2026, and May 4,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Photronics</w:t>
            </w:r>
          </w:p>
        </w:tc>
        <w:tc>
          <w:tcPr>
            <w:tcW w:w="100" w:type="dxa"/>
            <w:vAlign w:val="bottom"/>
          </w:tcPr>
          <w:p>
            <w:pPr>
              <w:spacing w:after="0"/>
              <w:rPr>
                <w:sz w:val="18"/>
                <w:szCs w:val="18"/>
                <w:color w:val="auto"/>
              </w:rPr>
            </w:pPr>
          </w:p>
        </w:tc>
        <w:tc>
          <w:tcPr>
            <w:tcW w:w="62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Statutory</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w:t>
            </w:r>
          </w:p>
        </w:tc>
        <w:tc>
          <w:tcPr>
            <w:tcW w:w="100" w:type="dxa"/>
            <w:vAlign w:val="bottom"/>
          </w:tcPr>
          <w:p>
            <w:pPr>
              <w:spacing w:after="0"/>
              <w:rPr>
                <w:sz w:val="18"/>
                <w:szCs w:val="18"/>
                <w:color w:val="auto"/>
              </w:rPr>
            </w:pPr>
          </w:p>
        </w:tc>
        <w:tc>
          <w:tcPr>
            <w:tcW w:w="6280" w:type="dxa"/>
            <w:vAlign w:val="bottom"/>
          </w:tcPr>
          <w:p>
            <w:pPr>
              <w:spacing w:after="0"/>
              <w:rPr>
                <w:sz w:val="18"/>
                <w:szCs w:val="18"/>
                <w:color w:val="auto"/>
              </w:rPr>
            </w:pPr>
          </w:p>
        </w:tc>
      </w:tr>
      <w:tr>
        <w:trPr>
          <w:trHeight w:val="241"/>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Reporting Period</w:t>
            </w: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Tax Rates</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Rates</w:t>
            </w: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Primary Reasons for Differences</w:t>
            </w:r>
          </w:p>
        </w:tc>
      </w:tr>
      <w:tr>
        <w:trPr>
          <w:trHeight w:val="216"/>
        </w:trPr>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80" w:type="dxa"/>
            <w:vAlign w:val="bottom"/>
            <w:tcBorders>
              <w:top w:val="single" w:sz="8" w:color="auto"/>
            </w:tcBorders>
          </w:tcPr>
          <w:p>
            <w:pPr>
              <w:spacing w:after="0"/>
              <w:rPr>
                <w:sz w:val="18"/>
                <w:szCs w:val="18"/>
                <w:color w:val="auto"/>
              </w:rPr>
            </w:pP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May</w:t>
            </w:r>
          </w:p>
        </w:tc>
        <w:tc>
          <w:tcPr>
            <w:tcW w:w="144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19.7%</w:t>
            </w:r>
          </w:p>
        </w:tc>
        <w:tc>
          <w:tcPr>
            <w:tcW w:w="63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Non-U.S. pre-tax income being taxed at higher statutory rates in the non-U.S.</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3, 2026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jurisdictions, and changes in uncertain tax positions in non-U.S. jurisdictions have</w:t>
            </w:r>
          </w:p>
        </w:tc>
      </w:tr>
      <w:tr>
        <w:trPr>
          <w:trHeight w:val="234"/>
        </w:trPr>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been more than offset by the impact of tax credit in a non-U.S. jurisdiction.</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80" w:type="dxa"/>
            <w:vAlign w:val="bottom"/>
          </w:tcPr>
          <w:p>
            <w:pPr>
              <w:spacing w:after="0"/>
              <w:rPr>
                <w:sz w:val="18"/>
                <w:szCs w:val="18"/>
                <w:color w:val="auto"/>
              </w:rPr>
            </w:pP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May</w:t>
            </w:r>
          </w:p>
        </w:tc>
        <w:tc>
          <w:tcPr>
            <w:tcW w:w="144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19.1%</w:t>
            </w:r>
          </w:p>
        </w:tc>
        <w:tc>
          <w:tcPr>
            <w:tcW w:w="63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 jurisdictions, have been</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4, 2025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offset by valuation allowances, non-U.S. pre-tax income being taxed at higher</w:t>
            </w:r>
          </w:p>
        </w:tc>
      </w:tr>
      <w:tr>
        <w:trPr>
          <w:trHeight w:val="216"/>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statutory rates in the non-U.S. jurisdictions, and changes in uncertain tax positions in</w:t>
            </w:r>
          </w:p>
        </w:tc>
      </w:tr>
      <w:tr>
        <w:trPr>
          <w:trHeight w:val="234"/>
        </w:trPr>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non-U.S. jurisdictions.</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80" w:type="dxa"/>
            <w:vAlign w:val="bottom"/>
          </w:tcPr>
          <w:p>
            <w:pPr>
              <w:spacing w:after="0"/>
              <w:rPr>
                <w:sz w:val="18"/>
                <w:szCs w:val="18"/>
                <w:color w:val="auto"/>
              </w:rPr>
            </w:pP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Six months ended May 3,</w:t>
            </w:r>
          </w:p>
        </w:tc>
        <w:tc>
          <w:tcPr>
            <w:tcW w:w="144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19.4%</w:t>
            </w:r>
          </w:p>
        </w:tc>
        <w:tc>
          <w:tcPr>
            <w:tcW w:w="63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Non-U.S. pre-tax income being taxed at higher statutory rates in the non-U.S.</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jurisdictions, and changes in uncertain tax positions in non-U.S. jurisdictions have</w:t>
            </w:r>
          </w:p>
        </w:tc>
      </w:tr>
      <w:tr>
        <w:trPr>
          <w:trHeight w:val="234"/>
        </w:trPr>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been more than offset by the impact of tax credit in a non-U.S. jurisdiction.</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80" w:type="dxa"/>
            <w:vAlign w:val="bottom"/>
          </w:tcPr>
          <w:p>
            <w:pPr>
              <w:spacing w:after="0"/>
              <w:rPr>
                <w:sz w:val="18"/>
                <w:szCs w:val="18"/>
                <w:color w:val="auto"/>
              </w:rPr>
            </w:pP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Six months ended May 4,</w:t>
            </w:r>
          </w:p>
        </w:tc>
        <w:tc>
          <w:tcPr>
            <w:tcW w:w="144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23.0%</w:t>
            </w:r>
          </w:p>
        </w:tc>
        <w:tc>
          <w:tcPr>
            <w:tcW w:w="63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 jurisdictions, have been</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offset by valuation allowances, non-U.S. pre-tax income being taxed at higher</w:t>
            </w:r>
          </w:p>
        </w:tc>
      </w:tr>
      <w:tr>
        <w:trPr>
          <w:trHeight w:val="216"/>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statutory rates in the non-U.S. jurisdictions, and changes in uncertain tax positions in</w:t>
            </w:r>
          </w:p>
        </w:tc>
      </w:tr>
      <w:tr>
        <w:trPr>
          <w:trHeight w:val="234"/>
        </w:trPr>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non-U.S. jurisdictions.</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Although the timing of reversal of uncertain tax positions may be indeterminate at this time, the Company believes the resolution of these uncertainties in a manner inconsistent with our expectations could have a material impact on our results of operations and financial condition. Resolution of these uncertain tax positions may result from either or both the lapses of statutes of limitations and tax settlements. The Company is no longer subject to tax authority examinations in the U.S., major foreign, or state tax jurisdictions for years prior to fiscal year 2019. The table below presents information on unrecognized tax benefits as of the balance sheet dates.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May 3,</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related to uncertain tax positions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tax benefits that, if recognized, would impact the effective tax rate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11,379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and penalties related to uncertain tax positions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is presented below.</w:t>
      </w:r>
    </w:p>
    <w:p>
      <w:pPr>
        <w:sectPr>
          <w:pgSz w:w="11900" w:h="16838" w:orient="portrait"/>
          <w:cols w:equalWidth="0" w:num="1">
            <w:col w:w="11240"/>
          </w:cols>
          <w:pgMar w:left="320" w:top="114" w:right="339" w:bottom="1440" w:gutter="0" w:footer="0" w:header="0"/>
        </w:sectPr>
      </w:pPr>
    </w:p>
    <w:p>
      <w:pPr>
        <w:spacing w:after="0" w:line="22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5980" w:type="dxa"/>
        <w:tblCellMar>
          <w:top w:w="0" w:type="dxa"/>
          <w:left w:w="0" w:type="dxa"/>
          <w:bottom w:w="0" w:type="dxa"/>
          <w:right w:w="0" w:type="dxa"/>
        </w:tblCellMar>
      </w:tblPr>
      <w:tr>
        <w:trPr>
          <w:trHeight w:val="201"/>
        </w:trPr>
        <w:tc>
          <w:tcPr>
            <w:tcW w:w="1260" w:type="dxa"/>
            <w:vAlign w:val="bottom"/>
            <w:tcBorders>
              <w:top w:val="single" w:sz="8" w:color="auto"/>
            </w:tcBorders>
          </w:tcPr>
          <w:p>
            <w:pPr>
              <w:jc w:val="center"/>
              <w:ind w:right="5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240" w:type="dxa"/>
            <w:vAlign w:val="bottom"/>
            <w:tcBorders>
              <w:top w:val="single" w:sz="8" w:color="auto"/>
            </w:tcBorders>
          </w:tcPr>
          <w:p>
            <w:pPr>
              <w:jc w:val="center"/>
              <w:ind w:left="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220" w:type="dxa"/>
            <w:vAlign w:val="bottom"/>
            <w:tcBorders>
              <w:top w:val="single" w:sz="8" w:color="auto"/>
            </w:tcBorders>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220" w:type="dxa"/>
            <w:vAlign w:val="bottom"/>
            <w:tcBorders>
              <w:top w:val="single" w:sz="8" w:color="auto"/>
            </w:tcBorders>
          </w:tcPr>
          <w:p>
            <w:pPr>
              <w:jc w:val="center"/>
              <w:ind w:lef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1" w:lineRule="exact"/>
        <w:rPr>
          <w:sz w:val="20"/>
          <w:szCs w:val="20"/>
          <w:color w:val="auto"/>
        </w:rPr>
      </w:pPr>
    </w:p>
    <w:p>
      <w:pPr>
        <w:sectPr>
          <w:pgSz w:w="11900" w:h="16838" w:orient="portrait"/>
          <w:cols w:equalWidth="0" w:num="2">
            <w:col w:w="8480" w:space="220"/>
            <w:col w:w="2540"/>
          </w:cols>
          <w:pgMar w:left="320" w:top="114"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31,429</w:t>
            </w:r>
          </w:p>
        </w:tc>
        <w:tc>
          <w:tcPr>
            <w:tcW w:w="26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8,861</w:t>
            </w:r>
          </w:p>
        </w:tc>
        <w:tc>
          <w:tcPr>
            <w:tcW w:w="200" w:type="dxa"/>
            <w:vAlign w:val="bottom"/>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74,368</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51,712</w:t>
            </w: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Weighted-average common shares outstanding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60,793</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57,959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61,443</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Share-based awards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gridSpan w:val="2"/>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3"/>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 Diluted</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58,745</w:t>
            </w: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60,974</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58,568</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Photronics shareholders - Basic</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6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Photronics shareholders - Diluted</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0.84</w:t>
            </w:r>
          </w:p>
        </w:tc>
      </w:tr>
    </w:tbl>
    <w:p>
      <w:pPr>
        <w:spacing w:after="0" w:line="19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table below sets forth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940" w:type="dxa"/>
            <w:vAlign w:val="bottom"/>
            <w:tcBorders>
              <w:top w:val="single" w:sz="8" w:color="auto"/>
            </w:tcBorders>
          </w:tcPr>
          <w:p>
            <w:pPr>
              <w:jc w:val="center"/>
              <w:ind w:left="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1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of shares)</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awards, in shares</w:t>
            </w:r>
          </w:p>
        </w:tc>
        <w:tc>
          <w:tcPr>
            <w:tcW w:w="9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81</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r>
      <w:tr>
        <w:trPr>
          <w:trHeight w:val="27"/>
        </w:trPr>
        <w:tc>
          <w:tcPr>
            <w:tcW w:w="59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that arise in the ordinary course of business. The Company believes that the potential liability under such claims, individually and in the aggregate, will not have a material effect on the Company’s condensed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CHANGES IN ACCUMULATED OTHER COMPREHENSIVE INCOME (LOSS) BY COMPONENT</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Company’s accumulated other comprehensive income (loss) by component (net of tax) for the three-month and six-month periods ended May 3, 2026, and May 4,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8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May 3, 2026</w:t>
            </w:r>
          </w:p>
        </w:tc>
      </w:tr>
      <w:tr>
        <w:trPr>
          <w:trHeight w:val="194"/>
        </w:trPr>
        <w:tc>
          <w:tcPr>
            <w:tcW w:w="5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4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1"/>
                <w:szCs w:val="21"/>
                <w:color w:val="auto"/>
              </w:rPr>
            </w:pPr>
          </w:p>
        </w:tc>
      </w:tr>
      <w:tr>
        <w:trPr>
          <w:trHeight w:val="216"/>
        </w:trPr>
        <w:tc>
          <w:tcPr>
            <w:tcW w:w="546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1, 2026</w:t>
            </w:r>
          </w:p>
        </w:tc>
        <w:tc>
          <w:tcPr>
            <w:tcW w:w="18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(91,729)</w:t>
            </w: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(92,320)</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(3,770)</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attributable to noncontrolling interests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(1,859)</w:t>
            </w:r>
          </w:p>
        </w:tc>
      </w:tr>
      <w:tr>
        <w:trPr>
          <w:trHeight w:val="223"/>
        </w:trPr>
        <w:tc>
          <w:tcPr>
            <w:tcW w:w="5460" w:type="dxa"/>
            <w:vAlign w:val="bottom"/>
          </w:tcPr>
          <w:p>
            <w:pPr>
              <w:spacing w:after="0"/>
              <w:rPr>
                <w:sz w:val="19"/>
                <w:szCs w:val="19"/>
                <w:color w:val="auto"/>
              </w:rPr>
            </w:pPr>
          </w:p>
        </w:tc>
        <w:tc>
          <w:tcPr>
            <w:tcW w:w="180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3, 2026</w:t>
            </w:r>
          </w:p>
        </w:tc>
        <w:tc>
          <w:tcPr>
            <w:tcW w:w="1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39"/>
        </w:trPr>
        <w:tc>
          <w:tcPr>
            <w:tcW w:w="5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May 4, 2025</w:t>
            </w:r>
          </w:p>
        </w:tc>
      </w:tr>
      <w:tr>
        <w:trPr>
          <w:trHeight w:val="194"/>
        </w:trPr>
        <w:tc>
          <w:tcPr>
            <w:tcW w:w="5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4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1"/>
                <w:szCs w:val="21"/>
                <w:color w:val="auto"/>
              </w:rPr>
            </w:pPr>
          </w:p>
        </w:tc>
      </w:tr>
      <w:tr>
        <w:trPr>
          <w:trHeight w:val="216"/>
        </w:trPr>
        <w:tc>
          <w:tcPr>
            <w:tcW w:w="546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 2025</w:t>
            </w:r>
          </w:p>
        </w:tc>
        <w:tc>
          <w:tcPr>
            <w:tcW w:w="18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(119,629)</w:t>
            </w: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(120,325)</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47,124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47,063</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(14,033)</w:t>
            </w:r>
          </w:p>
        </w:tc>
      </w:tr>
      <w:tr>
        <w:trPr>
          <w:trHeight w:val="223"/>
        </w:trPr>
        <w:tc>
          <w:tcPr>
            <w:tcW w:w="5460" w:type="dxa"/>
            <w:vAlign w:val="bottom"/>
          </w:tcPr>
          <w:p>
            <w:pPr>
              <w:spacing w:after="0"/>
              <w:rPr>
                <w:sz w:val="19"/>
                <w:szCs w:val="19"/>
                <w:color w:val="auto"/>
              </w:rPr>
            </w:pPr>
          </w:p>
        </w:tc>
        <w:tc>
          <w:tcPr>
            <w:tcW w:w="180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10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4, 2025</w:t>
            </w:r>
          </w:p>
        </w:tc>
        <w:tc>
          <w:tcPr>
            <w:tcW w:w="1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39"/>
        </w:trPr>
        <w:tc>
          <w:tcPr>
            <w:tcW w:w="5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Six Months Ended May 3, 2026</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4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1"/>
                <w:szCs w:val="21"/>
                <w:color w:val="auto"/>
              </w:rPr>
            </w:pPr>
          </w:p>
        </w:tc>
      </w:tr>
      <w:tr>
        <w:trPr>
          <w:trHeight w:val="216"/>
        </w:trPr>
        <w:tc>
          <w:tcPr>
            <w:tcW w:w="546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2025</w:t>
            </w:r>
          </w:p>
        </w:tc>
        <w:tc>
          <w:tcPr>
            <w:tcW w:w="18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(85,513)</w:t>
            </w: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(86,120)</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(12,395)</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attributable to noncontrolling interests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r>
      <w:tr>
        <w:trPr>
          <w:trHeight w:val="223"/>
        </w:trPr>
        <w:tc>
          <w:tcPr>
            <w:tcW w:w="5460" w:type="dxa"/>
            <w:vAlign w:val="bottom"/>
          </w:tcPr>
          <w:p>
            <w:pPr>
              <w:spacing w:after="0"/>
              <w:rPr>
                <w:sz w:val="19"/>
                <w:szCs w:val="19"/>
                <w:color w:val="auto"/>
              </w:rPr>
            </w:pPr>
          </w:p>
        </w:tc>
        <w:tc>
          <w:tcPr>
            <w:tcW w:w="180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10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3, 2026</w:t>
            </w:r>
          </w:p>
        </w:tc>
        <w:tc>
          <w:tcPr>
            <w:tcW w:w="1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39"/>
        </w:trPr>
        <w:tc>
          <w:tcPr>
            <w:tcW w:w="5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Six Months Ended May 4, 2025</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4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1"/>
                <w:szCs w:val="21"/>
                <w:color w:val="auto"/>
              </w:rPr>
            </w:pPr>
          </w:p>
        </w:tc>
      </w:tr>
      <w:tr>
        <w:trPr>
          <w:trHeight w:val="216"/>
        </w:trPr>
        <w:tc>
          <w:tcPr>
            <w:tcW w:w="546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18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(85,587)</w:t>
            </w: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(86,319)</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4,216</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attributable to noncontrolling interests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(5,192)</w:t>
            </w:r>
          </w:p>
        </w:tc>
      </w:tr>
      <w:tr>
        <w:trPr>
          <w:trHeight w:val="223"/>
        </w:trPr>
        <w:tc>
          <w:tcPr>
            <w:tcW w:w="5460" w:type="dxa"/>
            <w:vAlign w:val="bottom"/>
          </w:tcPr>
          <w:p>
            <w:pPr>
              <w:spacing w:after="0"/>
              <w:rPr>
                <w:sz w:val="19"/>
                <w:szCs w:val="19"/>
                <w:color w:val="auto"/>
              </w:rPr>
            </w:pPr>
          </w:p>
        </w:tc>
        <w:tc>
          <w:tcPr>
            <w:tcW w:w="180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10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4, 2025</w:t>
            </w:r>
          </w:p>
        </w:tc>
        <w:tc>
          <w:tcPr>
            <w:tcW w:w="1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70"/>
        </w:trPr>
        <w:tc>
          <w:tcPr>
            <w:tcW w:w="5460" w:type="dxa"/>
            <w:vAlign w:val="bottom"/>
          </w:tcPr>
          <w:p>
            <w:pPr>
              <w:spacing w:after="0"/>
              <w:rPr>
                <w:sz w:val="24"/>
                <w:szCs w:val="24"/>
                <w:color w:val="auto"/>
              </w:rPr>
            </w:pPr>
          </w:p>
        </w:tc>
        <w:tc>
          <w:tcPr>
            <w:tcW w:w="1660" w:type="dxa"/>
            <w:vAlign w:val="bottom"/>
          </w:tcPr>
          <w:p>
            <w:pPr>
              <w:jc w:val="right"/>
              <w:ind w:right="1334"/>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4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SHARE REPURCHASE PROGRAM</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10b-18 of the Exchange Act. The repurchase authorization by the Board of Directors has no expiration date, does not obligate the Company to acquire any common stock, and is subject to market conditions. From September 2020 through October 2022, the Company repurchased 5.8 million shares at a cost of $68.3 million. In August 2024, the Board of Directors authorized an increase to the Company’s existing share repurchase program from the remaining $31.7 million up to $100 million. In June 2025, the Board of Directors authorized an additional $25 million of share repurchases. In fiscal year 2025, the Company repurchased 5.0 million shares at a cost of $97.4 million (an average of $19.52 per share). All shares repurchased under the program have been retired prior to the end of the fiscal quarter in which they were purchased. During the three-month and six-month periods ended May 3, 2026, the Company did not repurchase any additional shares. As of May 3, 2026, $27.6 million remained available under this authorization for the repurchase of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REPORTING</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operating and reportable segment based on the organizational structure of the Company and information reviewed by the Company’s Chief Executive Officer, who is also the chief operating decision maker (“CODM”). The CODM allocates capital resources across the Company’s entire asset base to maximize profitability without regard to geography, legal entity, or end market basis and evaluates the performance based on consolidated net income attributable to Photronics, Inc. shareholders.</w:t>
      </w:r>
    </w:p>
    <w:p>
      <w:pPr>
        <w:spacing w:after="0" w:line="18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periods ended May 3, 2026 and May 4,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1"/>
                <w:szCs w:val="21"/>
                <w:color w:val="auto"/>
              </w:rPr>
            </w:pPr>
          </w:p>
        </w:tc>
        <w:tc>
          <w:tcPr>
            <w:tcW w:w="22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May 3, 2026</w:t>
            </w: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May 4, 2025</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May 3, 2026</w:t>
            </w:r>
          </w:p>
        </w:tc>
        <w:tc>
          <w:tcPr>
            <w:tcW w:w="112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May 4, 2025</w:t>
            </w:r>
          </w:p>
        </w:tc>
        <w:tc>
          <w:tcPr>
            <w:tcW w:w="100" w:type="dxa"/>
            <w:vAlign w:val="bottom"/>
          </w:tcPr>
          <w:p>
            <w:pPr>
              <w:spacing w:after="0"/>
              <w:rPr>
                <w:sz w:val="19"/>
                <w:szCs w:val="19"/>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209,940</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210,992</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435,006</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423,130</w:t>
            </w:r>
          </w:p>
        </w:tc>
        <w:tc>
          <w:tcPr>
            <w:tcW w:w="100" w:type="dxa"/>
            <w:vAlign w:val="bottom"/>
            <w:shd w:val="clear" w:color="auto" w:fill="CCEEFF"/>
          </w:tcPr>
          <w:p>
            <w:pPr>
              <w:spacing w:after="0"/>
              <w:rPr>
                <w:sz w:val="18"/>
                <w:szCs w:val="18"/>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(144,183)</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(133,086)</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(290,547)</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(269,689)</w:t>
            </w: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65,757</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77,906</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144,459</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153,441</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(20,756)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(18,099)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(42,067)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(37,201)</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(2,822)</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(4,090)</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(5,410)</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(8,346)</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55,717</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97,038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107,894</w:t>
            </w:r>
          </w:p>
        </w:tc>
      </w:tr>
      <w:tr>
        <w:trPr>
          <w:trHeight w:val="216"/>
        </w:trPr>
        <w:tc>
          <w:tcPr>
            <w:tcW w:w="4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(25,786)</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31,350</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(805)</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(10,606)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(5,714)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(24,961)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(24,615)</w:t>
            </w: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(11,821)</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(15,356)</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(29,059)</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(30,762)</w:t>
            </w:r>
          </w:p>
        </w:tc>
      </w:tr>
      <w:tr>
        <w:trPr>
          <w:trHeight w:val="257"/>
        </w:trPr>
        <w:tc>
          <w:tcPr>
            <w:tcW w:w="4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31,429</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74,368</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960" w:type="dxa"/>
            <w:vAlign w:val="bottom"/>
          </w:tcPr>
          <w:p>
            <w:pPr>
              <w:spacing w:after="0"/>
              <w:rPr>
                <w:sz w:val="24"/>
                <w:szCs w:val="24"/>
                <w:color w:val="auto"/>
              </w:rPr>
            </w:pP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9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0" w:firstLine="45"/>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(“MD&amp;A”) of the Company’s financial condition and results of operations should be read in conjunction with its condensed consolidated financial statements and related notes. Various sections of this MD&amp;A contain forward-looking statements, all of which are presented based on current expectations, which may be adversely affected by uncertainties and risk factors (presented throughout this filing and in the Company’s Form 10-K for fiscal year 2025), that may cause actual results to materially differ from these expectations. See “Cautionary Statement Regarding Forward-Looking Statements”.</w:t>
      </w:r>
    </w:p>
    <w:p>
      <w:pPr>
        <w:spacing w:after="0" w:line="183"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designers and manufacturers of IC and FPD electronic devices. Photomask technology is also being applied to the fabrication of other high-technology products including advanced packaging modules, micro-optical components for applications such as virtual reality/augmented reality and silicon photonics, micro-electronic mechanical systems (MEMS), and diverse nanotechnology applications. Our selling cycle is tightly interwoven with the development and release of new semiconductor and display designs and applications, particularly as they relate to the semiconductor industry’s migration to more advanced design nodes and fabrication processes. The demand for photomasks is primarily correlated with new product design activity and to a lesser extent scaling up of manufacturing of end products. Consequently, an increase in semiconductor or display sales does not always result in a corresponding increase in photomask sales. To the extent integrated circuit and flat panel display applications rely less on new design activity, it could result in a reduction in demand for photomasks. In addition, new design methodologies driving a reduction in complexity of photomasks could also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FPDs increases. More broadly, advances in semiconductor, display, and photomask design and production methods that shift the burden of achieving device performance away from lithography could also reduce the demand for photomasks. While there is no indication today that such diminishing of long-range photomask demand is occurring or will occur,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9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typically required to fulfill customer orders within a short period of time, sometimes within twenty-four hours. This results in a minimal level of backlog orders, typically one to two weeks of backlog for IC photomasks and two to three weeks of backlog for FPD photomasks. However, the demand for some IC photomasks can extend longer than the traditional time period; thus, for some products, our backlog can expand to as long as two to three months.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global semiconductor and FPD industries are driven by end markets which have broad application in the global economy including but not limited to consumer-driven applications, data centers that support AI implementation, electric vehicles and national security.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are focused on improving our competitiveness by advancing our technology and reducing costs and, in connection therewith, have invested and plan to continue to invest in manufacturing equipment to serve both the high-end and mainstream photomask markets. As we face challenges that require us to make significant improvements in our competitiveness, we continue to implement programs to streamline, drive efficiency and reduce costs in our infrastructure.</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State-of-the-art production for semiconductor masks is considered to be 4 or 5 nanometer and smaller including EUV lithography for ICs and Generation 8.6 AMOLED display-based process technologies for FPDs. However, we define our high-end product category as 28nm and below for semiconductors and Generation 10.5 plus, Generation 6 and 8 AMOLED and LTPS for displays. This is consistent with current merchant mask industry definitions. Moreover, design nodes above 28nm and FPD processes for standard LCD displays below Generation 10 are considered mainstream or standard products. At these geometries and various high-end nodes, we can produce full lines of photomasks, and there is no significant technology employed by our competitors that is not available to us. We expect advanced-generation designs to continue to move to production throughout fiscal 2026, and we believe we are well positioned to service an increasing volume of this business as a result of our investments in manufacturing processes and technology in the regions where our customers are located.</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In particular, we believe that, as semiconductor geometries continue to become smaller and/or more complex, and display designs become larger or otherwise more advanced, we will be required to manufacture even more complex products, including photomasks with advanced optical proximity correction, insertion of curvilinear patterning and EUV photomasks. Additionally, demand for photomasks has been, and could in the future be, adversely affected by changes in high-performance electronics fabrication methods that affect the type or quantity of photomasks used, such as changes in semiconductor demand that favor programmable IC devices and other approaches that replace application-specific ICs, or the use of certain chip-stacking methodologies that lessen the emphasis on conventional lithography technology. Furthermore, increased market acceptance of alternative methods of transferring circuit designs onto semiconductor wafers could reduce or eliminate the need for photomasks in the production of semiconductors.</w:t>
      </w:r>
    </w:p>
    <w:p>
      <w:pPr>
        <w:spacing w:after="0" w:line="18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revenues have benefited, and our costs, including depreciation, have been affected by the increased demand for high-end-technology photomasks that require more advanced manufacturing capabilities, but generally command higher ASPs. Our year-to-date capital expenditure payments were $93.4 million and $95.7 million in Q2 FY26 and Q2 FY25, respectively. Nonetheless, we intend to continue to make the required investments to support the technological and production requirements of our customers that we believe will continue to enable our growth. This includes investments to replace end-of-life mask-making equipment with higher-performing systems that better serve our customers. In support of this effort, we expect capital expenditure payments to be approximately $330 million in fiscal year 2026.</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manufacture of photomasks for use in fabricating ICs, FPDs, and other related products built using comparable photomask-based process technologies has been, and continues to be, capital intensive. Our employees and our integrated global manufacturing network represent a significant portion of our fixed operating cost base. Should our revenue decrease as a result of a decrease in design releases from our customers, we may have excess or underutilized production capacity, which could significantly impact our operating margins, or result in write-offs from asset impairments.</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All the following tabular comparisons, unless otherwise indicated, are for the three-month and six-month periods ended May 3, 2026 (Q2 FY26), February 1, 2026 (Q1 FY26) and May 4, 2025 (Q2 FY25). The tables in this section may not foot due to rounding.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selected operating information expressed as a percentage of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4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44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7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380" w:type="dxa"/>
            <w:vAlign w:val="bottom"/>
            <w:tcBorders>
              <w:top w:val="single" w:sz="8" w:color="auto"/>
            </w:tcBorders>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08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10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60" w:type="dxa"/>
            <w:vAlign w:val="bottom"/>
          </w:tcPr>
          <w:p>
            <w:pPr>
              <w:spacing w:after="0"/>
              <w:rPr>
                <w:sz w:val="16"/>
                <w:szCs w:val="16"/>
                <w:color w:val="auto"/>
              </w:rPr>
            </w:pPr>
          </w:p>
        </w:tc>
      </w:tr>
      <w:tr>
        <w:trPr>
          <w:trHeight w:val="245"/>
        </w:trPr>
        <w:tc>
          <w:tcPr>
            <w:tcW w:w="4480" w:type="dxa"/>
            <w:vAlign w:val="bottom"/>
          </w:tcPr>
          <w:p>
            <w:pPr>
              <w:spacing w:after="0"/>
              <w:rPr>
                <w:sz w:val="21"/>
                <w:szCs w:val="21"/>
                <w:color w:val="auto"/>
              </w:rPr>
            </w:pPr>
          </w:p>
        </w:tc>
        <w:tc>
          <w:tcPr>
            <w:tcW w:w="11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80" w:type="dxa"/>
            <w:vAlign w:val="bottom"/>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65.0</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2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4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33.1</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4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1260" w:type="dxa"/>
            <w:vAlign w:val="bottom"/>
            <w:gridSpan w:val="2"/>
          </w:tcPr>
          <w:p>
            <w:pPr>
              <w:spacing w:after="0"/>
              <w:rPr>
                <w:sz w:val="19"/>
                <w:szCs w:val="19"/>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2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4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564"/>
        </w:trPr>
        <w:tc>
          <w:tcPr>
            <w:tcW w:w="4480" w:type="dxa"/>
            <w:vAlign w:val="bottom"/>
          </w:tcPr>
          <w:p>
            <w:pPr>
              <w:spacing w:after="0"/>
              <w:rPr>
                <w:sz w:val="24"/>
                <w:szCs w:val="24"/>
                <w:color w:val="auto"/>
              </w:rPr>
            </w:pP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28</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4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0" w:firstLine="369"/>
        <w:spacing w:after="0" w:line="266" w:lineRule="auto"/>
        <w:rPr>
          <w:sz w:val="20"/>
          <w:szCs w:val="20"/>
          <w:color w:val="auto"/>
        </w:rPr>
      </w:pPr>
      <w:r>
        <w:rPr>
          <w:rFonts w:ascii="Times New Roman" w:cs="Times New Roman" w:eastAsia="Times New Roman" w:hAnsi="Times New Roman"/>
          <w:sz w:val="18"/>
          <w:szCs w:val="18"/>
          <w:color w:val="auto"/>
        </w:rPr>
        <w:t>Our quarterly revenues can be affected by the seasonal purchasing practices of our customers. As a result, demand for our products is typically impacted during the first quarter of our fiscal year by the North American, European, and Asian holiday periods, as some of our customers may adjust their buying activities during those periods.</w:t>
      </w:r>
    </w:p>
    <w:p>
      <w:pPr>
        <w:spacing w:after="0" w:line="176" w:lineRule="exact"/>
        <w:rPr>
          <w:sz w:val="20"/>
          <w:szCs w:val="20"/>
          <w:color w:val="auto"/>
        </w:rPr>
      </w:pPr>
    </w:p>
    <w:p>
      <w:pPr>
        <w:ind w:right="300" w:firstLine="366"/>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revenue disaggregated by product type and geographic origin, in Q2 FY26 from revenue in prior reporting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Quarterly Changes in Revenue by Product Type ($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7"/>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Q2 FY26 compared with Q1 FY26</w:t>
            </w: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Q2 FY26 compared with</w:t>
            </w:r>
          </w:p>
        </w:tc>
        <w:tc>
          <w:tcPr>
            <w:tcW w:w="60" w:type="dxa"/>
            <w:vAlign w:val="bottom"/>
          </w:tcPr>
          <w:p>
            <w:pPr>
              <w:spacing w:after="0"/>
              <w:rPr>
                <w:sz w:val="18"/>
                <w:szCs w:val="18"/>
                <w:color w:val="auto"/>
              </w:rPr>
            </w:pPr>
          </w:p>
        </w:tc>
        <w:tc>
          <w:tcPr>
            <w:tcW w:w="3300" w:type="dxa"/>
            <w:vAlign w:val="bottom"/>
            <w:gridSpan w:val="9"/>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YTD FY26 compared with YTD FY25</w:t>
            </w:r>
          </w:p>
        </w:tc>
        <w:tc>
          <w:tcPr>
            <w:tcW w:w="0" w:type="dxa"/>
            <w:vAlign w:val="bottom"/>
          </w:tcPr>
          <w:p>
            <w:pPr>
              <w:spacing w:after="0"/>
              <w:rPr>
                <w:sz w:val="1"/>
                <w:szCs w:val="1"/>
                <w:color w:val="auto"/>
              </w:rPr>
            </w:pPr>
          </w:p>
        </w:tc>
      </w:tr>
      <w:tr>
        <w:trPr>
          <w:trHeight w:val="130"/>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0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gridSpan w:val="4"/>
            <w:vMerge w:val="restart"/>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Q2 FY25</w:t>
            </w:r>
          </w:p>
        </w:tc>
        <w:tc>
          <w:tcPr>
            <w:tcW w:w="60" w:type="dxa"/>
            <w:vAlign w:val="bottom"/>
          </w:tcPr>
          <w:p>
            <w:pPr>
              <w:spacing w:after="0"/>
              <w:rPr>
                <w:sz w:val="11"/>
                <w:szCs w:val="11"/>
                <w:color w:val="auto"/>
              </w:rPr>
            </w:pPr>
          </w:p>
        </w:tc>
        <w:tc>
          <w:tcPr>
            <w:tcW w:w="33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88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Revenue in</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880" w:type="dxa"/>
            <w:vAlign w:val="bottom"/>
            <w:tcBorders>
              <w:top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860" w:type="dxa"/>
            <w:vAlign w:val="bottom"/>
            <w:tcBorders>
              <w:top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880" w:type="dxa"/>
            <w:vAlign w:val="bottom"/>
            <w:tcBorders>
              <w:top w:val="single" w:sz="8" w:color="auto"/>
            </w:tcBorders>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4"/>
              </w:rPr>
              <w:t>Q2 FY26</w:t>
            </w:r>
          </w:p>
        </w:tc>
        <w:tc>
          <w:tcPr>
            <w:tcW w:w="220" w:type="dxa"/>
            <w:vAlign w:val="bottom"/>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1"/>
                <w:szCs w:val="21"/>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YTD FY26</w:t>
            </w:r>
          </w:p>
        </w:tc>
        <w:tc>
          <w:tcPr>
            <w:tcW w:w="100" w:type="dxa"/>
            <w:vAlign w:val="bottom"/>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IC</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FPD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High-end photomasks typically have higher ASPs than mainstream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Quarterly Changes in Revenue by Geographic Origin ($ in millions) **</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Q2 FY26 compared with Q1 FY26</w:t>
            </w:r>
          </w:p>
        </w:tc>
        <w:tc>
          <w:tcPr>
            <w:tcW w:w="300" w:type="dxa"/>
            <w:vAlign w:val="bottom"/>
          </w:tcPr>
          <w:p>
            <w:pPr>
              <w:spacing w:after="0"/>
              <w:rPr>
                <w:sz w:val="21"/>
                <w:szCs w:val="21"/>
                <w:color w:val="auto"/>
              </w:rPr>
            </w:pPr>
          </w:p>
        </w:tc>
        <w:tc>
          <w:tcPr>
            <w:tcW w:w="60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Q2 FY26 compared with Q2 FY25   YTD FY26 compared with YTD FY25</w:t>
            </w: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Revenue</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82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00" w:type="dxa"/>
            <w:vAlign w:val="bottom"/>
            <w:vMerge w:val="restart"/>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14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vMerge w:val="restart"/>
          </w:tcPr>
          <w:p>
            <w:pPr>
              <w:spacing w:after="0"/>
              <w:rPr>
                <w:sz w:val="16"/>
                <w:szCs w:val="16"/>
                <w:color w:val="auto"/>
              </w:rPr>
            </w:pPr>
          </w:p>
        </w:tc>
        <w:tc>
          <w:tcPr>
            <w:tcW w:w="9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in</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82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Q2 FY26</w:t>
            </w:r>
          </w:p>
        </w:tc>
        <w:tc>
          <w:tcPr>
            <w:tcW w:w="200" w:type="dxa"/>
            <w:vAlign w:val="bottom"/>
          </w:tcPr>
          <w:p>
            <w:pPr>
              <w:spacing w:after="0"/>
              <w:rPr>
                <w:sz w:val="21"/>
                <w:szCs w:val="21"/>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21"/>
                <w:szCs w:val="21"/>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60" w:type="dxa"/>
            <w:vAlign w:val="bottom"/>
          </w:tcPr>
          <w:p>
            <w:pPr>
              <w:spacing w:after="0"/>
              <w:rPr>
                <w:sz w:val="21"/>
                <w:szCs w:val="21"/>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YTD FY26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1"/>
                <w:szCs w:val="21"/>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1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w:t>
            </w:r>
          </w:p>
        </w:tc>
        <w:tc>
          <w:tcPr>
            <w:tcW w:w="2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in Q2 FY26 was $209.9 million, a decrease of 6.7% compared with Q1 FY26, primarily driven by lower demand in our IC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with Q2 FY25, revenue decreased 0.5%, primarily due to lower revenue in the Asia IC market partially offset by growth in our FPD business.</w:t>
      </w:r>
    </w:p>
    <w:p>
      <w:pPr>
        <w:spacing w:after="0" w:line="20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IC revenue decreased $17.9 million or 10.8% in Q2 FY26 compared with Q1 FY26, and decreased $8.4 million or 5.4% compared with Q2 FY25, primarily due to delayed design releases. For the first six months of FY26, IC revenue increased $3.0 million or 1.0% compared with the first six months of FY25, primarily driven by increased global demand for high-end products.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FPD revenue increased $2.7 million or 4.4% in Q2 FY26 compared with Q1 FY26, and increased $7.3 million or 13.3% compared with Q2 FY25 primarily due to strong demand for high-end products in the Asia IT display market. For the first six months of FY26 FPD revenue increased $8.9 million or 7.9% compared with the first six months of FY25, primarily driven by the increased demand for both mainstream and high-end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2120" w:type="dxa"/>
            <w:vAlign w:val="bottom"/>
          </w:tcPr>
          <w:p>
            <w:pPr>
              <w:spacing w:after="0"/>
              <w:rPr>
                <w:sz w:val="21"/>
                <w:szCs w:val="21"/>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Q2 FY26</w:t>
            </w:r>
          </w:p>
        </w:tc>
        <w:tc>
          <w:tcPr>
            <w:tcW w:w="260" w:type="dxa"/>
            <w:vAlign w:val="bottom"/>
          </w:tcPr>
          <w:p>
            <w:pPr>
              <w:spacing w:after="0"/>
              <w:rPr>
                <w:sz w:val="21"/>
                <w:szCs w:val="21"/>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Q1 FY26</w:t>
            </w:r>
          </w:p>
        </w:tc>
        <w:tc>
          <w:tcPr>
            <w:tcW w:w="260" w:type="dxa"/>
            <w:vAlign w:val="bottom"/>
          </w:tcPr>
          <w:p>
            <w:pPr>
              <w:spacing w:after="0"/>
              <w:rPr>
                <w:sz w:val="21"/>
                <w:szCs w:val="21"/>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Q2 FY25</w:t>
            </w:r>
          </w:p>
        </w:tc>
        <w:tc>
          <w:tcPr>
            <w:tcW w:w="260" w:type="dxa"/>
            <w:vAlign w:val="bottom"/>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YTD FY26</w:t>
            </w:r>
          </w:p>
        </w:tc>
        <w:tc>
          <w:tcPr>
            <w:tcW w:w="280" w:type="dxa"/>
            <w:vAlign w:val="bottom"/>
          </w:tcPr>
          <w:p>
            <w:pPr>
              <w:spacing w:after="0"/>
              <w:rPr>
                <w:sz w:val="21"/>
                <w:szCs w:val="21"/>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YTD FY25</w:t>
            </w:r>
          </w:p>
        </w:tc>
        <w:tc>
          <w:tcPr>
            <w:tcW w:w="280" w:type="dxa"/>
            <w:vAlign w:val="bottom"/>
          </w:tcPr>
          <w:p>
            <w:pPr>
              <w:spacing w:after="0"/>
              <w:rPr>
                <w:sz w:val="21"/>
                <w:szCs w:val="21"/>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65.8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78.7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77.9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Pr>
          <w:p>
            <w:pPr>
              <w:spacing w:after="0"/>
              <w:rPr>
                <w:sz w:val="20"/>
                <w:szCs w:val="20"/>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31.3%</w:t>
            </w:r>
          </w:p>
        </w:tc>
        <w:tc>
          <w:tcPr>
            <w:tcW w:w="320" w:type="dxa"/>
            <w:vAlign w:val="bottom"/>
          </w:tcPr>
          <w:p>
            <w:pPr>
              <w:spacing w:after="0"/>
              <w:rPr>
                <w:sz w:val="20"/>
                <w:szCs w:val="20"/>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35.0%</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36.9%</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margin was 31.3% in Q2 FY26 compared with 35.0% in Q1 FY26, the decrease was primarily due to an unfavorable product mix.</w:t>
      </w:r>
    </w:p>
    <w:p>
      <w:pPr>
        <w:spacing w:after="0" w:line="225"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Gross margin decreased to 31.3% in Q2 FY26 from 36.9% in Q2 FY25, primarily due to higher labor and benefits costs, material costs and manufacturing costs.</w:t>
      </w:r>
    </w:p>
    <w:p>
      <w:pPr>
        <w:spacing w:after="0" w:line="16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Gross margin decreased to 33.2% for the first six months of FY26, compared with 36.3% for the first six months of FY25, primarily due to higher material costs, labor and benefits costs, and other manufacturing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right="500" w:firstLine="324"/>
        <w:spacing w:after="0" w:line="289" w:lineRule="auto"/>
        <w:rPr>
          <w:sz w:val="20"/>
          <w:szCs w:val="20"/>
          <w:color w:val="auto"/>
        </w:rPr>
      </w:pPr>
      <w:r>
        <w:rPr>
          <w:rFonts w:ascii="Times New Roman" w:cs="Times New Roman" w:eastAsia="Times New Roman" w:hAnsi="Times New Roman"/>
          <w:sz w:val="17"/>
          <w:szCs w:val="17"/>
          <w:color w:val="auto"/>
        </w:rPr>
        <w:t>Selling, general and administrative expenses were $20.8 million in Q2 FY26, compared with $21.3 million in Q1 FY26, and $18.1 million in Q2 FY25. Compared with Q1 FY26, selling, general and administrative expenses decreased $0.6 million primarily due to lower labor and benefits costs. Compared with Q2 FY25, selling, general and administrative expenses increased by $2.7 million primarily due to higher labor and benefits costs.</w:t>
      </w:r>
    </w:p>
    <w:p>
      <w:pPr>
        <w:spacing w:after="0" w:line="15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For the first six months of FY26, selling, general and administrative expenses were $42.1 million compared with $37.2 million for the first six months of FY25. The increase of $4.9 million was primarily due to higher labor and benefits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which primarily consist of development and qualification efforts related to process technologies for high-end IC and FPD applications, were $2.8 million in Q1 FY26 and $4.1 million in Q2 FY25. The $0.2 million increase from Q1 FY26 was primarily due to increased qualification activities in Asia. The $1.3 million decrease from Q2 FY25 was primarily due to reduced development activities in the U.S.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expenses were $5.4 million for the first six months of FY26, compared with $8.3 million for the first six months of FY25.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$2.9 million decrease was primarily due to reduced development activities in the U.S.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 ($ in millions)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Q2 FY26</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Q1 FY26</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Q2 FY25</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YTD FY26</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YTD FY25</w:t>
            </w:r>
          </w:p>
        </w:tc>
        <w:tc>
          <w:tcPr>
            <w:tcW w:w="100" w:type="dxa"/>
            <w:vAlign w:val="bottom"/>
          </w:tcPr>
          <w:p>
            <w:pPr>
              <w:spacing w:after="0"/>
              <w:rPr>
                <w:sz w:val="24"/>
                <w:szCs w:val="24"/>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20.7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2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31.3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Other Income decreased $8.0 million in Q2 FY26 compared with Q1 FY26 and increased $37.5 million compared with Q2 FY25, primarily due to foreign currency transaction gains and losses. These foreign currency impacts were primarily driven by fluctuations in the New Taiwan dollar and the South Korean won relative to the U.S. dollar.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500" w:firstLine="324"/>
        <w:spacing w:after="0" w:line="312" w:lineRule="auto"/>
        <w:rPr>
          <w:sz w:val="20"/>
          <w:szCs w:val="20"/>
          <w:color w:val="auto"/>
        </w:rPr>
      </w:pPr>
      <w:r>
        <w:rPr>
          <w:rFonts w:ascii="Times New Roman" w:cs="Times New Roman" w:eastAsia="Times New Roman" w:hAnsi="Times New Roman"/>
          <w:sz w:val="17"/>
          <w:szCs w:val="17"/>
          <w:color w:val="auto"/>
        </w:rPr>
        <w:t>Other Income increased by $32.1 million for the first six months of FY26 compared with the first six months of FY25, primarily due to foreign currency transaction gains and losses driven by favorable movements in the New Taiwan dollar and the South Korean won relative to the U.S. dollar.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 in millions)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Q2 FY26</w:t>
            </w: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Q1 FY26</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Q2 FY25</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YTD FY26</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YTD FY25</w:t>
            </w:r>
          </w:p>
        </w:tc>
        <w:tc>
          <w:tcPr>
            <w:tcW w:w="16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24.6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20"/>
                <w:szCs w:val="20"/>
                <w:color w:val="auto"/>
              </w:rPr>
            </w:pP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0"/>
                <w:szCs w:val="20"/>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8"/>
              </w:rPr>
              <w:t>23.0%</w:t>
            </w:r>
          </w:p>
        </w:tc>
      </w:tr>
    </w:tbl>
    <w:p>
      <w:pPr>
        <w:spacing w:after="0" w:line="179" w:lineRule="exact"/>
        <w:rPr>
          <w:sz w:val="20"/>
          <w:szCs w:val="20"/>
          <w:color w:val="auto"/>
        </w:rPr>
      </w:pPr>
    </w:p>
    <w:p>
      <w:pPr>
        <w:ind w:right="120" w:firstLine="369"/>
        <w:spacing w:after="0" w:line="258" w:lineRule="auto"/>
        <w:rPr>
          <w:sz w:val="20"/>
          <w:szCs w:val="20"/>
          <w:color w:val="auto"/>
        </w:rPr>
      </w:pPr>
      <w:r>
        <w:rPr>
          <w:rFonts w:ascii="Times New Roman" w:cs="Times New Roman" w:eastAsia="Times New Roman" w:hAnsi="Times New Roman"/>
          <w:sz w:val="18"/>
          <w:szCs w:val="18"/>
          <w:color w:val="auto"/>
        </w:rPr>
        <w:t>On December 15, 2022, the European Union (EU) Member States formally adopted the EU’s Pillar Two Directive, which generally provides for a minimum effective tax rate of 15%, as established by the Organization for Economic Co-operation and Development (OECD) Pillar Two Framework. The EU effective dates were January 1, 2024, and January 1, 2025, for different aspects of the directive. A significant number of other countries continue to implement similar legislation with varying effective dates. The Company is currently subject to Pillar Two, but we estimate that the financial impact is currently immaterial. We will continuously evaluate the potential impact of the Pillar Two Framework as future changes in legislation are enacted.</w:t>
      </w:r>
    </w:p>
    <w:p>
      <w:pPr>
        <w:spacing w:after="0" w:line="18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changes to federal tax law and other regulatory provisions that may impact the Company. As the legislation enacted applies to tax years beginning after December 31, 2024, the impacts are effective starting in FY26. The Company has evaluated applicable provisions of the OBBBA for FY26 and has included the estimated impacts within the FY26 provision.</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effective income tax rate is sensitive to the jurisdictional mix of earnings.</w:t>
      </w:r>
    </w:p>
    <w:p>
      <w:pPr>
        <w:spacing w:after="0" w:line="225" w:lineRule="exact"/>
        <w:rPr>
          <w:sz w:val="20"/>
          <w:szCs w:val="20"/>
          <w:color w:val="auto"/>
        </w:rPr>
      </w:pPr>
    </w:p>
    <w:p>
      <w:pPr>
        <w:ind w:right="160" w:firstLine="366"/>
        <w:spacing w:after="0" w:line="282" w:lineRule="auto"/>
        <w:rPr>
          <w:sz w:val="20"/>
          <w:szCs w:val="20"/>
          <w:color w:val="auto"/>
        </w:rPr>
      </w:pPr>
      <w:r>
        <w:rPr>
          <w:rFonts w:ascii="Times New Roman" w:cs="Times New Roman" w:eastAsia="Times New Roman" w:hAnsi="Times New Roman"/>
          <w:sz w:val="18"/>
          <w:szCs w:val="18"/>
          <w:color w:val="auto"/>
        </w:rPr>
        <w:t>The effective income tax rate increased in Q2 FY26, compared with Q1 FY26, primarily due to an increase in foreign taxes as well as changes in the jurisdictional mix of earnings.</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increased in Q2 FY26, compared with Q2 FY25, primarily due to an increase in foreign taxes as well as changes in the jurisdictional mix of earnings.</w:t>
      </w:r>
    </w:p>
    <w:p>
      <w:pPr>
        <w:spacing w:after="0" w:line="162" w:lineRule="exact"/>
        <w:rPr>
          <w:sz w:val="20"/>
          <w:szCs w:val="20"/>
          <w:color w:val="auto"/>
        </w:rPr>
      </w:pPr>
    </w:p>
    <w:p>
      <w:pPr>
        <w:ind w:firstLine="366"/>
        <w:spacing w:after="0" w:line="282" w:lineRule="auto"/>
        <w:rPr>
          <w:sz w:val="20"/>
          <w:szCs w:val="20"/>
          <w:color w:val="auto"/>
        </w:rPr>
      </w:pPr>
      <w:r>
        <w:rPr>
          <w:rFonts w:ascii="Times New Roman" w:cs="Times New Roman" w:eastAsia="Times New Roman" w:hAnsi="Times New Roman"/>
          <w:sz w:val="18"/>
          <w:szCs w:val="18"/>
          <w:color w:val="auto"/>
        </w:rPr>
        <w:t>The effective income tax rate decrease in YTD FY26 compared with YTD FY25, is primarily due to an investment tax credit in a non-U.S. jurisdiction in FY26.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29" w:lineRule="exact"/>
        <w:rPr>
          <w:sz w:val="20"/>
          <w:szCs w:val="20"/>
          <w:color w:val="auto"/>
        </w:rPr>
      </w:pPr>
    </w:p>
    <w:p>
      <w:pPr>
        <w:jc w:val="both"/>
        <w:ind w:right="340" w:firstLine="369"/>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was $11.8 million in Q2 FY26, compared with $17.2 million in Q1 FY26; the decrease was the result of a reduction in net income at the Company’s Taiwan-based joint venture. Net income attributable to noncontrolling interests decreased by $3.5 million in Q2 FY26 from Q2 FY25, as a result of decreased net income at the Company’s China-based IC facility.</w:t>
      </w:r>
    </w:p>
    <w:p>
      <w:pPr>
        <w:spacing w:after="0" w:line="176" w:lineRule="exact"/>
        <w:rPr>
          <w:sz w:val="20"/>
          <w:szCs w:val="20"/>
          <w:color w:val="auto"/>
        </w:rPr>
      </w:pPr>
    </w:p>
    <w:p>
      <w:pPr>
        <w:jc w:val="both"/>
        <w:ind w:right="360" w:firstLine="324"/>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was $29.1 million in YTD FY26, compared with $30.8 million in YTD FY25. The $1.7 million decrease was a result of decreased net income at the Company’s joint-venture operations.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primary sources of liquidity are our cash on hand and cash we generate from operations. Cash and cash equivalents were $511.5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$492.3 million as of May 3, 2026, and October 31, 2025, respectively. As of May 3, 2026, total cash and cash equivalents included $464.9 million held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subsidiaries, including an aggregate of $389.2 million held by our joint ventures in Taiwan and China (consisting of $323.4 million held by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joint venture in Taiwan and $65.8 million held by our joint ventures in China). In addition, we currently have CNY 200 million or $25 million of borrowing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at our discretion, in China to support local operations. This facility is subject to annual reviews and extensions with a current expiration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2026. As of May 3, 2026, PDMCX had no outstanding borrowings against the facility.</w:t>
      </w:r>
    </w:p>
    <w:p>
      <w:pPr>
        <w:spacing w:after="0" w:line="207"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We consolidate our joint venture entities and control the boards of directors of such entities. In addition, we possess sufficient voting rights under the applicable joint venture agreements to approve dividend distributions through the ordinary governance process. Cash dividend declarations by our joint ventures do not require supermajority approval and cannot be blocked by minority shareholders. Accordingly, we believe the governance structure of our joint venture entities does not restrict our ability to cause distributions to be made from such entities. Transfers of funds from China are subject to the procedures and requirements of China’s State Administration of Foreign Exchange, as well as applicable withholding taxes and other local compliance requirements. However, we believe that these considerations primarily affect the timing, administrative process, and net proceeds associated with distributions rather than our ability to access the underlying cash balances.</w:t>
      </w:r>
    </w:p>
    <w:p>
      <w:pPr>
        <w:spacing w:after="0" w:line="18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continually evaluate alternatives for efficiently funding our capital expenditures and ongoing operations. These reviews may result in our engagement in a variety of investing and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the cash we generate from operations and short-term investments, we plan to continue to invest in our business, with investments targeted to align with our customers’ technology road maps. In addition, we stand ready to invest in mergers, acquisitions, or strategic partnerships, should a suitable opportunity arise.</w:t>
      </w:r>
    </w:p>
    <w:p>
      <w:pPr>
        <w:spacing w:after="0" w:line="192" w:lineRule="exact"/>
        <w:rPr>
          <w:sz w:val="20"/>
          <w:szCs w:val="20"/>
          <w:color w:val="auto"/>
        </w:rPr>
      </w:pPr>
    </w:p>
    <w:p>
      <w:pPr>
        <w:ind w:right="80" w:firstLine="366"/>
        <w:spacing w:after="0" w:line="256" w:lineRule="auto"/>
        <w:rPr>
          <w:sz w:val="20"/>
          <w:szCs w:val="20"/>
          <w:color w:val="auto"/>
        </w:rPr>
      </w:pPr>
      <w:r>
        <w:rPr>
          <w:rFonts w:ascii="Times New Roman" w:cs="Times New Roman" w:eastAsia="Times New Roman" w:hAnsi="Times New Roman"/>
          <w:sz w:val="18"/>
          <w:szCs w:val="18"/>
          <w:color w:val="auto"/>
        </w:rPr>
        <w:t>We estimate our capital expenditures for fiscal year 2026 will be approximately $330 million mainly in Asia and the U.S.; these investments will be targeted towards high-end and mainstream capacity that will increase the operating capability and efficiency, and enable us to support our customers’ near-term demands. As of May 3, 2026, we had outstanding capital commitments of approximately $172.0 million and accrued liabilities related to capital equipment purchases of approximately $39.3 million. Although payment timing could vary, primarily as a result of the timing of tool delivery, installation and testing, we currently estimate that we will fund $199.0 million of our total $211.3 million committed and recognized obligations for capital expenditures over the next twelve months.</w:t>
      </w:r>
    </w:p>
    <w:p>
      <w:pPr>
        <w:spacing w:after="0" w:line="187" w:lineRule="exact"/>
        <w:rPr>
          <w:sz w:val="20"/>
          <w:szCs w:val="20"/>
          <w:color w:val="auto"/>
        </w:rPr>
      </w:pPr>
    </w:p>
    <w:p>
      <w:pPr>
        <w:ind w:right="220" w:firstLine="369"/>
        <w:spacing w:after="0" w:line="258" w:lineRule="auto"/>
        <w:rPr>
          <w:sz w:val="20"/>
          <w:szCs w:val="20"/>
          <w:color w:val="auto"/>
        </w:rPr>
      </w:pPr>
      <w:r>
        <w:rPr>
          <w:rFonts w:ascii="Times New Roman" w:cs="Times New Roman" w:eastAsia="Times New Roman" w:hAnsi="Times New Roman"/>
          <w:sz w:val="18"/>
          <w:szCs w:val="18"/>
          <w:color w:val="auto"/>
        </w:rPr>
        <w:t>On August 28, 2024, the Board of Directors authorized an increase to the Company’s existing share repurchase program from the remaining $31.7 million to $100 million. In June 2025, the Board of Directors authorized an additional $25 million of share repurchases. During the fiscal year ended October 31, 2025, the Company repurchased 5.0 million shares for $97.4 million. During the three-month and six-month periods ended May 3, 2026, the Company did not repurchase any shares. As a result, $27.6 million remained available under this authorization as of May 3, 2026. Depending on market conditions, we may utilize some or the entire remaining approved amount to reacquire additional shares.</w:t>
      </w:r>
    </w:p>
    <w:p>
      <w:pPr>
        <w:spacing w:after="0" w:line="181" w:lineRule="exact"/>
        <w:rPr>
          <w:sz w:val="20"/>
          <w:szCs w:val="20"/>
          <w:color w:val="auto"/>
        </w:rPr>
      </w:pPr>
    </w:p>
    <w:p>
      <w:pPr>
        <w:ind w:firstLine="359"/>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Note 6 </w:t>
      </w:r>
      <w:r>
        <w:rPr>
          <w:rFonts w:ascii="Times New Roman" w:cs="Times New Roman" w:eastAsia="Times New Roman" w:hAnsi="Times New Roman"/>
          <w:sz w:val="18"/>
          <w:szCs w:val="18"/>
          <w:i w:val="1"/>
          <w:iCs w:val="1"/>
          <w:color w:val="auto"/>
        </w:rPr>
        <w:t>– PDMCX Joint Venture</w:t>
      </w:r>
      <w:r>
        <w:rPr>
          <w:rFonts w:ascii="Times New Roman" w:cs="Times New Roman" w:eastAsia="Times New Roman" w:hAnsi="Times New Roman"/>
          <w:sz w:val="18"/>
          <w:szCs w:val="18"/>
          <w:color w:val="auto"/>
        </w:rPr>
        <w:t xml:space="preserve"> of the Company’s condensed consolidated financial statements, DNP, the noncontrolling interest in the Company’s China-based joint venture has, under certain circumstances, the right to put its interest in the joint venture to Photronics, or to purchase the Company’s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May 3, 2026, Photronics and DNP each had net investments in this joint venture of approximately $177.1 million.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 in millions)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YTD FY26</w:t>
            </w:r>
          </w:p>
        </w:tc>
        <w:tc>
          <w:tcPr>
            <w:tcW w:w="1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YTD FY25</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color w:val="auto"/>
        </w:rPr>
        <w:t>: Net cash from operating activities reflects net income adjusted for certain non-cash items, including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and the effects of changes in operating assets and liabilities. Net cash provided by operating activities increased by $34.4 million in YTD FY26, compared with the same period of FY25, primarily due to the increased net income and positive changes in working capital.</w:t>
      </w:r>
    </w:p>
    <w:p>
      <w:pPr>
        <w:spacing w:after="0" w:line="180" w:lineRule="exact"/>
        <w:rPr>
          <w:sz w:val="20"/>
          <w:szCs w:val="20"/>
          <w:color w:val="auto"/>
        </w:rPr>
      </w:pPr>
    </w:p>
    <w:p>
      <w:pPr>
        <w:ind w:right="540"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color w:val="auto"/>
        </w:rPr>
        <w:t>: Net cash flows used in investing activities increased by $37.0 million in YTD FY26, compared to the same period in FY25,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an increase in purchases of short-term investments of $78.1 million, partially offset by $37.4 million increase in proceeds from maturities and sales of short-term investments.</w:t>
      </w:r>
    </w:p>
    <w:p>
      <w:pPr>
        <w:spacing w:after="0" w:line="173"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color w:val="auto"/>
        </w:rPr>
        <w:t>: Net cash used in financing activities decreased by $94.7 million in YTD FY26, compared to the same period in FY25. This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decrease in debt repayments of $18.0 million and common stock repurchases of $76.7 million.</w:t>
      </w:r>
    </w:p>
    <w:p>
      <w:pPr>
        <w:spacing w:after="0" w:line="160" w:lineRule="exact"/>
        <w:rPr>
          <w:sz w:val="20"/>
          <w:szCs w:val="20"/>
          <w:color w:val="auto"/>
        </w:rPr>
      </w:pPr>
    </w:p>
    <w:p>
      <w:pPr>
        <w:ind w:right="120" w:firstLine="366"/>
        <w:spacing w:after="0" w:line="282" w:lineRule="auto"/>
        <w:rPr>
          <w:sz w:val="20"/>
          <w:szCs w:val="20"/>
          <w:color w:val="auto"/>
        </w:rPr>
      </w:pPr>
      <w:r>
        <w:rPr>
          <w:rFonts w:ascii="Times New Roman" w:cs="Times New Roman" w:eastAsia="Times New Roman" w:hAnsi="Times New Roman"/>
          <w:sz w:val="18"/>
          <w:szCs w:val="18"/>
          <w:color w:val="auto"/>
        </w:rPr>
        <w:t>The Company’s cash, cash equivalents, and restricted cash balances were negatively impacted by changes in foreign currency exchange rates in YTD FY26 by $6.7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60" w:firstLine="369"/>
        <w:spacing w:after="0" w:line="254" w:lineRule="auto"/>
        <w:rPr>
          <w:sz w:val="20"/>
          <w:szCs w:val="20"/>
          <w:color w:val="auto"/>
        </w:rPr>
      </w:pPr>
      <w:r>
        <w:rPr>
          <w:rFonts w:ascii="Times New Roman" w:cs="Times New Roman" w:eastAsia="Times New Roman" w:hAnsi="Times New Roman"/>
          <w:sz w:val="18"/>
          <w:szCs w:val="18"/>
          <w:color w:val="auto"/>
        </w:rPr>
        <w:t>Non-GAAP Net Income attributable to Photronics, Inc. shareholders and non-GAAP diluted earnings per share attributable to Photronics, Inc. shareholders are “non-GAAP financial measures” as such term is defined by Regulation G of the Securities and Exchange Commission and may differ from similarly named non-GAAP financial measures used by other companies. The financial tables below reconcile Photronics, Inc. financial results under U.S. GAAP to our non-GAAP financial information. We believe these non-GAAP financial measures that exclude certain items are useful for analysts and investors to evaluate the Company’s on-going performance because they enable a more meaningful comparison of historical results of the Company’s core business. These non-GAAP metrics are not a measure of consolidated operating results under U.S. GAAP and should not be considered as an alternative to Net income (loss), Net income (loss) per share, or any other measure of consolidated results under U.S. GAAP. The items excluded from these non-GAAP metrics but included in the calculation of their closest U.S. GAAP equivalent, are significant components of the condensed consolidated statement of income and must be considered in performing a comprehensive assessment of overall financial performance.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366"/>
        <w:spacing w:after="0" w:line="312" w:lineRule="auto"/>
        <w:rPr>
          <w:sz w:val="20"/>
          <w:szCs w:val="20"/>
          <w:color w:val="auto"/>
        </w:rPr>
      </w:pPr>
      <w:r>
        <w:rPr>
          <w:rFonts w:ascii="Times New Roman" w:cs="Times New Roman" w:eastAsia="Times New Roman" w:hAnsi="Times New Roman"/>
          <w:sz w:val="17"/>
          <w:szCs w:val="17"/>
          <w:color w:val="auto"/>
        </w:rPr>
        <w:t>The following table reconciles U.S. GAAP net income and diluted earnings per share attributable to Photronics, Inc. shareholders to the non-GAAP net income and diluted earnings per share attributable to Photronics, Inc. shareholders for the indicated periods. The columns may not foot due to rounding.</w:t>
      </w:r>
    </w:p>
    <w:p>
      <w:pPr>
        <w:spacing w:after="0" w:line="13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540"/>
              <w:spacing w:after="0" w:line="201" w:lineRule="exact"/>
              <w:rPr>
                <w:sz w:val="20"/>
                <w:szCs w:val="20"/>
                <w:color w:val="auto"/>
              </w:rPr>
            </w:pPr>
            <w:r>
              <w:rPr>
                <w:rFonts w:ascii="Times New Roman" w:cs="Times New Roman" w:eastAsia="Times New Roman" w:hAnsi="Times New Roman"/>
                <w:sz w:val="18"/>
                <w:szCs w:val="18"/>
                <w:b w:val="1"/>
                <w:bCs w:val="1"/>
                <w:color w:val="auto"/>
              </w:rPr>
              <w:t>May 3,</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520"/>
              <w:spacing w:after="0" w:line="201" w:lineRule="exact"/>
              <w:rPr>
                <w:sz w:val="20"/>
                <w:szCs w:val="20"/>
                <w:color w:val="auto"/>
              </w:rPr>
            </w:pPr>
            <w:r>
              <w:rPr>
                <w:rFonts w:ascii="Times New Roman" w:cs="Times New Roman" w:eastAsia="Times New Roman" w:hAnsi="Times New Roman"/>
                <w:sz w:val="18"/>
                <w:szCs w:val="18"/>
                <w:b w:val="1"/>
                <w:bCs w:val="1"/>
                <w:color w:val="auto"/>
              </w:rPr>
              <w:t>Feb 1,</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0"/>
              <w:spacing w:after="0" w:line="201"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7"/>
                <w:szCs w:val="17"/>
                <w:color w:val="auto"/>
              </w:rPr>
            </w:pPr>
          </w:p>
        </w:tc>
      </w:tr>
      <w:tr>
        <w:trPr>
          <w:trHeight w:val="245"/>
        </w:trPr>
        <w:tc>
          <w:tcPr>
            <w:tcW w:w="7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to non-GAAP net income: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GAAP net income attributable to Photronics, Inc. shareholders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42,939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FX (gain) loss</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(7,869)</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(12,865)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31,111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Estimated tax effects of FX (gain) loss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(8,337)</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noncontrolling interest effects of above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3,032</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(7,376)</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attributable to Photronics, Inc. shareholders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58,745</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58,390</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60,974</w:t>
            </w:r>
          </w:p>
        </w:tc>
      </w:tr>
      <w:tr>
        <w:trPr>
          <w:trHeight w:val="210"/>
        </w:trPr>
        <w:tc>
          <w:tcPr>
            <w:tcW w:w="7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to non-GAAP EPS: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GAAP diluted earnings per share attributable to Photronics, Inc. shareholders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Effects of the non-GAAP adjustments above</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earnings per share attributable to Photronics, Inc. shareholders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firstLine="369"/>
        <w:spacing w:after="0" w:line="266" w:lineRule="auto"/>
        <w:rPr>
          <w:sz w:val="20"/>
          <w:szCs w:val="20"/>
          <w:color w:val="auto"/>
        </w:rPr>
      </w:pPr>
      <w:r>
        <w:rPr>
          <w:rFonts w:ascii="Times New Roman" w:cs="Times New Roman" w:eastAsia="Times New Roman" w:hAnsi="Times New Roman"/>
          <w:sz w:val="18"/>
          <w:szCs w:val="18"/>
          <w:color w:val="auto"/>
        </w:rPr>
        <w:t xml:space="preserve">Our current business outlook and guidance was provided in the Photronics Q2 FY26 earnings press release, earnings presentation, and financial results conference call, but is not incorporated herein. These can be accessed in the investor section of our website - </w:t>
      </w:r>
      <w:r>
        <w:rPr>
          <w:rFonts w:ascii="Times New Roman" w:cs="Times New Roman" w:eastAsia="Times New Roman" w:hAnsi="Times New Roman"/>
          <w:sz w:val="18"/>
          <w:szCs w:val="18"/>
          <w:u w:val="single" w:color="auto"/>
          <w:color w:val="auto"/>
        </w:rPr>
        <w:t>www.photronics.com</w:t>
      </w:r>
      <w:r>
        <w:rPr>
          <w:rFonts w:ascii="Times New Roman" w:cs="Times New Roman" w:eastAsia="Times New Roman" w:hAnsi="Times New Roman"/>
          <w:sz w:val="18"/>
          <w:szCs w:val="18"/>
          <w:color w:val="auto"/>
        </w:rPr>
        <w:t>. Information included on our website is not incorporated in this Form 10-Q.</w:t>
      </w:r>
    </w:p>
    <w:p>
      <w:pPr>
        <w:spacing w:after="0" w:line="176" w:lineRule="exact"/>
        <w:rPr>
          <w:sz w:val="20"/>
          <w:szCs w:val="20"/>
          <w:color w:val="auto"/>
        </w:rPr>
      </w:pPr>
    </w:p>
    <w:p>
      <w:pPr>
        <w:ind w:right="560" w:firstLine="369"/>
        <w:spacing w:after="0" w:line="261" w:lineRule="auto"/>
        <w:rPr>
          <w:sz w:val="20"/>
          <w:szCs w:val="20"/>
          <w:color w:val="auto"/>
        </w:rPr>
      </w:pPr>
      <w:r>
        <w:rPr>
          <w:rFonts w:ascii="Times New Roman" w:cs="Times New Roman" w:eastAsia="Times New Roman" w:hAnsi="Times New Roman"/>
          <w:sz w:val="18"/>
          <w:szCs w:val="18"/>
          <w:color w:val="auto"/>
        </w:rPr>
        <w:t>Our future results of operations and the other forward-looking statements contained in this filing and in the Photronics Q2 FY26 earnings press release, and the related financial results conference call and earnings presentation involve a number of risks and uncertainties, some of which were discussed in Part I, Item 1A of our 2025 Form 10-K. These factors and a number of other unforeseeable factors could cause actual results to differ materially from our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Please refer to Part II, Item 7 of our 2025 Form 10-K for discussion of our critical accounting estimates. There have been no changes to our critical accounting estimates since the filing of our Form 10-K for the year ended October 31, 2025.</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conduct business in several major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yuan, and the Singapore dollar. The functional currencies of our European subsidiaries are the British pound sterling and the euro. In addition, we engage in transactions and have exposures to the Japanese yen.</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entity where it was produced, or purchase products in a currency that differs from the functional currency of the purchasing entity. We may also enter into derivative contracts to mitigate our exposure to foreign currency fluctuations when we have a significant purchase obligation or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9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primary net foreign currency exposures as of May 3, 2026, included the South Korean won, the Japanese yen, the New Taiwan dollar, the Chinese yuan, the Singapore dollar, the British pound sterling, and the euro. As of that date, a 10% adverse movement in the value of currencies different from the functional currencies of our subsidiaries would have resulted in a net unrealized pre-tax loss of $66.8 million, which represents a decrease of $2.3 million from our exposure as of February 1, 2026. Our most significant exposures at May 3, 2026, were exposures of the New Taiwan dollar and the South Korean won against the U.S. dollar. We do not believe that a 10% change in the exchange rates of other non-U.S. dollar currencies, other than the aforementioned currencies, would have had a material effect on our May 3, 2026,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260" w:firstLine="359"/>
        <w:spacing w:after="0" w:line="312" w:lineRule="auto"/>
        <w:rPr>
          <w:sz w:val="20"/>
          <w:szCs w:val="20"/>
          <w:color w:val="auto"/>
        </w:rPr>
      </w:pPr>
      <w:r>
        <w:rPr>
          <w:rFonts w:ascii="Times New Roman" w:cs="Times New Roman" w:eastAsia="Times New Roman" w:hAnsi="Times New Roman"/>
          <w:sz w:val="17"/>
          <w:szCs w:val="17"/>
          <w:color w:val="auto"/>
        </w:rPr>
        <w:t>A 10% adverse or favorable movement in the interest rates on our variable rate borrowings would not have had a material effect on the Company’s May 3, 2026, condensed consolidated financial statements, as there were no variable rate borrowings outstanding as of the balance sheet date.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ind w:right="40" w:firstLine="369"/>
        <w:spacing w:after="0" w:line="261" w:lineRule="auto"/>
        <w:rPr>
          <w:sz w:val="20"/>
          <w:szCs w:val="20"/>
          <w:color w:val="auto"/>
        </w:rPr>
      </w:pPr>
      <w:r>
        <w:rPr>
          <w:rFonts w:ascii="Times New Roman" w:cs="Times New Roman" w:eastAsia="Times New Roman" w:hAnsi="Times New Roman"/>
          <w:sz w:val="18"/>
          <w:szCs w:val="18"/>
          <w:color w:val="auto"/>
        </w:rPr>
        <w:t>Inflationary factors generally affect us by increasing our labor and overhead costs, as well as costs associated with certain risks identified above, which may adversely affect our results of operations and financial position. We have historically been able to recover the impacts of inflation through sales price increases; however, we cannot reasonably estimate our ability to successfully recover any impact of inflation through price increases in the future. Our inability to do so could harm our results of operations and financial position.</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have established, and currently maintain, disclosure controls and procedures, as such term is defined in Rules 13a-15(e) and 15d-15(e) of the Exchange Act, designed to provide reasonable assurance that information required to be disclosed in reports filed under the Exchange Act, is recorded, processed, summarized, and reported within the time periods specified in the SEC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was required to apply its judgment in evaluating the cost-benefit relationship of possible controls and procedures.</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100" w:right="40" w:firstLine="234"/>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fiscal quarter ended May 3, 2026 that have materially affected, or are reasonably likely to materially affect, our internal control over financial reporting.</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Please refer to Note 12 within Part I, Item 1 of this report for information on legal proceedings involving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There have been no material changes to our risk factors as set forth in “Item 1A. Risk Factors” in our 2025 Form 10-K.</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10b-18 of the Exchange Act. The repurchase authorization by the Board of Directors has no expiration date, does not obligate the Company to acquire any common stock, and is subject to market conditions. From September 2020 through October 2022, the Company repurchased 5.8 million shares at a cost of $68.3 million. In August 2024, the Board of Directors authorized an increase to the Company’s existing share repurchase program from the remaining $31.7 million up to $100 million. In June 2025, the Board of Directors authorized an additional $25 million of share repurchases. In fiscal year 2025, the Company repurchased 5.0 million shares at a cost of $97.4 million (an average of $19.52 per share). All shares repurchased under the program have been retired prior to the end of the fiscal quarter in which they were purchased. During the three-month and six-month periods ended May 3, 2026, the Company did not repurchase any additional shares. As of May 3, 2026, $27.6 million remained available under this authorization for the repurchase of shares.</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directors and officers (as defined in Rule 16a-1 under the Exchange Act) may from time to time enter into plans or other arrangements for the purchase or sale of our shares that are intended to satisfy the affirmative defense conditions of Rule 10b5–1(c) or may represent a non-Rule 10b5-1 trading arrangement under the Exchange Act.</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No such plans or arrangements were adopted or terminated, including by modification, by any director or officer (as defined in Rule 16a-1 under the Exchange Act) during the quarter ended May 3, 2026.</w:t>
      </w:r>
    </w:p>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65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0" w:type="dxa"/>
            <w:vAlign w:val="bottom"/>
            <w:gridSpan w:val="2"/>
            <w:vMerge w:val="restart"/>
          </w:tcPr>
          <w:p>
            <w:pPr>
              <w:spacing w:after="0"/>
              <w:rPr>
                <w:sz w:val="14"/>
                <w:szCs w:val="14"/>
                <w:color w:val="auto"/>
              </w:rPr>
            </w:pPr>
          </w:p>
        </w:tc>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bottom w:val="single" w:sz="8" w:color="auto"/>
            </w:tcBorders>
            <w:gridSpan w:val="2"/>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2400" w:type="dxa"/>
            <w:vAlign w:val="bottom"/>
          </w:tcPr>
          <w:p>
            <w:pPr>
              <w:spacing w:after="0"/>
              <w:rPr>
                <w:sz w:val="17"/>
                <w:szCs w:val="17"/>
                <w:color w:val="auto"/>
              </w:rPr>
            </w:pPr>
          </w:p>
        </w:tc>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60" w:type="dxa"/>
            <w:vAlign w:val="bottom"/>
          </w:tcPr>
          <w:p>
            <w:pPr>
              <w:spacing w:after="0"/>
              <w:rPr>
                <w:sz w:val="17"/>
                <w:szCs w:val="17"/>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9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Filing Date</w:t>
            </w:r>
          </w:p>
        </w:tc>
        <w:tc>
          <w:tcPr>
            <w:tcW w:w="300" w:type="dxa"/>
            <w:vAlign w:val="bottom"/>
          </w:tcPr>
          <w:p>
            <w:pPr>
              <w:spacing w:after="0"/>
              <w:rPr>
                <w:sz w:val="17"/>
                <w:szCs w:val="17"/>
                <w:color w:val="auto"/>
              </w:rPr>
            </w:pPr>
          </w:p>
        </w:tc>
        <w:tc>
          <w:tcPr>
            <w:tcW w:w="800" w:type="dxa"/>
            <w:vAlign w:val="bottom"/>
            <w:tcBorders>
              <w:bottom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Furnished</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6"/>
          </w:tcPr>
          <w:p>
            <w:pPr>
              <w:jc w:val="center"/>
              <w:ind w:left="51"/>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400" w:type="dxa"/>
            <w:vAlign w:val="bottom"/>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5"/>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56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13a-14(a)/15d-</w:t>
            </w: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center"/>
              <w:ind w:right="36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2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56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14(a) of the Exchange Act, as adopted pursuant to Section 302 of the</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56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13a-14(a)/15d-</w:t>
            </w: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center"/>
              <w:ind w:right="36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2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56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14(a) of the Exchange Act, as adopted pursuant to Section 302 of the</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56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w:t>
            </w: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center"/>
              <w:ind w:right="36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2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56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 of</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2002.</w:t>
            </w:r>
          </w:p>
        </w:tc>
        <w:tc>
          <w:tcPr>
            <w:tcW w:w="8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56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w:t>
            </w: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center"/>
              <w:ind w:right="36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2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56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 of</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2002.</w:t>
            </w:r>
          </w:p>
        </w:tc>
        <w:tc>
          <w:tcPr>
            <w:tcW w:w="8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2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556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in the Interactive Data File because its XBRL tags are embedded within the</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document)</w:t>
            </w: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5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5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5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5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5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56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 Exhibit 101)</w:t>
            </w: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60" w:type="dxa"/>
            <w:vAlign w:val="bottom"/>
            <w:gridSpan w:val="3"/>
          </w:tcPr>
          <w:p>
            <w:pPr>
              <w:ind w:left="4540"/>
              <w:spacing w:after="0"/>
              <w:rPr>
                <w:sz w:val="20"/>
                <w:szCs w:val="20"/>
                <w:color w:val="auto"/>
              </w:rPr>
            </w:pPr>
            <w:r>
              <w:rPr>
                <w:rFonts w:ascii="Times New Roman" w:cs="Times New Roman" w:eastAsia="Times New Roman" w:hAnsi="Times New Roman"/>
                <w:sz w:val="14"/>
                <w:szCs w:val="14"/>
                <w:color w:val="auto"/>
              </w:rPr>
              <w:t>38</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16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5285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President, Chief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00" w:lineRule="exact"/>
        <w:rPr>
          <w:sz w:val="20"/>
          <w:szCs w:val="20"/>
          <w:color w:val="auto"/>
        </w:rPr>
      </w:pPr>
    </w:p>
    <w:p>
      <w:pPr>
        <w:spacing w:after="0" w:line="241" w:lineRule="exact"/>
        <w:rPr>
          <w:sz w:val="20"/>
          <w:szCs w:val="20"/>
          <w:color w:val="auto"/>
        </w:rPr>
      </w:pPr>
    </w:p>
    <w:p>
      <w:pPr>
        <w:ind w:left="16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RUI (ELIE)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5285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RUI (ELIE) ZHANG</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Vice President, Corporate Controller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6" w:right="5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C. Macricostas, certify that:</w:t>
      </w:r>
    </w:p>
    <w:p>
      <w:pPr>
        <w:spacing w:after="0" w:line="22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C.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8543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C. Macricostas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Rivera, certify that:</w:t>
      </w:r>
    </w:p>
    <w:p>
      <w:pPr>
        <w:spacing w:after="0" w:line="22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8543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C. Macricostas, Chief Executive Officer of Photronics, Inc. (the “Company”), certify, to my knowledge, pursuant to Section 906 of the Sarbanes-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18 U.S.C. Section 1350, that:</w:t>
      </w:r>
    </w:p>
    <w:p>
      <w:pPr>
        <w:spacing w:after="0" w:line="207" w:lineRule="exact"/>
        <w:rPr>
          <w:sz w:val="20"/>
          <w:szCs w:val="20"/>
          <w:color w:val="auto"/>
        </w:rPr>
      </w:pPr>
    </w:p>
    <w:p>
      <w:pPr>
        <w:ind w:left="500" w:hanging="492"/>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May 3, 2026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GEORGE C.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8543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C. Macricostas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Rivera, President and Chief Financial Officer of Photronics, Inc. (the “Company”), certify, to my knowledge, pursuant to Section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w:t>
      </w:r>
    </w:p>
    <w:p>
      <w:pPr>
        <w:spacing w:after="0" w:line="207" w:lineRule="exact"/>
        <w:rPr>
          <w:sz w:val="20"/>
          <w:szCs w:val="20"/>
          <w:color w:val="auto"/>
        </w:rPr>
      </w:pPr>
    </w:p>
    <w:p>
      <w:pPr>
        <w:ind w:left="500" w:hanging="492"/>
        <w:spacing w:after="0" w:line="28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May 3, 2026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8543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2026-06-11T14:22:59Z</dcterms:created>
  <dcterms:modified xsi:type="dcterms:W3CDTF">2026-06-11T14:22:59Z</dcterms:modified>
</cp:coreProperties>
</file>