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24"/>
          <w:szCs w:val="24"/>
          <w:color w:val="auto"/>
        </w:rPr>
        <w:t>Washington, D.C. 20549</w:t>
      </w: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10-Q</w:t>
      </w:r>
    </w:p>
    <w:p>
      <w:pPr>
        <w:spacing w:after="0" w:line="265" w:lineRule="exact"/>
        <w:rPr>
          <w:sz w:val="24"/>
          <w:szCs w:val="24"/>
          <w:color w:val="auto"/>
        </w:rPr>
      </w:pPr>
    </w:p>
    <w:p>
      <w:pPr>
        <w:ind w:left="1420" w:hanging="379"/>
        <w:spacing w:after="0"/>
        <w:tabs>
          <w:tab w:leader="none" w:pos="14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QUARTERLY REPORT PURSUANT TO SECTION 13 OR 15 (d) OF THE SECURITIES EXCHANGE ACT OF 1934</w:t>
      </w:r>
    </w:p>
    <w:p>
      <w:pPr>
        <w:spacing w:after="0" w:line="44" w:lineRule="exact"/>
        <w:rPr>
          <w:rFonts w:ascii="Arial" w:cs="Arial" w:eastAsia="Arial" w:hAnsi="Arial"/>
          <w:sz w:val="16"/>
          <w:szCs w:val="16"/>
          <w:b w:val="1"/>
          <w:bCs w:val="1"/>
          <w:color w:val="auto"/>
        </w:rPr>
      </w:pPr>
    </w:p>
    <w:p>
      <w:pPr>
        <w:ind w:left="41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For the quarterly period ended August 1, 2010</w:t>
      </w:r>
    </w:p>
    <w:p>
      <w:pPr>
        <w:spacing w:after="0" w:line="213"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260" w:right="1060" w:hanging="3219"/>
        <w:spacing w:after="0" w:line="306" w:lineRule="auto"/>
        <w:tabs>
          <w:tab w:leader="none" w:pos="141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TRANSITION REPORT PURSUANT TO SECTION 13 OR 15 (d) OF THE SECURITIES EXCHANGE ACT OF 1934 </w:t>
      </w:r>
      <w:r>
        <w:rPr>
          <w:rFonts w:ascii="Arial" w:cs="Arial" w:eastAsia="Arial" w:hAnsi="Arial"/>
          <w:sz w:val="18"/>
          <w:szCs w:val="18"/>
          <w:color w:val="auto"/>
        </w:rPr>
        <w:t>For the transition period from ___ to ___</w:t>
      </w:r>
    </w:p>
    <w:p>
      <w:pPr>
        <w:spacing w:after="0" w:line="14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3272790</wp:posOffset>
            </wp:positionH>
            <wp:positionV relativeFrom="paragraph">
              <wp:posOffset>169545</wp:posOffset>
            </wp:positionV>
            <wp:extent cx="71183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3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PHOTRONICS, INC.</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40"/>
          </w:cols>
          <w:pgMar w:left="240" w:top="948" w:right="219" w:bottom="1440" w:gutter="0" w:footer="0" w:header="0"/>
        </w:sectPr>
      </w:pPr>
    </w:p>
    <w:p>
      <w:pPr>
        <w:spacing w:after="0" w:line="232" w:lineRule="exact"/>
        <w:rPr>
          <w:sz w:val="24"/>
          <w:szCs w:val="24"/>
          <w:color w:val="auto"/>
        </w:rPr>
      </w:pPr>
    </w:p>
    <w:p>
      <w:pPr>
        <w:ind w:left="2440"/>
        <w:spacing w:after="0"/>
        <w:rPr>
          <w:sz w:val="20"/>
          <w:szCs w:val="20"/>
          <w:color w:val="auto"/>
        </w:rPr>
      </w:pPr>
      <w:r>
        <w:rPr>
          <w:rFonts w:ascii="Arial" w:cs="Arial" w:eastAsia="Arial" w:hAnsi="Arial"/>
          <w:sz w:val="15"/>
          <w:szCs w:val="15"/>
          <w:b w:val="1"/>
          <w:bCs w:val="1"/>
          <w:color w:val="auto"/>
        </w:rPr>
        <w:t>Connecticut</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06-0854886</w:t>
      </w:r>
    </w:p>
    <w:p>
      <w:pPr>
        <w:spacing w:after="0" w:line="65" w:lineRule="exact"/>
        <w:rPr>
          <w:sz w:val="24"/>
          <w:szCs w:val="24"/>
          <w:color w:val="auto"/>
        </w:rPr>
      </w:pPr>
    </w:p>
    <w:p>
      <w:pPr>
        <w:sectPr>
          <w:pgSz w:w="11900" w:h="16838" w:orient="portrait"/>
          <w:cols w:equalWidth="0" w:num="2">
            <w:col w:w="7440" w:space="720"/>
            <w:col w:w="3280"/>
          </w:cols>
          <w:pgMar w:left="240" w:top="948" w:right="219" w:bottom="1440" w:gutter="0" w:footer="0" w:header="0"/>
          <w:type w:val="continuous"/>
        </w:sectPr>
      </w:pPr>
    </w:p>
    <w:p>
      <w:pPr>
        <w:ind w:left="1940"/>
        <w:spacing w:after="0"/>
        <w:rPr>
          <w:sz w:val="20"/>
          <w:szCs w:val="20"/>
          <w:color w:val="auto"/>
        </w:rPr>
      </w:pPr>
      <w:r>
        <w:rPr>
          <w:rFonts w:ascii="Arial" w:cs="Arial" w:eastAsia="Arial" w:hAnsi="Arial"/>
          <w:sz w:val="16"/>
          <w:szCs w:val="16"/>
          <w:i w:val="1"/>
          <w:i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i w:val="1"/>
          <w:iCs w:val="1"/>
          <w:color w:val="auto"/>
        </w:rPr>
        <w:t>(IRS Employer</w:t>
      </w:r>
    </w:p>
    <w:p>
      <w:pPr>
        <w:spacing w:after="0" w:line="70" w:lineRule="exact"/>
        <w:rPr>
          <w:sz w:val="24"/>
          <w:szCs w:val="24"/>
          <w:color w:val="auto"/>
        </w:rPr>
      </w:pPr>
    </w:p>
    <w:p>
      <w:pPr>
        <w:sectPr>
          <w:pgSz w:w="11900" w:h="16838" w:orient="portrait"/>
          <w:cols w:equalWidth="0" w:num="2">
            <w:col w:w="7360" w:space="720"/>
            <w:col w:w="3360"/>
          </w:cols>
          <w:pgMar w:left="240" w:top="948" w:right="219" w:bottom="1440" w:gutter="0" w:footer="0" w:header="0"/>
          <w:type w:val="continuous"/>
        </w:sectPr>
      </w:pPr>
    </w:p>
    <w:p>
      <w:pPr>
        <w:ind w:left="1720"/>
        <w:spacing w:after="0"/>
        <w:rPr>
          <w:sz w:val="20"/>
          <w:szCs w:val="20"/>
          <w:color w:val="auto"/>
        </w:rPr>
      </w:pPr>
      <w:r>
        <w:rPr>
          <w:rFonts w:ascii="Arial" w:cs="Arial" w:eastAsia="Arial" w:hAnsi="Arial"/>
          <w:sz w:val="16"/>
          <w:szCs w:val="16"/>
          <w:i w:val="1"/>
          <w:i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Identification Number)</w:t>
      </w:r>
    </w:p>
    <w:p>
      <w:pPr>
        <w:spacing w:after="0" w:line="200" w:lineRule="exact"/>
        <w:rPr>
          <w:sz w:val="24"/>
          <w:szCs w:val="24"/>
          <w:color w:val="auto"/>
        </w:rPr>
      </w:pPr>
    </w:p>
    <w:p>
      <w:pPr>
        <w:sectPr>
          <w:pgSz w:w="11900" w:h="16838" w:orient="portrait"/>
          <w:cols w:equalWidth="0" w:num="2">
            <w:col w:w="7060" w:space="720"/>
            <w:col w:w="3660"/>
          </w:cols>
          <w:pgMar w:left="240" w:top="948" w:right="219" w:bottom="1440" w:gutter="0" w:footer="0" w:header="0"/>
          <w:type w:val="continuous"/>
        </w:sectPr>
      </w:pP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15 Secor Road, Brookfield, Connecticut 06804</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(Address of principal executive offices and zip code)</w:t>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(203) 775-9000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97"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submitted and posted pursuant to Rule 405 of Regulation S-T (§232.405 of this chapter) during the preceding 12 months (or for such shorter period that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registrant was required to submit and post such files).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o No o</w:t>
      </w:r>
    </w:p>
    <w:p>
      <w:pPr>
        <w:spacing w:after="0" w:line="246" w:lineRule="exact"/>
        <w:rPr>
          <w:sz w:val="24"/>
          <w:szCs w:val="24"/>
          <w:color w:val="auto"/>
        </w:rPr>
      </w:pPr>
    </w:p>
    <w:p>
      <w:pPr>
        <w:ind w:right="700"/>
        <w:spacing w:after="0" w:line="29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 Accelerated Filer x Non-Accelerated Filer o Smaller Reporting Company 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68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5760" w:type="dxa"/>
            <w:vAlign w:val="bottom"/>
          </w:tcPr>
          <w:p>
            <w:pPr>
              <w:jc w:val="center"/>
              <w:spacing w:after="0"/>
              <w:rPr>
                <w:sz w:val="20"/>
                <w:szCs w:val="20"/>
                <w:color w:val="auto"/>
              </w:rPr>
            </w:pPr>
            <w:r>
              <w:rPr>
                <w:rFonts w:ascii="Arial" w:cs="Arial" w:eastAsia="Arial" w:hAnsi="Arial"/>
                <w:sz w:val="18"/>
                <w:szCs w:val="18"/>
                <w:color w:val="auto"/>
                <w:w w:val="87"/>
              </w:rPr>
              <w:t>Outstanding at September 1, 2010</w:t>
            </w:r>
          </w:p>
        </w:tc>
      </w:tr>
      <w:tr>
        <w:trPr>
          <w:trHeight w:val="243"/>
        </w:trPr>
        <w:tc>
          <w:tcPr>
            <w:tcW w:w="5680" w:type="dxa"/>
            <w:vAlign w:val="bottom"/>
          </w:tcPr>
          <w:p>
            <w:pPr>
              <w:jc w:val="center"/>
              <w:spacing w:after="0"/>
              <w:rPr>
                <w:sz w:val="20"/>
                <w:szCs w:val="20"/>
                <w:color w:val="auto"/>
              </w:rPr>
            </w:pPr>
            <w:r>
              <w:rPr>
                <w:rFonts w:ascii="Arial" w:cs="Arial" w:eastAsia="Arial" w:hAnsi="Arial"/>
                <w:sz w:val="18"/>
                <w:szCs w:val="18"/>
                <w:b w:val="1"/>
                <w:bCs w:val="1"/>
                <w:color w:val="auto"/>
                <w:w w:val="87"/>
              </w:rPr>
              <w:t>Common Stock, $0.01 par value</w:t>
            </w:r>
          </w:p>
        </w:tc>
        <w:tc>
          <w:tcPr>
            <w:tcW w:w="5760" w:type="dxa"/>
            <w:vAlign w:val="bottom"/>
          </w:tcPr>
          <w:p>
            <w:pPr>
              <w:jc w:val="center"/>
              <w:spacing w:after="0"/>
              <w:rPr>
                <w:sz w:val="20"/>
                <w:szCs w:val="20"/>
                <w:color w:val="auto"/>
              </w:rPr>
            </w:pPr>
            <w:r>
              <w:rPr>
                <w:rFonts w:ascii="Arial" w:cs="Arial" w:eastAsia="Arial" w:hAnsi="Arial"/>
                <w:sz w:val="18"/>
                <w:szCs w:val="18"/>
                <w:b w:val="1"/>
                <w:bCs w:val="1"/>
                <w:color w:val="auto"/>
                <w:w w:val="86"/>
              </w:rPr>
              <w:t>53,735,648 Shares</w:t>
            </w:r>
          </w:p>
        </w:tc>
      </w:tr>
      <w:tr>
        <w:trPr>
          <w:trHeight w:val="377"/>
        </w:trPr>
        <w:tc>
          <w:tcPr>
            <w:tcW w:w="5680" w:type="dxa"/>
            <w:vAlign w:val="bottom"/>
            <w:tcBorders>
              <w:bottom w:val="single" w:sz="8" w:color="808080"/>
            </w:tcBorders>
          </w:tcPr>
          <w:p>
            <w:pPr>
              <w:spacing w:after="0"/>
              <w:rPr>
                <w:sz w:val="24"/>
                <w:szCs w:val="24"/>
                <w:color w:val="auto"/>
              </w:rPr>
            </w:pPr>
          </w:p>
        </w:tc>
        <w:tc>
          <w:tcPr>
            <w:tcW w:w="5760" w:type="dxa"/>
            <w:vAlign w:val="bottom"/>
            <w:tcBorders>
              <w:bottom w:val="single" w:sz="8" w:color="808080"/>
            </w:tcBorders>
          </w:tcPr>
          <w:p>
            <w:pPr>
              <w:spacing w:after="0"/>
              <w:rPr>
                <w:sz w:val="24"/>
                <w:szCs w:val="24"/>
                <w:color w:val="auto"/>
              </w:rPr>
            </w:pPr>
          </w:p>
        </w:tc>
      </w:tr>
      <w:tr>
        <w:trPr>
          <w:trHeight w:val="466"/>
        </w:trPr>
        <w:tc>
          <w:tcPr>
            <w:tcW w:w="5680" w:type="dxa"/>
            <w:vAlign w:val="bottom"/>
            <w:tcBorders>
              <w:bottom w:val="single" w:sz="8" w:color="808080"/>
            </w:tcBorders>
          </w:tcPr>
          <w:p>
            <w:pPr>
              <w:spacing w:after="0"/>
              <w:rPr>
                <w:sz w:val="24"/>
                <w:szCs w:val="24"/>
                <w:color w:val="auto"/>
              </w:rPr>
            </w:pPr>
          </w:p>
        </w:tc>
        <w:tc>
          <w:tcPr>
            <w:tcW w:w="57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-323215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48" w:right="2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85" w:lineRule="exact"/>
        <w:rPr>
          <w:sz w:val="20"/>
          <w:szCs w:val="20"/>
          <w:color w:val="auto"/>
        </w:rPr>
      </w:pPr>
    </w:p>
    <w:p>
      <w:pPr>
        <w:ind w:firstLine="270"/>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or the "Company"). These statements are based on management's beliefs, as well as assumptions made by, and information currently available to, management. Forward-looking statements may be identified by words like "expect", "anticipate", "believe", "plan", "projects", and similar expressions. All forward-looking statements involve risks and uncertainties that are difficult to predict. In particular, any statement contained in this quarterly report on Form 10-Q, in press releases, written statements, or other documents filed with the Securities and Exchange Commission or, in the Company's communications and discussions with investors and analysts in the normal course of business through meetings, phone calls, or conference calls, regarding the consummatio n and benefits of future acquisitions, expectations with respect to future sales, financial performance, operating efficiencies, or product expansion, are subject to known and unknown risks, uncertainties, and contingencies, many of which are beyond the control of the Company. These factors may cause actual results, performance, or achievements to differ materially from anticipated results, performance, or achievements. Factors that might affect such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changes in federal, state and international tax requirements (including tax rate changes, new tax laws and revised tax law interpretations); interest rate fluctuations and other capital market conditions, including changes in the market price of the Company's common stock; f oreign currency exchange rate fluctuations; changes in technology; the timing, impact, and other uncertainties of future acquisitions; the seasonal and cyclical nature of the semiconductor and flat panel display industries; management changes; damage or destruction to the Company's facilities by natural disasters, labor strikes, political unrest, or terrorist activity; the ability of the Company to place new equipment in service on a timely basis; obtain additional financing; achieve anticipated synergies and other cost savings in connection with acquisitions and productivity programs; fully utilize its tools; achieve desired yields, pricing, product mix, and market acceptance of its products; and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40" w:type="dxa"/>
            <w:vAlign w:val="bottom"/>
          </w:tcPr>
          <w:p>
            <w:pPr>
              <w:jc w:val="center"/>
              <w:ind w:right="352"/>
              <w:spacing w:after="0"/>
              <w:rPr>
                <w:sz w:val="20"/>
                <w:szCs w:val="20"/>
                <w:color w:val="auto"/>
              </w:rPr>
            </w:pPr>
            <w:r>
              <w:rPr>
                <w:rFonts w:ascii="Arial" w:cs="Arial" w:eastAsia="Arial" w:hAnsi="Arial"/>
                <w:sz w:val="18"/>
                <w:szCs w:val="18"/>
                <w:b w:val="1"/>
                <w:bCs w:val="1"/>
                <w:color w:val="auto"/>
                <w:w w:val="98"/>
              </w:rPr>
              <w:t>PHOTRONICS, INC.</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40" w:type="dxa"/>
            <w:vAlign w:val="bottom"/>
          </w:tcPr>
          <w:p>
            <w:pPr>
              <w:jc w:val="center"/>
              <w:ind w:right="372"/>
              <w:spacing w:after="0"/>
              <w:rPr>
                <w:sz w:val="20"/>
                <w:szCs w:val="20"/>
                <w:color w:val="auto"/>
              </w:rPr>
            </w:pPr>
            <w:r>
              <w:rPr>
                <w:rFonts w:ascii="Arial" w:cs="Arial" w:eastAsia="Arial" w:hAnsi="Arial"/>
                <w:sz w:val="18"/>
                <w:szCs w:val="18"/>
                <w:b w:val="1"/>
                <w:bCs w:val="1"/>
                <w:color w:val="auto"/>
                <w:w w:val="96"/>
              </w:rPr>
              <w:t>AND SUBSIDIARIES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40" w:type="dxa"/>
            <w:vAlign w:val="bottom"/>
          </w:tcPr>
          <w:p>
            <w:pPr>
              <w:jc w:val="center"/>
              <w:ind w:right="352"/>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gridSpan w:val="2"/>
          </w:tcPr>
          <w:p>
            <w:pP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Item 1.</w:t>
            </w:r>
          </w:p>
        </w:tc>
        <w:tc>
          <w:tcPr>
            <w:tcW w:w="10240" w:type="dxa"/>
            <w:vAlign w:val="bottom"/>
            <w:tcBorders>
              <w:top w:val="single" w:sz="8" w:color="C0C0C0"/>
            </w:tcBorders>
            <w:shd w:val="clear" w:color="auto" w:fill="C0C0C0"/>
          </w:tcPr>
          <w:p>
            <w:pPr>
              <w:ind w:left="140"/>
              <w:spacing w:after="0"/>
              <w:rPr>
                <w:sz w:val="20"/>
                <w:szCs w:val="20"/>
                <w:color w:val="auto"/>
              </w:rPr>
            </w:pPr>
            <w:r>
              <w:rPr>
                <w:rFonts w:ascii="Arial" w:cs="Arial" w:eastAsia="Arial" w:hAnsi="Arial"/>
                <w:sz w:val="18"/>
                <w:szCs w:val="18"/>
                <w:color w:val="auto"/>
              </w:rPr>
              <w:t>Condensed Consolidated Financial Statements</w:t>
            </w:r>
          </w:p>
        </w:tc>
        <w:tc>
          <w:tcPr>
            <w:tcW w:w="36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Condensed Consolidated Balance Sheets at</w:t>
            </w:r>
          </w:p>
        </w:tc>
        <w:tc>
          <w:tcPr>
            <w:tcW w:w="3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August 1, 2010 and November 1, 2009</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Condensed Consolidated Statements of Operations for the Three and Nine Months Ended</w:t>
            </w:r>
          </w:p>
        </w:tc>
        <w:tc>
          <w:tcPr>
            <w:tcW w:w="3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August 1, 2010 and August 2, 2009</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Condensed Consolidated Statements of Cash Flows for the Nine Months Ended</w:t>
            </w:r>
          </w:p>
        </w:tc>
        <w:tc>
          <w:tcPr>
            <w:tcW w:w="3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August 1, 2010 and August 2, 2009</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Notes to Condensed Consolidated Financial Statements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gridSpan w:val="2"/>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color w:val="auto"/>
              </w:rPr>
              <w:t>Item 2.</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gridSpan w:val="2"/>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color w:val="auto"/>
              </w:rPr>
              <w:t>Item 3.</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gridSpan w:val="2"/>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color w:val="auto"/>
              </w:rPr>
              <w:t>Item 4.</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Controls and Procedures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PART II.</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b w:val="1"/>
                <w:bCs w:val="1"/>
                <w:color w:val="auto"/>
              </w:rPr>
              <w:t>OTHER INFORMATION</w:t>
            </w:r>
          </w:p>
        </w:tc>
        <w:tc>
          <w:tcPr>
            <w:tcW w:w="3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gridSpan w:val="2"/>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color w:val="auto"/>
              </w:rPr>
              <w:t>Item 1A.</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Risk Factors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gridSpan w:val="2"/>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color w:val="auto"/>
              </w:rPr>
              <w:t>Item 6.</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Exhibits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40" w:type="dxa"/>
            <w:vAlign w:val="bottom"/>
          </w:tcPr>
          <w:p>
            <w:pPr>
              <w:jc w:val="center"/>
              <w:ind w:right="352"/>
              <w:spacing w:after="0"/>
              <w:rPr>
                <w:sz w:val="20"/>
                <w:szCs w:val="20"/>
                <w:color w:val="auto"/>
              </w:rPr>
            </w:pPr>
            <w:r>
              <w:rPr>
                <w:rFonts w:ascii="Arial" w:cs="Arial" w:eastAsia="Arial" w:hAnsi="Arial"/>
                <w:sz w:val="18"/>
                <w:szCs w:val="18"/>
                <w:color w:val="auto"/>
                <w:w w:val="79"/>
              </w:rPr>
              <w:t>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2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860" w:type="dxa"/>
            <w:vAlign w:val="bottom"/>
          </w:tcPr>
          <w:p>
            <w:pPr>
              <w:jc w:val="center"/>
              <w:ind w:left="2432"/>
              <w:spacing w:after="0"/>
              <w:rPr>
                <w:sz w:val="20"/>
                <w:szCs w:val="20"/>
                <w:color w:val="auto"/>
              </w:rPr>
            </w:pPr>
            <w:r>
              <w:rPr>
                <w:rFonts w:ascii="Arial" w:cs="Arial" w:eastAsia="Arial" w:hAnsi="Arial"/>
                <w:sz w:val="18"/>
                <w:szCs w:val="18"/>
                <w:b w:val="1"/>
                <w:bCs w:val="1"/>
                <w:color w:val="auto"/>
                <w:w w:val="97"/>
              </w:rPr>
              <w:t>PHOTRONICS, INC. AND SUBSIDIARIES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jc w:val="center"/>
              <w:ind w:left="2432"/>
              <w:spacing w:after="0"/>
              <w:rPr>
                <w:sz w:val="20"/>
                <w:szCs w:val="20"/>
                <w:color w:val="auto"/>
              </w:rPr>
            </w:pPr>
            <w:r>
              <w:rPr>
                <w:rFonts w:ascii="Arial" w:cs="Arial" w:eastAsia="Arial" w:hAnsi="Arial"/>
                <w:sz w:val="18"/>
                <w:szCs w:val="18"/>
                <w:color w:val="auto"/>
                <w:w w:val="85"/>
              </w:rPr>
              <w:t>Condensed Consolidated Balance Sheets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jc w:val="center"/>
              <w:ind w:left="2432"/>
              <w:spacing w:after="0"/>
              <w:rPr>
                <w:sz w:val="20"/>
                <w:szCs w:val="20"/>
                <w:color w:val="auto"/>
              </w:rPr>
            </w:pPr>
            <w:r>
              <w:rPr>
                <w:rFonts w:ascii="Arial" w:cs="Arial" w:eastAsia="Arial" w:hAnsi="Arial"/>
                <w:sz w:val="18"/>
                <w:szCs w:val="18"/>
                <w:i w:val="1"/>
                <w:iCs w:val="1"/>
                <w:color w:val="auto"/>
                <w:w w:val="87"/>
              </w:rPr>
              <w:t>(in thousands, except per share amounts)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60" w:type="dxa"/>
            <w:vAlign w:val="bottom"/>
          </w:tcPr>
          <w:p>
            <w:pPr>
              <w:jc w:val="center"/>
              <w:ind w:left="2432"/>
              <w:spacing w:after="0"/>
              <w:rPr>
                <w:sz w:val="20"/>
                <w:szCs w:val="20"/>
                <w:color w:val="auto"/>
              </w:rPr>
            </w:pPr>
            <w:r>
              <w:rPr>
                <w:rFonts w:ascii="Arial" w:cs="Arial" w:eastAsia="Arial" w:hAnsi="Arial"/>
                <w:sz w:val="18"/>
                <w:szCs w:val="18"/>
                <w:i w:val="1"/>
                <w:iCs w:val="1"/>
                <w:color w:val="auto"/>
                <w:w w:val="90"/>
              </w:rPr>
              <w:t>(unaudited)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1,</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November 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86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104,027</w:t>
            </w:r>
          </w:p>
        </w:tc>
        <w:tc>
          <w:tcPr>
            <w:tcW w:w="28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88,539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Accounts receivable, net of allowance of $4,054 in 2010</w:t>
            </w: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860" w:type="dxa"/>
            <w:vAlign w:val="bottom"/>
            <w:shd w:val="clear" w:color="auto" w:fill="C0C0C0"/>
          </w:tcPr>
          <w:p>
            <w:pPr>
              <w:ind w:left="600"/>
              <w:spacing w:after="0"/>
              <w:rPr>
                <w:sz w:val="20"/>
                <w:szCs w:val="20"/>
                <w:color w:val="auto"/>
              </w:rPr>
            </w:pPr>
            <w:r>
              <w:rPr>
                <w:rFonts w:ascii="Arial" w:cs="Arial" w:eastAsia="Arial" w:hAnsi="Arial"/>
                <w:sz w:val="18"/>
                <w:szCs w:val="18"/>
                <w:color w:val="auto"/>
              </w:rPr>
              <w:t>and $2,669 in 2009</w:t>
            </w: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79,995</w:t>
            </w:r>
          </w:p>
        </w:tc>
        <w:tc>
          <w:tcPr>
            <w:tcW w:w="28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66,920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14,328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14,826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3,321</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5,811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3,950</w:t>
            </w:r>
          </w:p>
        </w:tc>
        <w:tc>
          <w:tcPr>
            <w:tcW w:w="28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211,432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179,997</w:t>
            </w:r>
          </w:p>
        </w:tc>
        <w:tc>
          <w:tcPr>
            <w:tcW w:w="0" w:type="dxa"/>
            <w:vAlign w:val="bottom"/>
          </w:tcPr>
          <w:p>
            <w:pPr>
              <w:spacing w:after="0"/>
              <w:rPr>
                <w:sz w:val="1"/>
                <w:szCs w:val="1"/>
                <w:color w:val="auto"/>
              </w:rPr>
            </w:pPr>
          </w:p>
        </w:tc>
      </w:tr>
      <w:tr>
        <w:trPr>
          <w:trHeight w:val="259"/>
        </w:trPr>
        <w:tc>
          <w:tcPr>
            <w:tcW w:w="888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354,422</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347,889</w:t>
            </w:r>
          </w:p>
        </w:tc>
        <w:tc>
          <w:tcPr>
            <w:tcW w:w="0" w:type="dxa"/>
            <w:vAlign w:val="bottom"/>
          </w:tcPr>
          <w:p>
            <w:pPr>
              <w:spacing w:after="0"/>
              <w:rPr>
                <w:sz w:val="1"/>
                <w:szCs w:val="1"/>
                <w:color w:val="auto"/>
              </w:rPr>
            </w:pPr>
          </w:p>
        </w:tc>
      </w:tr>
      <w:tr>
        <w:trPr>
          <w:trHeight w:val="235"/>
        </w:trPr>
        <w:tc>
          <w:tcPr>
            <w:tcW w:w="888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60,914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60,945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49,261</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55,054</w:t>
            </w:r>
          </w:p>
        </w:tc>
        <w:tc>
          <w:tcPr>
            <w:tcW w:w="0" w:type="dxa"/>
            <w:vAlign w:val="bottom"/>
          </w:tcPr>
          <w:p>
            <w:pPr>
              <w:spacing w:after="0"/>
              <w:rPr>
                <w:sz w:val="1"/>
                <w:szCs w:val="1"/>
                <w:color w:val="auto"/>
              </w:rPr>
            </w:pPr>
          </w:p>
        </w:tc>
      </w:tr>
      <w:tr>
        <w:trPr>
          <w:trHeight w:val="235"/>
        </w:trPr>
        <w:tc>
          <w:tcPr>
            <w:tcW w:w="88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18,535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19,771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6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1"/>
                <w:szCs w:val="21"/>
                <w:color w:val="auto"/>
              </w:rPr>
            </w:pP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694,564</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6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663,656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60" w:type="dxa"/>
            <w:vAlign w:val="bottom"/>
            <w:tcBorders>
              <w:top w:val="single" w:sz="8" w:color="C0C0C0"/>
            </w:tcBorders>
          </w:tcPr>
          <w:p>
            <w:pPr>
              <w:spacing w:after="0"/>
              <w:rPr>
                <w:sz w:val="21"/>
                <w:szCs w:val="21"/>
                <w:color w:val="auto"/>
              </w:rPr>
            </w:pPr>
          </w:p>
        </w:tc>
        <w:tc>
          <w:tcPr>
            <w:tcW w:w="280" w:type="dxa"/>
            <w:vAlign w:val="bottom"/>
            <w:tcBorders>
              <w:top w:val="single" w:sz="8" w:color="C0C0C0"/>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80" w:type="dxa"/>
            <w:vAlign w:val="bottom"/>
            <w:tcBorders>
              <w:top w:val="single" w:sz="8" w:color="C0C0C0"/>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8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Current portion of long-term borrowings</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11,577</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6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10,301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93,210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59,187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29,471</w:t>
            </w:r>
          </w:p>
        </w:tc>
        <w:tc>
          <w:tcPr>
            <w:tcW w:w="28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20,967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134,258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90,455</w:t>
            </w:r>
          </w:p>
        </w:tc>
        <w:tc>
          <w:tcPr>
            <w:tcW w:w="0" w:type="dxa"/>
            <w:vAlign w:val="bottom"/>
          </w:tcPr>
          <w:p>
            <w:pPr>
              <w:spacing w:after="0"/>
              <w:rPr>
                <w:sz w:val="1"/>
                <w:szCs w:val="1"/>
                <w:color w:val="auto"/>
              </w:rPr>
            </w:pPr>
          </w:p>
        </w:tc>
      </w:tr>
      <w:tr>
        <w:trPr>
          <w:trHeight w:val="259"/>
        </w:trPr>
        <w:tc>
          <w:tcPr>
            <w:tcW w:w="888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Long-term borrowings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76,439</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112,137</w:t>
            </w:r>
          </w:p>
        </w:tc>
        <w:tc>
          <w:tcPr>
            <w:tcW w:w="0" w:type="dxa"/>
            <w:vAlign w:val="bottom"/>
          </w:tcPr>
          <w:p>
            <w:pPr>
              <w:spacing w:after="0"/>
              <w:rPr>
                <w:sz w:val="1"/>
                <w:szCs w:val="1"/>
                <w:color w:val="auto"/>
              </w:rPr>
            </w:pPr>
          </w:p>
        </w:tc>
      </w:tr>
      <w:tr>
        <w:trPr>
          <w:trHeight w:val="235"/>
        </w:trPr>
        <w:tc>
          <w:tcPr>
            <w:tcW w:w="88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1,328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9,085</w:t>
            </w:r>
          </w:p>
        </w:tc>
        <w:tc>
          <w:tcPr>
            <w:tcW w:w="28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221,110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213,960</w:t>
            </w:r>
          </w:p>
        </w:tc>
        <w:tc>
          <w:tcPr>
            <w:tcW w:w="0" w:type="dxa"/>
            <w:vAlign w:val="bottom"/>
          </w:tcPr>
          <w:p>
            <w:pPr>
              <w:spacing w:after="0"/>
              <w:rPr>
                <w:sz w:val="1"/>
                <w:szCs w:val="1"/>
                <w:color w:val="auto"/>
              </w:rPr>
            </w:pPr>
          </w:p>
        </w:tc>
      </w:tr>
      <w:tr>
        <w:trPr>
          <w:trHeight w:val="259"/>
        </w:trPr>
        <w:tc>
          <w:tcPr>
            <w:tcW w:w="888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Equity:</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Preferred stock, $0.01 par value,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60" w:type="dxa"/>
            <w:vAlign w:val="bottom"/>
          </w:tcPr>
          <w:p>
            <w:pPr>
              <w:ind w:left="600"/>
              <w:spacing w:after="0"/>
              <w:rPr>
                <w:sz w:val="20"/>
                <w:szCs w:val="20"/>
                <w:color w:val="auto"/>
              </w:rPr>
            </w:pPr>
            <w:r>
              <w:rPr>
                <w:rFonts w:ascii="Arial" w:cs="Arial" w:eastAsia="Arial" w:hAnsi="Arial"/>
                <w:sz w:val="18"/>
                <w:szCs w:val="18"/>
                <w:color w:val="auto"/>
              </w:rPr>
              <w:t>2,000 shares authorized, none issued and outstanding</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Common stock, $0.01 par value,</w:t>
            </w: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shd w:val="clear" w:color="auto" w:fill="C0C0C0"/>
          </w:tcPr>
          <w:p>
            <w:pPr>
              <w:ind w:left="600"/>
              <w:spacing w:after="0"/>
              <w:rPr>
                <w:sz w:val="20"/>
                <w:szCs w:val="20"/>
                <w:color w:val="auto"/>
              </w:rPr>
            </w:pPr>
            <w:r>
              <w:rPr>
                <w:rFonts w:ascii="Arial" w:cs="Arial" w:eastAsia="Arial" w:hAnsi="Arial"/>
                <w:sz w:val="18"/>
                <w:szCs w:val="18"/>
                <w:color w:val="auto"/>
              </w:rPr>
              <w:t>150,000 shares authorized, 53,515 shares issued and outstanding</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860" w:type="dxa"/>
            <w:vAlign w:val="bottom"/>
            <w:shd w:val="clear" w:color="auto" w:fill="C0C0C0"/>
          </w:tcPr>
          <w:p>
            <w:pPr>
              <w:ind w:left="600"/>
              <w:spacing w:after="0"/>
              <w:rPr>
                <w:sz w:val="20"/>
                <w:szCs w:val="20"/>
                <w:color w:val="auto"/>
              </w:rPr>
            </w:pPr>
            <w:r>
              <w:rPr>
                <w:rFonts w:ascii="Arial" w:cs="Arial" w:eastAsia="Arial" w:hAnsi="Arial"/>
                <w:sz w:val="18"/>
                <w:szCs w:val="18"/>
                <w:color w:val="auto"/>
              </w:rPr>
              <w:t>at August 1, 2010 and 53,011 at November 1, 2009</w:t>
            </w: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535</w:t>
            </w:r>
          </w:p>
        </w:tc>
        <w:tc>
          <w:tcPr>
            <w:tcW w:w="28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435,467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432,160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(10,768)</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(26,546)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6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Total Photronics, Inc. shareholders' equity</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420,586</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399,755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6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52,868</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49,941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Total equity</w:t>
            </w:r>
          </w:p>
        </w:tc>
        <w:tc>
          <w:tcPr>
            <w:tcW w:w="28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473,454</w:t>
            </w:r>
          </w:p>
        </w:tc>
        <w:tc>
          <w:tcPr>
            <w:tcW w:w="28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449,696</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6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694,564</w:t>
            </w:r>
          </w:p>
        </w:tc>
        <w:tc>
          <w:tcPr>
            <w:tcW w:w="28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663,656</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134"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8"/>
                <w:szCs w:val="18"/>
                <w:b w:val="1"/>
                <w:bCs w:val="1"/>
                <w:color w:val="auto"/>
                <w:w w:val="97"/>
              </w:rPr>
              <w:t>Three Months Ended</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rPr>
              <w:t>Nine Months Ended</w:t>
            </w:r>
          </w:p>
        </w:tc>
      </w:tr>
      <w:tr>
        <w:trPr>
          <w:trHeight w:val="228"/>
        </w:trPr>
        <w:tc>
          <w:tcPr>
            <w:tcW w:w="6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w w:val="85"/>
              </w:rPr>
              <w:t>August 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w w:val="85"/>
              </w:rPr>
              <w:t>August 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1,</w:t>
            </w:r>
          </w:p>
        </w:tc>
        <w:tc>
          <w:tcPr>
            <w:tcW w:w="12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w w:val="87"/>
              </w:rPr>
              <w:t>August 2,</w:t>
            </w:r>
          </w:p>
        </w:tc>
      </w:tr>
      <w:tr>
        <w:trPr>
          <w:trHeight w:val="251"/>
        </w:trPr>
        <w:tc>
          <w:tcPr>
            <w:tcW w:w="650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r>
      <w:tr>
        <w:trPr>
          <w:trHeight w:val="243"/>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112,251</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95,401</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315,518</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266,676</w:t>
            </w:r>
          </w:p>
        </w:tc>
      </w:tr>
      <w:tr>
        <w:trPr>
          <w:trHeight w:val="235"/>
        </w:trPr>
        <w:tc>
          <w:tcPr>
            <w:tcW w:w="6500" w:type="dxa"/>
            <w:vAlign w:val="bottom"/>
          </w:tcPr>
          <w:p>
            <w:pPr>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65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(85,979)</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(77,347)</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(248,979)</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(226,622)</w:t>
            </w:r>
          </w:p>
        </w:tc>
      </w:tr>
      <w:tr>
        <w:trPr>
          <w:trHeight w:val="235"/>
        </w:trPr>
        <w:tc>
          <w:tcPr>
            <w:tcW w:w="650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(11,068)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(9,963)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(32,086)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(30,995)</w:t>
            </w:r>
          </w:p>
        </w:tc>
      </w:tr>
      <w:tr>
        <w:trPr>
          <w:trHeight w:val="251"/>
        </w:trPr>
        <w:tc>
          <w:tcPr>
            <w:tcW w:w="65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(3,427)</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(3,854)</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(10,983)</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(11,655)</w:t>
            </w:r>
          </w:p>
        </w:tc>
      </w:tr>
      <w:tr>
        <w:trPr>
          <w:trHeight w:val="228"/>
        </w:trPr>
        <w:tc>
          <w:tcPr>
            <w:tcW w:w="6500" w:type="dxa"/>
            <w:vAlign w:val="bottom"/>
          </w:tcPr>
          <w:p>
            <w:pPr>
              <w:ind w:left="320"/>
              <w:spacing w:after="0"/>
              <w:rPr>
                <w:sz w:val="20"/>
                <w:szCs w:val="20"/>
                <w:color w:val="auto"/>
              </w:rPr>
            </w:pPr>
            <w:r>
              <w:rPr>
                <w:rFonts w:ascii="Arial" w:cs="Arial" w:eastAsia="Arial" w:hAnsi="Arial"/>
                <w:sz w:val="18"/>
                <w:szCs w:val="18"/>
                <w:color w:val="auto"/>
              </w:rPr>
              <w:t>Consolidation, restructuring and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1"/>
        </w:trPr>
        <w:tc>
          <w:tcPr>
            <w:tcW w:w="6500" w:type="dxa"/>
            <w:vAlign w:val="bottom"/>
          </w:tcPr>
          <w:p>
            <w:pPr>
              <w:ind w:left="620"/>
              <w:spacing w:after="0"/>
              <w:rPr>
                <w:sz w:val="20"/>
                <w:szCs w:val="20"/>
                <w:color w:val="auto"/>
              </w:rPr>
            </w:pPr>
            <w:r>
              <w:rPr>
                <w:rFonts w:ascii="Arial" w:cs="Arial" w:eastAsia="Arial" w:hAnsi="Arial"/>
                <w:sz w:val="18"/>
                <w:szCs w:val="18"/>
                <w:color w:val="auto"/>
              </w:rPr>
              <w:t>related (charges) credits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(10,660)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4,810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(12,746)</w:t>
            </w:r>
          </w:p>
        </w:tc>
      </w:tr>
      <w:tr>
        <w:trPr>
          <w:trHeight w:val="251"/>
        </w:trPr>
        <w:tc>
          <w:tcPr>
            <w:tcW w:w="65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Impairment of long-lived assets</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(1,458)</w:t>
            </w: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11,751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(6,423)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28,280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(16,800)</w:t>
            </w:r>
          </w:p>
        </w:tc>
      </w:tr>
      <w:tr>
        <w:trPr>
          <w:trHeight w:val="251"/>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650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(7,807)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(14,427)</w:t>
            </w:r>
          </w:p>
        </w:tc>
      </w:tr>
      <w:tr>
        <w:trPr>
          <w:trHeight w:val="251"/>
        </w:trPr>
        <w:tc>
          <w:tcPr>
            <w:tcW w:w="65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Investment and other income (expense), net</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593</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(8,869)</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1,937</w:t>
            </w:r>
          </w:p>
        </w:tc>
        <w:tc>
          <w:tcPr>
            <w:tcW w:w="2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(8,418)</w:t>
            </w:r>
          </w:p>
        </w:tc>
      </w:tr>
      <w:tr>
        <w:trPr>
          <w:trHeight w:val="229"/>
        </w:trPr>
        <w:tc>
          <w:tcPr>
            <w:tcW w:w="6500" w:type="dxa"/>
            <w:vAlign w:val="bottom"/>
          </w:tcPr>
          <w:p>
            <w:pPr>
              <w:ind w:left="3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10,517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(20,643)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22,410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(39,645)</w:t>
            </w:r>
          </w:p>
        </w:tc>
      </w:tr>
      <w:tr>
        <w:trPr>
          <w:trHeight w:val="251"/>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(2,910)</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(1,805)</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(5,790)</w:t>
            </w:r>
          </w:p>
        </w:tc>
        <w:tc>
          <w:tcPr>
            <w:tcW w:w="2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(2,927)</w:t>
            </w:r>
          </w:p>
        </w:tc>
      </w:tr>
      <w:tr>
        <w:trPr>
          <w:trHeight w:val="229"/>
        </w:trPr>
        <w:tc>
          <w:tcPr>
            <w:tcW w:w="650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7,607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(22,448)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16,620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(42,572)</w:t>
            </w:r>
          </w:p>
        </w:tc>
      </w:tr>
      <w:tr>
        <w:trPr>
          <w:trHeight w:val="235"/>
        </w:trPr>
        <w:tc>
          <w:tcPr>
            <w:tcW w:w="6500" w:type="dxa"/>
            <w:vAlign w:val="bottom"/>
            <w:shd w:val="clear" w:color="auto" w:fill="C0C0C0"/>
          </w:tcPr>
          <w:p>
            <w:pPr>
              <w:spacing w:after="0"/>
              <w:rPr>
                <w:sz w:val="20"/>
                <w:szCs w:val="20"/>
                <w:color w:val="auto"/>
              </w:rPr>
            </w:pPr>
            <w:r>
              <w:rPr>
                <w:rFonts w:ascii="Arial" w:cs="Arial" w:eastAsia="Arial" w:hAnsi="Arial"/>
                <w:sz w:val="18"/>
                <w:szCs w:val="18"/>
                <w:color w:val="auto"/>
              </w:rPr>
              <w:t>Net (income) loss attributable to noncontrolling</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80" w:type="dxa"/>
            <w:vAlign w:val="bottom"/>
            <w:shd w:val="clear" w:color="auto" w:fill="C0C0C0"/>
          </w:tcPr>
          <w:p>
            <w:pPr>
              <w:spacing w:after="0"/>
              <w:rPr>
                <w:sz w:val="20"/>
                <w:szCs w:val="20"/>
                <w:color w:val="auto"/>
              </w:rPr>
            </w:pPr>
          </w:p>
        </w:tc>
      </w:tr>
      <w:tr>
        <w:trPr>
          <w:trHeight w:val="252"/>
        </w:trPr>
        <w:tc>
          <w:tcPr>
            <w:tcW w:w="65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interests</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(399)</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(842)</w:t>
            </w:r>
          </w:p>
        </w:tc>
        <w:tc>
          <w:tcPr>
            <w:tcW w:w="2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(580)</w:t>
            </w:r>
          </w:p>
        </w:tc>
      </w:tr>
      <w:tr>
        <w:trPr>
          <w:trHeight w:val="250"/>
        </w:trPr>
        <w:tc>
          <w:tcPr>
            <w:tcW w:w="6500" w:type="dxa"/>
            <w:vAlign w:val="bottom"/>
          </w:tcPr>
          <w:p>
            <w:pPr>
              <w:spacing w:after="0"/>
              <w:rPr>
                <w:sz w:val="20"/>
                <w:szCs w:val="20"/>
                <w:color w:val="auto"/>
              </w:rPr>
            </w:pPr>
            <w:r>
              <w:rPr>
                <w:rFonts w:ascii="Arial" w:cs="Arial" w:eastAsia="Arial" w:hAnsi="Arial"/>
                <w:sz w:val="18"/>
                <w:szCs w:val="18"/>
                <w:color w:val="auto"/>
              </w:rPr>
              <w:t>Net income (loss) attributable to Photronics, Inc.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7,691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(22,847)</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15,778</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(43,152)</w:t>
            </w:r>
          </w:p>
        </w:tc>
      </w:tr>
      <w:tr>
        <w:trPr>
          <w:trHeight w:val="243"/>
        </w:trPr>
        <w:tc>
          <w:tcPr>
            <w:tcW w:w="65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Income (loss) per share:</w:t>
            </w:r>
          </w:p>
        </w:tc>
        <w:tc>
          <w:tcPr>
            <w:tcW w:w="26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84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82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90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880" w:type="dxa"/>
            <w:vAlign w:val="bottom"/>
            <w:tcBorders>
              <w:top w:val="single" w:sz="8" w:color="auto"/>
            </w:tcBorders>
            <w:shd w:val="clear" w:color="auto" w:fill="C0C0C0"/>
          </w:tcPr>
          <w:p>
            <w:pPr>
              <w:spacing w:after="0"/>
              <w:rPr>
                <w:sz w:val="21"/>
                <w:szCs w:val="21"/>
                <w:color w:val="auto"/>
              </w:rPr>
            </w:pPr>
          </w:p>
        </w:tc>
      </w:tr>
      <w:tr>
        <w:trPr>
          <w:trHeight w:val="242"/>
        </w:trPr>
        <w:tc>
          <w:tcPr>
            <w:tcW w:w="6500" w:type="dxa"/>
            <w:vAlign w:val="bottom"/>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0.30</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8"/>
        </w:trPr>
        <w:tc>
          <w:tcPr>
            <w:tcW w:w="650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r>
        <w:trPr>
          <w:trHeight w:val="262"/>
        </w:trPr>
        <w:tc>
          <w:tcPr>
            <w:tcW w:w="65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0.13</w:t>
            </w: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(0.55)</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0.29</w:t>
            </w:r>
          </w:p>
        </w:tc>
        <w:tc>
          <w:tcPr>
            <w:tcW w:w="260" w:type="dxa"/>
            <w:vAlign w:val="bottom"/>
            <w:shd w:val="clear" w:color="auto" w:fill="C0C0C0"/>
          </w:tcPr>
          <w:p>
            <w:pPr>
              <w:spacing w:after="0"/>
              <w:rPr>
                <w:sz w:val="22"/>
                <w:szCs w:val="22"/>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6500" w:type="dxa"/>
            <w:vAlign w:val="bottom"/>
            <w:tcBorders>
              <w:top w:val="single" w:sz="8" w:color="C0C0C0"/>
            </w:tcBorders>
          </w:tcPr>
          <w:p>
            <w:pPr>
              <w:spacing w:after="0"/>
              <w:rPr>
                <w:sz w:val="20"/>
                <w:szCs w:val="20"/>
                <w:color w:val="auto"/>
              </w:rPr>
            </w:pPr>
            <w:r>
              <w:rPr>
                <w:rFonts w:ascii="Arial" w:cs="Arial" w:eastAsia="Arial" w:hAnsi="Arial"/>
                <w:sz w:val="18"/>
                <w:szCs w:val="18"/>
                <w:color w:val="auto"/>
              </w:rPr>
              <w:t>Weighted average number of common shares</w:t>
            </w:r>
          </w:p>
        </w:tc>
        <w:tc>
          <w:tcPr>
            <w:tcW w:w="260" w:type="dxa"/>
            <w:vAlign w:val="bottom"/>
            <w:tcBorders>
              <w:top w:val="single" w:sz="8" w:color="C0C0C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0C0C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C0C0C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0C0C0"/>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51"/>
        </w:trPr>
        <w:tc>
          <w:tcPr>
            <w:tcW w:w="6500" w:type="dxa"/>
            <w:vAlign w:val="bottom"/>
          </w:tcPr>
          <w:p>
            <w:pPr>
              <w:ind w:left="32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8"/>
        </w:trPr>
        <w:tc>
          <w:tcPr>
            <w:tcW w:w="650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auto"/>
            </w:tcBorders>
            <w:shd w:val="clear" w:color="auto" w:fill="C0C0C0"/>
          </w:tcPr>
          <w:p>
            <w:pPr>
              <w:spacing w:after="0"/>
              <w:rPr>
                <w:sz w:val="22"/>
                <w:szCs w:val="22"/>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53,516</w:t>
            </w:r>
          </w:p>
        </w:tc>
        <w:tc>
          <w:tcPr>
            <w:tcW w:w="26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auto"/>
            </w:tcBorders>
            <w:shd w:val="clear" w:color="auto" w:fill="C0C0C0"/>
          </w:tcPr>
          <w:p>
            <w:pPr>
              <w:spacing w:after="0"/>
              <w:rPr>
                <w:sz w:val="22"/>
                <w:szCs w:val="22"/>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41,819</w:t>
            </w:r>
          </w:p>
        </w:tc>
        <w:tc>
          <w:tcPr>
            <w:tcW w:w="28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auto"/>
            </w:tcBorders>
            <w:shd w:val="clear" w:color="auto" w:fill="C0C0C0"/>
          </w:tcPr>
          <w:p>
            <w:pPr>
              <w:spacing w:after="0"/>
              <w:rPr>
                <w:sz w:val="22"/>
                <w:szCs w:val="22"/>
                <w:color w:val="auto"/>
              </w:rPr>
            </w:pPr>
          </w:p>
        </w:tc>
        <w:tc>
          <w:tcPr>
            <w:tcW w:w="9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53,341</w:t>
            </w:r>
          </w:p>
        </w:tc>
        <w:tc>
          <w:tcPr>
            <w:tcW w:w="26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auto"/>
            </w:tcBorders>
            <w:shd w:val="clear" w:color="auto" w:fill="C0C0C0"/>
          </w:tcPr>
          <w:p>
            <w:pPr>
              <w:spacing w:after="0"/>
              <w:rPr>
                <w:sz w:val="22"/>
                <w:szCs w:val="22"/>
                <w:color w:val="auto"/>
              </w:rPr>
            </w:pPr>
          </w:p>
        </w:tc>
        <w:tc>
          <w:tcPr>
            <w:tcW w:w="8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41,772</w:t>
            </w:r>
          </w:p>
        </w:tc>
      </w:tr>
      <w:tr>
        <w:trPr>
          <w:trHeight w:val="250"/>
        </w:trPr>
        <w:tc>
          <w:tcPr>
            <w:tcW w:w="65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66,280</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41,819</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65,689</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41,772</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8"/>
                <w:szCs w:val="18"/>
                <w:b w:val="1"/>
                <w:bCs w:val="1"/>
                <w:color w:val="auto"/>
              </w:rPr>
              <w:t>Nine Months Ended</w:t>
            </w:r>
          </w:p>
        </w:tc>
      </w:tr>
      <w:tr>
        <w:trPr>
          <w:trHeight w:val="228"/>
        </w:trPr>
        <w:tc>
          <w:tcPr>
            <w:tcW w:w="8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w w:val="87"/>
              </w:rPr>
              <w:t>August 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August 2,</w:t>
            </w:r>
          </w:p>
        </w:tc>
      </w:tr>
      <w:tr>
        <w:trPr>
          <w:trHeight w:val="251"/>
        </w:trPr>
        <w:tc>
          <w:tcPr>
            <w:tcW w:w="898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r>
      <w:tr>
        <w:trPr>
          <w:trHeight w:val="243"/>
        </w:trPr>
        <w:tc>
          <w:tcPr>
            <w:tcW w:w="898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898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16,620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(42,572)</w:t>
            </w:r>
          </w:p>
        </w:tc>
      </w:tr>
      <w:tr>
        <w:trPr>
          <w:trHeight w:val="235"/>
        </w:trPr>
        <w:tc>
          <w:tcPr>
            <w:tcW w:w="89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Adjustments to reconcile net income (loss)</w:t>
            </w: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r>
      <w:tr>
        <w:trPr>
          <w:trHeight w:val="259"/>
        </w:trPr>
        <w:tc>
          <w:tcPr>
            <w:tcW w:w="89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 net cash provided by operating activities:</w:t>
            </w: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6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40" w:type="dxa"/>
            <w:vAlign w:val="bottom"/>
            <w:shd w:val="clear" w:color="auto" w:fill="C0C0C0"/>
          </w:tcPr>
          <w:p>
            <w:pPr>
              <w:spacing w:after="0"/>
              <w:rPr>
                <w:sz w:val="22"/>
                <w:szCs w:val="22"/>
                <w:color w:val="auto"/>
              </w:rPr>
            </w:pPr>
          </w:p>
        </w:tc>
      </w:tr>
      <w:tr>
        <w:trPr>
          <w:trHeight w:val="235"/>
        </w:trPr>
        <w:tc>
          <w:tcPr>
            <w:tcW w:w="8980" w:type="dxa"/>
            <w:vAlign w:val="bottom"/>
          </w:tcPr>
          <w:p>
            <w:pPr>
              <w:ind w:left="9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67,786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64,419</w:t>
            </w:r>
          </w:p>
        </w:tc>
      </w:tr>
      <w:tr>
        <w:trPr>
          <w:trHeight w:val="251"/>
        </w:trPr>
        <w:tc>
          <w:tcPr>
            <w:tcW w:w="8980" w:type="dxa"/>
            <w:vAlign w:val="bottom"/>
            <w:shd w:val="clear" w:color="auto" w:fill="C0C0C0"/>
          </w:tcPr>
          <w:p>
            <w:pPr>
              <w:ind w:left="920"/>
              <w:spacing w:after="0"/>
              <w:rPr>
                <w:sz w:val="20"/>
                <w:szCs w:val="20"/>
                <w:color w:val="auto"/>
              </w:rPr>
            </w:pPr>
            <w:r>
              <w:rPr>
                <w:rFonts w:ascii="Arial" w:cs="Arial" w:eastAsia="Arial" w:hAnsi="Arial"/>
                <w:sz w:val="18"/>
                <w:szCs w:val="18"/>
                <w:color w:val="auto"/>
              </w:rPr>
              <w:t>Consolidation, restructuring and related charges (credits)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(5,059)</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10,517</w:t>
            </w:r>
          </w:p>
        </w:tc>
      </w:tr>
      <w:tr>
        <w:trPr>
          <w:trHeight w:val="235"/>
        </w:trPr>
        <w:tc>
          <w:tcPr>
            <w:tcW w:w="8980" w:type="dxa"/>
            <w:vAlign w:val="bottom"/>
          </w:tcPr>
          <w:p>
            <w:pPr>
              <w:ind w:left="92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1,458</w:t>
            </w:r>
          </w:p>
        </w:tc>
      </w:tr>
      <w:tr>
        <w:trPr>
          <w:trHeight w:val="251"/>
        </w:trPr>
        <w:tc>
          <w:tcPr>
            <w:tcW w:w="8980" w:type="dxa"/>
            <w:vAlign w:val="bottom"/>
            <w:shd w:val="clear" w:color="auto" w:fill="C0C0C0"/>
          </w:tcPr>
          <w:p>
            <w:pPr>
              <w:ind w:left="92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8980" w:type="dxa"/>
            <w:vAlign w:val="bottom"/>
          </w:tcPr>
          <w:p>
            <w:pPr>
              <w:ind w:left="12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(12,419)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51"/>
        </w:trPr>
        <w:tc>
          <w:tcPr>
            <w:tcW w:w="8980" w:type="dxa"/>
            <w:vAlign w:val="bottom"/>
            <w:shd w:val="clear" w:color="auto" w:fill="C0C0C0"/>
          </w:tcPr>
          <w:p>
            <w:pPr>
              <w:ind w:left="124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630</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2,204</w:t>
            </w:r>
          </w:p>
        </w:tc>
      </w:tr>
      <w:tr>
        <w:trPr>
          <w:trHeight w:val="235"/>
        </w:trPr>
        <w:tc>
          <w:tcPr>
            <w:tcW w:w="8980" w:type="dxa"/>
            <w:vAlign w:val="bottom"/>
          </w:tcPr>
          <w:p>
            <w:pPr>
              <w:ind w:left="12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1,767</w:t>
            </w:r>
          </w:p>
        </w:tc>
      </w:tr>
      <w:tr>
        <w:trPr>
          <w:trHeight w:val="251"/>
        </w:trPr>
        <w:tc>
          <w:tcPr>
            <w:tcW w:w="8980" w:type="dxa"/>
            <w:vAlign w:val="bottom"/>
            <w:shd w:val="clear" w:color="auto" w:fill="C0C0C0"/>
          </w:tcPr>
          <w:p>
            <w:pPr>
              <w:ind w:left="1240"/>
              <w:spacing w:after="0"/>
              <w:rPr>
                <w:sz w:val="20"/>
                <w:szCs w:val="20"/>
                <w:color w:val="auto"/>
              </w:rPr>
            </w:pPr>
            <w:r>
              <w:rPr>
                <w:rFonts w:ascii="Arial" w:cs="Arial" w:eastAsia="Arial" w:hAnsi="Arial"/>
                <w:sz w:val="18"/>
                <w:szCs w:val="18"/>
                <w:color w:val="auto"/>
              </w:rPr>
              <w:t>Accounts payable, accrued liabilities and other</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10,211</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4,061</w:t>
            </w:r>
          </w:p>
        </w:tc>
      </w:tr>
      <w:tr>
        <w:trPr>
          <w:trHeight w:val="230"/>
        </w:trPr>
        <w:tc>
          <w:tcPr>
            <w:tcW w:w="89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74,177</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41,607</w:t>
            </w:r>
          </w:p>
        </w:tc>
      </w:tr>
      <w:tr>
        <w:trPr>
          <w:trHeight w:val="243"/>
        </w:trPr>
        <w:tc>
          <w:tcPr>
            <w:tcW w:w="898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8980" w:type="dxa"/>
            <w:vAlign w:val="bottom"/>
          </w:tcPr>
          <w:p>
            <w:pPr>
              <w:ind w:left="320"/>
              <w:spacing w:after="0"/>
              <w:rPr>
                <w:sz w:val="20"/>
                <w:szCs w:val="20"/>
                <w:color w:val="auto"/>
              </w:rPr>
            </w:pPr>
            <w:r>
              <w:rPr>
                <w:rFonts w:ascii="Arial" w:cs="Arial" w:eastAsia="Arial" w:hAnsi="Arial"/>
                <w:sz w:val="18"/>
                <w:szCs w:val="18"/>
                <w:color w:val="auto"/>
              </w:rPr>
              <w:t>Purchases of property, plant and equipment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(38,040)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(29,867)</w:t>
            </w:r>
          </w:p>
        </w:tc>
      </w:tr>
      <w:tr>
        <w:trPr>
          <w:trHeight w:val="251"/>
        </w:trPr>
        <w:tc>
          <w:tcPr>
            <w:tcW w:w="89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Proceeds from sale of facility</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12,880</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8980" w:type="dxa"/>
            <w:vAlign w:val="bottom"/>
          </w:tcPr>
          <w:p>
            <w:pPr>
              <w:ind w:left="320"/>
              <w:spacing w:after="0"/>
              <w:rPr>
                <w:sz w:val="20"/>
                <w:szCs w:val="20"/>
                <w:color w:val="auto"/>
              </w:rPr>
            </w:pPr>
            <w:r>
              <w:rPr>
                <w:rFonts w:ascii="Arial" w:cs="Arial" w:eastAsia="Arial" w:hAnsi="Arial"/>
                <w:sz w:val="18"/>
                <w:szCs w:val="18"/>
                <w:color w:val="auto"/>
              </w:rPr>
              <w:t>Proceeds from sales of investments and other</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996</w:t>
            </w:r>
          </w:p>
        </w:tc>
      </w:tr>
      <w:tr>
        <w:trPr>
          <w:trHeight w:val="251"/>
        </w:trPr>
        <w:tc>
          <w:tcPr>
            <w:tcW w:w="89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Distribution from joint venture</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5,000</w:t>
            </w:r>
          </w:p>
        </w:tc>
      </w:tr>
      <w:tr>
        <w:trPr>
          <w:trHeight w:val="230"/>
        </w:trPr>
        <w:tc>
          <w:tcPr>
            <w:tcW w:w="89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(24,872)</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(23,871)</w:t>
            </w:r>
          </w:p>
        </w:tc>
      </w:tr>
      <w:tr>
        <w:trPr>
          <w:trHeight w:val="243"/>
        </w:trPr>
        <w:tc>
          <w:tcPr>
            <w:tcW w:w="898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8980" w:type="dxa"/>
            <w:vAlign w:val="bottom"/>
          </w:tcPr>
          <w:p>
            <w:pPr>
              <w:ind w:left="320"/>
              <w:spacing w:after="0"/>
              <w:rPr>
                <w:sz w:val="20"/>
                <w:szCs w:val="20"/>
                <w:color w:val="auto"/>
              </w:rPr>
            </w:pPr>
            <w:r>
              <w:rPr>
                <w:rFonts w:ascii="Arial" w:cs="Arial" w:eastAsia="Arial" w:hAnsi="Arial"/>
                <w:sz w:val="18"/>
                <w:szCs w:val="18"/>
                <w:color w:val="auto"/>
              </w:rPr>
              <w:t>Repayments of long-term borrowings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(62,288)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(39,342)</w:t>
            </w:r>
          </w:p>
        </w:tc>
      </w:tr>
      <w:tr>
        <w:trPr>
          <w:trHeight w:val="251"/>
        </w:trPr>
        <w:tc>
          <w:tcPr>
            <w:tcW w:w="89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Proceeds from long-term borrowings</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28,680</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27,204</w:t>
            </w:r>
          </w:p>
        </w:tc>
      </w:tr>
      <w:tr>
        <w:trPr>
          <w:trHeight w:val="235"/>
        </w:trPr>
        <w:tc>
          <w:tcPr>
            <w:tcW w:w="8980" w:type="dxa"/>
            <w:vAlign w:val="bottom"/>
          </w:tcPr>
          <w:p>
            <w:pPr>
              <w:ind w:left="320"/>
              <w:spacing w:after="0"/>
              <w:rPr>
                <w:sz w:val="20"/>
                <w:szCs w:val="20"/>
                <w:color w:val="auto"/>
              </w:rPr>
            </w:pPr>
            <w:r>
              <w:rPr>
                <w:rFonts w:ascii="Arial" w:cs="Arial" w:eastAsia="Arial" w:hAnsi="Arial"/>
                <w:sz w:val="18"/>
                <w:szCs w:val="18"/>
                <w:color w:val="auto"/>
              </w:rPr>
              <w:t>Payments of deferred financing fees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(4,317)</w:t>
            </w:r>
          </w:p>
        </w:tc>
      </w:tr>
      <w:tr>
        <w:trPr>
          <w:trHeight w:val="251"/>
        </w:trPr>
        <w:tc>
          <w:tcPr>
            <w:tcW w:w="89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89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(34,758)</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(16,543)</w:t>
            </w:r>
          </w:p>
        </w:tc>
      </w:tr>
      <w:tr>
        <w:trPr>
          <w:trHeight w:val="243"/>
        </w:trPr>
        <w:tc>
          <w:tcPr>
            <w:tcW w:w="8980" w:type="dxa"/>
            <w:vAlign w:val="bottom"/>
            <w:shd w:val="clear" w:color="auto" w:fill="C0C0C0"/>
          </w:tcPr>
          <w:p>
            <w:pPr>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941</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575</w:t>
            </w:r>
          </w:p>
        </w:tc>
      </w:tr>
      <w:tr>
        <w:trPr>
          <w:trHeight w:val="229"/>
        </w:trPr>
        <w:tc>
          <w:tcPr>
            <w:tcW w:w="89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15,488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1,768</w:t>
            </w:r>
          </w:p>
        </w:tc>
      </w:tr>
      <w:tr>
        <w:trPr>
          <w:trHeight w:val="244"/>
        </w:trPr>
        <w:tc>
          <w:tcPr>
            <w:tcW w:w="898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88,539</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83,763</w:t>
            </w:r>
          </w:p>
        </w:tc>
      </w:tr>
      <w:tr>
        <w:trPr>
          <w:trHeight w:val="250"/>
        </w:trPr>
        <w:tc>
          <w:tcPr>
            <w:tcW w:w="89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104,027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85,531</w:t>
            </w:r>
          </w:p>
        </w:tc>
      </w:tr>
      <w:tr>
        <w:trPr>
          <w:trHeight w:val="243"/>
        </w:trPr>
        <w:tc>
          <w:tcPr>
            <w:tcW w:w="8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r>
      <w:tr>
        <w:trPr>
          <w:trHeight w:val="243"/>
        </w:trPr>
        <w:tc>
          <w:tcPr>
            <w:tcW w:w="8980" w:type="dxa"/>
            <w:vAlign w:val="bottom"/>
            <w:shd w:val="clear" w:color="auto" w:fill="C0C0C0"/>
          </w:tcPr>
          <w:p>
            <w:pPr>
              <w:spacing w:after="0"/>
              <w:rPr>
                <w:sz w:val="20"/>
                <w:szCs w:val="20"/>
                <w:color w:val="auto"/>
              </w:rPr>
            </w:pPr>
            <w:r>
              <w:rPr>
                <w:rFonts w:ascii="Arial" w:cs="Arial" w:eastAsia="Arial" w:hAnsi="Arial"/>
                <w:sz w:val="18"/>
                <w:szCs w:val="18"/>
                <w:color w:val="auto"/>
              </w:rPr>
              <w:t>Supplemental disclosure of cash flow information:</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43"/>
        </w:trPr>
        <w:tc>
          <w:tcPr>
            <w:tcW w:w="8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8"/>
        </w:trPr>
        <w:tc>
          <w:tcPr>
            <w:tcW w:w="89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Change in accrual for purchases of property, plant</w:t>
            </w:r>
          </w:p>
        </w:tc>
        <w:tc>
          <w:tcPr>
            <w:tcW w:w="2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r>
      <w:tr>
        <w:trPr>
          <w:trHeight w:val="259"/>
        </w:trPr>
        <w:tc>
          <w:tcPr>
            <w:tcW w:w="89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and equipment</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35,735</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(18,712)</w:t>
            </w:r>
          </w:p>
        </w:tc>
      </w:tr>
      <w:tr>
        <w:trPr>
          <w:trHeight w:val="228"/>
        </w:trPr>
        <w:tc>
          <w:tcPr>
            <w:tcW w:w="8980" w:type="dxa"/>
            <w:vAlign w:val="bottom"/>
          </w:tcPr>
          <w:p>
            <w:pPr>
              <w:ind w:left="320"/>
              <w:spacing w:after="0"/>
              <w:rPr>
                <w:sz w:val="20"/>
                <w:szCs w:val="20"/>
                <w:color w:val="auto"/>
              </w:rPr>
            </w:pPr>
            <w:r>
              <w:rPr>
                <w:rFonts w:ascii="Arial" w:cs="Arial" w:eastAsia="Arial" w:hAnsi="Arial"/>
                <w:sz w:val="18"/>
                <w:szCs w:val="18"/>
                <w:color w:val="auto"/>
              </w:rPr>
              <w:t>Change in capital lease obligation for purchases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1"/>
        </w:trPr>
        <w:tc>
          <w:tcPr>
            <w:tcW w:w="8980" w:type="dxa"/>
            <w:vAlign w:val="bottom"/>
          </w:tcPr>
          <w:p>
            <w:pPr>
              <w:ind w:left="620"/>
              <w:spacing w:after="0"/>
              <w:rPr>
                <w:sz w:val="20"/>
                <w:szCs w:val="20"/>
                <w:color w:val="auto"/>
              </w:rPr>
            </w:pPr>
            <w:r>
              <w:rPr>
                <w:rFonts w:ascii="Arial" w:cs="Arial" w:eastAsia="Arial" w:hAnsi="Arial"/>
                <w:sz w:val="18"/>
                <w:szCs w:val="18"/>
                <w:color w:val="auto"/>
              </w:rPr>
              <w:t>of property, plant and equipment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(28,244)</w:t>
            </w:r>
          </w:p>
        </w:tc>
      </w:tr>
      <w:tr>
        <w:trPr>
          <w:trHeight w:val="251"/>
        </w:trPr>
        <w:tc>
          <w:tcPr>
            <w:tcW w:w="89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Common stock warrants issuance and fair value adjustment</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10,086</w:t>
            </w:r>
          </w:p>
        </w:tc>
      </w:tr>
      <w:tr>
        <w:trPr>
          <w:trHeight w:val="228"/>
        </w:trPr>
        <w:tc>
          <w:tcPr>
            <w:tcW w:w="8980" w:type="dxa"/>
            <w:vAlign w:val="bottom"/>
          </w:tcPr>
          <w:p>
            <w:pPr>
              <w:ind w:left="320"/>
              <w:spacing w:after="0"/>
              <w:rPr>
                <w:sz w:val="20"/>
                <w:szCs w:val="20"/>
                <w:color w:val="auto"/>
              </w:rPr>
            </w:pPr>
            <w:r>
              <w:rPr>
                <w:rFonts w:ascii="Arial" w:cs="Arial" w:eastAsia="Arial" w:hAnsi="Arial"/>
                <w:sz w:val="18"/>
                <w:szCs w:val="18"/>
                <w:color w:val="auto"/>
              </w:rPr>
              <w:t>Non-cash reduction of notes payable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and Nine Months Ended August 1, 2010 and August 2, 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amounts)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85" w:lineRule="exact"/>
        <w:rPr>
          <w:sz w:val="20"/>
          <w:szCs w:val="20"/>
          <w:color w:val="auto"/>
        </w:rPr>
      </w:pPr>
    </w:p>
    <w:p>
      <w:pPr>
        <w:ind w:right="40" w:firstLine="270"/>
        <w:spacing w:after="0" w:line="294" w:lineRule="auto"/>
        <w:rPr>
          <w:sz w:val="20"/>
          <w:szCs w:val="20"/>
          <w:color w:val="auto"/>
        </w:rPr>
      </w:pPr>
      <w:r>
        <w:rPr>
          <w:rFonts w:ascii="Arial" w:cs="Arial" w:eastAsia="Arial" w:hAnsi="Arial"/>
          <w:sz w:val="16"/>
          <w:szCs w:val="16"/>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two in Taiwan, one in Korea, one in Singapore, and three in the United States.</w:t>
      </w:r>
    </w:p>
    <w:p>
      <w:pPr>
        <w:spacing w:after="0" w:line="224"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(consisting of normal recurring accruals) considered necessary for a fair presentation have been included.</w:t>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Operating results for the interim period are not necessarily indicative of the results that may be expected for the fiscal year ending October 31, 2010. For further information, refer to the consolidated financial statements and footnotes thereto included in the Company's Annual Report on Form 10- K for the year ended November 1, 2009.</w:t>
      </w:r>
    </w:p>
    <w:p>
      <w:pPr>
        <w:spacing w:after="0" w:line="252" w:lineRule="exact"/>
        <w:rPr>
          <w:sz w:val="20"/>
          <w:szCs w:val="20"/>
          <w:color w:val="auto"/>
        </w:rPr>
      </w:pPr>
    </w:p>
    <w:p>
      <w:pPr>
        <w:ind w:right="400" w:firstLine="270"/>
        <w:spacing w:after="0" w:line="268" w:lineRule="auto"/>
        <w:rPr>
          <w:sz w:val="20"/>
          <w:szCs w:val="20"/>
          <w:color w:val="auto"/>
        </w:rPr>
      </w:pPr>
      <w:r>
        <w:rPr>
          <w:rFonts w:ascii="Arial" w:cs="Arial" w:eastAsia="Arial" w:hAnsi="Arial"/>
          <w:sz w:val="18"/>
          <w:szCs w:val="18"/>
          <w:color w:val="auto"/>
        </w:rPr>
        <w:t>Certain amounts in the November 1, 2009 condensed consolidated financial statements were reclassified to conform with the current period presentation related to noncontrolling interests (see Note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CHANGES IN EQUITY AND COMPREHENSIVE INCOME (LOSS)</w:t>
      </w:r>
    </w:p>
    <w:p>
      <w:pPr>
        <w:spacing w:after="0" w:line="285"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On November 2, 2009, the Company adopted new accounting standards for noncontrolling interests as set forth in the Consolidation Topic No. 810 of the Accounting Standards Codification. These standards require companies to classify expenses related to noncontrolling interests' share in income (loss) below net income (loss). Earnings per share continues to be determined after the impact of the noncontrolling interests' share in net income (loss) of the Company. In addition, these standards require noncontrolling interests to be presented on the condensed consolidated balance sheets as a separate caption within equity. The presentation and disclosure requirements of these standards were retrospectively applied. The adoption of these standards resulted in the reclassification of $49.9 million of noncontrolling interests in the condensed consolidated balance sheet to equity on November 2, 2009.</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7" w:name="page8"/>
    <w:bookmarkEnd w:id="7"/>
    <w:p>
      <w:pPr>
        <w:ind w:left="280"/>
        <w:spacing w:after="0"/>
        <w:rPr>
          <w:sz w:val="20"/>
          <w:szCs w:val="20"/>
          <w:color w:val="auto"/>
        </w:rPr>
      </w:pPr>
      <w:r>
        <w:rPr>
          <w:rFonts w:ascii="Arial" w:cs="Arial" w:eastAsia="Arial" w:hAnsi="Arial"/>
          <w:sz w:val="16"/>
          <w:szCs w:val="16"/>
          <w:color w:val="auto"/>
        </w:rPr>
        <w:t>The following tables set forth the Company's consolidated changes in equity for the three and nine months ended August 1, 2010 and August 2, 2009:</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Three Months Ended August 1, 2010</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41"/>
        </w:trPr>
        <w:tc>
          <w:tcPr>
            <w:tcW w:w="47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gridSpan w:val="8"/>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96"/>
        </w:trPr>
        <w:tc>
          <w:tcPr>
            <w:tcW w:w="4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gridSpan w:val="8"/>
          </w:tcPr>
          <w:p>
            <w:pPr>
              <w:ind w:left="440"/>
              <w:spacing w:after="0"/>
              <w:rPr>
                <w:sz w:val="20"/>
                <w:szCs w:val="20"/>
                <w:color w:val="auto"/>
              </w:rPr>
            </w:pPr>
            <w:r>
              <w:rPr>
                <w:rFonts w:ascii="Arial" w:cs="Arial" w:eastAsia="Arial" w:hAnsi="Arial"/>
                <w:sz w:val="14"/>
                <w:szCs w:val="14"/>
                <w:b w:val="1"/>
                <w:bCs w:val="1"/>
                <w:color w:val="auto"/>
              </w:rPr>
              <w:t>Photronics, Inc. Shareholders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1"/>
        </w:trPr>
        <w:tc>
          <w:tcPr>
            <w:tcW w:w="47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96"/>
        </w:trPr>
        <w:tc>
          <w:tcPr>
            <w:tcW w:w="4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43"/>
        </w:trPr>
        <w:tc>
          <w:tcPr>
            <w:tcW w:w="4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4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92"/>
              </w:rPr>
              <w:t>Add'l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21"/>
                <w:szCs w:val="21"/>
                <w:color w:val="auto"/>
              </w:rPr>
            </w:pPr>
          </w:p>
        </w:tc>
        <w:tc>
          <w:tcPr>
            <w:tcW w:w="6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4740" w:type="dxa"/>
            <w:vAlign w:val="bottom"/>
          </w:tcPr>
          <w:p>
            <w:pPr>
              <w:spacing w:after="0"/>
              <w:rPr>
                <w:sz w:val="21"/>
                <w:szCs w:val="21"/>
                <w:color w:val="auto"/>
              </w:rPr>
            </w:pPr>
          </w:p>
        </w:tc>
        <w:tc>
          <w:tcPr>
            <w:tcW w:w="1120" w:type="dxa"/>
            <w:vAlign w:val="bottom"/>
            <w:gridSpan w:val="5"/>
          </w:tcPr>
          <w:p>
            <w:pPr>
              <w:ind w:left="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1"/>
                <w:szCs w:val="21"/>
                <w:color w:val="auto"/>
              </w:rPr>
            </w:pPr>
          </w:p>
        </w:tc>
        <w:tc>
          <w:tcPr>
            <w:tcW w:w="6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21"/>
                <w:szCs w:val="21"/>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Income</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Photronics,</w:t>
            </w:r>
          </w:p>
        </w:tc>
        <w:tc>
          <w:tcPr>
            <w:tcW w:w="100" w:type="dxa"/>
            <w:vAlign w:val="bottom"/>
          </w:tcPr>
          <w:p>
            <w:pPr>
              <w:spacing w:after="0"/>
              <w:rPr>
                <w:sz w:val="21"/>
                <w:szCs w:val="21"/>
                <w:color w:val="auto"/>
              </w:rPr>
            </w:pPr>
          </w:p>
        </w:tc>
        <w:tc>
          <w:tcPr>
            <w:tcW w:w="780" w:type="dxa"/>
            <w:vAlign w:val="bottom"/>
            <w:gridSpan w:val="4"/>
          </w:tcPr>
          <w:p>
            <w:pPr>
              <w:ind w:left="20"/>
              <w:spacing w:after="0"/>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21"/>
                <w:szCs w:val="21"/>
                <w:color w:val="auto"/>
              </w:rPr>
            </w:pPr>
          </w:p>
        </w:tc>
        <w:tc>
          <w:tcPr>
            <w:tcW w:w="6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Total</w:t>
            </w:r>
          </w:p>
        </w:tc>
      </w:tr>
      <w:tr>
        <w:trPr>
          <w:trHeight w:val="41"/>
        </w:trPr>
        <w:tc>
          <w:tcPr>
            <w:tcW w:w="4740" w:type="dxa"/>
            <w:vAlign w:val="bottom"/>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96"/>
        </w:trPr>
        <w:tc>
          <w:tcPr>
            <w:tcW w:w="474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6"/>
              </w:rPr>
              <w:t>Shares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6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Deficit</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7"/>
                <w:szCs w:val="17"/>
                <w:color w:val="auto"/>
              </w:rPr>
            </w:pPr>
          </w:p>
        </w:tc>
        <w:tc>
          <w:tcPr>
            <w:tcW w:w="620" w:type="dxa"/>
            <w:vAlign w:val="bottom"/>
          </w:tcPr>
          <w:p>
            <w:pPr>
              <w:jc w:val="center"/>
              <w:ind w:right="52"/>
              <w:spacing w:after="0"/>
              <w:rPr>
                <w:sz w:val="20"/>
                <w:szCs w:val="20"/>
                <w:color w:val="auto"/>
              </w:rPr>
            </w:pPr>
            <w:r>
              <w:rPr>
                <w:rFonts w:ascii="Arial" w:cs="Arial" w:eastAsia="Arial" w:hAnsi="Arial"/>
                <w:sz w:val="14"/>
                <w:szCs w:val="14"/>
                <w:b w:val="1"/>
                <w:bCs w:val="1"/>
                <w:color w:val="auto"/>
                <w:w w:val="90"/>
              </w:rPr>
              <w:t>Inc.</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Interests</w:t>
            </w:r>
          </w:p>
        </w:tc>
        <w:tc>
          <w:tcPr>
            <w:tcW w:w="100" w:type="dxa"/>
            <w:vAlign w:val="bottom"/>
          </w:tcPr>
          <w:p>
            <w:pPr>
              <w:spacing w:after="0"/>
              <w:rPr>
                <w:sz w:val="17"/>
                <w:szCs w:val="17"/>
                <w:color w:val="auto"/>
              </w:rPr>
            </w:pP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Equity</w:t>
            </w:r>
          </w:p>
        </w:tc>
      </w:tr>
      <w:tr>
        <w:trPr>
          <w:trHeight w:val="41"/>
        </w:trPr>
        <w:tc>
          <w:tcPr>
            <w:tcW w:w="474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17"/>
        </w:trPr>
        <w:tc>
          <w:tcPr>
            <w:tcW w:w="47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May 2, 2010</w:t>
            </w: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w w:val="83"/>
              </w:rPr>
              <w:t>53,497</w:t>
            </w:r>
          </w:p>
        </w:tc>
        <w:tc>
          <w:tcPr>
            <w:tcW w:w="200" w:type="dxa"/>
            <w:vAlign w:val="bottom"/>
            <w:tcBorders>
              <w:bottom w:val="single" w:sz="8" w:color="C0C0C0"/>
            </w:tcBorders>
            <w:shd w:val="clear" w:color="auto" w:fill="C0C0C0"/>
          </w:tcPr>
          <w:p>
            <w:pPr>
              <w:jc w:val="right"/>
              <w:ind w:right="84"/>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434,976</w:t>
            </w:r>
          </w:p>
        </w:tc>
        <w:tc>
          <w:tcPr>
            <w:tcW w:w="2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(18,459)</w:t>
            </w:r>
          </w:p>
        </w:tc>
        <w:tc>
          <w:tcPr>
            <w:tcW w:w="12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C0C0C0"/>
            </w:tcBorders>
            <w:shd w:val="clear" w:color="auto" w:fill="C0C0C0"/>
          </w:tcPr>
          <w:p>
            <w:pPr>
              <w:jc w:val="right"/>
              <w:ind w:right="232"/>
              <w:spacing w:after="0"/>
              <w:rPr>
                <w:sz w:val="20"/>
                <w:szCs w:val="20"/>
                <w:color w:val="auto"/>
              </w:rPr>
            </w:pPr>
            <w:r>
              <w:rPr>
                <w:rFonts w:ascii="Arial" w:cs="Arial" w:eastAsia="Arial" w:hAnsi="Arial"/>
                <w:sz w:val="14"/>
                <w:szCs w:val="14"/>
                <w:color w:val="auto"/>
              </w:rPr>
              <w:t>6,217</w:t>
            </w:r>
          </w:p>
        </w:tc>
        <w:tc>
          <w:tcPr>
            <w:tcW w:w="10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423,269</w:t>
            </w:r>
          </w:p>
        </w:tc>
        <w:tc>
          <w:tcPr>
            <w:tcW w:w="18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52,900</w:t>
            </w:r>
          </w:p>
        </w:tc>
        <w:tc>
          <w:tcPr>
            <w:tcW w:w="8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476,169</w:t>
            </w:r>
          </w:p>
        </w:tc>
      </w:tr>
      <w:tr>
        <w:trPr>
          <w:trHeight w:val="202"/>
        </w:trPr>
        <w:tc>
          <w:tcPr>
            <w:tcW w:w="4740" w:type="dxa"/>
            <w:vAlign w:val="bottom"/>
          </w:tcPr>
          <w:p>
            <w:pPr>
              <w:spacing w:after="0"/>
              <w:rPr>
                <w:sz w:val="20"/>
                <w:szCs w:val="20"/>
                <w:color w:val="auto"/>
              </w:rPr>
            </w:pPr>
            <w:r>
              <w:rPr>
                <w:rFonts w:ascii="Arial" w:cs="Arial" w:eastAsia="Arial" w:hAnsi="Arial"/>
                <w:sz w:val="14"/>
                <w:szCs w:val="14"/>
                <w:color w:val="auto"/>
              </w:rPr>
              <w:t>Comprehensive income: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1"/>
        </w:trPr>
        <w:tc>
          <w:tcPr>
            <w:tcW w:w="4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474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Net income (loss)</w:t>
            </w: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7,691</w:t>
            </w: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180" w:type="dxa"/>
            <w:vAlign w:val="bottom"/>
            <w:tcBorders>
              <w:bottom w:val="single" w:sz="8" w:color="C0C0C0"/>
            </w:tcBorders>
            <w:shd w:val="clear" w:color="auto" w:fill="C0C0C0"/>
          </w:tcPr>
          <w:p>
            <w:pPr>
              <w:jc w:val="right"/>
              <w:ind w:right="2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7,691</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7,607</w:t>
            </w:r>
          </w:p>
        </w:tc>
      </w:tr>
      <w:tr>
        <w:trPr>
          <w:trHeight w:val="202"/>
        </w:trPr>
        <w:tc>
          <w:tcPr>
            <w:tcW w:w="4740" w:type="dxa"/>
            <w:vAlign w:val="bottom"/>
          </w:tcPr>
          <w:p>
            <w:pPr>
              <w:ind w:left="240"/>
              <w:spacing w:after="0"/>
              <w:rPr>
                <w:sz w:val="20"/>
                <w:szCs w:val="20"/>
                <w:color w:val="auto"/>
              </w:rPr>
            </w:pPr>
            <w:r>
              <w:rPr>
                <w:rFonts w:ascii="Arial" w:cs="Arial" w:eastAsia="Arial" w:hAnsi="Arial"/>
                <w:sz w:val="14"/>
                <w:szCs w:val="14"/>
                <w:color w:val="auto"/>
              </w:rPr>
              <w:t>Reclassification adjustment – unrealized holding gain</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41"/>
        </w:trPr>
        <w:tc>
          <w:tcPr>
            <w:tcW w:w="4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474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Amortization of cash flow hedges</w:t>
            </w: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180" w:type="dxa"/>
            <w:vAlign w:val="bottom"/>
            <w:tcBorders>
              <w:bottom w:val="single" w:sz="8" w:color="C0C0C0"/>
            </w:tcBorders>
            <w:shd w:val="clear" w:color="auto" w:fill="C0C0C0"/>
          </w:tcPr>
          <w:p>
            <w:pPr>
              <w:jc w:val="right"/>
              <w:ind w:right="232"/>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31</w:t>
            </w:r>
          </w:p>
        </w:tc>
      </w:tr>
      <w:tr>
        <w:trPr>
          <w:trHeight w:val="202"/>
        </w:trPr>
        <w:tc>
          <w:tcPr>
            <w:tcW w:w="4740" w:type="dxa"/>
            <w:vAlign w:val="bottom"/>
          </w:tcPr>
          <w:p>
            <w:pPr>
              <w:ind w:left="240"/>
              <w:spacing w:after="0"/>
              <w:rPr>
                <w:sz w:val="20"/>
                <w:szCs w:val="20"/>
                <w:color w:val="auto"/>
              </w:rPr>
            </w:pPr>
            <w:r>
              <w:rPr>
                <w:rFonts w:ascii="Arial" w:cs="Arial" w:eastAsia="Arial" w:hAnsi="Arial"/>
                <w:sz w:val="14"/>
                <w:szCs w:val="14"/>
                <w:color w:val="auto"/>
              </w:rPr>
              <w:t>Foreign currency translation</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43"/>
        </w:trPr>
        <w:tc>
          <w:tcPr>
            <w:tcW w:w="4740" w:type="dxa"/>
            <w:vAlign w:val="bottom"/>
          </w:tcPr>
          <w:p>
            <w:pPr>
              <w:ind w:left="480"/>
              <w:spacing w:after="0"/>
              <w:rPr>
                <w:sz w:val="20"/>
                <w:szCs w:val="20"/>
                <w:color w:val="auto"/>
              </w:rPr>
            </w:pPr>
            <w:r>
              <w:rPr>
                <w:rFonts w:ascii="Arial" w:cs="Arial" w:eastAsia="Arial" w:hAnsi="Arial"/>
                <w:sz w:val="14"/>
                <w:szCs w:val="14"/>
                <w:color w:val="auto"/>
              </w:rPr>
              <w:t>adjustments</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color w:val="auto"/>
              </w:rPr>
              <w:t>(10,820)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(10,820)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(10,712)</w:t>
            </w:r>
          </w:p>
        </w:tc>
      </w:tr>
      <w:tr>
        <w:trPr>
          <w:trHeight w:val="41"/>
        </w:trPr>
        <w:tc>
          <w:tcPr>
            <w:tcW w:w="4740" w:type="dxa"/>
            <w:vAlign w:val="bottom"/>
            <w:tcBorders>
              <w:bottom w:val="single" w:sz="8" w:color="C0C0C0"/>
            </w:tcBorders>
          </w:tcPr>
          <w:p>
            <w:pPr>
              <w:spacing w:after="0"/>
              <w:rPr>
                <w:sz w:val="3"/>
                <w:szCs w:val="3"/>
                <w:color w:val="auto"/>
              </w:rPr>
            </w:pPr>
          </w:p>
        </w:tc>
        <w:tc>
          <w:tcPr>
            <w:tcW w:w="38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3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8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1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37"/>
        </w:trPr>
        <w:tc>
          <w:tcPr>
            <w:tcW w:w="474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Total comprehensive loss</w:t>
            </w: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0C0C0"/>
            </w:tcBorders>
            <w:shd w:val="clear" w:color="auto" w:fill="C0C0C0"/>
          </w:tcPr>
          <w:p>
            <w:pPr>
              <w:spacing w:after="0"/>
              <w:rPr>
                <w:sz w:val="20"/>
                <w:szCs w:val="20"/>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tcBorders>
            <w:shd w:val="clear" w:color="auto" w:fill="C0C0C0"/>
          </w:tcPr>
          <w:p>
            <w:pPr>
              <w:spacing w:after="0"/>
              <w:rPr>
                <w:sz w:val="20"/>
                <w:szCs w:val="20"/>
                <w:color w:val="auto"/>
              </w:rPr>
            </w:pPr>
          </w:p>
        </w:tc>
        <w:tc>
          <w:tcPr>
            <w:tcW w:w="1180" w:type="dxa"/>
            <w:vAlign w:val="bottom"/>
            <w:tcBorders>
              <w:bottom w:val="single" w:sz="8" w:color="C0C0C0"/>
            </w:tcBorders>
            <w:shd w:val="clear" w:color="auto" w:fill="C0C0C0"/>
          </w:tcPr>
          <w:p>
            <w:pPr>
              <w:jc w:val="right"/>
              <w:ind w:right="2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(3,174)</w:t>
            </w:r>
          </w:p>
        </w:tc>
        <w:tc>
          <w:tcPr>
            <w:tcW w:w="10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580" w:type="dxa"/>
            <w:vAlign w:val="bottom"/>
            <w:tcBorders>
              <w:bottom w:val="single" w:sz="8" w:color="C0C0C0"/>
            </w:tcBorders>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(3,206)</w:t>
            </w:r>
          </w:p>
        </w:tc>
      </w:tr>
      <w:tr>
        <w:trPr>
          <w:trHeight w:val="209"/>
        </w:trPr>
        <w:tc>
          <w:tcPr>
            <w:tcW w:w="4740" w:type="dxa"/>
            <w:vAlign w:val="bottom"/>
          </w:tcPr>
          <w:p>
            <w:pPr>
              <w:spacing w:after="0"/>
              <w:rPr>
                <w:sz w:val="20"/>
                <w:szCs w:val="20"/>
                <w:color w:val="auto"/>
              </w:rPr>
            </w:pPr>
            <w:r>
              <w:rPr>
                <w:rFonts w:ascii="Arial" w:cs="Arial" w:eastAsia="Arial" w:hAnsi="Arial"/>
                <w:sz w:val="14"/>
                <w:szCs w:val="14"/>
                <w:color w:val="auto"/>
              </w:rPr>
              <w:t>Sale of common stock through</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r>
      <w:tr>
        <w:trPr>
          <w:trHeight w:val="243"/>
        </w:trPr>
        <w:tc>
          <w:tcPr>
            <w:tcW w:w="4740" w:type="dxa"/>
            <w:vAlign w:val="bottom"/>
          </w:tcPr>
          <w:p>
            <w:pPr>
              <w:ind w:left="240"/>
              <w:spacing w:after="0"/>
              <w:rPr>
                <w:sz w:val="20"/>
                <w:szCs w:val="20"/>
                <w:color w:val="auto"/>
              </w:rPr>
            </w:pPr>
            <w:r>
              <w:rPr>
                <w:rFonts w:ascii="Arial" w:cs="Arial" w:eastAsia="Arial" w:hAnsi="Arial"/>
                <w:sz w:val="14"/>
                <w:szCs w:val="14"/>
                <w:color w:val="auto"/>
              </w:rPr>
              <w:t>employee stock option and</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4740" w:type="dxa"/>
            <w:vAlign w:val="bottom"/>
          </w:tcPr>
          <w:p>
            <w:pPr>
              <w:ind w:left="240"/>
              <w:spacing w:after="0"/>
              <w:rPr>
                <w:sz w:val="20"/>
                <w:szCs w:val="20"/>
                <w:color w:val="auto"/>
              </w:rPr>
            </w:pPr>
            <w:r>
              <w:rPr>
                <w:rFonts w:ascii="Arial" w:cs="Arial" w:eastAsia="Arial" w:hAnsi="Arial"/>
                <w:sz w:val="14"/>
                <w:szCs w:val="14"/>
                <w:color w:val="auto"/>
              </w:rPr>
              <w:t>purchase plans</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4</w:t>
            </w:r>
          </w:p>
        </w:tc>
      </w:tr>
      <w:tr>
        <w:trPr>
          <w:trHeight w:val="41"/>
        </w:trPr>
        <w:tc>
          <w:tcPr>
            <w:tcW w:w="4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47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Share-based compensation expense</w:t>
            </w: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13</w:t>
            </w:r>
          </w:p>
        </w:tc>
        <w:tc>
          <w:tcPr>
            <w:tcW w:w="20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180" w:type="dxa"/>
            <w:vAlign w:val="bottom"/>
            <w:tcBorders>
              <w:bottom w:val="single" w:sz="8" w:color="C0C0C0"/>
            </w:tcBorders>
            <w:shd w:val="clear" w:color="auto" w:fill="C0C0C0"/>
          </w:tcPr>
          <w:p>
            <w:pPr>
              <w:jc w:val="right"/>
              <w:ind w:right="2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487</w:t>
            </w:r>
          </w:p>
        </w:tc>
      </w:tr>
      <w:tr>
        <w:trPr>
          <w:trHeight w:val="20"/>
        </w:trPr>
        <w:tc>
          <w:tcPr>
            <w:tcW w:w="4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4"/>
                <w:szCs w:val="14"/>
                <w:b w:val="1"/>
                <w:bCs w:val="1"/>
                <w:color w:val="auto"/>
              </w:rPr>
              <w:t>Balance at August 1, 2010</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w w:val="83"/>
              </w:rPr>
              <w:t>53,515</w:t>
            </w:r>
          </w:p>
        </w:tc>
        <w:tc>
          <w:tcPr>
            <w:tcW w:w="200" w:type="dxa"/>
            <w:vAlign w:val="bottom"/>
          </w:tcPr>
          <w:p>
            <w:pPr>
              <w:jc w:val="right"/>
              <w:ind w:right="8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435,467</w:t>
            </w:r>
          </w:p>
        </w:tc>
        <w:tc>
          <w:tcPr>
            <w:tcW w:w="26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(10,768)</w:t>
            </w:r>
          </w:p>
        </w:tc>
        <w:tc>
          <w:tcPr>
            <w:tcW w:w="120" w:type="dxa"/>
            <w:vAlign w:val="bottom"/>
          </w:tcPr>
          <w:p>
            <w:pPr>
              <w:spacing w:after="0"/>
              <w:rPr>
                <w:sz w:val="18"/>
                <w:szCs w:val="18"/>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192"/>
              <w:spacing w:after="0"/>
              <w:rPr>
                <w:sz w:val="20"/>
                <w:szCs w:val="20"/>
                <w:color w:val="auto"/>
              </w:rPr>
            </w:pPr>
            <w:r>
              <w:rPr>
                <w:rFonts w:ascii="Arial" w:cs="Arial" w:eastAsia="Arial" w:hAnsi="Arial"/>
                <w:sz w:val="14"/>
                <w:szCs w:val="14"/>
                <w:color w:val="auto"/>
              </w:rPr>
              <w:t>(4,648)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420,586</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52,868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473,454</w:t>
            </w:r>
          </w:p>
        </w:tc>
      </w:tr>
      <w:tr>
        <w:trPr>
          <w:trHeight w:val="35"/>
        </w:trPr>
        <w:tc>
          <w:tcPr>
            <w:tcW w:w="47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gridSpan w:val="6"/>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445"/>
        </w:trPr>
        <w:tc>
          <w:tcPr>
            <w:tcW w:w="4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Three Months Ended August 2, 2009</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
        </w:trPr>
        <w:tc>
          <w:tcPr>
            <w:tcW w:w="47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gridSpan w:val="8"/>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96"/>
        </w:trPr>
        <w:tc>
          <w:tcPr>
            <w:tcW w:w="4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gridSpan w:val="8"/>
          </w:tcPr>
          <w:p>
            <w:pPr>
              <w:ind w:left="440"/>
              <w:spacing w:after="0"/>
              <w:rPr>
                <w:sz w:val="20"/>
                <w:szCs w:val="20"/>
                <w:color w:val="auto"/>
              </w:rPr>
            </w:pPr>
            <w:r>
              <w:rPr>
                <w:rFonts w:ascii="Arial" w:cs="Arial" w:eastAsia="Arial" w:hAnsi="Arial"/>
                <w:sz w:val="14"/>
                <w:szCs w:val="14"/>
                <w:b w:val="1"/>
                <w:bCs w:val="1"/>
                <w:color w:val="auto"/>
              </w:rPr>
              <w:t>Photronics, Inc. Shareholders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1"/>
        </w:trPr>
        <w:tc>
          <w:tcPr>
            <w:tcW w:w="47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96"/>
        </w:trPr>
        <w:tc>
          <w:tcPr>
            <w:tcW w:w="4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43"/>
        </w:trPr>
        <w:tc>
          <w:tcPr>
            <w:tcW w:w="4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92"/>
              </w:rPr>
              <w:t>Add'l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21"/>
                <w:szCs w:val="21"/>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4740" w:type="dxa"/>
            <w:vAlign w:val="bottom"/>
          </w:tcPr>
          <w:p>
            <w:pPr>
              <w:spacing w:after="0"/>
              <w:rPr>
                <w:sz w:val="21"/>
                <w:szCs w:val="21"/>
                <w:color w:val="auto"/>
              </w:rPr>
            </w:pPr>
          </w:p>
        </w:tc>
        <w:tc>
          <w:tcPr>
            <w:tcW w:w="1120" w:type="dxa"/>
            <w:vAlign w:val="bottom"/>
            <w:gridSpan w:val="5"/>
          </w:tcPr>
          <w:p>
            <w:pPr>
              <w:ind w:left="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1"/>
                <w:szCs w:val="21"/>
                <w:color w:val="auto"/>
              </w:rPr>
            </w:pPr>
          </w:p>
        </w:tc>
        <w:tc>
          <w:tcPr>
            <w:tcW w:w="6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21"/>
                <w:szCs w:val="21"/>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Comprehensive</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Photronics,</w:t>
            </w:r>
          </w:p>
        </w:tc>
        <w:tc>
          <w:tcPr>
            <w:tcW w:w="100" w:type="dxa"/>
            <w:vAlign w:val="bottom"/>
          </w:tcPr>
          <w:p>
            <w:pPr>
              <w:spacing w:after="0"/>
              <w:rPr>
                <w:sz w:val="21"/>
                <w:szCs w:val="21"/>
                <w:color w:val="auto"/>
              </w:rPr>
            </w:pPr>
          </w:p>
        </w:tc>
        <w:tc>
          <w:tcPr>
            <w:tcW w:w="780" w:type="dxa"/>
            <w:vAlign w:val="bottom"/>
            <w:gridSpan w:val="4"/>
          </w:tcPr>
          <w:p>
            <w:pPr>
              <w:ind w:left="20"/>
              <w:spacing w:after="0"/>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21"/>
                <w:szCs w:val="21"/>
                <w:color w:val="auto"/>
              </w:rPr>
            </w:pPr>
          </w:p>
        </w:tc>
        <w:tc>
          <w:tcPr>
            <w:tcW w:w="6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Total</w:t>
            </w:r>
          </w:p>
        </w:tc>
      </w:tr>
      <w:tr>
        <w:trPr>
          <w:trHeight w:val="41"/>
        </w:trPr>
        <w:tc>
          <w:tcPr>
            <w:tcW w:w="4740" w:type="dxa"/>
            <w:vAlign w:val="bottom"/>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96"/>
        </w:trPr>
        <w:tc>
          <w:tcPr>
            <w:tcW w:w="474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6"/>
              </w:rPr>
              <w:t>Shares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6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Deficit</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9"/>
              </w:rPr>
              <w:t>Loss</w:t>
            </w:r>
          </w:p>
        </w:tc>
        <w:tc>
          <w:tcPr>
            <w:tcW w:w="120" w:type="dxa"/>
            <w:vAlign w:val="bottom"/>
          </w:tcPr>
          <w:p>
            <w:pPr>
              <w:spacing w:after="0"/>
              <w:rPr>
                <w:sz w:val="17"/>
                <w:szCs w:val="17"/>
                <w:color w:val="auto"/>
              </w:rPr>
            </w:pPr>
          </w:p>
        </w:tc>
        <w:tc>
          <w:tcPr>
            <w:tcW w:w="620" w:type="dxa"/>
            <w:vAlign w:val="bottom"/>
          </w:tcPr>
          <w:p>
            <w:pPr>
              <w:jc w:val="center"/>
              <w:ind w:right="52"/>
              <w:spacing w:after="0"/>
              <w:rPr>
                <w:sz w:val="20"/>
                <w:szCs w:val="20"/>
                <w:color w:val="auto"/>
              </w:rPr>
            </w:pPr>
            <w:r>
              <w:rPr>
                <w:rFonts w:ascii="Arial" w:cs="Arial" w:eastAsia="Arial" w:hAnsi="Arial"/>
                <w:sz w:val="14"/>
                <w:szCs w:val="14"/>
                <w:b w:val="1"/>
                <w:bCs w:val="1"/>
                <w:color w:val="auto"/>
                <w:w w:val="90"/>
              </w:rPr>
              <w:t>Inc.</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Interests</w:t>
            </w:r>
          </w:p>
        </w:tc>
        <w:tc>
          <w:tcPr>
            <w:tcW w:w="100" w:type="dxa"/>
            <w:vAlign w:val="bottom"/>
          </w:tcPr>
          <w:p>
            <w:pPr>
              <w:spacing w:after="0"/>
              <w:rPr>
                <w:sz w:val="17"/>
                <w:szCs w:val="17"/>
                <w:color w:val="auto"/>
              </w:rPr>
            </w:pP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Equity</w:t>
            </w:r>
          </w:p>
        </w:tc>
      </w:tr>
      <w:tr>
        <w:trPr>
          <w:trHeight w:val="41"/>
        </w:trPr>
        <w:tc>
          <w:tcPr>
            <w:tcW w:w="474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17"/>
        </w:trPr>
        <w:tc>
          <w:tcPr>
            <w:tcW w:w="47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May 3, 2009</w:t>
            </w: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w w:val="83"/>
              </w:rPr>
              <w:t>41,777</w:t>
            </w:r>
          </w:p>
        </w:tc>
        <w:tc>
          <w:tcPr>
            <w:tcW w:w="200" w:type="dxa"/>
            <w:vAlign w:val="bottom"/>
            <w:tcBorders>
              <w:bottom w:val="single" w:sz="8" w:color="C0C0C0"/>
            </w:tcBorders>
            <w:shd w:val="clear" w:color="auto" w:fill="C0C0C0"/>
          </w:tcPr>
          <w:p>
            <w:pPr>
              <w:jc w:val="right"/>
              <w:ind w:right="84"/>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385,826</w:t>
            </w:r>
          </w:p>
        </w:tc>
        <w:tc>
          <w:tcPr>
            <w:tcW w:w="2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(4,941)</w:t>
            </w:r>
          </w:p>
        </w:tc>
        <w:tc>
          <w:tcPr>
            <w:tcW w:w="12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C0C0C0"/>
            </w:tcBorders>
            <w:shd w:val="clear" w:color="auto" w:fill="C0C0C0"/>
          </w:tcPr>
          <w:p>
            <w:pPr>
              <w:jc w:val="right"/>
              <w:ind w:right="192"/>
              <w:spacing w:after="0"/>
              <w:rPr>
                <w:sz w:val="20"/>
                <w:szCs w:val="20"/>
                <w:color w:val="auto"/>
              </w:rPr>
            </w:pPr>
            <w:r>
              <w:rPr>
                <w:rFonts w:ascii="Arial" w:cs="Arial" w:eastAsia="Arial" w:hAnsi="Arial"/>
                <w:sz w:val="14"/>
                <w:szCs w:val="14"/>
                <w:color w:val="auto"/>
              </w:rPr>
              <w:t>(22,007)</w:t>
            </w:r>
          </w:p>
        </w:tc>
        <w:tc>
          <w:tcPr>
            <w:tcW w:w="10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359,296</w:t>
            </w:r>
          </w:p>
        </w:tc>
        <w:tc>
          <w:tcPr>
            <w:tcW w:w="18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48,799</w:t>
            </w:r>
          </w:p>
        </w:tc>
        <w:tc>
          <w:tcPr>
            <w:tcW w:w="12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408,095</w:t>
            </w:r>
          </w:p>
        </w:tc>
      </w:tr>
      <w:tr>
        <w:trPr>
          <w:trHeight w:val="202"/>
        </w:trPr>
        <w:tc>
          <w:tcPr>
            <w:tcW w:w="4740" w:type="dxa"/>
            <w:vAlign w:val="bottom"/>
          </w:tcPr>
          <w:p>
            <w:pPr>
              <w:spacing w:after="0"/>
              <w:rPr>
                <w:sz w:val="20"/>
                <w:szCs w:val="20"/>
                <w:color w:val="auto"/>
              </w:rPr>
            </w:pPr>
            <w:r>
              <w:rPr>
                <w:rFonts w:ascii="Arial" w:cs="Arial" w:eastAsia="Arial" w:hAnsi="Arial"/>
                <w:sz w:val="14"/>
                <w:szCs w:val="14"/>
                <w:color w:val="auto"/>
              </w:rPr>
              <w:t>Comprehensive income: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1"/>
        </w:trPr>
        <w:tc>
          <w:tcPr>
            <w:tcW w:w="4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474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Net income (loss)</w:t>
            </w: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(22,847)</w:t>
            </w: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180" w:type="dxa"/>
            <w:vAlign w:val="bottom"/>
            <w:tcBorders>
              <w:bottom w:val="single" w:sz="8" w:color="C0C0C0"/>
            </w:tcBorders>
            <w:shd w:val="clear" w:color="auto" w:fill="C0C0C0"/>
          </w:tcPr>
          <w:p>
            <w:pPr>
              <w:jc w:val="right"/>
              <w:ind w:right="2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(22,847)</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399</w:t>
            </w:r>
          </w:p>
        </w:tc>
        <w:tc>
          <w:tcPr>
            <w:tcW w:w="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(22,448)</w:t>
            </w:r>
          </w:p>
        </w:tc>
      </w:tr>
      <w:tr>
        <w:trPr>
          <w:trHeight w:val="202"/>
        </w:trPr>
        <w:tc>
          <w:tcPr>
            <w:tcW w:w="4740" w:type="dxa"/>
            <w:vAlign w:val="bottom"/>
          </w:tcPr>
          <w:p>
            <w:pPr>
              <w:ind w:left="240"/>
              <w:spacing w:after="0"/>
              <w:rPr>
                <w:sz w:val="20"/>
                <w:szCs w:val="20"/>
                <w:color w:val="auto"/>
              </w:rPr>
            </w:pPr>
            <w:r>
              <w:rPr>
                <w:rFonts w:ascii="Arial" w:cs="Arial" w:eastAsia="Arial" w:hAnsi="Arial"/>
                <w:sz w:val="14"/>
                <w:szCs w:val="14"/>
                <w:color w:val="auto"/>
              </w:rPr>
              <w:t>Reclassification adjustment – unrealized holding gain</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41"/>
        </w:trPr>
        <w:tc>
          <w:tcPr>
            <w:tcW w:w="4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474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Amortization of cash flow hedges</w:t>
            </w: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180" w:type="dxa"/>
            <w:vAlign w:val="bottom"/>
            <w:tcBorders>
              <w:bottom w:val="single" w:sz="8" w:color="C0C0C0"/>
            </w:tcBorders>
            <w:shd w:val="clear" w:color="auto" w:fill="C0C0C0"/>
          </w:tcPr>
          <w:p>
            <w:pPr>
              <w:jc w:val="right"/>
              <w:ind w:right="232"/>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32</w:t>
            </w:r>
          </w:p>
        </w:tc>
      </w:tr>
      <w:tr>
        <w:trPr>
          <w:trHeight w:val="202"/>
        </w:trPr>
        <w:tc>
          <w:tcPr>
            <w:tcW w:w="4740" w:type="dxa"/>
            <w:vAlign w:val="bottom"/>
          </w:tcPr>
          <w:p>
            <w:pPr>
              <w:ind w:left="240"/>
              <w:spacing w:after="0"/>
              <w:rPr>
                <w:sz w:val="20"/>
                <w:szCs w:val="20"/>
                <w:color w:val="auto"/>
              </w:rPr>
            </w:pPr>
            <w:r>
              <w:rPr>
                <w:rFonts w:ascii="Arial" w:cs="Arial" w:eastAsia="Arial" w:hAnsi="Arial"/>
                <w:sz w:val="14"/>
                <w:szCs w:val="14"/>
                <w:color w:val="auto"/>
              </w:rPr>
              <w:t>Foreign currency translation</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43"/>
        </w:trPr>
        <w:tc>
          <w:tcPr>
            <w:tcW w:w="4740" w:type="dxa"/>
            <w:vAlign w:val="bottom"/>
          </w:tcPr>
          <w:p>
            <w:pPr>
              <w:ind w:left="480"/>
              <w:spacing w:after="0"/>
              <w:rPr>
                <w:sz w:val="20"/>
                <w:szCs w:val="20"/>
                <w:color w:val="auto"/>
              </w:rPr>
            </w:pPr>
            <w:r>
              <w:rPr>
                <w:rFonts w:ascii="Arial" w:cs="Arial" w:eastAsia="Arial" w:hAnsi="Arial"/>
                <w:sz w:val="14"/>
                <w:szCs w:val="14"/>
                <w:color w:val="auto"/>
              </w:rPr>
              <w:t>adjustments</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232"/>
              <w:spacing w:after="0"/>
              <w:rPr>
                <w:sz w:val="20"/>
                <w:szCs w:val="20"/>
                <w:color w:val="auto"/>
              </w:rPr>
            </w:pPr>
            <w:r>
              <w:rPr>
                <w:rFonts w:ascii="Arial" w:cs="Arial" w:eastAsia="Arial" w:hAnsi="Arial"/>
                <w:sz w:val="14"/>
                <w:szCs w:val="14"/>
                <w:color w:val="auto"/>
              </w:rPr>
              <w:t>8,924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8,924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9,421</w:t>
            </w:r>
          </w:p>
        </w:tc>
      </w:tr>
      <w:tr>
        <w:trPr>
          <w:trHeight w:val="41"/>
        </w:trPr>
        <w:tc>
          <w:tcPr>
            <w:tcW w:w="4740" w:type="dxa"/>
            <w:vAlign w:val="bottom"/>
            <w:tcBorders>
              <w:bottom w:val="single" w:sz="8" w:color="C0C0C0"/>
            </w:tcBorders>
          </w:tcPr>
          <w:p>
            <w:pPr>
              <w:spacing w:after="0"/>
              <w:rPr>
                <w:sz w:val="3"/>
                <w:szCs w:val="3"/>
                <w:color w:val="auto"/>
              </w:rPr>
            </w:pPr>
          </w:p>
        </w:tc>
        <w:tc>
          <w:tcPr>
            <w:tcW w:w="38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3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8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1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37"/>
        </w:trPr>
        <w:tc>
          <w:tcPr>
            <w:tcW w:w="474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Total comprehensive income (loss)</w:t>
            </w: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0C0C0"/>
            </w:tcBorders>
            <w:shd w:val="clear" w:color="auto" w:fill="C0C0C0"/>
          </w:tcPr>
          <w:p>
            <w:pPr>
              <w:spacing w:after="0"/>
              <w:rPr>
                <w:sz w:val="20"/>
                <w:szCs w:val="20"/>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tcBorders>
            <w:shd w:val="clear" w:color="auto" w:fill="C0C0C0"/>
          </w:tcPr>
          <w:p>
            <w:pPr>
              <w:spacing w:after="0"/>
              <w:rPr>
                <w:sz w:val="20"/>
                <w:szCs w:val="20"/>
                <w:color w:val="auto"/>
              </w:rPr>
            </w:pPr>
          </w:p>
        </w:tc>
        <w:tc>
          <w:tcPr>
            <w:tcW w:w="1180" w:type="dxa"/>
            <w:vAlign w:val="bottom"/>
            <w:tcBorders>
              <w:bottom w:val="single" w:sz="8" w:color="C0C0C0"/>
            </w:tcBorders>
            <w:shd w:val="clear" w:color="auto" w:fill="C0C0C0"/>
          </w:tcPr>
          <w:p>
            <w:pPr>
              <w:jc w:val="right"/>
              <w:ind w:right="2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(13,922)</w:t>
            </w:r>
          </w:p>
        </w:tc>
        <w:tc>
          <w:tcPr>
            <w:tcW w:w="10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896</w:t>
            </w:r>
          </w:p>
        </w:tc>
        <w:tc>
          <w:tcPr>
            <w:tcW w:w="8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(13,026)</w:t>
            </w:r>
          </w:p>
        </w:tc>
      </w:tr>
      <w:tr>
        <w:trPr>
          <w:trHeight w:val="196"/>
        </w:trPr>
        <w:tc>
          <w:tcPr>
            <w:tcW w:w="4740" w:type="dxa"/>
            <w:vAlign w:val="bottom"/>
          </w:tcPr>
          <w:p>
            <w:pPr>
              <w:spacing w:after="0"/>
              <w:rPr>
                <w:sz w:val="20"/>
                <w:szCs w:val="20"/>
                <w:color w:val="auto"/>
              </w:rPr>
            </w:pPr>
            <w:r>
              <w:rPr>
                <w:rFonts w:ascii="Arial" w:cs="Arial" w:eastAsia="Arial" w:hAnsi="Arial"/>
                <w:sz w:val="14"/>
                <w:szCs w:val="14"/>
                <w:color w:val="auto"/>
              </w:rPr>
              <w:t>Sale of common stock through</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243"/>
        </w:trPr>
        <w:tc>
          <w:tcPr>
            <w:tcW w:w="4740" w:type="dxa"/>
            <w:vAlign w:val="bottom"/>
          </w:tcPr>
          <w:p>
            <w:pPr>
              <w:ind w:left="240"/>
              <w:spacing w:after="0"/>
              <w:rPr>
                <w:sz w:val="20"/>
                <w:szCs w:val="20"/>
                <w:color w:val="auto"/>
              </w:rPr>
            </w:pPr>
            <w:r>
              <w:rPr>
                <w:rFonts w:ascii="Arial" w:cs="Arial" w:eastAsia="Arial" w:hAnsi="Arial"/>
                <w:sz w:val="14"/>
                <w:szCs w:val="14"/>
                <w:color w:val="auto"/>
              </w:rPr>
              <w:t>employee stock option and</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4740" w:type="dxa"/>
            <w:vAlign w:val="bottom"/>
          </w:tcPr>
          <w:p>
            <w:pPr>
              <w:ind w:left="240"/>
              <w:spacing w:after="0"/>
              <w:rPr>
                <w:sz w:val="20"/>
                <w:szCs w:val="20"/>
                <w:color w:val="auto"/>
              </w:rPr>
            </w:pPr>
            <w:r>
              <w:rPr>
                <w:rFonts w:ascii="Arial" w:cs="Arial" w:eastAsia="Arial" w:hAnsi="Arial"/>
                <w:sz w:val="14"/>
                <w:szCs w:val="14"/>
                <w:color w:val="auto"/>
              </w:rPr>
              <w:t>purchase plans</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8</w:t>
            </w:r>
          </w:p>
        </w:tc>
      </w:tr>
      <w:tr>
        <w:trPr>
          <w:trHeight w:val="41"/>
        </w:trPr>
        <w:tc>
          <w:tcPr>
            <w:tcW w:w="4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47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Share-based compensation expense</w:t>
            </w: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34</w:t>
            </w:r>
          </w:p>
        </w:tc>
        <w:tc>
          <w:tcPr>
            <w:tcW w:w="20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374</w:t>
            </w: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180" w:type="dxa"/>
            <w:vAlign w:val="bottom"/>
            <w:tcBorders>
              <w:bottom w:val="single" w:sz="8" w:color="C0C0C0"/>
            </w:tcBorders>
            <w:shd w:val="clear" w:color="auto" w:fill="C0C0C0"/>
          </w:tcPr>
          <w:p>
            <w:pPr>
              <w:jc w:val="right"/>
              <w:ind w:right="2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374</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374</w:t>
            </w:r>
          </w:p>
        </w:tc>
      </w:tr>
      <w:tr>
        <w:trPr>
          <w:trHeight w:val="202"/>
        </w:trPr>
        <w:tc>
          <w:tcPr>
            <w:tcW w:w="4740" w:type="dxa"/>
            <w:vAlign w:val="bottom"/>
          </w:tcPr>
          <w:p>
            <w:pPr>
              <w:spacing w:after="0"/>
              <w:rPr>
                <w:sz w:val="20"/>
                <w:szCs w:val="20"/>
                <w:color w:val="auto"/>
              </w:rPr>
            </w:pPr>
            <w:r>
              <w:rPr>
                <w:rFonts w:ascii="Arial" w:cs="Arial" w:eastAsia="Arial" w:hAnsi="Arial"/>
                <w:sz w:val="14"/>
                <w:szCs w:val="14"/>
                <w:color w:val="auto"/>
              </w:rPr>
              <w:t>Common stock warrants exercised</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67</w:t>
            </w:r>
          </w:p>
        </w:tc>
        <w:tc>
          <w:tcPr>
            <w:tcW w:w="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340</w:t>
            </w:r>
          </w:p>
        </w:tc>
      </w:tr>
      <w:tr>
        <w:trPr>
          <w:trHeight w:val="41"/>
        </w:trPr>
        <w:tc>
          <w:tcPr>
            <w:tcW w:w="4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47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Common stock registration fees</w:t>
            </w:r>
          </w:p>
        </w:tc>
        <w:tc>
          <w:tcPr>
            <w:tcW w:w="50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180" w:type="dxa"/>
            <w:vAlign w:val="bottom"/>
            <w:tcBorders>
              <w:bottom w:val="single" w:sz="8" w:color="C0C0C0"/>
            </w:tcBorders>
            <w:shd w:val="clear" w:color="auto" w:fill="C0C0C0"/>
          </w:tcPr>
          <w:p>
            <w:pPr>
              <w:jc w:val="right"/>
              <w:ind w:right="2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(87)</w:t>
            </w:r>
          </w:p>
        </w:tc>
      </w:tr>
      <w:tr>
        <w:trPr>
          <w:trHeight w:val="20"/>
        </w:trPr>
        <w:tc>
          <w:tcPr>
            <w:tcW w:w="4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4"/>
                <w:szCs w:val="14"/>
                <w:b w:val="1"/>
                <w:bCs w:val="1"/>
                <w:color w:val="auto"/>
              </w:rPr>
              <w:t>Balance at August 2, 2009</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w w:val="83"/>
              </w:rPr>
              <w:t>41,878</w:t>
            </w:r>
          </w:p>
        </w:tc>
        <w:tc>
          <w:tcPr>
            <w:tcW w:w="200" w:type="dxa"/>
            <w:vAlign w:val="bottom"/>
          </w:tcPr>
          <w:p>
            <w:pPr>
              <w:jc w:val="right"/>
              <w:ind w:right="8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386,460</w:t>
            </w:r>
          </w:p>
        </w:tc>
        <w:tc>
          <w:tcPr>
            <w:tcW w:w="26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(27,788)</w:t>
            </w:r>
          </w:p>
        </w:tc>
        <w:tc>
          <w:tcPr>
            <w:tcW w:w="120" w:type="dxa"/>
            <w:vAlign w:val="bottom"/>
          </w:tcPr>
          <w:p>
            <w:pPr>
              <w:spacing w:after="0"/>
              <w:rPr>
                <w:sz w:val="18"/>
                <w:szCs w:val="18"/>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192"/>
              <w:spacing w:after="0"/>
              <w:rPr>
                <w:sz w:val="20"/>
                <w:szCs w:val="20"/>
                <w:color w:val="auto"/>
              </w:rPr>
            </w:pPr>
            <w:r>
              <w:rPr>
                <w:rFonts w:ascii="Arial" w:cs="Arial" w:eastAsia="Arial" w:hAnsi="Arial"/>
                <w:sz w:val="14"/>
                <w:szCs w:val="14"/>
                <w:color w:val="auto"/>
              </w:rPr>
              <w:t>(13,082)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346,009</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49,695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395,704</w:t>
            </w:r>
          </w:p>
        </w:tc>
      </w:tr>
      <w:tr>
        <w:trPr>
          <w:trHeight w:val="35"/>
        </w:trPr>
        <w:tc>
          <w:tcPr>
            <w:tcW w:w="47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6"/>
          </w:tcPr>
          <w:p>
            <w:pPr>
              <w:ind w:left="180"/>
              <w:spacing w:after="0"/>
              <w:rPr>
                <w:sz w:val="20"/>
                <w:szCs w:val="20"/>
                <w:color w:val="auto"/>
              </w:rPr>
            </w:pPr>
            <w:r>
              <w:rPr>
                <w:rFonts w:ascii="Arial" w:cs="Arial" w:eastAsia="Arial" w:hAnsi="Arial"/>
                <w:sz w:val="14"/>
                <w:szCs w:val="14"/>
                <w:b w:val="1"/>
                <w:bCs w:val="1"/>
                <w:color w:val="auto"/>
                <w:w w:val="88"/>
              </w:rPr>
              <w:t>Nine Months Ended August 1, 2010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41"/>
        </w:trPr>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gridSpan w:val="8"/>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96"/>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8"/>
          </w:tcPr>
          <w:p>
            <w:pPr>
              <w:ind w:left="320"/>
              <w:spacing w:after="0"/>
              <w:rPr>
                <w:sz w:val="20"/>
                <w:szCs w:val="20"/>
                <w:color w:val="auto"/>
              </w:rPr>
            </w:pPr>
            <w:r>
              <w:rPr>
                <w:rFonts w:ascii="Arial" w:cs="Arial" w:eastAsia="Arial" w:hAnsi="Arial"/>
                <w:sz w:val="14"/>
                <w:szCs w:val="14"/>
                <w:b w:val="1"/>
                <w:bCs w:val="1"/>
                <w:color w:val="auto"/>
              </w:rPr>
              <w:t>Photronics, Inc. Shareholders</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1"/>
        </w:trPr>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96"/>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43"/>
        </w:trPr>
        <w:tc>
          <w:tcPr>
            <w:tcW w:w="4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Add'l</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1"/>
                <w:szCs w:val="21"/>
                <w:color w:val="auto"/>
              </w:rPr>
            </w:pPr>
          </w:p>
        </w:tc>
        <w:tc>
          <w:tcPr>
            <w:tcW w:w="56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4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5"/>
          </w:tcPr>
          <w:p>
            <w:pPr>
              <w:ind w:left="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1"/>
                <w:szCs w:val="2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Paid-in</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Comprehensive</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Photronics,</w:t>
            </w:r>
          </w:p>
        </w:tc>
        <w:tc>
          <w:tcPr>
            <w:tcW w:w="10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controlling</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Total</w:t>
            </w:r>
          </w:p>
        </w:tc>
      </w:tr>
      <w:tr>
        <w:trPr>
          <w:trHeight w:val="41"/>
        </w:trPr>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96"/>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7"/>
                <w:szCs w:val="17"/>
                <w:color w:val="auto"/>
              </w:rPr>
            </w:pPr>
          </w:p>
        </w:tc>
        <w:tc>
          <w:tcPr>
            <w:tcW w:w="740" w:type="dxa"/>
            <w:vAlign w:val="bottom"/>
          </w:tcPr>
          <w:p>
            <w:pPr>
              <w:jc w:val="center"/>
              <w:ind w:right="52"/>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Loss</w:t>
            </w:r>
          </w:p>
        </w:tc>
        <w:tc>
          <w:tcPr>
            <w:tcW w:w="140" w:type="dxa"/>
            <w:vAlign w:val="bottom"/>
          </w:tcPr>
          <w:p>
            <w:pPr>
              <w:spacing w:after="0"/>
              <w:rPr>
                <w:sz w:val="17"/>
                <w:szCs w:val="17"/>
                <w:color w:val="auto"/>
              </w:rPr>
            </w:pPr>
          </w:p>
        </w:tc>
        <w:tc>
          <w:tcPr>
            <w:tcW w:w="560" w:type="dxa"/>
            <w:vAlign w:val="bottom"/>
          </w:tcPr>
          <w:p>
            <w:pPr>
              <w:jc w:val="center"/>
              <w:ind w:right="72"/>
              <w:spacing w:after="0"/>
              <w:rPr>
                <w:sz w:val="20"/>
                <w:szCs w:val="20"/>
                <w:color w:val="auto"/>
              </w:rPr>
            </w:pPr>
            <w:r>
              <w:rPr>
                <w:rFonts w:ascii="Arial" w:cs="Arial" w:eastAsia="Arial" w:hAnsi="Arial"/>
                <w:sz w:val="14"/>
                <w:szCs w:val="14"/>
                <w:b w:val="1"/>
                <w:bCs w:val="1"/>
                <w:color w:val="auto"/>
                <w:w w:val="90"/>
              </w:rPr>
              <w:t>Inc.</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85"/>
              </w:rPr>
              <w:t>Interests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Equity</w:t>
            </w:r>
          </w:p>
        </w:tc>
      </w:tr>
      <w:tr>
        <w:trPr>
          <w:trHeight w:val="41"/>
        </w:trPr>
        <w:tc>
          <w:tcPr>
            <w:tcW w:w="48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17"/>
        </w:trPr>
        <w:tc>
          <w:tcPr>
            <w:tcW w:w="4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November 1, 2009</w:t>
            </w:r>
          </w:p>
        </w:tc>
        <w:tc>
          <w:tcPr>
            <w:tcW w:w="66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53,011</w:t>
            </w:r>
          </w:p>
        </w:tc>
        <w:tc>
          <w:tcPr>
            <w:tcW w:w="1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0"/>
              </w:rPr>
              <w:t>432,160</w:t>
            </w:r>
          </w:p>
        </w:tc>
        <w:tc>
          <w:tcPr>
            <w:tcW w:w="12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(26,546)</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(6,389)</w:t>
            </w:r>
          </w:p>
        </w:tc>
        <w:tc>
          <w:tcPr>
            <w:tcW w:w="12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0"/>
              </w:rPr>
              <w:t>399,755</w:t>
            </w:r>
          </w:p>
        </w:tc>
        <w:tc>
          <w:tcPr>
            <w:tcW w:w="18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49,941</w:t>
            </w:r>
          </w:p>
        </w:tc>
        <w:tc>
          <w:tcPr>
            <w:tcW w:w="220" w:type="dxa"/>
            <w:vAlign w:val="bottom"/>
            <w:tcBorders>
              <w:bottom w:val="single" w:sz="8" w:color="C0C0C0"/>
            </w:tcBorders>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449,696</w:t>
            </w:r>
          </w:p>
        </w:tc>
      </w:tr>
      <w:tr>
        <w:trPr>
          <w:trHeight w:val="202"/>
        </w:trPr>
        <w:tc>
          <w:tcPr>
            <w:tcW w:w="4860" w:type="dxa"/>
            <w:vAlign w:val="bottom"/>
          </w:tcPr>
          <w:p>
            <w:pPr>
              <w:spacing w:after="0"/>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1"/>
        </w:trPr>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486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Net income</w:t>
            </w:r>
          </w:p>
        </w:tc>
        <w:tc>
          <w:tcPr>
            <w:tcW w:w="66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15,778</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060" w:type="dxa"/>
            <w:vAlign w:val="bottom"/>
            <w:tcBorders>
              <w:bottom w:val="single" w:sz="8" w:color="C0C0C0"/>
            </w:tcBorders>
            <w:shd w:val="clear" w:color="auto" w:fill="C0C0C0"/>
          </w:tcPr>
          <w:p>
            <w:pPr>
              <w:jc w:val="right"/>
              <w:ind w:right="1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15,778</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842</w:t>
            </w: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16,620</w:t>
            </w:r>
          </w:p>
        </w:tc>
      </w:tr>
      <w:tr>
        <w:trPr>
          <w:trHeight w:val="202"/>
        </w:trPr>
        <w:tc>
          <w:tcPr>
            <w:tcW w:w="4860" w:type="dxa"/>
            <w:vAlign w:val="bottom"/>
          </w:tcPr>
          <w:p>
            <w:pPr>
              <w:ind w:left="240"/>
              <w:spacing w:after="0"/>
              <w:rPr>
                <w:sz w:val="20"/>
                <w:szCs w:val="20"/>
                <w:color w:val="auto"/>
              </w:rPr>
            </w:pPr>
            <w:r>
              <w:rPr>
                <w:rFonts w:ascii="Arial" w:cs="Arial" w:eastAsia="Arial" w:hAnsi="Arial"/>
                <w:sz w:val="14"/>
                <w:szCs w:val="14"/>
                <w:color w:val="auto"/>
              </w:rPr>
              <w:t>Unrealized holding gain</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132</w:t>
            </w:r>
          </w:p>
        </w:tc>
      </w:tr>
      <w:tr>
        <w:trPr>
          <w:trHeight w:val="41"/>
        </w:trPr>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486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Reclassification adjustment – unrealized holding gain</w:t>
            </w:r>
          </w:p>
        </w:tc>
        <w:tc>
          <w:tcPr>
            <w:tcW w:w="66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06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(132)</w:t>
            </w:r>
          </w:p>
        </w:tc>
      </w:tr>
      <w:tr>
        <w:trPr>
          <w:trHeight w:val="202"/>
        </w:trPr>
        <w:tc>
          <w:tcPr>
            <w:tcW w:w="4860" w:type="dxa"/>
            <w:vAlign w:val="bottom"/>
          </w:tcPr>
          <w:p>
            <w:pPr>
              <w:ind w:left="240"/>
              <w:spacing w:after="0"/>
              <w:rPr>
                <w:sz w:val="20"/>
                <w:szCs w:val="20"/>
                <w:color w:val="auto"/>
              </w:rPr>
            </w:pPr>
            <w:r>
              <w:rPr>
                <w:rFonts w:ascii="Arial" w:cs="Arial" w:eastAsia="Arial" w:hAnsi="Arial"/>
                <w:sz w:val="14"/>
                <w:szCs w:val="14"/>
                <w:color w:val="auto"/>
              </w:rPr>
              <w:t>Amortization of cash flow hedges</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96</w:t>
            </w:r>
          </w:p>
        </w:tc>
      </w:tr>
      <w:tr>
        <w:trPr>
          <w:trHeight w:val="41"/>
        </w:trPr>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02"/>
        </w:trPr>
        <w:tc>
          <w:tcPr>
            <w:tcW w:w="4860" w:type="dxa"/>
            <w:vAlign w:val="bottom"/>
            <w:shd w:val="clear" w:color="auto" w:fill="C0C0C0"/>
          </w:tcPr>
          <w:p>
            <w:pPr>
              <w:ind w:left="240"/>
              <w:spacing w:after="0"/>
              <w:rPr>
                <w:sz w:val="20"/>
                <w:szCs w:val="20"/>
                <w:color w:val="auto"/>
              </w:rPr>
            </w:pPr>
            <w:r>
              <w:rPr>
                <w:rFonts w:ascii="Arial" w:cs="Arial" w:eastAsia="Arial" w:hAnsi="Arial"/>
                <w:sz w:val="14"/>
                <w:szCs w:val="14"/>
                <w:color w:val="auto"/>
              </w:rPr>
              <w:t>Foreign currency translation</w:t>
            </w:r>
          </w:p>
        </w:tc>
        <w:tc>
          <w:tcPr>
            <w:tcW w:w="1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r>
      <w:tr>
        <w:trPr>
          <w:trHeight w:val="284"/>
        </w:trPr>
        <w:tc>
          <w:tcPr>
            <w:tcW w:w="4860" w:type="dxa"/>
            <w:vAlign w:val="bottom"/>
            <w:tcBorders>
              <w:bottom w:val="single" w:sz="8" w:color="C0C0C0"/>
            </w:tcBorders>
            <w:shd w:val="clear" w:color="auto" w:fill="C0C0C0"/>
          </w:tcPr>
          <w:p>
            <w:pPr>
              <w:ind w:left="480"/>
              <w:spacing w:after="0"/>
              <w:rPr>
                <w:sz w:val="20"/>
                <w:szCs w:val="20"/>
                <w:color w:val="auto"/>
              </w:rPr>
            </w:pPr>
            <w:r>
              <w:rPr>
                <w:rFonts w:ascii="Arial" w:cs="Arial" w:eastAsia="Arial" w:hAnsi="Arial"/>
                <w:sz w:val="14"/>
                <w:szCs w:val="14"/>
                <w:color w:val="auto"/>
              </w:rPr>
              <w:t>adjustments</w:t>
            </w:r>
          </w:p>
        </w:tc>
        <w:tc>
          <w:tcPr>
            <w:tcW w:w="66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spacing w:after="0"/>
              <w:rPr>
                <w:sz w:val="24"/>
                <w:szCs w:val="24"/>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1060" w:type="dxa"/>
            <w:vAlign w:val="bottom"/>
            <w:tcBorders>
              <w:bottom w:val="single" w:sz="8" w:color="C0C0C0"/>
            </w:tcBorders>
            <w:shd w:val="clear" w:color="auto" w:fill="C0C0C0"/>
          </w:tcPr>
          <w:p>
            <w:pPr>
              <w:jc w:val="right"/>
              <w:ind w:right="152"/>
              <w:spacing w:after="0"/>
              <w:rPr>
                <w:sz w:val="20"/>
                <w:szCs w:val="20"/>
                <w:color w:val="auto"/>
              </w:rPr>
            </w:pPr>
            <w:r>
              <w:rPr>
                <w:rFonts w:ascii="Arial" w:cs="Arial" w:eastAsia="Arial" w:hAnsi="Arial"/>
                <w:sz w:val="14"/>
                <w:szCs w:val="14"/>
                <w:color w:val="auto"/>
              </w:rPr>
              <w:t>1,645</w:t>
            </w:r>
          </w:p>
        </w:tc>
        <w:tc>
          <w:tcPr>
            <w:tcW w:w="12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1,645</w:t>
            </w:r>
          </w:p>
        </w:tc>
        <w:tc>
          <w:tcPr>
            <w:tcW w:w="10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2,085</w:t>
            </w:r>
          </w:p>
        </w:tc>
        <w:tc>
          <w:tcPr>
            <w:tcW w:w="12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3,730</w:t>
            </w:r>
          </w:p>
        </w:tc>
      </w:tr>
      <w:tr>
        <w:trPr>
          <w:trHeight w:val="196"/>
        </w:trPr>
        <w:tc>
          <w:tcPr>
            <w:tcW w:w="4860" w:type="dxa"/>
            <w:vAlign w:val="bottom"/>
          </w:tcPr>
          <w:p>
            <w:pPr>
              <w:ind w:left="240"/>
              <w:spacing w:after="0"/>
              <w:rPr>
                <w:sz w:val="20"/>
                <w:szCs w:val="20"/>
                <w:color w:val="auto"/>
              </w:rPr>
            </w:pPr>
            <w:r>
              <w:rPr>
                <w:rFonts w:ascii="Arial" w:cs="Arial" w:eastAsia="Arial" w:hAnsi="Arial"/>
                <w:sz w:val="14"/>
                <w:szCs w:val="14"/>
                <w:color w:val="auto"/>
              </w:rPr>
              <w:t>Total comprehensive income</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17,519</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2,927</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20,446</w:t>
            </w:r>
          </w:p>
        </w:tc>
      </w:tr>
      <w:tr>
        <w:trPr>
          <w:trHeight w:val="41"/>
        </w:trPr>
        <w:tc>
          <w:tcPr>
            <w:tcW w:w="48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3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74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6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96"/>
        </w:trPr>
        <w:tc>
          <w:tcPr>
            <w:tcW w:w="4860" w:type="dxa"/>
            <w:vAlign w:val="bottom"/>
            <w:shd w:val="clear" w:color="auto" w:fill="C0C0C0"/>
          </w:tcPr>
          <w:p>
            <w:pPr>
              <w:spacing w:after="0"/>
              <w:rPr>
                <w:sz w:val="20"/>
                <w:szCs w:val="20"/>
                <w:color w:val="auto"/>
              </w:rPr>
            </w:pPr>
            <w:r>
              <w:rPr>
                <w:rFonts w:ascii="Arial" w:cs="Arial" w:eastAsia="Arial" w:hAnsi="Arial"/>
                <w:sz w:val="14"/>
                <w:szCs w:val="14"/>
                <w:color w:val="auto"/>
              </w:rPr>
              <w:t>Sale of common stock through</w:t>
            </w:r>
          </w:p>
        </w:tc>
        <w:tc>
          <w:tcPr>
            <w:tcW w:w="1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r>
      <w:tr>
        <w:trPr>
          <w:trHeight w:val="243"/>
        </w:trPr>
        <w:tc>
          <w:tcPr>
            <w:tcW w:w="4860" w:type="dxa"/>
            <w:vAlign w:val="bottom"/>
            <w:shd w:val="clear" w:color="auto" w:fill="C0C0C0"/>
          </w:tcPr>
          <w:p>
            <w:pPr>
              <w:ind w:left="240"/>
              <w:spacing w:after="0"/>
              <w:rPr>
                <w:sz w:val="20"/>
                <w:szCs w:val="20"/>
                <w:color w:val="auto"/>
              </w:rPr>
            </w:pPr>
            <w:r>
              <w:rPr>
                <w:rFonts w:ascii="Arial" w:cs="Arial" w:eastAsia="Arial" w:hAnsi="Arial"/>
                <w:sz w:val="14"/>
                <w:szCs w:val="14"/>
                <w:color w:val="auto"/>
              </w:rPr>
              <w:t>employee stock option and</w:t>
            </w:r>
          </w:p>
        </w:tc>
        <w:tc>
          <w:tcPr>
            <w:tcW w:w="10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r>
      <w:tr>
        <w:trPr>
          <w:trHeight w:val="264"/>
        </w:trPr>
        <w:tc>
          <w:tcPr>
            <w:tcW w:w="486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purchase plans</w:t>
            </w:r>
          </w:p>
        </w:tc>
        <w:tc>
          <w:tcPr>
            <w:tcW w:w="100" w:type="dxa"/>
            <w:vAlign w:val="bottom"/>
            <w:tcBorders>
              <w:bottom w:val="single" w:sz="8" w:color="C0C0C0"/>
            </w:tcBorders>
            <w:shd w:val="clear" w:color="auto" w:fill="C0C0C0"/>
          </w:tcPr>
          <w:p>
            <w:pPr>
              <w:spacing w:after="0"/>
              <w:rPr>
                <w:sz w:val="22"/>
                <w:szCs w:val="22"/>
                <w:color w:val="auto"/>
              </w:rPr>
            </w:pPr>
          </w:p>
        </w:tc>
        <w:tc>
          <w:tcPr>
            <w:tcW w:w="56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98</w:t>
            </w:r>
          </w:p>
        </w:tc>
        <w:tc>
          <w:tcPr>
            <w:tcW w:w="180" w:type="dxa"/>
            <w:vAlign w:val="bottom"/>
            <w:tcBorders>
              <w:bottom w:val="single" w:sz="8" w:color="C0C0C0"/>
            </w:tcBorders>
            <w:shd w:val="clear" w:color="auto" w:fill="C0C0C0"/>
          </w:tcPr>
          <w:p>
            <w:pPr>
              <w:spacing w:after="0"/>
              <w:rPr>
                <w:sz w:val="22"/>
                <w:szCs w:val="22"/>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1060" w:type="dxa"/>
            <w:vAlign w:val="bottom"/>
            <w:tcBorders>
              <w:bottom w:val="single" w:sz="8" w:color="C0C0C0"/>
            </w:tcBorders>
            <w:shd w:val="clear" w:color="auto" w:fill="C0C0C0"/>
          </w:tcPr>
          <w:p>
            <w:pPr>
              <w:jc w:val="right"/>
              <w:ind w:right="1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109</w:t>
            </w:r>
          </w:p>
        </w:tc>
      </w:tr>
      <w:tr>
        <w:trPr>
          <w:trHeight w:val="202"/>
        </w:trPr>
        <w:tc>
          <w:tcPr>
            <w:tcW w:w="486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rPr>
              <w:t>56</w:t>
            </w: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1,518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1,518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1,518</w:t>
            </w:r>
          </w:p>
        </w:tc>
      </w:tr>
      <w:tr>
        <w:trPr>
          <w:trHeight w:val="41"/>
        </w:trPr>
        <w:tc>
          <w:tcPr>
            <w:tcW w:w="486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4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Common stock warrants exercised</w:t>
            </w:r>
          </w:p>
        </w:tc>
        <w:tc>
          <w:tcPr>
            <w:tcW w:w="1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350</w:t>
            </w:r>
          </w:p>
        </w:tc>
        <w:tc>
          <w:tcPr>
            <w:tcW w:w="18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1,681</w:t>
            </w: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060" w:type="dxa"/>
            <w:vAlign w:val="bottom"/>
            <w:tcBorders>
              <w:bottom w:val="single" w:sz="8" w:color="C0C0C0"/>
            </w:tcBorders>
            <w:shd w:val="clear" w:color="auto" w:fill="C0C0C0"/>
          </w:tcPr>
          <w:p>
            <w:pPr>
              <w:jc w:val="right"/>
              <w:ind w:right="1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1,685</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1,685</w:t>
            </w: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09"/>
        </w:trPr>
        <w:tc>
          <w:tcPr>
            <w:tcW w:w="4860" w:type="dxa"/>
            <w:vAlign w:val="bottom"/>
          </w:tcPr>
          <w:p>
            <w:pPr>
              <w:spacing w:after="0"/>
              <w:rPr>
                <w:sz w:val="20"/>
                <w:szCs w:val="20"/>
                <w:color w:val="auto"/>
              </w:rPr>
            </w:pPr>
            <w:r>
              <w:rPr>
                <w:rFonts w:ascii="Arial" w:cs="Arial" w:eastAsia="Arial" w:hAnsi="Arial"/>
                <w:sz w:val="14"/>
                <w:szCs w:val="14"/>
                <w:b w:val="1"/>
                <w:bCs w:val="1"/>
                <w:color w:val="auto"/>
              </w:rPr>
              <w:t>Balance at August 1, 2010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8"/>
              </w:rPr>
              <w:t>53,515</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w w:val="90"/>
              </w:rPr>
              <w:t>435,467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(10,768)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(4,648)</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w w:val="90"/>
              </w:rPr>
              <w:t>420,586</w:t>
            </w:r>
          </w:p>
        </w:tc>
        <w:tc>
          <w:tcPr>
            <w:tcW w:w="1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52,868</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473,454</w:t>
            </w:r>
          </w:p>
        </w:tc>
      </w:tr>
      <w:tr>
        <w:trPr>
          <w:trHeight w:val="35"/>
        </w:trPr>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6"/>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445"/>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6"/>
          </w:tcPr>
          <w:p>
            <w:pPr>
              <w:ind w:left="180"/>
              <w:spacing w:after="0"/>
              <w:rPr>
                <w:sz w:val="20"/>
                <w:szCs w:val="20"/>
                <w:color w:val="auto"/>
              </w:rPr>
            </w:pPr>
            <w:r>
              <w:rPr>
                <w:rFonts w:ascii="Arial" w:cs="Arial" w:eastAsia="Arial" w:hAnsi="Arial"/>
                <w:sz w:val="14"/>
                <w:szCs w:val="14"/>
                <w:b w:val="1"/>
                <w:bCs w:val="1"/>
                <w:color w:val="auto"/>
                <w:w w:val="88"/>
              </w:rPr>
              <w:t>Nine Months Ended August 2, 2009</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
        </w:trPr>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gridSpan w:val="8"/>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96"/>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8"/>
          </w:tcPr>
          <w:p>
            <w:pPr>
              <w:ind w:left="320"/>
              <w:spacing w:after="0"/>
              <w:rPr>
                <w:sz w:val="20"/>
                <w:szCs w:val="20"/>
                <w:color w:val="auto"/>
              </w:rPr>
            </w:pPr>
            <w:r>
              <w:rPr>
                <w:rFonts w:ascii="Arial" w:cs="Arial" w:eastAsia="Arial" w:hAnsi="Arial"/>
                <w:sz w:val="14"/>
                <w:szCs w:val="14"/>
                <w:b w:val="1"/>
                <w:bCs w:val="1"/>
                <w:color w:val="auto"/>
              </w:rPr>
              <w:t>Photronics, Inc. Shareholders</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1"/>
        </w:trPr>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96"/>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43"/>
        </w:trPr>
        <w:tc>
          <w:tcPr>
            <w:tcW w:w="4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Add'l</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1"/>
                <w:szCs w:val="21"/>
                <w:color w:val="auto"/>
              </w:rPr>
            </w:pPr>
          </w:p>
        </w:tc>
        <w:tc>
          <w:tcPr>
            <w:tcW w:w="56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4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5"/>
          </w:tcPr>
          <w:p>
            <w:pPr>
              <w:ind w:left="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1"/>
                <w:szCs w:val="2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21"/>
                <w:szCs w:val="21"/>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Comprehensive</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Photronics,</w:t>
            </w:r>
          </w:p>
        </w:tc>
        <w:tc>
          <w:tcPr>
            <w:tcW w:w="10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controlling</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Total</w:t>
            </w:r>
          </w:p>
        </w:tc>
      </w:tr>
      <w:tr>
        <w:trPr>
          <w:trHeight w:val="41"/>
        </w:trPr>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96"/>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7"/>
                <w:szCs w:val="17"/>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Loss</w:t>
            </w:r>
          </w:p>
        </w:tc>
        <w:tc>
          <w:tcPr>
            <w:tcW w:w="140" w:type="dxa"/>
            <w:vAlign w:val="bottom"/>
          </w:tcPr>
          <w:p>
            <w:pPr>
              <w:spacing w:after="0"/>
              <w:rPr>
                <w:sz w:val="17"/>
                <w:szCs w:val="17"/>
                <w:color w:val="auto"/>
              </w:rPr>
            </w:pPr>
          </w:p>
        </w:tc>
        <w:tc>
          <w:tcPr>
            <w:tcW w:w="560" w:type="dxa"/>
            <w:vAlign w:val="bottom"/>
          </w:tcPr>
          <w:p>
            <w:pPr>
              <w:jc w:val="center"/>
              <w:ind w:right="72"/>
              <w:spacing w:after="0"/>
              <w:rPr>
                <w:sz w:val="20"/>
                <w:szCs w:val="20"/>
                <w:color w:val="auto"/>
              </w:rPr>
            </w:pPr>
            <w:r>
              <w:rPr>
                <w:rFonts w:ascii="Arial" w:cs="Arial" w:eastAsia="Arial" w:hAnsi="Arial"/>
                <w:sz w:val="14"/>
                <w:szCs w:val="14"/>
                <w:b w:val="1"/>
                <w:bCs w:val="1"/>
                <w:color w:val="auto"/>
                <w:w w:val="90"/>
              </w:rPr>
              <w:t>Inc.</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85"/>
              </w:rPr>
              <w:t>Interests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Equity</w:t>
            </w:r>
          </w:p>
        </w:tc>
      </w:tr>
      <w:tr>
        <w:trPr>
          <w:trHeight w:val="41"/>
        </w:trPr>
        <w:tc>
          <w:tcPr>
            <w:tcW w:w="48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17"/>
        </w:trPr>
        <w:tc>
          <w:tcPr>
            <w:tcW w:w="4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November 2, 2008</w:t>
            </w:r>
          </w:p>
        </w:tc>
        <w:tc>
          <w:tcPr>
            <w:tcW w:w="66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41,712</w:t>
            </w:r>
          </w:p>
        </w:tc>
        <w:tc>
          <w:tcPr>
            <w:tcW w:w="1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417</w:t>
            </w:r>
          </w:p>
        </w:tc>
        <w:tc>
          <w:tcPr>
            <w:tcW w:w="1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0"/>
              </w:rPr>
              <w:t>384,502</w:t>
            </w:r>
          </w:p>
        </w:tc>
        <w:tc>
          <w:tcPr>
            <w:tcW w:w="12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15,364</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(17,501)</w:t>
            </w:r>
          </w:p>
        </w:tc>
        <w:tc>
          <w:tcPr>
            <w:tcW w:w="12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0"/>
              </w:rPr>
              <w:t>382,782</w:t>
            </w:r>
          </w:p>
        </w:tc>
        <w:tc>
          <w:tcPr>
            <w:tcW w:w="18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49,616</w:t>
            </w:r>
          </w:p>
        </w:tc>
        <w:tc>
          <w:tcPr>
            <w:tcW w:w="220" w:type="dxa"/>
            <w:vAlign w:val="bottom"/>
            <w:tcBorders>
              <w:bottom w:val="single" w:sz="8" w:color="C0C0C0"/>
            </w:tcBorders>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432,398</w:t>
            </w:r>
          </w:p>
        </w:tc>
      </w:tr>
      <w:tr>
        <w:trPr>
          <w:trHeight w:val="202"/>
        </w:trPr>
        <w:tc>
          <w:tcPr>
            <w:tcW w:w="4860" w:type="dxa"/>
            <w:vAlign w:val="bottom"/>
          </w:tcPr>
          <w:p>
            <w:pPr>
              <w:spacing w:after="0"/>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1"/>
        </w:trPr>
        <w:tc>
          <w:tcPr>
            <w:tcW w:w="486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486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Net income (loss)</w:t>
            </w:r>
          </w:p>
        </w:tc>
        <w:tc>
          <w:tcPr>
            <w:tcW w:w="66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(43,152)</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060" w:type="dxa"/>
            <w:vAlign w:val="bottom"/>
            <w:tcBorders>
              <w:bottom w:val="single" w:sz="8" w:color="C0C0C0"/>
            </w:tcBorders>
            <w:shd w:val="clear" w:color="auto" w:fill="C0C0C0"/>
          </w:tcPr>
          <w:p>
            <w:pPr>
              <w:jc w:val="right"/>
              <w:ind w:right="1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5"/>
              </w:rPr>
              <w:t>(43,152)</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580</w:t>
            </w: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(42,572)</w:t>
            </w:r>
          </w:p>
        </w:tc>
      </w:tr>
      <w:tr>
        <w:trPr>
          <w:trHeight w:val="202"/>
        </w:trPr>
        <w:tc>
          <w:tcPr>
            <w:tcW w:w="4860" w:type="dxa"/>
            <w:vAlign w:val="bottom"/>
          </w:tcPr>
          <w:p>
            <w:pPr>
              <w:ind w:left="240"/>
              <w:spacing w:after="0"/>
              <w:rPr>
                <w:sz w:val="20"/>
                <w:szCs w:val="20"/>
                <w:color w:val="auto"/>
              </w:rPr>
            </w:pPr>
            <w:r>
              <w:rPr>
                <w:rFonts w:ascii="Arial" w:cs="Arial" w:eastAsia="Arial" w:hAnsi="Arial"/>
                <w:sz w:val="14"/>
                <w:szCs w:val="14"/>
                <w:color w:val="auto"/>
              </w:rPr>
              <w:t>Reclassification adjustment – unrealized holding gain</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98</w:t>
            </w:r>
          </w:p>
        </w:tc>
      </w:tr>
      <w:tr>
        <w:trPr>
          <w:trHeight w:val="41"/>
        </w:trPr>
        <w:tc>
          <w:tcPr>
            <w:tcW w:w="486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486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Amortization of cash flow hedges</w:t>
            </w:r>
          </w:p>
        </w:tc>
        <w:tc>
          <w:tcPr>
            <w:tcW w:w="66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060" w:type="dxa"/>
            <w:vAlign w:val="bottom"/>
            <w:tcBorders>
              <w:bottom w:val="single" w:sz="8" w:color="C0C0C0"/>
            </w:tcBorders>
            <w:shd w:val="clear" w:color="auto" w:fill="C0C0C0"/>
          </w:tcPr>
          <w:p>
            <w:pPr>
              <w:jc w:val="right"/>
              <w:ind w:right="152"/>
              <w:spacing w:after="0"/>
              <w:rPr>
                <w:sz w:val="20"/>
                <w:szCs w:val="20"/>
                <w:color w:val="auto"/>
              </w:rPr>
            </w:pPr>
            <w:r>
              <w:rPr>
                <w:rFonts w:ascii="Arial" w:cs="Arial" w:eastAsia="Arial" w:hAnsi="Arial"/>
                <w:sz w:val="14"/>
                <w:szCs w:val="14"/>
                <w:color w:val="auto"/>
              </w:rPr>
              <w:t>545</w:t>
            </w: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545</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545</w:t>
            </w:r>
          </w:p>
        </w:tc>
      </w:tr>
      <w:tr>
        <w:trPr>
          <w:trHeight w:val="202"/>
        </w:trPr>
        <w:tc>
          <w:tcPr>
            <w:tcW w:w="4860" w:type="dxa"/>
            <w:vAlign w:val="bottom"/>
          </w:tcPr>
          <w:p>
            <w:pPr>
              <w:ind w:left="240"/>
              <w:spacing w:after="0"/>
              <w:rPr>
                <w:sz w:val="20"/>
                <w:szCs w:val="20"/>
                <w:color w:val="auto"/>
              </w:rPr>
            </w:pPr>
            <w:r>
              <w:rPr>
                <w:rFonts w:ascii="Arial" w:cs="Arial" w:eastAsia="Arial" w:hAnsi="Arial"/>
                <w:sz w:val="14"/>
                <w:szCs w:val="14"/>
                <w:color w:val="auto"/>
              </w:rPr>
              <w:t>Foreign currency translation</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43"/>
        </w:trPr>
        <w:tc>
          <w:tcPr>
            <w:tcW w:w="4860" w:type="dxa"/>
            <w:vAlign w:val="bottom"/>
          </w:tcPr>
          <w:p>
            <w:pPr>
              <w:ind w:left="480"/>
              <w:spacing w:after="0"/>
              <w:rPr>
                <w:sz w:val="20"/>
                <w:szCs w:val="20"/>
                <w:color w:val="auto"/>
              </w:rPr>
            </w:pPr>
            <w:r>
              <w:rPr>
                <w:rFonts w:ascii="Arial" w:cs="Arial" w:eastAsia="Arial" w:hAnsi="Arial"/>
                <w:sz w:val="14"/>
                <w:szCs w:val="14"/>
                <w:color w:val="auto"/>
              </w:rPr>
              <w:t>adjustments</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3,815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3,815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3,712</w:t>
            </w:r>
          </w:p>
        </w:tc>
      </w:tr>
      <w:tr>
        <w:trPr>
          <w:trHeight w:val="41"/>
        </w:trPr>
        <w:tc>
          <w:tcPr>
            <w:tcW w:w="4860" w:type="dxa"/>
            <w:vAlign w:val="bottom"/>
            <w:tcBorders>
              <w:bottom w:val="single" w:sz="8" w:color="C0C0C0"/>
            </w:tcBorders>
          </w:tcPr>
          <w:p>
            <w:pPr>
              <w:spacing w:after="0"/>
              <w:rPr>
                <w:sz w:val="3"/>
                <w:szCs w:val="3"/>
                <w:color w:val="auto"/>
              </w:rPr>
            </w:pPr>
          </w:p>
        </w:tc>
        <w:tc>
          <w:tcPr>
            <w:tcW w:w="500" w:type="dxa"/>
            <w:vAlign w:val="bottom"/>
            <w:tcBorders>
              <w:bottom w:val="single" w:sz="8" w:color="C0C0C0"/>
            </w:tcBorders>
            <w:gridSpan w:val="2"/>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3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74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6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37"/>
        </w:trPr>
        <w:tc>
          <w:tcPr>
            <w:tcW w:w="486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Total comprehensive income (loss)</w:t>
            </w:r>
          </w:p>
        </w:tc>
        <w:tc>
          <w:tcPr>
            <w:tcW w:w="66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spacing w:after="0"/>
              <w:rPr>
                <w:sz w:val="20"/>
                <w:szCs w:val="20"/>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1060" w:type="dxa"/>
            <w:vAlign w:val="bottom"/>
            <w:tcBorders>
              <w:bottom w:val="single" w:sz="8" w:color="C0C0C0"/>
            </w:tcBorders>
            <w:shd w:val="clear" w:color="auto" w:fill="C0C0C0"/>
          </w:tcPr>
          <w:p>
            <w:pPr>
              <w:jc w:val="right"/>
              <w:ind w:right="1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tcBorders>
            <w:shd w:val="clear" w:color="auto" w:fill="C0C0C0"/>
          </w:tcPr>
          <w:p>
            <w:pPr>
              <w:spacing w:after="0"/>
              <w:rPr>
                <w:sz w:val="20"/>
                <w:szCs w:val="20"/>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5"/>
              </w:rPr>
              <w:t>(38,733)</w:t>
            </w:r>
          </w:p>
        </w:tc>
        <w:tc>
          <w:tcPr>
            <w:tcW w:w="10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516</w:t>
            </w:r>
          </w:p>
        </w:tc>
        <w:tc>
          <w:tcPr>
            <w:tcW w:w="12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(38,217)</w:t>
            </w:r>
          </w:p>
        </w:tc>
      </w:tr>
      <w:tr>
        <w:trPr>
          <w:trHeight w:val="196"/>
        </w:trPr>
        <w:tc>
          <w:tcPr>
            <w:tcW w:w="4860" w:type="dxa"/>
            <w:vAlign w:val="bottom"/>
          </w:tcPr>
          <w:p>
            <w:pPr>
              <w:spacing w:after="0"/>
              <w:rPr>
                <w:sz w:val="20"/>
                <w:szCs w:val="20"/>
                <w:color w:val="auto"/>
              </w:rPr>
            </w:pPr>
            <w:r>
              <w:rPr>
                <w:rFonts w:ascii="Arial" w:cs="Arial" w:eastAsia="Arial" w:hAnsi="Arial"/>
                <w:sz w:val="14"/>
                <w:szCs w:val="14"/>
                <w:color w:val="auto"/>
              </w:rPr>
              <w:t>Sale of common stock through</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243"/>
        </w:trPr>
        <w:tc>
          <w:tcPr>
            <w:tcW w:w="4860" w:type="dxa"/>
            <w:vAlign w:val="bottom"/>
          </w:tcPr>
          <w:p>
            <w:pPr>
              <w:ind w:left="240"/>
              <w:spacing w:after="0"/>
              <w:rPr>
                <w:sz w:val="20"/>
                <w:szCs w:val="20"/>
                <w:color w:val="auto"/>
              </w:rPr>
            </w:pPr>
            <w:r>
              <w:rPr>
                <w:rFonts w:ascii="Arial" w:cs="Arial" w:eastAsia="Arial" w:hAnsi="Arial"/>
                <w:sz w:val="14"/>
                <w:szCs w:val="14"/>
                <w:color w:val="auto"/>
              </w:rPr>
              <w:t>employee stock option and</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4860" w:type="dxa"/>
            <w:vAlign w:val="bottom"/>
          </w:tcPr>
          <w:p>
            <w:pPr>
              <w:ind w:left="240"/>
              <w:spacing w:after="0"/>
              <w:rPr>
                <w:sz w:val="20"/>
                <w:szCs w:val="20"/>
                <w:color w:val="auto"/>
              </w:rPr>
            </w:pPr>
            <w:r>
              <w:rPr>
                <w:rFonts w:ascii="Arial" w:cs="Arial" w:eastAsia="Arial" w:hAnsi="Arial"/>
                <w:sz w:val="14"/>
                <w:szCs w:val="14"/>
                <w:color w:val="auto"/>
              </w:rPr>
              <w:t>purchase plans</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46</w:t>
            </w:r>
          </w:p>
        </w:tc>
      </w:tr>
      <w:tr>
        <w:trPr>
          <w:trHeight w:val="41"/>
        </w:trPr>
        <w:tc>
          <w:tcPr>
            <w:tcW w:w="486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4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Share-based compensation expense</w:t>
            </w:r>
          </w:p>
        </w:tc>
        <w:tc>
          <w:tcPr>
            <w:tcW w:w="66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99</w:t>
            </w:r>
          </w:p>
        </w:tc>
        <w:tc>
          <w:tcPr>
            <w:tcW w:w="18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1,660</w:t>
            </w: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060" w:type="dxa"/>
            <w:vAlign w:val="bottom"/>
            <w:tcBorders>
              <w:bottom w:val="single" w:sz="8" w:color="C0C0C0"/>
            </w:tcBorders>
            <w:shd w:val="clear" w:color="auto" w:fill="C0C0C0"/>
          </w:tcPr>
          <w:p>
            <w:pPr>
              <w:jc w:val="right"/>
              <w:ind w:right="1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1,661</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1,661</w:t>
            </w:r>
          </w:p>
        </w:tc>
      </w:tr>
      <w:tr>
        <w:trPr>
          <w:trHeight w:val="202"/>
        </w:trPr>
        <w:tc>
          <w:tcPr>
            <w:tcW w:w="4860" w:type="dxa"/>
            <w:vAlign w:val="bottom"/>
          </w:tcPr>
          <w:p>
            <w:pPr>
              <w:spacing w:after="0"/>
              <w:rPr>
                <w:sz w:val="20"/>
                <w:szCs w:val="20"/>
                <w:color w:val="auto"/>
              </w:rPr>
            </w:pPr>
            <w:r>
              <w:rPr>
                <w:rFonts w:ascii="Arial" w:cs="Arial" w:eastAsia="Arial" w:hAnsi="Arial"/>
                <w:sz w:val="14"/>
                <w:szCs w:val="14"/>
                <w:color w:val="auto"/>
              </w:rPr>
              <w:t>Common stock warrants exercised</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rPr>
              <w:t>67</w:t>
            </w: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340</w:t>
            </w:r>
          </w:p>
        </w:tc>
      </w:tr>
      <w:tr>
        <w:trPr>
          <w:trHeight w:val="41"/>
        </w:trPr>
        <w:tc>
          <w:tcPr>
            <w:tcW w:w="486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3"/>
        </w:trPr>
        <w:tc>
          <w:tcPr>
            <w:tcW w:w="4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Common stock registration fees</w:t>
            </w:r>
          </w:p>
        </w:tc>
        <w:tc>
          <w:tcPr>
            <w:tcW w:w="66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060" w:type="dxa"/>
            <w:vAlign w:val="bottom"/>
            <w:tcBorders>
              <w:bottom w:val="single" w:sz="8" w:color="C0C0C0"/>
            </w:tcBorders>
            <w:shd w:val="clear" w:color="auto" w:fill="C0C0C0"/>
          </w:tcPr>
          <w:p>
            <w:pPr>
              <w:jc w:val="right"/>
              <w:ind w:right="1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(87)</w:t>
            </w:r>
          </w:p>
        </w:tc>
      </w:tr>
      <w:tr>
        <w:trPr>
          <w:trHeight w:val="202"/>
        </w:trPr>
        <w:tc>
          <w:tcPr>
            <w:tcW w:w="4860" w:type="dxa"/>
            <w:vAlign w:val="bottom"/>
          </w:tcPr>
          <w:p>
            <w:pPr>
              <w:spacing w:after="0"/>
              <w:rPr>
                <w:sz w:val="20"/>
                <w:szCs w:val="20"/>
                <w:color w:val="auto"/>
              </w:rPr>
            </w:pPr>
            <w:r>
              <w:rPr>
                <w:rFonts w:ascii="Arial" w:cs="Arial" w:eastAsia="Arial" w:hAnsi="Arial"/>
                <w:sz w:val="14"/>
                <w:szCs w:val="14"/>
                <w:color w:val="auto"/>
              </w:rPr>
              <w:t>Noncontrolling interests’ subsidiary dividend</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(437)</w:t>
            </w:r>
          </w:p>
        </w:tc>
      </w:tr>
      <w:tr>
        <w:trPr>
          <w:trHeight w:val="41"/>
        </w:trPr>
        <w:tc>
          <w:tcPr>
            <w:tcW w:w="48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17"/>
        </w:trPr>
        <w:tc>
          <w:tcPr>
            <w:tcW w:w="4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August 2, 2009</w:t>
            </w:r>
          </w:p>
        </w:tc>
        <w:tc>
          <w:tcPr>
            <w:tcW w:w="100" w:type="dxa"/>
            <w:vAlign w:val="bottom"/>
            <w:tcBorders>
              <w:bottom w:val="single" w:sz="8" w:color="C0C0C0"/>
            </w:tcBorders>
            <w:shd w:val="clear" w:color="auto" w:fill="C0C0C0"/>
          </w:tcPr>
          <w:p>
            <w:pPr>
              <w:spacing w:after="0"/>
              <w:rPr>
                <w:sz w:val="18"/>
                <w:szCs w:val="18"/>
                <w:color w:val="auto"/>
              </w:rPr>
            </w:pPr>
          </w:p>
        </w:tc>
        <w:tc>
          <w:tcPr>
            <w:tcW w:w="56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w w:val="88"/>
              </w:rPr>
              <w:t>41,878</w:t>
            </w:r>
          </w:p>
        </w:tc>
        <w:tc>
          <w:tcPr>
            <w:tcW w:w="1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0"/>
              </w:rPr>
              <w:t>386,460</w:t>
            </w:r>
          </w:p>
        </w:tc>
        <w:tc>
          <w:tcPr>
            <w:tcW w:w="12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(27,788)</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0C0C0"/>
            </w:tcBorders>
            <w:shd w:val="clear" w:color="auto" w:fill="C0C0C0"/>
          </w:tcPr>
          <w:p>
            <w:pPr>
              <w:jc w:val="right"/>
              <w:ind w:right="92"/>
              <w:spacing w:after="0"/>
              <w:rPr>
                <w:sz w:val="20"/>
                <w:szCs w:val="20"/>
                <w:color w:val="auto"/>
              </w:rPr>
            </w:pPr>
            <w:r>
              <w:rPr>
                <w:rFonts w:ascii="Arial" w:cs="Arial" w:eastAsia="Arial" w:hAnsi="Arial"/>
                <w:sz w:val="14"/>
                <w:szCs w:val="14"/>
                <w:color w:val="auto"/>
              </w:rPr>
              <w:t>(13,082)</w:t>
            </w:r>
          </w:p>
        </w:tc>
        <w:tc>
          <w:tcPr>
            <w:tcW w:w="12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0"/>
              </w:rPr>
              <w:t>346,009</w:t>
            </w:r>
          </w:p>
        </w:tc>
        <w:tc>
          <w:tcPr>
            <w:tcW w:w="18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49,695</w:t>
            </w:r>
          </w:p>
        </w:tc>
        <w:tc>
          <w:tcPr>
            <w:tcW w:w="220" w:type="dxa"/>
            <w:vAlign w:val="bottom"/>
            <w:tcBorders>
              <w:bottom w:val="single" w:sz="8" w:color="C0C0C0"/>
            </w:tcBorders>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395,704</w:t>
            </w:r>
          </w:p>
        </w:tc>
      </w:tr>
      <w:tr>
        <w:trPr>
          <w:trHeight w:val="27"/>
        </w:trPr>
        <w:tc>
          <w:tcPr>
            <w:tcW w:w="486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JOINT VENTURE</w:t>
      </w:r>
    </w:p>
    <w:p>
      <w:pPr>
        <w:spacing w:after="0" w:line="285" w:lineRule="exact"/>
        <w:rPr>
          <w:sz w:val="20"/>
          <w:szCs w:val="20"/>
          <w:color w:val="auto"/>
        </w:rPr>
      </w:pPr>
    </w:p>
    <w:p>
      <w:pPr>
        <w:jc w:val="both"/>
        <w:ind w:right="80" w:firstLine="270"/>
        <w:spacing w:after="0" w:line="298" w:lineRule="auto"/>
        <w:rPr>
          <w:sz w:val="20"/>
          <w:szCs w:val="20"/>
          <w:color w:val="auto"/>
        </w:rPr>
      </w:pPr>
      <w:r>
        <w:rPr>
          <w:rFonts w:ascii="Arial" w:cs="Arial" w:eastAsia="Arial" w:hAnsi="Arial"/>
          <w:sz w:val="16"/>
          <w:szCs w:val="16"/>
          <w:color w:val="auto"/>
        </w:rPr>
        <w:t>On May 5, 2006, Photronics and Micron Technology, Inc. ("Micron") entered into the MP Mask joint venture, which develops and produces photomasks for leading-edge and advanced next generation semiconductors. As part of the formation of the joint venture, Micron contributed its existing photomask technology center located at its Boise, Idaho, headquarters to MP Mask and Photronics invested $135 million in exchange for a 49.99% interest in MP Mask (to which $64.2 million of the original investment was allocated), a license for photomask technology of Micron, and certain supply agreements.</w:t>
      </w:r>
    </w:p>
    <w:p>
      <w:pPr>
        <w:spacing w:after="0" w:line="221" w:lineRule="exact"/>
        <w:rPr>
          <w:sz w:val="20"/>
          <w:szCs w:val="20"/>
          <w:color w:val="auto"/>
        </w:rPr>
      </w:pPr>
    </w:p>
    <w:p>
      <w:pPr>
        <w:ind w:right="20" w:firstLine="270"/>
        <w:spacing w:after="0" w:line="253" w:lineRule="auto"/>
        <w:rPr>
          <w:sz w:val="20"/>
          <w:szCs w:val="20"/>
          <w:color w:val="auto"/>
        </w:rPr>
      </w:pPr>
      <w:r>
        <w:rPr>
          <w:rFonts w:ascii="Arial" w:cs="Arial" w:eastAsia="Arial" w:hAnsi="Arial"/>
          <w:sz w:val="18"/>
          <w:szCs w:val="18"/>
          <w:color w:val="auto"/>
        </w:rPr>
        <w:t>This joint venture is a variable interest entity (as that term is defined in the Accounting Standards Codification) primarily because all costs of the joint venture will be passed on to the Company and Micron through purchase agreements they have entered into with the joint venture. The Company determined that, in regards to this variable interest entity ("VIE"), it and Micron are de facto agents (as that term is defined in the Accounting Standards Codification) and that Micron is the primary beneficiary of the VIE as it is the de facto agent within the aggregated group of de facto agents (i.e. the Company and Micron) that is the most closely associated with the VIE. The primary reasons the Company concluded that Micron is the most closely associated of the de facto agents to the VIE are that Micron is both the ultimate purchaser of substantially all of the products produced by the VIE and that it is the holder of decision making authority in the ordinary course of business.</w:t>
      </w:r>
    </w:p>
    <w:p>
      <w:pPr>
        <w:spacing w:after="0" w:line="255"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$1.8 million and $4.5 million and research and development expenses of $0.2 million and $0.7 million during the three and nine month periods ended August 1, 2010. Cost of sales of $1.4 million and $2.9 million and research and development expenses of $0.2 million and $1.0 million were recorded during the three and nine month periods ended August 2, 2009.</w:t>
      </w:r>
    </w:p>
    <w:p>
      <w:pPr>
        <w:spacing w:after="0" w:line="224" w:lineRule="exact"/>
        <w:rPr>
          <w:sz w:val="20"/>
          <w:szCs w:val="20"/>
          <w:color w:val="auto"/>
        </w:rPr>
      </w:pPr>
    </w:p>
    <w:p>
      <w:pPr>
        <w:ind w:right="120" w:firstLine="270"/>
        <w:spacing w:after="0" w:line="288" w:lineRule="auto"/>
        <w:rPr>
          <w:sz w:val="20"/>
          <w:szCs w:val="20"/>
          <w:color w:val="auto"/>
        </w:rPr>
      </w:pPr>
      <w:r>
        <w:rPr>
          <w:rFonts w:ascii="Arial" w:cs="Arial" w:eastAsia="Arial" w:hAnsi="Arial"/>
          <w:sz w:val="16"/>
          <w:szCs w:val="16"/>
          <w:color w:val="auto"/>
        </w:rPr>
        <w:t>MP Mask is governed by a Board of Managers, appointed by Micron and the Company. Since MP Mask's inception, Micron, as a result of its majority ownership, has appointed the majority of its managers. The number of managers appointed by each party is subject to change as ownership interests change. Under the MP Mask joint venture operating agreement, in order to maintain its 49.99% interest, the Company may be required to make additional capital contributions to the joint venture up to the maximum amount defined in the operating agreement. However, should the Board of Managers determine that further additional funding is required, the joint venture shall pursue its own financing. If the joint venture is unable to obtain its own financing, it may request additional capital contributions from the Company. Should the Company choose not to make a requested contri bution to the joint venture, its ownership interest may be reduced. The Company received no distributions from MP Mask during the three and nine month periods ended August 1, 2010, and received a $5 million distribution during the nine month period ended August 2, 2009. The Company made no contributions to MP Mask during the three and nine month periods ended August 1, 2010 and August 2, 2009.</w:t>
      </w:r>
    </w:p>
    <w:p>
      <w:pPr>
        <w:spacing w:after="0" w:line="228" w:lineRule="exact"/>
        <w:rPr>
          <w:sz w:val="20"/>
          <w:szCs w:val="20"/>
          <w:color w:val="auto"/>
        </w:rPr>
      </w:pPr>
    </w:p>
    <w:p>
      <w:pPr>
        <w:ind w:right="340" w:firstLine="270"/>
        <w:spacing w:after="0" w:line="268" w:lineRule="auto"/>
        <w:rPr>
          <w:sz w:val="20"/>
          <w:szCs w:val="20"/>
          <w:color w:val="auto"/>
        </w:rPr>
      </w:pPr>
      <w:r>
        <w:rPr>
          <w:rFonts w:ascii="Arial" w:cs="Arial" w:eastAsia="Arial" w:hAnsi="Arial"/>
          <w:sz w:val="18"/>
          <w:szCs w:val="18"/>
          <w:color w:val="auto"/>
        </w:rPr>
        <w:t>The Company's investment in the VIE, which represents its maximum exposure to loss, was $60.9 million at August 1, 2010 and November 1, 2009. This amount is reported in the Company's condensed consolidated balance sheets as "Investment in joint venture."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8"/>
        </w:trPr>
        <w:tc>
          <w:tcPr>
            <w:tcW w:w="6900" w:type="dxa"/>
            <w:vAlign w:val="bottom"/>
          </w:tcPr>
          <w:p>
            <w:pPr>
              <w:spacing w:after="0"/>
              <w:rPr>
                <w:sz w:val="20"/>
                <w:szCs w:val="20"/>
                <w:color w:val="auto"/>
              </w:rPr>
            </w:pPr>
            <w:r>
              <w:rPr>
                <w:rFonts w:ascii="Arial" w:cs="Arial" w:eastAsia="Arial" w:hAnsi="Arial"/>
                <w:sz w:val="18"/>
                <w:szCs w:val="18"/>
                <w:b w:val="1"/>
                <w:bCs w:val="1"/>
                <w:color w:val="auto"/>
              </w:rPr>
              <w:t>NOTE 4 - EARNINGS (LOSS) PER SHARE</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86"/>
        </w:trPr>
        <w:tc>
          <w:tcPr>
            <w:tcW w:w="6900" w:type="dxa"/>
            <w:vAlign w:val="bottom"/>
          </w:tcPr>
          <w:p>
            <w:pPr>
              <w:ind w:left="280"/>
              <w:spacing w:after="0"/>
              <w:rPr>
                <w:sz w:val="20"/>
                <w:szCs w:val="20"/>
                <w:color w:val="auto"/>
              </w:rPr>
            </w:pPr>
            <w:r>
              <w:rPr>
                <w:rFonts w:ascii="Arial" w:cs="Arial" w:eastAsia="Arial" w:hAnsi="Arial"/>
                <w:sz w:val="18"/>
                <w:szCs w:val="18"/>
                <w:color w:val="auto"/>
              </w:rPr>
              <w:t>The calculation of basic and diluted earnings (loss) per share is presented below.</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82"/>
        </w:trPr>
        <w:tc>
          <w:tcPr>
            <w:tcW w:w="6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132"/>
              <w:spacing w:after="0"/>
              <w:rPr>
                <w:sz w:val="20"/>
                <w:szCs w:val="20"/>
                <w:color w:val="auto"/>
              </w:rPr>
            </w:pPr>
            <w:r>
              <w:rPr>
                <w:rFonts w:ascii="Arial" w:cs="Arial" w:eastAsia="Arial" w:hAnsi="Arial"/>
                <w:sz w:val="18"/>
                <w:szCs w:val="18"/>
                <w:b w:val="1"/>
                <w:bCs w:val="1"/>
                <w:color w:val="auto"/>
                <w:w w:val="92"/>
              </w:rPr>
              <w:t>Nine Months Ended</w:t>
            </w:r>
          </w:p>
        </w:tc>
      </w:tr>
      <w:tr>
        <w:trPr>
          <w:trHeight w:val="228"/>
        </w:trPr>
        <w:tc>
          <w:tcPr>
            <w:tcW w:w="6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August 1,</w:t>
            </w: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w w:val="85"/>
              </w:rPr>
              <w:t>August 2,</w:t>
            </w:r>
          </w:p>
        </w:tc>
        <w:tc>
          <w:tcPr>
            <w:tcW w:w="28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August 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w w:val="85"/>
              </w:rPr>
              <w:t>August 2,</w:t>
            </w:r>
          </w:p>
        </w:tc>
      </w:tr>
      <w:tr>
        <w:trPr>
          <w:trHeight w:val="251"/>
        </w:trPr>
        <w:tc>
          <w:tcPr>
            <w:tcW w:w="690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2010</w:t>
            </w:r>
          </w:p>
        </w:tc>
        <w:tc>
          <w:tcPr>
            <w:tcW w:w="1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r>
      <w:tr>
        <w:trPr>
          <w:trHeight w:val="243"/>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Net income (loss) attributable to Photronics, Inc.</w:t>
            </w:r>
          </w:p>
        </w:tc>
        <w:tc>
          <w:tcPr>
            <w:tcW w:w="4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7,691</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(22,847)</w:t>
            </w:r>
          </w:p>
        </w:tc>
        <w:tc>
          <w:tcPr>
            <w:tcW w:w="4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15,778</w:t>
            </w:r>
          </w:p>
        </w:tc>
        <w:tc>
          <w:tcPr>
            <w:tcW w:w="120" w:type="dxa"/>
            <w:vAlign w:val="bottom"/>
            <w:shd w:val="clear" w:color="auto" w:fill="C0C0C0"/>
          </w:tcPr>
          <w:p>
            <w:pPr>
              <w:spacing w:after="0"/>
              <w:rPr>
                <w:sz w:val="21"/>
                <w:szCs w:val="21"/>
                <w:color w:val="auto"/>
              </w:rPr>
            </w:pP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(43,152)</w:t>
            </w:r>
          </w:p>
        </w:tc>
      </w:tr>
      <w:tr>
        <w:trPr>
          <w:trHeight w:val="235"/>
        </w:trPr>
        <w:tc>
          <w:tcPr>
            <w:tcW w:w="69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5"/>
        </w:trPr>
        <w:tc>
          <w:tcPr>
            <w:tcW w:w="69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 on convertible notes,</w:t>
            </w:r>
          </w:p>
        </w:tc>
        <w:tc>
          <w:tcPr>
            <w:tcW w:w="26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r>
      <w:tr>
        <w:trPr>
          <w:trHeight w:val="259"/>
        </w:trPr>
        <w:tc>
          <w:tcPr>
            <w:tcW w:w="69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net of related tax effects</w:t>
            </w:r>
          </w:p>
        </w:tc>
        <w:tc>
          <w:tcPr>
            <w:tcW w:w="26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1,022</w:t>
            </w: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3,063</w:t>
            </w:r>
          </w:p>
        </w:tc>
        <w:tc>
          <w:tcPr>
            <w:tcW w:w="1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28"/>
        </w:trPr>
        <w:tc>
          <w:tcPr>
            <w:tcW w:w="6900" w:type="dxa"/>
            <w:vAlign w:val="bottom"/>
          </w:tcPr>
          <w:p>
            <w:pPr>
              <w:ind w:left="320"/>
              <w:spacing w:after="0"/>
              <w:rPr>
                <w:sz w:val="20"/>
                <w:szCs w:val="20"/>
                <w:color w:val="auto"/>
              </w:rPr>
            </w:pPr>
            <w:r>
              <w:rPr>
                <w:rFonts w:ascii="Arial" w:cs="Arial" w:eastAsia="Arial" w:hAnsi="Arial"/>
                <w:sz w:val="18"/>
                <w:szCs w:val="18"/>
                <w:color w:val="auto"/>
              </w:rPr>
              <w:t>Gain related to common stock warrants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2"/>
        </w:trPr>
        <w:tc>
          <w:tcPr>
            <w:tcW w:w="6900" w:type="dxa"/>
            <w:vAlign w:val="bottom"/>
            <w:tcBorders>
              <w:bottom w:val="single" w:sz="8" w:color="C0C0C0"/>
            </w:tcBorders>
          </w:tcPr>
          <w:p>
            <w:pPr>
              <w:ind w:left="620"/>
              <w:spacing w:after="0"/>
              <w:rPr>
                <w:sz w:val="20"/>
                <w:szCs w:val="20"/>
                <w:color w:val="auto"/>
              </w:rPr>
            </w:pPr>
            <w:r>
              <w:rPr>
                <w:rFonts w:ascii="Arial" w:cs="Arial" w:eastAsia="Arial" w:hAnsi="Arial"/>
                <w:sz w:val="18"/>
                <w:szCs w:val="18"/>
                <w:color w:val="auto"/>
              </w:rPr>
              <w:t>fair value adjustment</w:t>
            </w:r>
          </w:p>
        </w:tc>
        <w:tc>
          <w:tcPr>
            <w:tcW w:w="2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62"/>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Earnings (loss) for diluted earnings (loss) per share</w:t>
            </w:r>
          </w:p>
        </w:tc>
        <w:tc>
          <w:tcPr>
            <w:tcW w:w="4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8,325</w:t>
            </w: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(22,847)</w:t>
            </w:r>
          </w:p>
        </w:tc>
        <w:tc>
          <w:tcPr>
            <w:tcW w:w="4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18,841</w:t>
            </w:r>
          </w:p>
        </w:tc>
        <w:tc>
          <w:tcPr>
            <w:tcW w:w="120" w:type="dxa"/>
            <w:vAlign w:val="bottom"/>
            <w:shd w:val="clear" w:color="auto" w:fill="C0C0C0"/>
          </w:tcPr>
          <w:p>
            <w:pPr>
              <w:spacing w:after="0"/>
              <w:rPr>
                <w:sz w:val="22"/>
                <w:szCs w:val="22"/>
                <w:color w:val="auto"/>
              </w:rPr>
            </w:pP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(43,152)</w:t>
            </w:r>
          </w:p>
        </w:tc>
      </w:tr>
      <w:tr>
        <w:trPr>
          <w:trHeight w:val="223"/>
        </w:trPr>
        <w:tc>
          <w:tcPr>
            <w:tcW w:w="6900" w:type="dxa"/>
            <w:vAlign w:val="bottom"/>
            <w:tcBorders>
              <w:top w:val="single" w:sz="8" w:color="C0C0C0"/>
            </w:tcBorders>
          </w:tcPr>
          <w:p>
            <w:pPr>
              <w:spacing w:after="0"/>
              <w:rPr>
                <w:sz w:val="20"/>
                <w:szCs w:val="20"/>
                <w:color w:val="auto"/>
              </w:rPr>
            </w:pPr>
            <w:r>
              <w:rPr>
                <w:rFonts w:ascii="Arial" w:cs="Arial" w:eastAsia="Arial" w:hAnsi="Arial"/>
                <w:sz w:val="18"/>
                <w:szCs w:val="18"/>
                <w:color w:val="auto"/>
              </w:rPr>
              <w:t>Weighted-average common shares computations:</w:t>
            </w:r>
          </w:p>
        </w:tc>
        <w:tc>
          <w:tcPr>
            <w:tcW w:w="260" w:type="dxa"/>
            <w:vAlign w:val="bottom"/>
            <w:tcBorders>
              <w:top w:val="single" w:sz="8" w:color="C0C0C0"/>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Borders>
              <w:top w:val="single" w:sz="8" w:color="C0C0C0"/>
            </w:tcBorders>
          </w:tcPr>
          <w:p>
            <w:pPr>
              <w:spacing w:after="0"/>
              <w:rPr>
                <w:sz w:val="19"/>
                <w:szCs w:val="19"/>
                <w:color w:val="auto"/>
              </w:rPr>
            </w:pPr>
          </w:p>
        </w:tc>
        <w:tc>
          <w:tcPr>
            <w:tcW w:w="14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35"/>
        </w:trPr>
        <w:tc>
          <w:tcPr>
            <w:tcW w:w="69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Weighted-average common shares used for</w:t>
            </w:r>
          </w:p>
        </w:tc>
        <w:tc>
          <w:tcPr>
            <w:tcW w:w="26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r>
      <w:tr>
        <w:trPr>
          <w:trHeight w:val="259"/>
        </w:trPr>
        <w:tc>
          <w:tcPr>
            <w:tcW w:w="69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basic earnings (loss) per share</w:t>
            </w:r>
          </w:p>
        </w:tc>
        <w:tc>
          <w:tcPr>
            <w:tcW w:w="26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53,516</w:t>
            </w: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41,819</w:t>
            </w:r>
          </w:p>
        </w:tc>
        <w:tc>
          <w:tcPr>
            <w:tcW w:w="2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53,341</w:t>
            </w:r>
          </w:p>
        </w:tc>
        <w:tc>
          <w:tcPr>
            <w:tcW w:w="1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41,772</w:t>
            </w:r>
          </w:p>
        </w:tc>
      </w:tr>
      <w:tr>
        <w:trPr>
          <w:trHeight w:val="235"/>
        </w:trPr>
        <w:tc>
          <w:tcPr>
            <w:tcW w:w="6900" w:type="dxa"/>
            <w:vAlign w:val="bottom"/>
          </w:tcPr>
          <w:p>
            <w:pPr>
              <w:ind w:left="3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69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Convertible notes</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11,311</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11,311</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6900" w:type="dxa"/>
            <w:vAlign w:val="bottom"/>
          </w:tcPr>
          <w:p>
            <w:pPr>
              <w:ind w:left="320"/>
              <w:spacing w:after="0"/>
              <w:rPr>
                <w:sz w:val="20"/>
                <w:szCs w:val="20"/>
                <w:color w:val="auto"/>
              </w:rPr>
            </w:pPr>
            <w:r>
              <w:rPr>
                <w:rFonts w:ascii="Arial" w:cs="Arial" w:eastAsia="Arial" w:hAnsi="Arial"/>
                <w:sz w:val="18"/>
                <w:szCs w:val="18"/>
                <w:color w:val="auto"/>
              </w:rPr>
              <w:t>Employee stock options and restricted shares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969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69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Common stock warrants</w:t>
            </w:r>
          </w:p>
        </w:tc>
        <w:tc>
          <w:tcPr>
            <w:tcW w:w="2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484</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Potentially dilutive common shares</w:t>
            </w:r>
          </w:p>
        </w:tc>
        <w:tc>
          <w:tcPr>
            <w:tcW w:w="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12,764</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12,348</w:t>
            </w:r>
          </w:p>
        </w:tc>
        <w:tc>
          <w:tcPr>
            <w:tcW w:w="1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28"/>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Weighted-average common shares used for</w:t>
            </w:r>
          </w:p>
        </w:tc>
        <w:tc>
          <w:tcPr>
            <w:tcW w:w="2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r>
      <w:tr>
        <w:trPr>
          <w:trHeight w:val="278"/>
        </w:trPr>
        <w:tc>
          <w:tcPr>
            <w:tcW w:w="690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diluted earnings (loss) per share</w:t>
            </w:r>
          </w:p>
        </w:tc>
        <w:tc>
          <w:tcPr>
            <w:tcW w:w="26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auto"/>
            </w:tcBorders>
            <w:shd w:val="clear" w:color="auto" w:fill="C0C0C0"/>
          </w:tcPr>
          <w:p>
            <w:pPr>
              <w:spacing w:after="0"/>
              <w:rPr>
                <w:sz w:val="24"/>
                <w:szCs w:val="24"/>
                <w:color w:val="auto"/>
              </w:rPr>
            </w:pPr>
          </w:p>
        </w:tc>
        <w:tc>
          <w:tcPr>
            <w:tcW w:w="7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66,280</w:t>
            </w:r>
          </w:p>
        </w:tc>
        <w:tc>
          <w:tcPr>
            <w:tcW w:w="26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auto"/>
            </w:tcBorders>
            <w:shd w:val="clear" w:color="auto" w:fill="C0C0C0"/>
          </w:tcPr>
          <w:p>
            <w:pPr>
              <w:spacing w:after="0"/>
              <w:rPr>
                <w:sz w:val="24"/>
                <w:szCs w:val="24"/>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41,819</w:t>
            </w:r>
          </w:p>
        </w:tc>
        <w:tc>
          <w:tcPr>
            <w:tcW w:w="28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auto"/>
            </w:tcBorders>
            <w:shd w:val="clear" w:color="auto" w:fill="C0C0C0"/>
          </w:tcPr>
          <w:p>
            <w:pPr>
              <w:spacing w:after="0"/>
              <w:rPr>
                <w:sz w:val="24"/>
                <w:szCs w:val="24"/>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65,689</w:t>
            </w:r>
          </w:p>
        </w:tc>
        <w:tc>
          <w:tcPr>
            <w:tcW w:w="12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auto"/>
            </w:tcBorders>
            <w:shd w:val="clear" w:color="auto" w:fill="C0C0C0"/>
          </w:tcPr>
          <w:p>
            <w:pPr>
              <w:spacing w:after="0"/>
              <w:rPr>
                <w:sz w:val="24"/>
                <w:szCs w:val="24"/>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41,772</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(0.55)</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51"/>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Diluted earnings (loss) per share</w:t>
            </w:r>
          </w:p>
        </w:tc>
        <w:tc>
          <w:tcPr>
            <w:tcW w:w="4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0.13</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(0.55)</w:t>
            </w:r>
          </w:p>
        </w:tc>
        <w:tc>
          <w:tcPr>
            <w:tcW w:w="4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0C0C0"/>
          </w:tcPr>
          <w:p>
            <w:pPr>
              <w:spacing w:after="0"/>
              <w:rPr>
                <w:sz w:val="21"/>
                <w:szCs w:val="21"/>
                <w:color w:val="auto"/>
              </w:rPr>
            </w:pP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(1.03)</w:t>
            </w:r>
          </w:p>
        </w:tc>
      </w:tr>
    </w:tbl>
    <w:p>
      <w:pPr>
        <w:spacing w:after="0" w:line="262"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The table below shows the outstanding weighted-average employee stock options, restricted shares and common stock warrants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40" w:type="dxa"/>
            <w:vAlign w:val="bottom"/>
          </w:tcPr>
          <w:p>
            <w:pPr>
              <w:spacing w:after="0"/>
              <w:rPr>
                <w:sz w:val="20"/>
                <w:szCs w:val="20"/>
                <w:color w:val="auto"/>
              </w:rPr>
            </w:pPr>
          </w:p>
        </w:tc>
        <w:tc>
          <w:tcPr>
            <w:tcW w:w="19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2"/>
              </w:rPr>
              <w:t>Three Months Ended</w:t>
            </w:r>
          </w:p>
        </w:tc>
        <w:tc>
          <w:tcPr>
            <w:tcW w:w="17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4"/>
              </w:rPr>
              <w:t>Nine Months Ended</w:t>
            </w:r>
          </w:p>
        </w:tc>
      </w:tr>
      <w:tr>
        <w:trPr>
          <w:trHeight w:val="228"/>
        </w:trPr>
        <w:tc>
          <w:tcPr>
            <w:tcW w:w="7740" w:type="dxa"/>
            <w:vAlign w:val="bottom"/>
          </w:tcPr>
          <w:p>
            <w:pPr>
              <w:spacing w:after="0"/>
              <w:rPr>
                <w:sz w:val="19"/>
                <w:szCs w:val="19"/>
                <w:color w:val="auto"/>
              </w:rPr>
            </w:pPr>
          </w:p>
        </w:tc>
        <w:tc>
          <w:tcPr>
            <w:tcW w:w="10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7"/>
              </w:rPr>
              <w:t>August 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August 2,</w:t>
            </w:r>
          </w:p>
        </w:tc>
        <w:tc>
          <w:tcPr>
            <w:tcW w:w="280" w:type="dxa"/>
            <w:vAlign w:val="bottom"/>
          </w:tcPr>
          <w:p>
            <w:pPr>
              <w:spacing w:after="0"/>
              <w:rPr>
                <w:sz w:val="19"/>
                <w:szCs w:val="19"/>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August 1,</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August 2,</w:t>
            </w:r>
          </w:p>
        </w:tc>
        <w:tc>
          <w:tcPr>
            <w:tcW w:w="20" w:type="dxa"/>
            <w:vAlign w:val="bottom"/>
          </w:tcPr>
          <w:p>
            <w:pPr>
              <w:spacing w:after="0"/>
              <w:rPr>
                <w:sz w:val="19"/>
                <w:szCs w:val="19"/>
                <w:color w:val="auto"/>
              </w:rPr>
            </w:pPr>
          </w:p>
        </w:tc>
      </w:tr>
      <w:tr>
        <w:trPr>
          <w:trHeight w:val="251"/>
        </w:trPr>
        <w:tc>
          <w:tcPr>
            <w:tcW w:w="774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43"/>
        </w:trPr>
        <w:tc>
          <w:tcPr>
            <w:tcW w:w="7740" w:type="dxa"/>
            <w:vAlign w:val="bottom"/>
            <w:shd w:val="clear" w:color="auto" w:fill="C0C0C0"/>
          </w:tcPr>
          <w:p>
            <w:pPr>
              <w:spacing w:after="0"/>
              <w:rPr>
                <w:sz w:val="20"/>
                <w:szCs w:val="20"/>
                <w:color w:val="auto"/>
              </w:rPr>
            </w:pPr>
            <w:r>
              <w:rPr>
                <w:rFonts w:ascii="Arial" w:cs="Arial" w:eastAsia="Arial" w:hAnsi="Arial"/>
                <w:sz w:val="18"/>
                <w:szCs w:val="18"/>
                <w:color w:val="auto"/>
              </w:rPr>
              <w:t>Employee stock options and restricted shares</w:t>
            </w:r>
          </w:p>
        </w:tc>
        <w:tc>
          <w:tcPr>
            <w:tcW w:w="10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2,700</w:t>
            </w:r>
          </w:p>
        </w:tc>
        <w:tc>
          <w:tcPr>
            <w:tcW w:w="98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1,950</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2,668</w:t>
            </w: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2,064</w:t>
            </w:r>
          </w:p>
        </w:tc>
        <w:tc>
          <w:tcPr>
            <w:tcW w:w="20" w:type="dxa"/>
            <w:vAlign w:val="bottom"/>
          </w:tcPr>
          <w:p>
            <w:pPr>
              <w:spacing w:after="0"/>
              <w:rPr>
                <w:sz w:val="21"/>
                <w:szCs w:val="21"/>
                <w:color w:val="auto"/>
              </w:rPr>
            </w:pPr>
          </w:p>
        </w:tc>
      </w:tr>
      <w:tr>
        <w:trPr>
          <w:trHeight w:val="235"/>
        </w:trPr>
        <w:tc>
          <w:tcPr>
            <w:tcW w:w="7740" w:type="dxa"/>
            <w:vAlign w:val="bottom"/>
          </w:tcPr>
          <w:p>
            <w:pPr>
              <w:spacing w:after="0"/>
              <w:rPr>
                <w:sz w:val="20"/>
                <w:szCs w:val="20"/>
                <w:color w:val="auto"/>
              </w:rPr>
            </w:pPr>
            <w:r>
              <w:rPr>
                <w:rFonts w:ascii="Arial" w:cs="Arial" w:eastAsia="Arial" w:hAnsi="Arial"/>
                <w:sz w:val="18"/>
                <w:szCs w:val="18"/>
                <w:color w:val="auto"/>
              </w:rPr>
              <w:t>Common stock warrants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1,793</w:t>
            </w:r>
          </w:p>
        </w:tc>
        <w:tc>
          <w:tcPr>
            <w:tcW w:w="720" w:type="dxa"/>
            <w:vAlign w:val="bottom"/>
          </w:tcPr>
          <w:p>
            <w:pPr>
              <w:jc w:val="right"/>
              <w:spacing w:after="0"/>
              <w:rPr>
                <w:sz w:val="20"/>
                <w:szCs w:val="20"/>
                <w:color w:val="auto"/>
              </w:rPr>
            </w:pPr>
            <w:r>
              <w:rPr>
                <w:rFonts w:ascii="Arial" w:cs="Arial" w:eastAsia="Arial" w:hAnsi="Arial"/>
                <w:sz w:val="18"/>
                <w:szCs w:val="18"/>
                <w:color w:val="auto"/>
              </w:rPr>
              <w:t>792</w:t>
            </w:r>
          </w:p>
        </w:tc>
        <w:tc>
          <w:tcPr>
            <w:tcW w:w="2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r>
      <w:tr>
        <w:trPr>
          <w:trHeight w:val="21"/>
        </w:trPr>
        <w:tc>
          <w:tcPr>
            <w:tcW w:w="7740" w:type="dxa"/>
            <w:vAlign w:val="bottom"/>
            <w:shd w:val="clear" w:color="auto" w:fill="C0C0C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2"/>
        </w:trPr>
        <w:tc>
          <w:tcPr>
            <w:tcW w:w="7740" w:type="dxa"/>
            <w:vAlign w:val="bottom"/>
            <w:shd w:val="clear" w:color="auto" w:fill="C0C0C0"/>
          </w:tcPr>
          <w:p>
            <w:pPr>
              <w:spacing w:after="0"/>
              <w:rPr>
                <w:sz w:val="20"/>
                <w:szCs w:val="20"/>
                <w:color w:val="auto"/>
              </w:rPr>
            </w:pPr>
            <w:r>
              <w:rPr>
                <w:rFonts w:ascii="Arial" w:cs="Arial" w:eastAsia="Arial" w:hAnsi="Arial"/>
                <w:sz w:val="18"/>
                <w:szCs w:val="18"/>
                <w:color w:val="auto"/>
              </w:rPr>
              <w:t>Total potentially dilutive shares excluded</w:t>
            </w:r>
          </w:p>
        </w:tc>
        <w:tc>
          <w:tcPr>
            <w:tcW w:w="10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2,950</w:t>
            </w:r>
          </w:p>
        </w:tc>
        <w:tc>
          <w:tcPr>
            <w:tcW w:w="98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3,743</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3,460</w:t>
            </w: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2,662</w:t>
            </w:r>
          </w:p>
        </w:tc>
        <w:tc>
          <w:tcPr>
            <w:tcW w:w="20" w:type="dxa"/>
            <w:vAlign w:val="bottom"/>
          </w:tcPr>
          <w:p>
            <w:pPr>
              <w:spacing w:after="0"/>
              <w:rPr>
                <w:sz w:val="21"/>
                <w:szCs w:val="21"/>
                <w:color w:val="auto"/>
              </w:rPr>
            </w:pPr>
          </w:p>
        </w:tc>
      </w:tr>
      <w:tr>
        <w:trPr>
          <w:trHeight w:val="28"/>
        </w:trPr>
        <w:tc>
          <w:tcPr>
            <w:tcW w:w="7740" w:type="dxa"/>
            <w:vAlign w:val="bottom"/>
            <w:shd w:val="clear" w:color="auto" w:fill="C0C0C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262" w:lineRule="exact"/>
        <w:rPr>
          <w:sz w:val="20"/>
          <w:szCs w:val="20"/>
          <w:color w:val="auto"/>
        </w:rPr>
      </w:pPr>
    </w:p>
    <w:p>
      <w:pPr>
        <w:ind w:right="40" w:firstLine="270"/>
        <w:spacing w:after="0" w:line="306" w:lineRule="auto"/>
        <w:rPr>
          <w:sz w:val="20"/>
          <w:szCs w:val="20"/>
          <w:color w:val="auto"/>
        </w:rPr>
      </w:pPr>
      <w:r>
        <w:rPr>
          <w:rFonts w:ascii="Arial" w:cs="Arial" w:eastAsia="Arial" w:hAnsi="Arial"/>
          <w:sz w:val="16"/>
          <w:szCs w:val="16"/>
          <w:color w:val="auto"/>
        </w:rPr>
        <w:t>In periods in which the Company incurred a net loss, the assumed exercise of certain outstanding employee stock options and the vesting of restricted shares had an antidilutive effect. Had the Company recognized sufficient net income, there would have been 0.2 million of incremental weighted-average shares of these employee stock options and restricted shares outstanding during both the three and nine month periods ended August 2, 2009,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5 - SHARE-BASED COMPENSATION PLANS</w:t>
      </w:r>
    </w:p>
    <w:p>
      <w:pPr>
        <w:spacing w:after="0" w:line="285" w:lineRule="exact"/>
        <w:rPr>
          <w:sz w:val="20"/>
          <w:szCs w:val="20"/>
          <w:color w:val="auto"/>
        </w:rPr>
      </w:pPr>
    </w:p>
    <w:p>
      <w:pPr>
        <w:ind w:right="40" w:firstLine="270"/>
        <w:spacing w:after="0" w:line="286" w:lineRule="auto"/>
        <w:rPr>
          <w:sz w:val="20"/>
          <w:szCs w:val="20"/>
          <w:color w:val="auto"/>
        </w:rPr>
      </w:pPr>
      <w:r>
        <w:rPr>
          <w:rFonts w:ascii="Arial" w:cs="Arial" w:eastAsia="Arial" w:hAnsi="Arial"/>
          <w:sz w:val="16"/>
          <w:szCs w:val="16"/>
          <w:color w:val="auto"/>
        </w:rPr>
        <w:t>In March 2007, the Company’s shareholders approved a new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shares previously issued and reacquired by the Company, or both. The maximum number of shares of common stock approved by the Company’s shareholders to be issued under the Plan was increased from three million shares to six million shares during the three month period ended May 2, 2010. Awards may be granted to officers, employees, directors, consultants, advisors, and independent contractors of the Company or its subsidiaries. In the event of a change in control (as defined in the Plan) the vesting of awards may be accelerated. The Plan, aspects of whic h are more fully described below, prohibits further awards from being issued under prior plans. The Company incurred total share-based compensation expense for the three and nine month periods ended August 1, 2010 of $0.5 million and $1.5 million, respectively, and $0.4 million and $1.7 million for the three and nine month periods ended August 2, 2009, respectively. The Company received cash from option exercises of $0.1 million during the nine month period ended August 1, 2010, respectively, and did not receive any cash from option exercises during the three and nine month periods ended August 2, 2009. No share-based compensation cost was capitalized as part of inventory and no related income tax benefits were recorded during the periods presented.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85" w:lineRule="exact"/>
        <w:rPr>
          <w:sz w:val="20"/>
          <w:szCs w:val="20"/>
          <w:color w:val="auto"/>
        </w:rPr>
      </w:pPr>
    </w:p>
    <w:p>
      <w:pPr>
        <w:ind w:right="160" w:firstLine="270"/>
        <w:spacing w:after="0" w:line="290" w:lineRule="auto"/>
        <w:rPr>
          <w:sz w:val="20"/>
          <w:szCs w:val="20"/>
          <w:color w:val="auto"/>
        </w:rPr>
      </w:pPr>
      <w:r>
        <w:rPr>
          <w:rFonts w:ascii="Arial" w:cs="Arial" w:eastAsia="Arial" w:hAnsi="Arial"/>
          <w:sz w:val="16"/>
          <w:szCs w:val="16"/>
          <w:color w:val="auto"/>
        </w:rPr>
        <w:t>Option awards generally vest in one to four years, and have a ten-year contractual term. All incentive and non-qualified stock option grants have an exercise price equal to the market value of the underlying common stock on the date of grant. The grant date fair value of options is based upon the closing price on the date of grant using the Black-Scholes option pricing model. Expected volatility is based on the historical volatility of the Company's stock. The Company uses historical option exercise behavior and employee termination data to estimate the expected term, which represents the period of time that the options granted are expected to remain outstanding. The risk-free rate of return for the estimated term of the option is based on the U.S. Treasury yield curve in effect at the time of grant. Inputs used to calculate the grant date fair value of opt ions issued during the three and nine month periods ended August 1, 2010 and August 2, 2009, are presented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20" w:type="dxa"/>
            <w:vAlign w:val="bottom"/>
          </w:tcPr>
          <w:p>
            <w:pPr>
              <w:spacing w:after="0"/>
              <w:rPr>
                <w:sz w:val="20"/>
                <w:szCs w:val="20"/>
                <w:color w:val="auto"/>
              </w:rPr>
            </w:pPr>
          </w:p>
        </w:tc>
        <w:tc>
          <w:tcPr>
            <w:tcW w:w="200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w:t>
            </w:r>
          </w:p>
        </w:tc>
        <w:tc>
          <w:tcPr>
            <w:tcW w:w="2040" w:type="dxa"/>
            <w:vAlign w:val="bottom"/>
            <w:gridSpan w:val="4"/>
          </w:tcPr>
          <w:p>
            <w:pPr>
              <w:ind w:left="260"/>
              <w:spacing w:after="0"/>
              <w:rPr>
                <w:sz w:val="20"/>
                <w:szCs w:val="20"/>
                <w:color w:val="auto"/>
              </w:rPr>
            </w:pPr>
            <w:r>
              <w:rPr>
                <w:rFonts w:ascii="Arial" w:cs="Arial" w:eastAsia="Arial" w:hAnsi="Arial"/>
                <w:sz w:val="18"/>
                <w:szCs w:val="18"/>
                <w:b w:val="1"/>
                <w:bCs w:val="1"/>
                <w:color w:val="auto"/>
              </w:rPr>
              <w:t>Nine Months Ended</w:t>
            </w:r>
          </w:p>
        </w:tc>
      </w:tr>
      <w:tr>
        <w:trPr>
          <w:trHeight w:val="228"/>
        </w:trPr>
        <w:tc>
          <w:tcPr>
            <w:tcW w:w="5120" w:type="dxa"/>
            <w:vAlign w:val="bottom"/>
          </w:tcPr>
          <w:p>
            <w:pPr>
              <w:spacing w:after="0"/>
              <w:rPr>
                <w:sz w:val="19"/>
                <w:szCs w:val="19"/>
                <w:color w:val="auto"/>
              </w:rPr>
            </w:pPr>
          </w:p>
        </w:tc>
        <w:tc>
          <w:tcPr>
            <w:tcW w:w="10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7"/>
              </w:rPr>
              <w:t>August 1,</w:t>
            </w: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August 2,</w:t>
            </w:r>
          </w:p>
        </w:tc>
        <w:tc>
          <w:tcPr>
            <w:tcW w:w="280" w:type="dxa"/>
            <w:vAlign w:val="bottom"/>
          </w:tcPr>
          <w:p>
            <w:pPr>
              <w:spacing w:after="0"/>
              <w:rPr>
                <w:sz w:val="19"/>
                <w:szCs w:val="19"/>
                <w:color w:val="auto"/>
              </w:rPr>
            </w:pPr>
          </w:p>
        </w:tc>
        <w:tc>
          <w:tcPr>
            <w:tcW w:w="114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August 1,</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August 2,</w:t>
            </w:r>
          </w:p>
        </w:tc>
        <w:tc>
          <w:tcPr>
            <w:tcW w:w="20" w:type="dxa"/>
            <w:vAlign w:val="bottom"/>
          </w:tcPr>
          <w:p>
            <w:pPr>
              <w:spacing w:after="0"/>
              <w:rPr>
                <w:sz w:val="19"/>
                <w:szCs w:val="19"/>
                <w:color w:val="auto"/>
              </w:rPr>
            </w:pPr>
          </w:p>
        </w:tc>
      </w:tr>
      <w:tr>
        <w:trPr>
          <w:trHeight w:val="251"/>
        </w:trPr>
        <w:tc>
          <w:tcPr>
            <w:tcW w:w="512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280" w:type="dxa"/>
            <w:vAlign w:val="bottom"/>
            <w:tcBorders>
              <w:bottom w:val="single" w:sz="8" w:color="C0C0C0"/>
            </w:tcBorders>
          </w:tcPr>
          <w:p>
            <w:pPr>
              <w:spacing w:after="0"/>
              <w:rPr>
                <w:sz w:val="21"/>
                <w:szCs w:val="21"/>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43"/>
        </w:trPr>
        <w:tc>
          <w:tcPr>
            <w:tcW w:w="5120" w:type="dxa"/>
            <w:vAlign w:val="bottom"/>
            <w:shd w:val="clear" w:color="auto" w:fill="C0C0C0"/>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91.6%</w:t>
            </w:r>
          </w:p>
        </w:tc>
        <w:tc>
          <w:tcPr>
            <w:tcW w:w="1000" w:type="dxa"/>
            <w:vAlign w:val="bottom"/>
            <w:gridSpan w:val="2"/>
            <w:shd w:val="clear" w:color="auto" w:fill="C0C0C0"/>
          </w:tcPr>
          <w:p>
            <w:pPr>
              <w:jc w:val="center"/>
              <w:ind w:right="300"/>
              <w:spacing w:after="0"/>
              <w:rPr>
                <w:sz w:val="20"/>
                <w:szCs w:val="20"/>
                <w:color w:val="auto"/>
              </w:rPr>
            </w:pPr>
            <w:r>
              <w:rPr>
                <w:rFonts w:ascii="Arial" w:cs="Arial" w:eastAsia="Arial" w:hAnsi="Arial"/>
                <w:sz w:val="18"/>
                <w:szCs w:val="18"/>
                <w:color w:val="auto"/>
                <w:w w:val="99"/>
              </w:rPr>
              <w:t>N/A</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89.5%</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21"/>
                <w:szCs w:val="21"/>
                <w:color w:val="auto"/>
              </w:rPr>
            </w:pPr>
          </w:p>
        </w:tc>
      </w:tr>
      <w:tr>
        <w:trPr>
          <w:trHeight w:val="235"/>
        </w:trPr>
        <w:tc>
          <w:tcPr>
            <w:tcW w:w="5120" w:type="dxa"/>
            <w:vAlign w:val="bottom"/>
          </w:tcPr>
          <w:p>
            <w:pPr>
              <w:spacing w:after="0"/>
              <w:rPr>
                <w:sz w:val="20"/>
                <w:szCs w:val="20"/>
                <w:color w:val="auto"/>
              </w:rPr>
            </w:pPr>
            <w:r>
              <w:rPr>
                <w:rFonts w:ascii="Arial" w:cs="Arial" w:eastAsia="Arial" w:hAnsi="Arial"/>
                <w:sz w:val="18"/>
                <w:szCs w:val="18"/>
                <w:color w:val="auto"/>
              </w:rPr>
              <w:t>Risk free rate of return</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N/A</w:t>
            </w:r>
          </w:p>
        </w:tc>
        <w:tc>
          <w:tcPr>
            <w:tcW w:w="860" w:type="dxa"/>
            <w:vAlign w:val="bottom"/>
          </w:tcPr>
          <w:p>
            <w:pPr>
              <w:jc w:val="right"/>
              <w:spacing w:after="0"/>
              <w:rPr>
                <w:sz w:val="20"/>
                <w:szCs w:val="20"/>
                <w:color w:val="auto"/>
              </w:rPr>
            </w:pPr>
            <w:r>
              <w:rPr>
                <w:rFonts w:ascii="Arial" w:cs="Arial" w:eastAsia="Arial" w:hAnsi="Arial"/>
                <w:sz w:val="18"/>
                <w:szCs w:val="18"/>
                <w:color w:val="auto"/>
                <w:w w:val="85"/>
              </w:rPr>
              <w:t>1.7% - 2.4%</w:t>
            </w:r>
          </w:p>
        </w:tc>
        <w:tc>
          <w:tcPr>
            <w:tcW w:w="2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1.9% - 2.5%</w:t>
            </w:r>
          </w:p>
        </w:tc>
      </w:tr>
      <w:tr>
        <w:trPr>
          <w:trHeight w:val="251"/>
        </w:trPr>
        <w:tc>
          <w:tcPr>
            <w:tcW w:w="5120" w:type="dxa"/>
            <w:vAlign w:val="bottom"/>
            <w:shd w:val="clear" w:color="auto" w:fill="C0C0C0"/>
          </w:tcPr>
          <w:p>
            <w:pPr>
              <w:spacing w:after="0"/>
              <w:rPr>
                <w:sz w:val="20"/>
                <w:szCs w:val="20"/>
                <w:color w:val="auto"/>
              </w:rPr>
            </w:pPr>
            <w:r>
              <w:rPr>
                <w:rFonts w:ascii="Arial" w:cs="Arial" w:eastAsia="Arial" w:hAnsi="Arial"/>
                <w:sz w:val="18"/>
                <w:szCs w:val="18"/>
                <w:color w:val="auto"/>
              </w:rPr>
              <w:t>Dividend yield</w:t>
            </w:r>
          </w:p>
        </w:tc>
        <w:tc>
          <w:tcPr>
            <w:tcW w:w="10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0.0%</w:t>
            </w:r>
          </w:p>
        </w:tc>
        <w:tc>
          <w:tcPr>
            <w:tcW w:w="1000" w:type="dxa"/>
            <w:vAlign w:val="bottom"/>
            <w:gridSpan w:val="2"/>
            <w:shd w:val="clear" w:color="auto" w:fill="C0C0C0"/>
          </w:tcPr>
          <w:p>
            <w:pPr>
              <w:jc w:val="center"/>
              <w:ind w:right="300"/>
              <w:spacing w:after="0"/>
              <w:rPr>
                <w:sz w:val="20"/>
                <w:szCs w:val="20"/>
                <w:color w:val="auto"/>
              </w:rPr>
            </w:pPr>
            <w:r>
              <w:rPr>
                <w:rFonts w:ascii="Arial" w:cs="Arial" w:eastAsia="Arial" w:hAnsi="Arial"/>
                <w:sz w:val="18"/>
                <w:szCs w:val="18"/>
                <w:color w:val="auto"/>
                <w:w w:val="99"/>
              </w:rPr>
              <w:t>N/A</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1"/>
                <w:szCs w:val="21"/>
                <w:color w:val="auto"/>
              </w:rPr>
            </w:pPr>
          </w:p>
        </w:tc>
      </w:tr>
      <w:tr>
        <w:trPr>
          <w:trHeight w:val="228"/>
        </w:trPr>
        <w:tc>
          <w:tcPr>
            <w:tcW w:w="5120" w:type="dxa"/>
            <w:vAlign w:val="bottom"/>
          </w:tcPr>
          <w:p>
            <w:pPr>
              <w:spacing w:after="0"/>
              <w:rPr>
                <w:sz w:val="20"/>
                <w:szCs w:val="20"/>
                <w:color w:val="auto"/>
              </w:rPr>
            </w:pPr>
            <w:r>
              <w:rPr>
                <w:rFonts w:ascii="Arial" w:cs="Arial" w:eastAsia="Arial" w:hAnsi="Arial"/>
                <w:sz w:val="18"/>
                <w:szCs w:val="18"/>
                <w:color w:val="auto"/>
              </w:rPr>
              <w:t>Expected term</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4.3 years</w:t>
            </w: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N/A</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4.5 years</w:t>
            </w:r>
          </w:p>
        </w:tc>
        <w:tc>
          <w:tcPr>
            <w:tcW w:w="900" w:type="dxa"/>
            <w:vAlign w:val="bottom"/>
            <w:gridSpan w:val="2"/>
          </w:tcPr>
          <w:p>
            <w:pPr>
              <w:ind w:left="240"/>
              <w:spacing w:after="0"/>
              <w:rPr>
                <w:sz w:val="20"/>
                <w:szCs w:val="20"/>
                <w:color w:val="auto"/>
              </w:rPr>
            </w:pPr>
            <w:r>
              <w:rPr>
                <w:rFonts w:ascii="Arial" w:cs="Arial" w:eastAsia="Arial" w:hAnsi="Arial"/>
                <w:sz w:val="18"/>
                <w:szCs w:val="18"/>
                <w:color w:val="auto"/>
                <w:w w:val="86"/>
              </w:rPr>
              <w:t>4.7 years</w:t>
            </w:r>
          </w:p>
        </w:tc>
      </w:tr>
    </w:tbl>
    <w:p>
      <w:pPr>
        <w:spacing w:after="0" w:line="2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summary of option awards under the plan as of August 1, 2010 is presented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7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7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Remaining</w:t>
            </w:r>
          </w:p>
        </w:tc>
        <w:tc>
          <w:tcPr>
            <w:tcW w:w="920" w:type="dxa"/>
            <w:vAlign w:val="bottom"/>
            <w:gridSpan w:val="4"/>
          </w:tcPr>
          <w:p>
            <w:pPr>
              <w:ind w:left="140"/>
              <w:spacing w:after="0"/>
              <w:rPr>
                <w:sz w:val="20"/>
                <w:szCs w:val="20"/>
                <w:color w:val="auto"/>
              </w:rPr>
            </w:pPr>
            <w:r>
              <w:rPr>
                <w:rFonts w:ascii="Arial" w:cs="Arial" w:eastAsia="Arial" w:hAnsi="Arial"/>
                <w:sz w:val="18"/>
                <w:szCs w:val="18"/>
                <w:b w:val="1"/>
                <w:bCs w:val="1"/>
                <w:color w:val="auto"/>
                <w:w w:val="85"/>
              </w:rPr>
              <w:t>Aggregate</w:t>
            </w:r>
          </w:p>
        </w:tc>
      </w:tr>
      <w:tr>
        <w:trPr>
          <w:trHeight w:val="243"/>
        </w:trPr>
        <w:tc>
          <w:tcPr>
            <w:tcW w:w="47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3"/>
              </w:rPr>
              <w:t>Exercise</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Contractual</w:t>
            </w:r>
          </w:p>
        </w:tc>
        <w:tc>
          <w:tcPr>
            <w:tcW w:w="140" w:type="dxa"/>
            <w:vAlign w:val="bottom"/>
          </w:tcPr>
          <w:p>
            <w:pPr>
              <w:spacing w:after="0"/>
              <w:rPr>
                <w:sz w:val="21"/>
                <w:szCs w:val="21"/>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7"/>
              </w:rPr>
              <w:t>Intrinsic</w:t>
            </w:r>
          </w:p>
        </w:tc>
      </w:tr>
      <w:tr>
        <w:trPr>
          <w:trHeight w:val="252"/>
        </w:trPr>
        <w:tc>
          <w:tcPr>
            <w:tcW w:w="4780" w:type="dxa"/>
            <w:vAlign w:val="bottom"/>
            <w:tcBorders>
              <w:bottom w:val="single" w:sz="8" w:color="auto"/>
            </w:tcBorders>
          </w:tcPr>
          <w:p>
            <w:pPr>
              <w:ind w:left="3340"/>
              <w:spacing w:after="0"/>
              <w:rPr>
                <w:sz w:val="20"/>
                <w:szCs w:val="20"/>
                <w:color w:val="auto"/>
              </w:rPr>
            </w:pPr>
            <w:r>
              <w:rPr>
                <w:rFonts w:ascii="Arial" w:cs="Arial" w:eastAsia="Arial" w:hAnsi="Arial"/>
                <w:sz w:val="18"/>
                <w:szCs w:val="18"/>
                <w:b w:val="1"/>
                <w:bCs w:val="1"/>
                <w:color w:val="auto"/>
              </w:rPr>
              <w:t>Options</w:t>
            </w:r>
          </w:p>
        </w:tc>
        <w:tc>
          <w:tcPr>
            <w:tcW w:w="248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6"/>
              </w:rPr>
              <w:t>Price</w:t>
            </w:r>
          </w:p>
        </w:tc>
        <w:tc>
          <w:tcPr>
            <w:tcW w:w="280" w:type="dxa"/>
            <w:vAlign w:val="bottom"/>
            <w:tcBorders>
              <w:bottom w:val="single" w:sz="8" w:color="C0C0C0"/>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1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1"/>
              </w:rPr>
              <w:t>Value</w:t>
            </w:r>
          </w:p>
        </w:tc>
        <w:tc>
          <w:tcPr>
            <w:tcW w:w="20" w:type="dxa"/>
            <w:vAlign w:val="bottom"/>
          </w:tcPr>
          <w:p>
            <w:pPr>
              <w:spacing w:after="0"/>
              <w:rPr>
                <w:sz w:val="21"/>
                <w:szCs w:val="21"/>
                <w:color w:val="auto"/>
              </w:rPr>
            </w:pPr>
          </w:p>
        </w:tc>
      </w:tr>
      <w:tr>
        <w:trPr>
          <w:trHeight w:val="243"/>
        </w:trPr>
        <w:tc>
          <w:tcPr>
            <w:tcW w:w="478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August 1, 2010</w:t>
            </w:r>
          </w:p>
        </w:tc>
        <w:tc>
          <w:tcPr>
            <w:tcW w:w="3580" w:type="dxa"/>
            <w:vAlign w:val="bottom"/>
            <w:gridSpan w:val="4"/>
            <w:shd w:val="clear" w:color="auto" w:fill="C0C0C0"/>
          </w:tcPr>
          <w:p>
            <w:pPr>
              <w:jc w:val="center"/>
              <w:ind w:left="2552"/>
              <w:spacing w:after="0"/>
              <w:rPr>
                <w:sz w:val="20"/>
                <w:szCs w:val="20"/>
                <w:color w:val="auto"/>
              </w:rPr>
            </w:pPr>
            <w:r>
              <w:rPr>
                <w:rFonts w:ascii="Arial" w:cs="Arial" w:eastAsia="Arial" w:hAnsi="Arial"/>
                <w:sz w:val="18"/>
                <w:szCs w:val="18"/>
                <w:color w:val="auto"/>
                <w:w w:val="87"/>
              </w:rPr>
              <w:t>3,911,740</w:t>
            </w: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9.33</w:t>
            </w:r>
          </w:p>
        </w:tc>
        <w:tc>
          <w:tcPr>
            <w:tcW w:w="104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w w:val="99"/>
              </w:rPr>
              <w:t>6.7 years</w:t>
            </w:r>
          </w:p>
        </w:tc>
        <w:tc>
          <w:tcPr>
            <w:tcW w:w="28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4,766</w:t>
            </w:r>
          </w:p>
        </w:tc>
        <w:tc>
          <w:tcPr>
            <w:tcW w:w="20" w:type="dxa"/>
            <w:vAlign w:val="bottom"/>
          </w:tcPr>
          <w:p>
            <w:pPr>
              <w:spacing w:after="0"/>
              <w:rPr>
                <w:sz w:val="21"/>
                <w:szCs w:val="21"/>
                <w:color w:val="auto"/>
              </w:rPr>
            </w:pPr>
          </w:p>
        </w:tc>
      </w:tr>
      <w:tr>
        <w:trPr>
          <w:trHeight w:val="228"/>
        </w:trPr>
        <w:tc>
          <w:tcPr>
            <w:tcW w:w="4780" w:type="dxa"/>
            <w:vAlign w:val="bottom"/>
          </w:tcPr>
          <w:p>
            <w:pPr>
              <w:spacing w:after="0"/>
              <w:rPr>
                <w:sz w:val="20"/>
                <w:szCs w:val="20"/>
                <w:color w:val="auto"/>
              </w:rPr>
            </w:pPr>
            <w:r>
              <w:rPr>
                <w:rFonts w:ascii="Arial" w:cs="Arial" w:eastAsia="Arial" w:hAnsi="Arial"/>
                <w:sz w:val="18"/>
                <w:szCs w:val="18"/>
                <w:color w:val="auto"/>
              </w:rPr>
              <w:t>Exercisable at August 1, 2010</w:t>
            </w:r>
          </w:p>
        </w:tc>
        <w:tc>
          <w:tcPr>
            <w:tcW w:w="3580" w:type="dxa"/>
            <w:vAlign w:val="bottom"/>
            <w:gridSpan w:val="4"/>
          </w:tcPr>
          <w:p>
            <w:pPr>
              <w:jc w:val="center"/>
              <w:ind w:left="2552"/>
              <w:spacing w:after="0"/>
              <w:rPr>
                <w:sz w:val="20"/>
                <w:szCs w:val="20"/>
                <w:color w:val="auto"/>
              </w:rPr>
            </w:pPr>
            <w:r>
              <w:rPr>
                <w:rFonts w:ascii="Arial" w:cs="Arial" w:eastAsia="Arial" w:hAnsi="Arial"/>
                <w:sz w:val="18"/>
                <w:szCs w:val="18"/>
                <w:color w:val="auto"/>
                <w:w w:val="87"/>
              </w:rPr>
              <w:t>1,928,686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16.22</w:t>
            </w: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w w:val="99"/>
              </w:rPr>
              <w:t>4.6 years</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878</w:t>
            </w:r>
          </w:p>
        </w:tc>
      </w:tr>
      <w:tr>
        <w:trPr>
          <w:trHeight w:val="473"/>
        </w:trPr>
        <w:tc>
          <w:tcPr>
            <w:tcW w:w="4780" w:type="dxa"/>
            <w:vAlign w:val="bottom"/>
          </w:tcPr>
          <w:p>
            <w:pPr>
              <w:spacing w:after="0"/>
              <w:rPr>
                <w:sz w:val="24"/>
                <w:szCs w:val="24"/>
                <w:color w:val="auto"/>
              </w:rPr>
            </w:pPr>
          </w:p>
        </w:tc>
        <w:tc>
          <w:tcPr>
            <w:tcW w:w="2480" w:type="dxa"/>
            <w:vAlign w:val="bottom"/>
          </w:tcPr>
          <w:p>
            <w:pPr>
              <w:jc w:val="right"/>
              <w:ind w:right="1372"/>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478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12" w:name="page13"/>
    <w:bookmarkEnd w:id="12"/>
    <w:p>
      <w:pPr>
        <w:ind w:right="20" w:firstLine="270"/>
        <w:spacing w:after="0" w:line="318" w:lineRule="auto"/>
        <w:rPr>
          <w:sz w:val="20"/>
          <w:szCs w:val="20"/>
          <w:color w:val="auto"/>
        </w:rPr>
      </w:pPr>
      <w:r>
        <w:rPr>
          <w:rFonts w:ascii="Arial" w:cs="Arial" w:eastAsia="Arial" w:hAnsi="Arial"/>
          <w:sz w:val="15"/>
          <w:szCs w:val="15"/>
          <w:color w:val="auto"/>
        </w:rPr>
        <w:t>There were 80,000 share options granted during the three month period ended August 1, 2010 with a weighted-average grant date fair value of $3.08 per share. There were no share options issued during the three month period ended August 2, 2009. There were 926,400 share options granted during the nine month period ended August 1, 2010, with a weighted-average grant date fair value of $2.98 per share and 1,348,250 share options granted during the nine month period ended August 2, 2009, with a weighted-average grant date fair value of $0.44 per share. As of August 1, 2010, the total unrecognized compensation cost related to non-vested option awards was approximately $2.3 million, which is expected to be recognized over a weighted-average amortization period of 3.2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85"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color w:val="auto"/>
        </w:rPr>
        <w:t>The Company periodically grants restricted stock awards. The restrictions on these awards lapse over a service period that has ranged from less-than-one to eight years. No restricted stock awards were issued during the three or nine month periods ended August 1, 2010 or during the three month period ended August 2, 2009, and 75,000 shares with a weighted-average grant date fair value of $0.76 per share were granted during the nine month period ended August 2, 2009. As of August 1, 2010, the total compensation cost not yet recognized related to nonvested restricted stock awards was approximately $1.4 million, which is expected to be recognized over a weighted-average amortization period of 3.1 years. As of August 1, 2010, there were 100,272 shares of restricted stock outstanding with an aggregate intrinsic value of $0.5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CONSOLIDATION, RESTRUCTURING AND RELATED CHARGES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Shanghai, China, Facility</w:t>
      </w:r>
    </w:p>
    <w:p>
      <w:pPr>
        <w:spacing w:after="0" w:line="279" w:lineRule="exact"/>
        <w:rPr>
          <w:sz w:val="20"/>
          <w:szCs w:val="20"/>
          <w:color w:val="auto"/>
        </w:rPr>
      </w:pPr>
    </w:p>
    <w:p>
      <w:pPr>
        <w:ind w:right="220" w:firstLine="270"/>
        <w:spacing w:after="0" w:line="256" w:lineRule="auto"/>
        <w:rPr>
          <w:sz w:val="20"/>
          <w:szCs w:val="20"/>
          <w:color w:val="auto"/>
        </w:rPr>
      </w:pPr>
      <w:r>
        <w:rPr>
          <w:rFonts w:ascii="Arial" w:cs="Arial" w:eastAsia="Arial" w:hAnsi="Arial"/>
          <w:sz w:val="18"/>
          <w:szCs w:val="18"/>
          <w:color w:val="auto"/>
        </w:rPr>
        <w:t>During the three months ended August 2, 2009, the Company ceased the manufacture of photomasks at its Shanghai, China, facility. In connection with this restructuring, which was substantially completed during the three month period ended August 1, 2010, the Company has recorded total net charges of $5.4 million, including $4.2 million of net asset write-downs. The fair value of the assets written down was determined by management using a market approach. Approximately 75 employees were affected by this restructuring.</w:t>
      </w:r>
    </w:p>
    <w:p>
      <w:pPr>
        <w:spacing w:after="0" w:line="251" w:lineRule="exact"/>
        <w:rPr>
          <w:sz w:val="20"/>
          <w:szCs w:val="20"/>
          <w:color w:val="auto"/>
        </w:rPr>
      </w:pPr>
    </w:p>
    <w:p>
      <w:pPr>
        <w:ind w:right="240" w:firstLine="270"/>
        <w:spacing w:after="0" w:line="256" w:lineRule="auto"/>
        <w:rPr>
          <w:sz w:val="20"/>
          <w:szCs w:val="20"/>
          <w:color w:val="auto"/>
        </w:rPr>
      </w:pPr>
      <w:r>
        <w:rPr>
          <w:rFonts w:ascii="Arial" w:cs="Arial" w:eastAsia="Arial" w:hAnsi="Arial"/>
          <w:sz w:val="18"/>
          <w:szCs w:val="18"/>
          <w:color w:val="auto"/>
        </w:rPr>
        <w:t>The Company recorded an initial restructuring charge of $10.1 million during the three month period ended August 2, 2009, which included $7.7 million to write down the carrying value of the Company's Shanghai manufacturing facility to its estimated fair value at that time. During the three months ended May 2, 2010, the Company sold its facility in Shanghai, China, for net proceeds of $12.9 million which resulted in a gain of $5.2 million. This gain was recorded as a credit to the restructuring reserve during the three months ended May 2, 2010.</w:t>
      </w:r>
    </w:p>
    <w:p>
      <w:pPr>
        <w:spacing w:after="0" w:line="251"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The following tables set forth the Company's restructuring reserve related to the closing of its former Shanghai, China, facility as of August 1, 2010 and August 2, 2009, and reflect the activity affecting the reserve for the three and nine month periods then ended. The remaining balance at August 1, 2010 primarily relates to expenses incurred relating to the sale of the facility.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89"/>
              </w:rPr>
              <w:t>Three Months Ended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5"/>
          </w:tcPr>
          <w:p>
            <w:pPr>
              <w:jc w:val="right"/>
              <w:ind w:right="232"/>
              <w:spacing w:after="0"/>
              <w:rPr>
                <w:sz w:val="20"/>
                <w:szCs w:val="20"/>
                <w:color w:val="auto"/>
              </w:rPr>
            </w:pPr>
            <w:r>
              <w:rPr>
                <w:rFonts w:ascii="Arial" w:cs="Arial" w:eastAsia="Arial" w:hAnsi="Arial"/>
                <w:sz w:val="18"/>
                <w:szCs w:val="18"/>
                <w:b w:val="1"/>
                <w:bCs w:val="1"/>
                <w:color w:val="auto"/>
                <w:w w:val="91"/>
              </w:rPr>
              <w:t>Nine Months Ended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9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8"/>
                <w:szCs w:val="18"/>
                <w:b w:val="1"/>
                <w:bCs w:val="1"/>
                <w:color w:val="auto"/>
                <w:w w:val="86"/>
              </w:rPr>
              <w:t>August 1, 2010</w:t>
            </w: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8"/>
                <w:szCs w:val="18"/>
                <w:b w:val="1"/>
                <w:bCs w:val="1"/>
                <w:color w:val="auto"/>
                <w:w w:val="97"/>
              </w:rPr>
              <w:t>August 1, 2010</w:t>
            </w:r>
          </w:p>
        </w:tc>
        <w:tc>
          <w:tcPr>
            <w:tcW w:w="2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3920" w:type="dxa"/>
            <w:vAlign w:val="bottom"/>
          </w:tcPr>
          <w:p>
            <w:pPr>
              <w:spacing w:after="0"/>
              <w:rPr>
                <w:sz w:val="19"/>
                <w:szCs w:val="19"/>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May 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ind w:left="80"/>
              <w:spacing w:after="0"/>
              <w:rPr>
                <w:sz w:val="20"/>
                <w:szCs w:val="20"/>
                <w:color w:val="auto"/>
              </w:rPr>
            </w:pPr>
            <w:r>
              <w:rPr>
                <w:rFonts w:ascii="Arial" w:cs="Arial" w:eastAsia="Arial" w:hAnsi="Arial"/>
                <w:sz w:val="18"/>
                <w:szCs w:val="18"/>
                <w:b w:val="1"/>
                <w:bCs w:val="1"/>
                <w:color w:val="auto"/>
                <w:w w:val="82"/>
              </w:rPr>
              <w:t>August 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w w:val="96"/>
              </w:rPr>
              <w:t>November 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b w:val="1"/>
                <w:bCs w:val="1"/>
                <w:color w:val="auto"/>
                <w:w w:val="86"/>
              </w:rPr>
              <w:t>Charges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gridSpan w:val="3"/>
          </w:tcPr>
          <w:p>
            <w:pPr>
              <w:ind w:left="200"/>
              <w:spacing w:after="0"/>
              <w:rPr>
                <w:sz w:val="20"/>
                <w:szCs w:val="20"/>
                <w:color w:val="auto"/>
              </w:rPr>
            </w:pPr>
            <w:r>
              <w:rPr>
                <w:rFonts w:ascii="Arial" w:cs="Arial" w:eastAsia="Arial" w:hAnsi="Arial"/>
                <w:sz w:val="18"/>
                <w:szCs w:val="18"/>
                <w:b w:val="1"/>
                <w:bCs w:val="1"/>
                <w:color w:val="auto"/>
                <w:w w:val="82"/>
              </w:rPr>
              <w:t>August 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3"/>
          </w:tcPr>
          <w:p>
            <w:pPr>
              <w:spacing w:after="0"/>
              <w:rPr>
                <w:sz w:val="20"/>
                <w:szCs w:val="20"/>
                <w:color w:val="auto"/>
              </w:rPr>
            </w:pPr>
            <w:r>
              <w:rPr>
                <w:rFonts w:ascii="Arial" w:cs="Arial" w:eastAsia="Arial" w:hAnsi="Arial"/>
                <w:sz w:val="18"/>
                <w:szCs w:val="18"/>
                <w:b w:val="1"/>
                <w:bCs w:val="1"/>
                <w:color w:val="auto"/>
                <w:w w:val="99"/>
              </w:rPr>
              <w:t>Charges</w:t>
            </w:r>
          </w:p>
        </w:tc>
        <w:tc>
          <w:tcPr>
            <w:tcW w:w="100" w:type="dxa"/>
            <w:vAlign w:val="bottom"/>
          </w:tcPr>
          <w:p>
            <w:pPr>
              <w:spacing w:after="0"/>
              <w:rPr>
                <w:sz w:val="22"/>
                <w:szCs w:val="22"/>
                <w:color w:val="auto"/>
              </w:rPr>
            </w:pPr>
          </w:p>
        </w:tc>
        <w:tc>
          <w:tcPr>
            <w:tcW w:w="880" w:type="dxa"/>
            <w:vAlign w:val="bottom"/>
            <w:gridSpan w:val="3"/>
          </w:tcPr>
          <w:p>
            <w:pPr>
              <w:ind w:left="80"/>
              <w:spacing w:after="0"/>
              <w:rPr>
                <w:sz w:val="20"/>
                <w:szCs w:val="20"/>
                <w:color w:val="auto"/>
              </w:rPr>
            </w:pPr>
            <w:r>
              <w:rPr>
                <w:rFonts w:ascii="Arial" w:cs="Arial" w:eastAsia="Arial" w:hAnsi="Arial"/>
                <w:sz w:val="18"/>
                <w:szCs w:val="18"/>
                <w:b w:val="1"/>
                <w:bCs w:val="1"/>
                <w:color w:val="auto"/>
              </w:rPr>
              <w:t>Utilized</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b w:val="1"/>
                <w:bCs w:val="1"/>
                <w:color w:val="auto"/>
                <w:w w:val="99"/>
              </w:rPr>
              <w:t>2010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b w:val="1"/>
                <w:bCs w:val="1"/>
                <w:color w:val="auto"/>
                <w:w w:val="87"/>
              </w:rPr>
              <w:t>(credits)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w w:val="90"/>
              </w:rPr>
              <w:t>Utilized</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2010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92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Net gain on sales of assets</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20" w:type="dxa"/>
            <w:vAlign w:val="bottom"/>
            <w:vMerge w:val="continue"/>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218</w:t>
            </w:r>
          </w:p>
        </w:tc>
        <w:tc>
          <w:tcPr>
            <w:tcW w:w="28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0C0C0"/>
          </w:tcPr>
          <w:p>
            <w:pPr>
              <w:spacing w:after="0"/>
              <w:rPr>
                <w:sz w:val="21"/>
                <w:szCs w:val="21"/>
                <w:color w:val="auto"/>
              </w:rPr>
            </w:pPr>
          </w:p>
        </w:tc>
        <w:tc>
          <w:tcPr>
            <w:tcW w:w="240" w:type="dxa"/>
            <w:vAlign w:val="bottom"/>
            <w:gridSpan w:val="2"/>
            <w:shd w:val="clear" w:color="auto" w:fill="C0C0C0"/>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197</w:t>
            </w:r>
          </w:p>
        </w:tc>
        <w:tc>
          <w:tcPr>
            <w:tcW w:w="28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(5,020)</w:t>
            </w:r>
          </w:p>
        </w:tc>
        <w:tc>
          <w:tcPr>
            <w:tcW w:w="3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5,217</w:t>
            </w:r>
          </w:p>
        </w:tc>
        <w:tc>
          <w:tcPr>
            <w:tcW w:w="32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920" w:type="dxa"/>
            <w:vAlign w:val="bottom"/>
          </w:tcPr>
          <w:p>
            <w:pPr>
              <w:spacing w:after="0"/>
              <w:rPr>
                <w:sz w:val="20"/>
                <w:szCs w:val="20"/>
                <w:color w:val="auto"/>
              </w:rPr>
            </w:pPr>
            <w:r>
              <w:rPr>
                <w:rFonts w:ascii="Arial" w:cs="Arial" w:eastAsia="Arial" w:hAnsi="Arial"/>
                <w:sz w:val="18"/>
                <w:szCs w:val="18"/>
                <w:color w:val="auto"/>
              </w:rPr>
              <w:t>Employee terminations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920" w:type="dxa"/>
            <w:vAlign w:val="bottom"/>
          </w:tcPr>
          <w:p>
            <w:pPr>
              <w:ind w:left="320"/>
              <w:spacing w:after="0"/>
              <w:rPr>
                <w:sz w:val="20"/>
                <w:szCs w:val="20"/>
                <w:color w:val="auto"/>
              </w:rPr>
            </w:pPr>
            <w:r>
              <w:rPr>
                <w:rFonts w:ascii="Arial" w:cs="Arial" w:eastAsia="Arial" w:hAnsi="Arial"/>
                <w:sz w:val="18"/>
                <w:szCs w:val="18"/>
                <w:color w:val="auto"/>
              </w:rPr>
              <w:t>and other</w:t>
            </w:r>
          </w:p>
        </w:tc>
        <w:tc>
          <w:tcPr>
            <w:tcW w:w="12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9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218</w:t>
            </w:r>
          </w:p>
        </w:tc>
        <w:tc>
          <w:tcPr>
            <w:tcW w:w="28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26</w:t>
            </w:r>
          </w:p>
        </w:tc>
        <w:tc>
          <w:tcPr>
            <w:tcW w:w="400" w:type="dxa"/>
            <w:vAlign w:val="bottom"/>
            <w:gridSpan w:val="2"/>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0C0C0"/>
          </w:tcPr>
          <w:p>
            <w:pPr>
              <w:spacing w:after="0"/>
              <w:rPr>
                <w:sz w:val="21"/>
                <w:szCs w:val="21"/>
                <w:color w:val="auto"/>
              </w:rPr>
            </w:pPr>
          </w:p>
        </w:tc>
        <w:tc>
          <w:tcPr>
            <w:tcW w:w="240" w:type="dxa"/>
            <w:vAlign w:val="bottom"/>
            <w:gridSpan w:val="2"/>
            <w:shd w:val="clear" w:color="auto" w:fill="C0C0C0"/>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197</w:t>
            </w:r>
          </w:p>
        </w:tc>
        <w:tc>
          <w:tcPr>
            <w:tcW w:w="28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134</w:t>
            </w: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(4,810)</w:t>
            </w:r>
          </w:p>
        </w:tc>
        <w:tc>
          <w:tcPr>
            <w:tcW w:w="3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4,873</w:t>
            </w:r>
          </w:p>
        </w:tc>
        <w:tc>
          <w:tcPr>
            <w:tcW w:w="32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7"/>
        </w:trPr>
        <w:tc>
          <w:tcPr>
            <w:tcW w:w="392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9"/>
              </w:rPr>
              <w:t>13</w:t>
            </w: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39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44"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Three Months Ended</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6"/>
          </w:tcPr>
          <w:p>
            <w:pPr>
              <w:jc w:val="right"/>
              <w:ind w:right="212"/>
              <w:spacing w:after="0"/>
              <w:rPr>
                <w:sz w:val="20"/>
                <w:szCs w:val="20"/>
                <w:color w:val="auto"/>
              </w:rPr>
            </w:pPr>
            <w:r>
              <w:rPr>
                <w:rFonts w:ascii="Arial" w:cs="Arial" w:eastAsia="Arial" w:hAnsi="Arial"/>
                <w:sz w:val="18"/>
                <w:szCs w:val="18"/>
                <w:b w:val="1"/>
                <w:bCs w:val="1"/>
                <w:color w:val="auto"/>
                <w:w w:val="92"/>
              </w:rPr>
              <w:t>Nine Months Ended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37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86"/>
              </w:rPr>
              <w:t>August 2, 2009</w:t>
            </w: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8"/>
                <w:szCs w:val="18"/>
                <w:b w:val="1"/>
                <w:bCs w:val="1"/>
                <w:color w:val="auto"/>
                <w:w w:val="99"/>
              </w:rPr>
              <w:t>August 2, 2009</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372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0"/>
              </w:rPr>
              <w:t>May 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w w:val="82"/>
              </w:rPr>
              <w:t>August 2,</w:t>
            </w:r>
          </w:p>
        </w:tc>
        <w:tc>
          <w:tcPr>
            <w:tcW w:w="22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November 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gridSpan w:val="3"/>
          </w:tcPr>
          <w:p>
            <w:pPr>
              <w:ind w:left="220"/>
              <w:spacing w:after="0"/>
              <w:rPr>
                <w:sz w:val="20"/>
                <w:szCs w:val="20"/>
                <w:color w:val="auto"/>
              </w:rPr>
            </w:pPr>
            <w:r>
              <w:rPr>
                <w:rFonts w:ascii="Arial" w:cs="Arial" w:eastAsia="Arial" w:hAnsi="Arial"/>
                <w:sz w:val="18"/>
                <w:szCs w:val="18"/>
                <w:b w:val="1"/>
                <w:bCs w:val="1"/>
                <w:color w:val="auto"/>
                <w:w w:val="82"/>
              </w:rPr>
              <w:t>August 2,</w:t>
            </w:r>
          </w:p>
        </w:tc>
        <w:tc>
          <w:tcPr>
            <w:tcW w:w="20" w:type="dxa"/>
            <w:vAlign w:val="bottom"/>
          </w:tcPr>
          <w:p>
            <w:pPr>
              <w:spacing w:after="0"/>
              <w:rPr>
                <w:sz w:val="19"/>
                <w:szCs w:val="19"/>
                <w:color w:val="auto"/>
              </w:rPr>
            </w:pPr>
          </w:p>
        </w:tc>
      </w:tr>
      <w:tr>
        <w:trPr>
          <w:trHeight w:val="251"/>
        </w:trPr>
        <w:tc>
          <w:tcPr>
            <w:tcW w:w="3720" w:type="dxa"/>
            <w:vAlign w:val="bottom"/>
            <w:tcBorders>
              <w:bottom w:val="single" w:sz="8" w:color="C0C0C0"/>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Charges</w:t>
            </w:r>
          </w:p>
        </w:tc>
        <w:tc>
          <w:tcPr>
            <w:tcW w:w="22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0"/>
              </w:rPr>
              <w:t>Utilized</w:t>
            </w:r>
          </w:p>
        </w:tc>
        <w:tc>
          <w:tcPr>
            <w:tcW w:w="22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2009</w:t>
            </w:r>
          </w:p>
        </w:tc>
        <w:tc>
          <w:tcPr>
            <w:tcW w:w="22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Charges</w:t>
            </w:r>
          </w:p>
        </w:tc>
        <w:tc>
          <w:tcPr>
            <w:tcW w:w="10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0"/>
              </w:rPr>
              <w:t>Utilized</w:t>
            </w:r>
          </w:p>
        </w:tc>
        <w:tc>
          <w:tcPr>
            <w:tcW w:w="22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2009</w:t>
            </w:r>
          </w:p>
        </w:tc>
        <w:tc>
          <w:tcPr>
            <w:tcW w:w="20" w:type="dxa"/>
            <w:vAlign w:val="bottom"/>
          </w:tcPr>
          <w:p>
            <w:pPr>
              <w:spacing w:after="0"/>
              <w:rPr>
                <w:sz w:val="21"/>
                <w:szCs w:val="21"/>
                <w:color w:val="auto"/>
              </w:rPr>
            </w:pPr>
          </w:p>
        </w:tc>
      </w:tr>
      <w:tr>
        <w:trPr>
          <w:trHeight w:val="243"/>
        </w:trPr>
        <w:tc>
          <w:tcPr>
            <w:tcW w:w="3720" w:type="dxa"/>
            <w:vAlign w:val="bottom"/>
            <w:shd w:val="clear" w:color="auto" w:fill="C0C0C0"/>
          </w:tcPr>
          <w:p>
            <w:pPr>
              <w:spacing w:after="0"/>
              <w:rPr>
                <w:sz w:val="20"/>
                <w:szCs w:val="20"/>
                <w:color w:val="auto"/>
              </w:rPr>
            </w:pPr>
            <w:r>
              <w:rPr>
                <w:rFonts w:ascii="Arial" w:cs="Arial" w:eastAsia="Arial" w:hAnsi="Arial"/>
                <w:sz w:val="18"/>
                <w:szCs w:val="18"/>
                <w:color w:val="auto"/>
              </w:rPr>
              <w:t>Asset write-downs</w:t>
            </w:r>
          </w:p>
        </w:tc>
        <w:tc>
          <w:tcPr>
            <w:tcW w:w="440" w:type="dxa"/>
            <w:vAlign w:val="bottom"/>
            <w:shd w:val="clear" w:color="auto" w:fill="C0C0C0"/>
          </w:tcPr>
          <w:p>
            <w:pPr>
              <w:jc w:val="right"/>
              <w:ind w:right="278"/>
              <w:spacing w:after="0"/>
              <w:rPr>
                <w:sz w:val="20"/>
                <w:szCs w:val="20"/>
                <w:color w:val="auto"/>
              </w:rPr>
            </w:pPr>
            <w:r>
              <w:rPr>
                <w:rFonts w:ascii="Arial" w:cs="Arial" w:eastAsia="Arial" w:hAnsi="Arial"/>
                <w:sz w:val="15"/>
                <w:szCs w:val="15"/>
                <w:color w:val="auto"/>
                <w:w w:val="71"/>
              </w:rPr>
              <w:t>$</w:t>
            </w:r>
          </w:p>
        </w:tc>
        <w:tc>
          <w:tcPr>
            <w:tcW w:w="1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9,898</w:t>
            </w: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(9,898)</w:t>
            </w:r>
          </w:p>
        </w:tc>
        <w:tc>
          <w:tcPr>
            <w:tcW w:w="2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9,898</w:t>
            </w:r>
          </w:p>
        </w:tc>
        <w:tc>
          <w:tcPr>
            <w:tcW w:w="2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(9,898)</w:t>
            </w:r>
          </w:p>
        </w:tc>
        <w:tc>
          <w:tcPr>
            <w:tcW w:w="34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5"/>
        </w:trPr>
        <w:tc>
          <w:tcPr>
            <w:tcW w:w="372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r>
      <w:tr>
        <w:trPr>
          <w:trHeight w:val="21"/>
        </w:trPr>
        <w:tc>
          <w:tcPr>
            <w:tcW w:w="3720" w:type="dxa"/>
            <w:vAlign w:val="bottom"/>
            <w:shd w:val="clear" w:color="auto" w:fill="C0C0C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3720" w:type="dxa"/>
            <w:vAlign w:val="bottom"/>
            <w:shd w:val="clear" w:color="auto" w:fill="C0C0C0"/>
          </w:tcPr>
          <w:p>
            <w:pPr>
              <w:spacing w:after="0"/>
              <w:rPr>
                <w:sz w:val="20"/>
                <w:szCs w:val="20"/>
                <w:color w:val="auto"/>
              </w:rPr>
            </w:pPr>
          </w:p>
        </w:tc>
        <w:tc>
          <w:tcPr>
            <w:tcW w:w="440" w:type="dxa"/>
            <w:vAlign w:val="bottom"/>
            <w:shd w:val="clear" w:color="auto" w:fill="C0C0C0"/>
          </w:tcPr>
          <w:p>
            <w:pPr>
              <w:jc w:val="right"/>
              <w:ind w:right="278"/>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0C0C0"/>
          </w:tcPr>
          <w:p>
            <w:pPr>
              <w:spacing w:after="0"/>
              <w:rPr>
                <w:sz w:val="20"/>
                <w:szCs w:val="20"/>
                <w:color w:val="auto"/>
              </w:rPr>
            </w:pP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10,081</w:t>
            </w:r>
          </w:p>
        </w:tc>
        <w:tc>
          <w:tcPr>
            <w:tcW w:w="220" w:type="dxa"/>
            <w:vAlign w:val="bottom"/>
            <w:shd w:val="clear" w:color="auto" w:fill="C0C0C0"/>
          </w:tcPr>
          <w:p>
            <w:pPr>
              <w:spacing w:after="0"/>
              <w:rPr>
                <w:sz w:val="20"/>
                <w:szCs w:val="20"/>
                <w:color w:val="auto"/>
              </w:rPr>
            </w:pPr>
          </w:p>
        </w:tc>
        <w:tc>
          <w:tcPr>
            <w:tcW w:w="1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(9,898)</w:t>
            </w:r>
          </w:p>
        </w:tc>
        <w:tc>
          <w:tcPr>
            <w:tcW w:w="2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10,081</w:t>
            </w:r>
          </w:p>
        </w:tc>
        <w:tc>
          <w:tcPr>
            <w:tcW w:w="2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(9,898)</w:t>
            </w:r>
          </w:p>
        </w:tc>
        <w:tc>
          <w:tcPr>
            <w:tcW w:w="34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20"/>
                <w:szCs w:val="20"/>
                <w:color w:val="auto"/>
              </w:rPr>
            </w:pPr>
          </w:p>
        </w:tc>
      </w:tr>
      <w:tr>
        <w:trPr>
          <w:trHeight w:val="35"/>
        </w:trPr>
        <w:tc>
          <w:tcPr>
            <w:tcW w:w="3720" w:type="dxa"/>
            <w:vAlign w:val="bottom"/>
            <w:shd w:val="clear" w:color="auto" w:fill="C0C0C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Manchester, U.K., Facility</w:t>
      </w:r>
    </w:p>
    <w:p>
      <w:pPr>
        <w:spacing w:after="0" w:line="279" w:lineRule="exact"/>
        <w:rPr>
          <w:sz w:val="20"/>
          <w:szCs w:val="20"/>
          <w:color w:val="auto"/>
        </w:rPr>
      </w:pPr>
    </w:p>
    <w:p>
      <w:pPr>
        <w:ind w:right="40" w:firstLine="270"/>
        <w:spacing w:after="0" w:line="298" w:lineRule="auto"/>
        <w:rPr>
          <w:sz w:val="20"/>
          <w:szCs w:val="20"/>
          <w:color w:val="auto"/>
        </w:rPr>
      </w:pPr>
      <w:r>
        <w:rPr>
          <w:rFonts w:ascii="Arial" w:cs="Arial" w:eastAsia="Arial" w:hAnsi="Arial"/>
          <w:sz w:val="16"/>
          <w:szCs w:val="16"/>
          <w:color w:val="auto"/>
        </w:rPr>
        <w:t>During the three months ended February 1, 2009, the Company ceased the manufacture of photomasks at its Manchester, U.K., facility and, in connection therewith, incurred total restructuring charges of $3.3 million through its completion in the fourth quarter of fiscal 2009, primarily for employee termination costs and asset write-downs. Approximately 85 employees were affected by this restructuring. The following table sets forth the Company's 2009 restructuring reserve related to its Manchester, U.K., facility as of August 2, 2009, and reflects the activity affecting the reserve for the three and nine month periods then ended.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9"/>
              </w:rPr>
              <w:t>Three Months Ended</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5"/>
          </w:tcPr>
          <w:p>
            <w:pPr>
              <w:ind w:left="4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2"/>
        </w:trPr>
        <w:tc>
          <w:tcPr>
            <w:tcW w:w="2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8"/>
                <w:szCs w:val="18"/>
                <w:b w:val="1"/>
                <w:bCs w:val="1"/>
                <w:color w:val="auto"/>
                <w:w w:val="86"/>
              </w:rPr>
              <w:t>August 2, 2009</w:t>
            </w:r>
          </w:p>
        </w:tc>
        <w:tc>
          <w:tcPr>
            <w:tcW w:w="7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8"/>
                <w:szCs w:val="18"/>
                <w:b w:val="1"/>
                <w:bCs w:val="1"/>
                <w:color w:val="auto"/>
                <w:w w:val="92"/>
              </w:rPr>
              <w:t>August 2, 2009</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r>
      <w:tr>
        <w:trPr>
          <w:trHeight w:val="228"/>
        </w:trPr>
        <w:tc>
          <w:tcPr>
            <w:tcW w:w="2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May 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2"/>
              </w:rPr>
              <w:t>August 2,</w:t>
            </w:r>
          </w:p>
        </w:tc>
        <w:tc>
          <w:tcPr>
            <w:tcW w:w="280" w:type="dxa"/>
            <w:vAlign w:val="bottom"/>
          </w:tcPr>
          <w:p>
            <w:pPr>
              <w:spacing w:after="0"/>
              <w:rPr>
                <w:sz w:val="19"/>
                <w:szCs w:val="19"/>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November 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2"/>
              </w:rPr>
              <w:t>August 2,</w:t>
            </w:r>
          </w:p>
        </w:tc>
        <w:tc>
          <w:tcPr>
            <w:tcW w:w="60" w:type="dxa"/>
            <w:vAlign w:val="bottom"/>
          </w:tcPr>
          <w:p>
            <w:pPr>
              <w:spacing w:after="0"/>
              <w:rPr>
                <w:sz w:val="19"/>
                <w:szCs w:val="19"/>
                <w:color w:val="auto"/>
              </w:rPr>
            </w:pPr>
          </w:p>
        </w:tc>
      </w:tr>
      <w:tr>
        <w:trPr>
          <w:trHeight w:val="251"/>
        </w:trPr>
        <w:tc>
          <w:tcPr>
            <w:tcW w:w="254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2009</w:t>
            </w:r>
          </w:p>
        </w:tc>
        <w:tc>
          <w:tcPr>
            <w:tcW w:w="1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4"/>
              </w:rPr>
              <w:t>Charges</w:t>
            </w: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Utilized</w:t>
            </w:r>
          </w:p>
        </w:tc>
        <w:tc>
          <w:tcPr>
            <w:tcW w:w="200" w:type="dxa"/>
            <w:vAlign w:val="bottom"/>
            <w:tcBorders>
              <w:bottom w:val="single" w:sz="8" w:color="C0C0C0"/>
            </w:tcBorders>
          </w:tcPr>
          <w:p>
            <w:pPr>
              <w:spacing w:after="0"/>
              <w:rPr>
                <w:sz w:val="21"/>
                <w:szCs w:val="21"/>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Charges</w:t>
            </w:r>
          </w:p>
        </w:tc>
        <w:tc>
          <w:tcPr>
            <w:tcW w:w="2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3"/>
              </w:rPr>
              <w:t>Utilized</w:t>
            </w:r>
          </w:p>
        </w:tc>
        <w:tc>
          <w:tcPr>
            <w:tcW w:w="220" w:type="dxa"/>
            <w:vAlign w:val="bottom"/>
            <w:tcBorders>
              <w:bottom w:val="single" w:sz="8" w:color="C0C0C0"/>
            </w:tcBorders>
          </w:tcPr>
          <w:p>
            <w:pPr>
              <w:spacing w:after="0"/>
              <w:rPr>
                <w:sz w:val="21"/>
                <w:szCs w:val="21"/>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60" w:type="dxa"/>
            <w:vAlign w:val="bottom"/>
            <w:tcBorders>
              <w:bottom w:val="single" w:sz="8" w:color="auto"/>
            </w:tcBorders>
          </w:tcPr>
          <w:p>
            <w:pPr>
              <w:spacing w:after="0"/>
              <w:rPr>
                <w:sz w:val="21"/>
                <w:szCs w:val="21"/>
                <w:color w:val="auto"/>
              </w:rPr>
            </w:pPr>
          </w:p>
        </w:tc>
      </w:tr>
      <w:tr>
        <w:trPr>
          <w:trHeight w:val="243"/>
        </w:trPr>
        <w:tc>
          <w:tcPr>
            <w:tcW w:w="2540" w:type="dxa"/>
            <w:vAlign w:val="bottom"/>
            <w:shd w:val="clear" w:color="auto" w:fill="C0C0C0"/>
          </w:tcPr>
          <w:p>
            <w:pPr>
              <w:spacing w:after="0"/>
              <w:rPr>
                <w:sz w:val="20"/>
                <w:szCs w:val="20"/>
                <w:color w:val="auto"/>
              </w:rPr>
            </w:pPr>
            <w:r>
              <w:rPr>
                <w:rFonts w:ascii="Arial" w:cs="Arial" w:eastAsia="Arial" w:hAnsi="Arial"/>
                <w:sz w:val="18"/>
                <w:szCs w:val="18"/>
                <w:color w:val="auto"/>
              </w:rPr>
              <w:t>Employee terminations</w:t>
            </w:r>
          </w:p>
        </w:tc>
        <w:tc>
          <w:tcPr>
            <w:tcW w:w="1520" w:type="dxa"/>
            <w:vAlign w:val="bottom"/>
            <w:gridSpan w:val="2"/>
            <w:shd w:val="clear" w:color="auto" w:fill="C0C0C0"/>
          </w:tcPr>
          <w:p>
            <w:pPr>
              <w:jc w:val="right"/>
              <w:ind w:right="452"/>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0C0C0"/>
            </w:tcBorders>
            <w:shd w:val="clear" w:color="auto" w:fill="C0C0C0"/>
          </w:tcPr>
          <w:p>
            <w:pPr>
              <w:jc w:val="right"/>
              <w:ind w:right="38"/>
              <w:spacing w:after="0"/>
              <w:rPr>
                <w:sz w:val="20"/>
                <w:szCs w:val="20"/>
                <w:color w:val="auto"/>
              </w:rPr>
            </w:pPr>
            <w:r>
              <w:rPr>
                <w:rFonts w:ascii="Arial" w:cs="Arial" w:eastAsia="Arial" w:hAnsi="Arial"/>
                <w:sz w:val="16"/>
                <w:szCs w:val="16"/>
                <w:color w:val="auto"/>
                <w:w w:val="74"/>
              </w:rPr>
              <w:t>-</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498</w:t>
            </w:r>
          </w:p>
        </w:tc>
        <w:tc>
          <w:tcPr>
            <w:tcW w:w="3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592"/>
              <w:spacing w:after="0"/>
              <w:rPr>
                <w:sz w:val="20"/>
                <w:szCs w:val="20"/>
                <w:color w:val="auto"/>
              </w:rPr>
            </w:pPr>
            <w:r>
              <w:rPr>
                <w:rFonts w:ascii="Arial" w:cs="Arial" w:eastAsia="Arial" w:hAnsi="Arial"/>
                <w:sz w:val="18"/>
                <w:szCs w:val="18"/>
                <w:color w:val="auto"/>
                <w:w w:val="79"/>
              </w:rPr>
              <w:t>$</w:t>
            </w:r>
          </w:p>
        </w:tc>
        <w:tc>
          <w:tcPr>
            <w:tcW w:w="280" w:type="dxa"/>
            <w:vAlign w:val="bottom"/>
            <w:tcBorders>
              <w:left w:val="single" w:sz="8" w:color="C0C0C0"/>
            </w:tcBorders>
            <w:shd w:val="clear" w:color="auto" w:fill="C0C0C0"/>
          </w:tcPr>
          <w:p>
            <w:pPr>
              <w:jc w:val="right"/>
              <w:ind w:right="138"/>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0C0C0"/>
          </w:tcPr>
          <w:p>
            <w:pPr>
              <w:jc w:val="right"/>
              <w:ind w:right="6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1,888</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(1,888)</w:t>
            </w:r>
          </w:p>
        </w:tc>
        <w:tc>
          <w:tcPr>
            <w:tcW w:w="1000" w:type="dxa"/>
            <w:vAlign w:val="bottom"/>
            <w:gridSpan w:val="2"/>
            <w:shd w:val="clear" w:color="auto" w:fill="C0C0C0"/>
          </w:tcPr>
          <w:p>
            <w:pPr>
              <w:jc w:val="right"/>
              <w:ind w:right="592"/>
              <w:spacing w:after="0"/>
              <w:rPr>
                <w:sz w:val="20"/>
                <w:szCs w:val="20"/>
                <w:color w:val="auto"/>
              </w:rPr>
            </w:pPr>
            <w:r>
              <w:rPr>
                <w:rFonts w:ascii="Arial" w:cs="Arial" w:eastAsia="Arial" w:hAnsi="Arial"/>
                <w:sz w:val="18"/>
                <w:szCs w:val="18"/>
                <w:color w:val="auto"/>
              </w:rPr>
              <w:t>$</w:t>
            </w:r>
          </w:p>
        </w:tc>
        <w:tc>
          <w:tcPr>
            <w:tcW w:w="60" w:type="dxa"/>
            <w:vAlign w:val="bottom"/>
            <w:shd w:val="clear" w:color="auto" w:fill="C0C0C0"/>
          </w:tcPr>
          <w:p>
            <w:pPr>
              <w:jc w:val="right"/>
              <w:spacing w:after="0"/>
              <w:rPr>
                <w:sz w:val="20"/>
                <w:szCs w:val="20"/>
                <w:color w:val="auto"/>
              </w:rPr>
            </w:pPr>
            <w:r>
              <w:rPr>
                <w:rFonts w:ascii="Arial" w:cs="Arial" w:eastAsia="Arial" w:hAnsi="Arial"/>
                <w:sz w:val="16"/>
                <w:szCs w:val="16"/>
                <w:color w:val="auto"/>
                <w:w w:val="74"/>
              </w:rPr>
              <w:t>-</w:t>
            </w:r>
          </w:p>
        </w:tc>
      </w:tr>
      <w:tr>
        <w:trPr>
          <w:trHeight w:val="228"/>
        </w:trPr>
        <w:tc>
          <w:tcPr>
            <w:tcW w:w="2540" w:type="dxa"/>
            <w:vAlign w:val="bottom"/>
          </w:tcPr>
          <w:p>
            <w:pPr>
              <w:spacing w:after="0"/>
              <w:rPr>
                <w:sz w:val="20"/>
                <w:szCs w:val="20"/>
                <w:color w:val="auto"/>
              </w:rPr>
            </w:pPr>
            <w:r>
              <w:rPr>
                <w:rFonts w:ascii="Arial" w:cs="Arial" w:eastAsia="Arial" w:hAnsi="Arial"/>
                <w:sz w:val="18"/>
                <w:szCs w:val="18"/>
                <w:color w:val="auto"/>
              </w:rPr>
              <w:t>Asset write-downs</w:t>
            </w: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1"/>
        </w:trPr>
        <w:tc>
          <w:tcPr>
            <w:tcW w:w="2540" w:type="dxa"/>
            <w:vAlign w:val="bottom"/>
          </w:tcPr>
          <w:p>
            <w:pPr>
              <w:ind w:left="320"/>
              <w:spacing w:after="0"/>
              <w:rPr>
                <w:sz w:val="20"/>
                <w:szCs w:val="20"/>
                <w:color w:val="auto"/>
              </w:rPr>
            </w:pPr>
            <w:r>
              <w:rPr>
                <w:rFonts w:ascii="Arial" w:cs="Arial" w:eastAsia="Arial" w:hAnsi="Arial"/>
                <w:sz w:val="18"/>
                <w:szCs w:val="18"/>
                <w:color w:val="auto"/>
              </w:rPr>
              <w:t>and other</w:t>
            </w: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jc w:val="right"/>
              <w:ind w:right="38"/>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jc w:val="right"/>
              <w:ind w:right="138"/>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2540" w:type="dxa"/>
            <w:vAlign w:val="bottom"/>
            <w:shd w:val="clear" w:color="auto" w:fill="C0C0C0"/>
          </w:tcPr>
          <w:p>
            <w:pPr>
              <w:spacing w:after="0" w:line="20" w:lineRule="exact"/>
              <w:rPr>
                <w:sz w:val="1"/>
                <w:szCs w:val="1"/>
                <w:color w:val="auto"/>
              </w:rPr>
            </w:pPr>
          </w:p>
        </w:tc>
        <w:tc>
          <w:tcPr>
            <w:tcW w:w="880" w:type="dxa"/>
            <w:vAlign w:val="bottom"/>
            <w:shd w:val="clear" w:color="auto" w:fill="C0C0C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235"/>
        </w:trPr>
        <w:tc>
          <w:tcPr>
            <w:tcW w:w="2540" w:type="dxa"/>
            <w:vAlign w:val="bottom"/>
            <w:shd w:val="clear" w:color="auto" w:fill="C0C0C0"/>
          </w:tcPr>
          <w:p>
            <w:pPr>
              <w:spacing w:after="0"/>
              <w:rPr>
                <w:sz w:val="20"/>
                <w:szCs w:val="20"/>
                <w:color w:val="auto"/>
              </w:rPr>
            </w:pPr>
          </w:p>
        </w:tc>
        <w:tc>
          <w:tcPr>
            <w:tcW w:w="880" w:type="dxa"/>
            <w:vAlign w:val="bottom"/>
            <w:shd w:val="clear" w:color="auto" w:fill="C0C0C0"/>
          </w:tcPr>
          <w:p>
            <w:pPr>
              <w:spacing w:after="0"/>
              <w:rPr>
                <w:sz w:val="20"/>
                <w:szCs w:val="20"/>
                <w:color w:val="auto"/>
              </w:rPr>
            </w:pPr>
          </w:p>
        </w:tc>
        <w:tc>
          <w:tcPr>
            <w:tcW w:w="640" w:type="dxa"/>
            <w:vAlign w:val="bottom"/>
            <w:shd w:val="clear" w:color="auto" w:fill="C0C0C0"/>
          </w:tcPr>
          <w:p>
            <w:pPr>
              <w:jc w:val="right"/>
              <w:ind w:right="452"/>
              <w:spacing w:after="0"/>
              <w:rPr>
                <w:sz w:val="20"/>
                <w:szCs w:val="20"/>
                <w:color w:val="auto"/>
              </w:rPr>
            </w:pPr>
            <w:r>
              <w:rPr>
                <w:rFonts w:ascii="Arial" w:cs="Arial" w:eastAsia="Arial" w:hAnsi="Arial"/>
                <w:sz w:val="18"/>
                <w:szCs w:val="18"/>
                <w:color w:val="auto"/>
                <w:w w:val="79"/>
              </w:rPr>
              <w:t>$</w:t>
            </w:r>
          </w:p>
        </w:tc>
        <w:tc>
          <w:tcPr>
            <w:tcW w:w="180" w:type="dxa"/>
            <w:vAlign w:val="bottom"/>
            <w:tcBorders>
              <w:left w:val="single" w:sz="8" w:color="C0C0C0"/>
            </w:tcBorders>
            <w:shd w:val="clear" w:color="auto" w:fill="C0C0C0"/>
          </w:tcPr>
          <w:p>
            <w:pPr>
              <w:jc w:val="right"/>
              <w:ind w:right="38"/>
              <w:spacing w:after="0"/>
              <w:rPr>
                <w:sz w:val="20"/>
                <w:szCs w:val="20"/>
                <w:color w:val="auto"/>
              </w:rPr>
            </w:pPr>
            <w:r>
              <w:rPr>
                <w:rFonts w:ascii="Arial" w:cs="Arial" w:eastAsia="Arial" w:hAnsi="Arial"/>
                <w:sz w:val="16"/>
                <w:szCs w:val="16"/>
                <w:color w:val="auto"/>
                <w:w w:val="74"/>
              </w:rPr>
              <w:t>-</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579</w:t>
            </w:r>
          </w:p>
        </w:tc>
        <w:tc>
          <w:tcPr>
            <w:tcW w:w="30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(579)</w:t>
            </w:r>
          </w:p>
        </w:tc>
        <w:tc>
          <w:tcPr>
            <w:tcW w:w="200" w:type="dxa"/>
            <w:vAlign w:val="bottom"/>
            <w:shd w:val="clear" w:color="auto" w:fill="C0C0C0"/>
          </w:tcPr>
          <w:p>
            <w:pPr>
              <w:spacing w:after="0"/>
              <w:rPr>
                <w:sz w:val="20"/>
                <w:szCs w:val="20"/>
                <w:color w:val="auto"/>
              </w:rPr>
            </w:pPr>
          </w:p>
        </w:tc>
        <w:tc>
          <w:tcPr>
            <w:tcW w:w="780" w:type="dxa"/>
            <w:vAlign w:val="bottom"/>
            <w:shd w:val="clear" w:color="auto" w:fill="C0C0C0"/>
          </w:tcPr>
          <w:p>
            <w:pPr>
              <w:jc w:val="right"/>
              <w:ind w:right="592"/>
              <w:spacing w:after="0"/>
              <w:rPr>
                <w:sz w:val="20"/>
                <w:szCs w:val="20"/>
                <w:color w:val="auto"/>
              </w:rPr>
            </w:pPr>
            <w:r>
              <w:rPr>
                <w:rFonts w:ascii="Arial" w:cs="Arial" w:eastAsia="Arial" w:hAnsi="Arial"/>
                <w:sz w:val="18"/>
                <w:szCs w:val="18"/>
                <w:color w:val="auto"/>
                <w:w w:val="79"/>
              </w:rPr>
              <w:t>$</w:t>
            </w:r>
          </w:p>
        </w:tc>
        <w:tc>
          <w:tcPr>
            <w:tcW w:w="280" w:type="dxa"/>
            <w:vAlign w:val="bottom"/>
            <w:tcBorders>
              <w:left w:val="single" w:sz="8" w:color="C0C0C0"/>
            </w:tcBorders>
            <w:shd w:val="clear" w:color="auto" w:fill="C0C0C0"/>
          </w:tcPr>
          <w:p>
            <w:pPr>
              <w:jc w:val="right"/>
              <w:ind w:right="138"/>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0C0C0"/>
          </w:tcPr>
          <w:p>
            <w:pPr>
              <w:jc w:val="right"/>
              <w:ind w:right="6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2,665</w:t>
            </w: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(2,665)</w:t>
            </w:r>
          </w:p>
        </w:tc>
        <w:tc>
          <w:tcPr>
            <w:tcW w:w="1000" w:type="dxa"/>
            <w:vAlign w:val="bottom"/>
            <w:gridSpan w:val="2"/>
            <w:shd w:val="clear" w:color="auto" w:fill="C0C0C0"/>
          </w:tcPr>
          <w:p>
            <w:pPr>
              <w:jc w:val="right"/>
              <w:ind w:right="592"/>
              <w:spacing w:after="0"/>
              <w:rPr>
                <w:sz w:val="20"/>
                <w:szCs w:val="20"/>
                <w:color w:val="auto"/>
              </w:rPr>
            </w:pPr>
            <w:r>
              <w:rPr>
                <w:rFonts w:ascii="Arial" w:cs="Arial" w:eastAsia="Arial" w:hAnsi="Arial"/>
                <w:sz w:val="18"/>
                <w:szCs w:val="18"/>
                <w:color w:val="auto"/>
              </w:rPr>
              <w:t>$</w:t>
            </w:r>
          </w:p>
        </w:tc>
        <w:tc>
          <w:tcPr>
            <w:tcW w:w="60" w:type="dxa"/>
            <w:vAlign w:val="bottom"/>
            <w:shd w:val="clear" w:color="auto" w:fill="C0C0C0"/>
          </w:tcPr>
          <w:p>
            <w:pPr>
              <w:jc w:val="right"/>
              <w:spacing w:after="0"/>
              <w:rPr>
                <w:sz w:val="20"/>
                <w:szCs w:val="20"/>
                <w:color w:val="auto"/>
              </w:rPr>
            </w:pPr>
            <w:r>
              <w:rPr>
                <w:rFonts w:ascii="Arial" w:cs="Arial" w:eastAsia="Arial" w:hAnsi="Arial"/>
                <w:sz w:val="16"/>
                <w:szCs w:val="16"/>
                <w:color w:val="auto"/>
                <w:w w:val="74"/>
              </w:rPr>
              <w:t>-</w:t>
            </w:r>
          </w:p>
        </w:tc>
      </w:tr>
      <w:tr>
        <w:trPr>
          <w:trHeight w:val="35"/>
        </w:trPr>
        <w:tc>
          <w:tcPr>
            <w:tcW w:w="2540" w:type="dxa"/>
            <w:vAlign w:val="bottom"/>
            <w:shd w:val="clear" w:color="auto" w:fill="C0C0C0"/>
          </w:tcPr>
          <w:p>
            <w:pPr>
              <w:spacing w:after="0"/>
              <w:rPr>
                <w:sz w:val="3"/>
                <w:szCs w:val="3"/>
                <w:color w:val="auto"/>
              </w:rPr>
            </w:pPr>
          </w:p>
        </w:tc>
        <w:tc>
          <w:tcPr>
            <w:tcW w:w="880" w:type="dxa"/>
            <w:vAlign w:val="bottom"/>
            <w:shd w:val="clear" w:color="auto" w:fill="C0C0C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C0C0C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200" w:type="dxa"/>
            <w:vAlign w:val="bottom"/>
            <w:shd w:val="clear" w:color="auto" w:fill="C0C0C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80" w:type="dxa"/>
            <w:vAlign w:val="bottom"/>
            <w:tcBorders>
              <w:left w:val="single" w:sz="8" w:color="auto"/>
            </w:tcBorders>
            <w:shd w:val="clear" w:color="auto" w:fill="C0C0C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85" w:lineRule="exact"/>
        <w:rPr>
          <w:sz w:val="20"/>
          <w:szCs w:val="20"/>
          <w:color w:val="auto"/>
        </w:rPr>
      </w:pPr>
    </w:p>
    <w:p>
      <w:pPr>
        <w:ind w:right="120" w:firstLine="270"/>
        <w:spacing w:after="0" w:line="254" w:lineRule="auto"/>
        <w:rPr>
          <w:sz w:val="20"/>
          <w:szCs w:val="20"/>
          <w:color w:val="auto"/>
        </w:rPr>
      </w:pPr>
      <w:r>
        <w:rPr>
          <w:rFonts w:ascii="Arial" w:cs="Arial" w:eastAsia="Arial" w:hAnsi="Arial"/>
          <w:sz w:val="18"/>
          <w:szCs w:val="18"/>
          <w:color w:val="auto"/>
        </w:rPr>
        <w:t>The effective income tax rates differ from the amount computed by applying the U.S. statutory rate of 35% to the income (loss) before income taxes in 2009 primarily because income tax provisions incurred in jurisdictions where the Company generated income before income taxes were, due to valuation allowances, not significantly offset by income tax benefits in jurisdictions where the Company incurred losses before income taxes. In 2010, the effective income tax rates differ from the amount computed by applying the U.S. statutory rate of 35% to the income (loss) before income taxes primarily due to lower statutory rates in international locations. Further, various investment tax credits have been utilized in Korea and Taiwan which reduced the Company's effective income tax rate in both years.</w:t>
      </w:r>
    </w:p>
    <w:p>
      <w:pPr>
        <w:spacing w:after="0" w:line="252" w:lineRule="exact"/>
        <w:rPr>
          <w:sz w:val="20"/>
          <w:szCs w:val="20"/>
          <w:color w:val="auto"/>
        </w:rPr>
      </w:pPr>
    </w:p>
    <w:p>
      <w:pPr>
        <w:ind w:right="360" w:firstLine="270"/>
        <w:spacing w:after="0" w:line="259" w:lineRule="auto"/>
        <w:rPr>
          <w:sz w:val="20"/>
          <w:szCs w:val="20"/>
          <w:color w:val="auto"/>
        </w:rPr>
      </w:pPr>
      <w:r>
        <w:rPr>
          <w:rFonts w:ascii="Arial" w:cs="Arial" w:eastAsia="Arial" w:hAnsi="Arial"/>
          <w:sz w:val="18"/>
          <w:szCs w:val="18"/>
          <w:color w:val="auto"/>
        </w:rPr>
        <w:t>The Company accounts for uncertain tax positions by recording a liability for unrecognized tax benefits resulting from uncertain tax positions taken, or expected to be taken, in its tax returns. The Company recognizes any interest and penalties related to uncertain tax positions in the income tax provision in its condensed consolidated statement of operations.</w:t>
      </w:r>
    </w:p>
    <w:p>
      <w:pPr>
        <w:spacing w:after="0" w:line="248" w:lineRule="exact"/>
        <w:rPr>
          <w:sz w:val="20"/>
          <w:szCs w:val="20"/>
          <w:color w:val="auto"/>
        </w:rPr>
      </w:pPr>
    </w:p>
    <w:p>
      <w:pPr>
        <w:ind w:right="80" w:firstLine="270"/>
        <w:spacing w:after="0" w:line="256" w:lineRule="auto"/>
        <w:rPr>
          <w:sz w:val="20"/>
          <w:szCs w:val="20"/>
          <w:color w:val="auto"/>
        </w:rPr>
      </w:pPr>
      <w:r>
        <w:rPr>
          <w:rFonts w:ascii="Arial" w:cs="Arial" w:eastAsia="Arial" w:hAnsi="Arial"/>
          <w:sz w:val="18"/>
          <w:szCs w:val="18"/>
          <w:color w:val="auto"/>
        </w:rPr>
        <w:t>As of August 1, 2010 and November 1, 2009, the gross unrecognized tax benefits for income taxes associated with uncertain tax positions was approximately $2.0 million (including interest and penalties of $0.4 million). If recognized, the benefits would favorably impact the Company's effective tax rate in future periods. As of August 1, 2010, the Company believes it is not reasonably possible that the total amounts of unrecognized benefits will significantly increase or decrease in the next twelve months.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4" w:name="page15"/>
    <w:bookmarkEnd w:id="14"/>
    <w:p>
      <w:pPr>
        <w:jc w:val="both"/>
        <w:ind w:right="60" w:firstLine="270"/>
        <w:spacing w:after="0" w:line="259" w:lineRule="auto"/>
        <w:rPr>
          <w:sz w:val="20"/>
          <w:szCs w:val="20"/>
          <w:color w:val="auto"/>
        </w:rPr>
      </w:pPr>
      <w:r>
        <w:rPr>
          <w:rFonts w:ascii="Arial" w:cs="Arial" w:eastAsia="Arial" w:hAnsi="Arial"/>
          <w:sz w:val="18"/>
          <w:szCs w:val="18"/>
          <w:color w:val="auto"/>
        </w:rPr>
        <w:t>PKLT, the Company's FPD manufacturing facility in Taiwan, is accorded a tax holiday, which expires in 2012. In addition, the Company has been accorded a tax holiday in China which is expected to expire in 2011. These tax holidays had no dollar or per share effect in the three and nine month periods ended August 1, 2010 and August 2, 2009.</w:t>
      </w:r>
    </w:p>
    <w:p>
      <w:pPr>
        <w:spacing w:after="0" w:line="24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Currently, the statutes of limitations remain open subsequent to and including 2006 in the U.S., 2007 in the U.K., 2008 in Germany and 2005 in Korea.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INSTRUMENTS AND HEDGING ACTIVITIES</w:t>
      </w:r>
    </w:p>
    <w:p>
      <w:pPr>
        <w:spacing w:after="0" w:line="285"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The Company utilizes derivative instruments to reduce its exposure to the effects of the variability of interest rates and foreign currencies on its financial performance when it believes such action is warranted. Historically, the Company has been a party to derivative instruments to hedge either the variability of cash flows of a prospective transaction or the fair value of a recorded asset or liability. In certain instances, the Company has designated these transactions as hedging instruments. However, whether or not a derivative was designated as being a hedging instrument, the Company's purpose for engaging in the derivative has always been for risk management (and not speculative) purposes. The Company has historically not been a party to a significant number of derivative instruments and does not expect its derivative activity to significantly increa se in the foreseeable future.</w:t>
      </w:r>
    </w:p>
    <w:p>
      <w:pPr>
        <w:spacing w:after="0" w:line="228" w:lineRule="exact"/>
        <w:rPr>
          <w:sz w:val="20"/>
          <w:szCs w:val="20"/>
          <w:color w:val="auto"/>
        </w:rPr>
      </w:pPr>
    </w:p>
    <w:p>
      <w:pPr>
        <w:ind w:right="420" w:firstLine="270"/>
        <w:spacing w:after="0" w:line="259" w:lineRule="auto"/>
        <w:rPr>
          <w:sz w:val="20"/>
          <w:szCs w:val="20"/>
          <w:color w:val="auto"/>
        </w:rPr>
      </w:pPr>
      <w:r>
        <w:rPr>
          <w:rFonts w:ascii="Arial" w:cs="Arial" w:eastAsia="Arial" w:hAnsi="Arial"/>
          <w:sz w:val="18"/>
          <w:szCs w:val="18"/>
          <w:color w:val="auto"/>
        </w:rPr>
        <w:t>In addition to the utilization of derivative instruments discussed above, the Company attempts to minimize its risk of foreign currency exchange rate variability by, whenever possible, procuring production materials within the same country that it will utilize the materials in manufacturing, and by selling to customers from manufacturing sites within the country in which the customers are located.</w:t>
      </w:r>
    </w:p>
    <w:p>
      <w:pPr>
        <w:spacing w:after="0" w:line="248" w:lineRule="exact"/>
        <w:rPr>
          <w:sz w:val="20"/>
          <w:szCs w:val="20"/>
          <w:color w:val="auto"/>
        </w:rPr>
      </w:pPr>
    </w:p>
    <w:p>
      <w:pPr>
        <w:ind w:right="60" w:firstLine="270"/>
        <w:spacing w:after="0" w:line="289" w:lineRule="auto"/>
        <w:rPr>
          <w:sz w:val="20"/>
          <w:szCs w:val="20"/>
          <w:color w:val="auto"/>
        </w:rPr>
      </w:pPr>
      <w:r>
        <w:rPr>
          <w:rFonts w:ascii="Arial" w:cs="Arial" w:eastAsia="Arial" w:hAnsi="Arial"/>
          <w:sz w:val="16"/>
          <w:szCs w:val="16"/>
          <w:color w:val="auto"/>
        </w:rPr>
        <w:t>On May 15, 2009, in connection with an amendment to its credit facility, the Company issued 2.1 million warrants, each exercisable for one share of the Company's common stock at an exercise price of $0.01 per share. Forty percent of the warrants were exercisable upon issuance, and the remaining balance was to become exercisable in twenty percent increments at various points in time after October 31, 2009. As a result of certain net cash settleable put provisions within the warrant agreement, the warrants were recorded as a liability in the Company's condensed consolidated balance sheet. As of the issuance date and for future periods that such warrants remain outstanding, the Company has, and will continue to, adjust the liability based upon the current fair value of the warrants, with any changes in their fair value being recognized in earnings. Due to the warrants' exercise price of $0.01 per share, their fair value will approximate the market price of the Company's common stock. Approximately 1.2 million of these warrants were cancelled as a result of the Company's early repayment of certain amounts under its credit facility during the year ended November 1, 2009, and the associated liability was reduced accordingly.</w:t>
      </w:r>
    </w:p>
    <w:p>
      <w:pPr>
        <w:spacing w:after="0" w:line="226"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The Company was a party to two foreign currency forward contracts which expired during the year ended November 1, 2009, both of which were not accounted for as hedges, as they were economic hedges of intercompany loans denominated in U.S. dollars that were remeasured at fair value and recognized immediately in earnings. A portion of an existing loss on a cash flow hedge in the amount of $0.1 million is expected to be reclassified into earnings over the next twelve months.</w:t>
      </w:r>
    </w:p>
    <w:p>
      <w:pPr>
        <w:spacing w:after="0" w:line="251" w:lineRule="exact"/>
        <w:rPr>
          <w:sz w:val="20"/>
          <w:szCs w:val="20"/>
          <w:color w:val="auto"/>
        </w:rPr>
      </w:pPr>
    </w:p>
    <w:p>
      <w:pPr>
        <w:ind w:right="280" w:firstLine="270"/>
        <w:spacing w:after="0" w:line="268" w:lineRule="auto"/>
        <w:rPr>
          <w:sz w:val="20"/>
          <w:szCs w:val="20"/>
          <w:color w:val="auto"/>
        </w:rPr>
      </w:pPr>
      <w:r>
        <w:rPr>
          <w:rFonts w:ascii="Arial" w:cs="Arial" w:eastAsia="Arial" w:hAnsi="Arial"/>
          <w:sz w:val="18"/>
          <w:szCs w:val="18"/>
          <w:color w:val="auto"/>
        </w:rPr>
        <w:t>The table below presents the effect of derivative instruments on the Company's condensed consolidated balance sheets at August 1, 2010 and November 1,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80" w:type="dxa"/>
            <w:vAlign w:val="bottom"/>
          </w:tcPr>
          <w:p>
            <w:pPr>
              <w:jc w:val="center"/>
              <w:ind w:left="1832"/>
              <w:spacing w:after="0"/>
              <w:rPr>
                <w:sz w:val="20"/>
                <w:szCs w:val="20"/>
                <w:color w:val="auto"/>
              </w:rPr>
            </w:pPr>
            <w:r>
              <w:rPr>
                <w:rFonts w:ascii="Arial" w:cs="Arial" w:eastAsia="Arial" w:hAnsi="Arial"/>
                <w:sz w:val="18"/>
                <w:szCs w:val="18"/>
                <w:b w:val="1"/>
                <w:bCs w:val="1"/>
                <w:color w:val="auto"/>
                <w:w w:val="87"/>
              </w:rPr>
              <w:t>Derivatives</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880" w:type="dxa"/>
            <w:vAlign w:val="bottom"/>
          </w:tcPr>
          <w:p>
            <w:pPr>
              <w:jc w:val="center"/>
              <w:ind w:left="1832"/>
              <w:spacing w:after="0"/>
              <w:rPr>
                <w:sz w:val="20"/>
                <w:szCs w:val="20"/>
                <w:color w:val="auto"/>
              </w:rPr>
            </w:pPr>
            <w:r>
              <w:rPr>
                <w:rFonts w:ascii="Arial" w:cs="Arial" w:eastAsia="Arial" w:hAnsi="Arial"/>
                <w:sz w:val="18"/>
                <w:szCs w:val="18"/>
                <w:b w:val="1"/>
                <w:bCs w:val="1"/>
                <w:color w:val="auto"/>
                <w:w w:val="87"/>
              </w:rPr>
              <w:t>Not Designated</w:t>
            </w:r>
          </w:p>
        </w:tc>
        <w:tc>
          <w:tcPr>
            <w:tcW w:w="1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4880" w:type="dxa"/>
            <w:vAlign w:val="bottom"/>
          </w:tcPr>
          <w:p>
            <w:pPr>
              <w:jc w:val="center"/>
              <w:ind w:left="1832"/>
              <w:spacing w:after="0"/>
              <w:rPr>
                <w:sz w:val="20"/>
                <w:szCs w:val="20"/>
                <w:color w:val="auto"/>
              </w:rPr>
            </w:pPr>
            <w:r>
              <w:rPr>
                <w:rFonts w:ascii="Arial" w:cs="Arial" w:eastAsia="Arial" w:hAnsi="Arial"/>
                <w:sz w:val="18"/>
                <w:szCs w:val="18"/>
                <w:b w:val="1"/>
                <w:bCs w:val="1"/>
                <w:color w:val="auto"/>
                <w:w w:val="86"/>
              </w:rPr>
              <w:t>as Hedging</w:t>
            </w:r>
          </w:p>
        </w:tc>
        <w:tc>
          <w:tcPr>
            <w:tcW w:w="1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gridSpan w:val="5"/>
          </w:tcPr>
          <w:p>
            <w:pPr>
              <w:ind w:left="380"/>
              <w:spacing w:after="0"/>
              <w:rPr>
                <w:sz w:val="20"/>
                <w:szCs w:val="20"/>
                <w:color w:val="auto"/>
              </w:rPr>
            </w:pPr>
            <w:r>
              <w:rPr>
                <w:rFonts w:ascii="Arial" w:cs="Arial" w:eastAsia="Arial" w:hAnsi="Arial"/>
                <w:sz w:val="18"/>
                <w:szCs w:val="18"/>
                <w:b w:val="1"/>
                <w:bCs w:val="1"/>
                <w:color w:val="auto"/>
              </w:rPr>
              <w:t>Fair Value at</w:t>
            </w:r>
          </w:p>
        </w:tc>
      </w:tr>
      <w:tr>
        <w:trPr>
          <w:trHeight w:val="228"/>
        </w:trPr>
        <w:tc>
          <w:tcPr>
            <w:tcW w:w="4880" w:type="dxa"/>
            <w:vAlign w:val="bottom"/>
          </w:tcPr>
          <w:p>
            <w:pPr>
              <w:jc w:val="center"/>
              <w:ind w:left="1832"/>
              <w:spacing w:after="0"/>
              <w:rPr>
                <w:sz w:val="20"/>
                <w:szCs w:val="20"/>
                <w:color w:val="auto"/>
              </w:rPr>
            </w:pPr>
            <w:r>
              <w:rPr>
                <w:rFonts w:ascii="Arial" w:cs="Arial" w:eastAsia="Arial" w:hAnsi="Arial"/>
                <w:sz w:val="18"/>
                <w:szCs w:val="18"/>
                <w:b w:val="1"/>
                <w:bCs w:val="1"/>
                <w:color w:val="auto"/>
                <w:w w:val="89"/>
              </w:rPr>
              <w:t>Instruments Under</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87"/>
              </w:rPr>
              <w:t>August 1,</w:t>
            </w: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November 1,</w:t>
            </w:r>
          </w:p>
        </w:tc>
        <w:tc>
          <w:tcPr>
            <w:tcW w:w="20" w:type="dxa"/>
            <w:vAlign w:val="bottom"/>
          </w:tcPr>
          <w:p>
            <w:pPr>
              <w:spacing w:after="0"/>
              <w:rPr>
                <w:sz w:val="19"/>
                <w:szCs w:val="19"/>
                <w:color w:val="auto"/>
              </w:rPr>
            </w:pPr>
          </w:p>
        </w:tc>
      </w:tr>
      <w:tr>
        <w:trPr>
          <w:trHeight w:val="251"/>
        </w:trPr>
        <w:tc>
          <w:tcPr>
            <w:tcW w:w="4880" w:type="dxa"/>
            <w:vAlign w:val="bottom"/>
            <w:tcBorders>
              <w:bottom w:val="single" w:sz="8" w:color="auto"/>
            </w:tcBorders>
          </w:tcPr>
          <w:p>
            <w:pPr>
              <w:jc w:val="center"/>
              <w:ind w:left="1812"/>
              <w:spacing w:after="0"/>
              <w:rPr>
                <w:sz w:val="20"/>
                <w:szCs w:val="20"/>
                <w:color w:val="auto"/>
              </w:rPr>
            </w:pPr>
            <w:r>
              <w:rPr>
                <w:rFonts w:ascii="Arial" w:cs="Arial" w:eastAsia="Arial" w:hAnsi="Arial"/>
                <w:sz w:val="18"/>
                <w:szCs w:val="18"/>
                <w:b w:val="1"/>
                <w:bCs w:val="1"/>
                <w:color w:val="auto"/>
                <w:w w:val="90"/>
              </w:rPr>
              <w:t>ASC 815</w:t>
            </w:r>
          </w:p>
        </w:tc>
        <w:tc>
          <w:tcPr>
            <w:tcW w:w="190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20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1"/>
              </w:rPr>
              <w:t>Balance Sheet Location</w:t>
            </w:r>
          </w:p>
        </w:tc>
        <w:tc>
          <w:tcPr>
            <w:tcW w:w="26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62"/>
        </w:trPr>
        <w:tc>
          <w:tcPr>
            <w:tcW w:w="4880" w:type="dxa"/>
            <w:vAlign w:val="bottom"/>
            <w:shd w:val="clear" w:color="auto" w:fill="C0C0C0"/>
          </w:tcPr>
          <w:p>
            <w:pPr>
              <w:spacing w:after="0"/>
              <w:rPr>
                <w:sz w:val="20"/>
                <w:szCs w:val="20"/>
                <w:color w:val="auto"/>
              </w:rPr>
            </w:pPr>
            <w:r>
              <w:rPr>
                <w:rFonts w:ascii="Arial" w:cs="Arial" w:eastAsia="Arial" w:hAnsi="Arial"/>
                <w:sz w:val="18"/>
                <w:szCs w:val="18"/>
                <w:color w:val="auto"/>
              </w:rPr>
              <w:t>Warrants on common stock</w:t>
            </w:r>
          </w:p>
        </w:tc>
        <w:tc>
          <w:tcPr>
            <w:tcW w:w="190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2000" w:type="dxa"/>
            <w:vAlign w:val="bottom"/>
            <w:shd w:val="clear" w:color="auto" w:fill="C0C0C0"/>
          </w:tcPr>
          <w:p>
            <w:pPr>
              <w:spacing w:after="0"/>
              <w:rPr>
                <w:sz w:val="20"/>
                <w:szCs w:val="20"/>
                <w:color w:val="auto"/>
              </w:rPr>
            </w:pPr>
            <w:r>
              <w:rPr>
                <w:rFonts w:ascii="Arial" w:cs="Arial" w:eastAsia="Arial" w:hAnsi="Arial"/>
                <w:sz w:val="18"/>
                <w:szCs w:val="18"/>
                <w:color w:val="auto"/>
              </w:rPr>
              <w:t>Other liabilities</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1,884</w:t>
            </w:r>
          </w:p>
        </w:tc>
        <w:tc>
          <w:tcPr>
            <w:tcW w:w="2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3,205</w:t>
            </w:r>
          </w:p>
        </w:tc>
        <w:tc>
          <w:tcPr>
            <w:tcW w:w="20" w:type="dxa"/>
            <w:vAlign w:val="bottom"/>
          </w:tcPr>
          <w:p>
            <w:pPr>
              <w:spacing w:after="0"/>
              <w:rPr>
                <w:sz w:val="22"/>
                <w:szCs w:val="22"/>
                <w:color w:val="auto"/>
              </w:rPr>
            </w:pPr>
          </w:p>
        </w:tc>
      </w:tr>
      <w:tr>
        <w:trPr>
          <w:trHeight w:val="445"/>
        </w:trPr>
        <w:tc>
          <w:tcPr>
            <w:tcW w:w="4880" w:type="dxa"/>
            <w:vAlign w:val="bottom"/>
            <w:tcBorders>
              <w:top w:val="single" w:sz="8" w:color="C0C0C0"/>
            </w:tcBorders>
          </w:tcPr>
          <w:p>
            <w:pPr>
              <w:spacing w:after="0"/>
              <w:rPr>
                <w:sz w:val="24"/>
                <w:szCs w:val="24"/>
                <w:color w:val="auto"/>
              </w:rPr>
            </w:pPr>
          </w:p>
        </w:tc>
        <w:tc>
          <w:tcPr>
            <w:tcW w:w="1900" w:type="dxa"/>
            <w:vAlign w:val="bottom"/>
            <w:tcBorders>
              <w:top w:val="single" w:sz="8" w:color="C0C0C0"/>
            </w:tcBorders>
          </w:tcPr>
          <w:p>
            <w:pPr>
              <w:jc w:val="right"/>
              <w:ind w:right="892"/>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C0C0C0"/>
            </w:tcBorders>
          </w:tcPr>
          <w:p>
            <w:pPr>
              <w:spacing w:after="0"/>
              <w:rPr>
                <w:sz w:val="24"/>
                <w:szCs w:val="24"/>
                <w:color w:val="auto"/>
              </w:rPr>
            </w:pPr>
          </w:p>
        </w:tc>
        <w:tc>
          <w:tcPr>
            <w:tcW w:w="2000" w:type="dxa"/>
            <w:vAlign w:val="bottom"/>
            <w:tcBorders>
              <w:top w:val="single" w:sz="8" w:color="C0C0C0"/>
            </w:tcBorders>
          </w:tcPr>
          <w:p>
            <w:pPr>
              <w:spacing w:after="0"/>
              <w:rPr>
                <w:sz w:val="24"/>
                <w:szCs w:val="24"/>
                <w:color w:val="auto"/>
              </w:rPr>
            </w:pPr>
          </w:p>
        </w:tc>
        <w:tc>
          <w:tcPr>
            <w:tcW w:w="260" w:type="dxa"/>
            <w:vAlign w:val="bottom"/>
            <w:tcBorders>
              <w:top w:val="single" w:sz="8" w:color="C0C0C0"/>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Borders>
              <w:top w:val="single" w:sz="8" w:color="C0C0C0"/>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488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44" w:right="219" w:bottom="1440" w:gutter="0" w:footer="0" w:header="0"/>
        </w:sectPr>
      </w:pPr>
    </w:p>
    <w:bookmarkStart w:id="15" w:name="page16"/>
    <w:bookmarkEnd w:id="15"/>
    <w:p>
      <w:pPr>
        <w:ind w:right="80" w:firstLine="270"/>
        <w:spacing w:after="0" w:line="268" w:lineRule="auto"/>
        <w:rPr>
          <w:sz w:val="20"/>
          <w:szCs w:val="20"/>
          <w:color w:val="auto"/>
        </w:rPr>
      </w:pPr>
      <w:r>
        <w:rPr>
          <w:rFonts w:ascii="Arial" w:cs="Arial" w:eastAsia="Arial" w:hAnsi="Arial"/>
          <w:sz w:val="18"/>
          <w:szCs w:val="18"/>
          <w:color w:val="auto"/>
        </w:rPr>
        <w:t>The table below presents the effect of derivative instruments on the Company's condensed consolidated statements of operations for the three and nine month periods ended August 1, 2010 and August 2,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Derivatives</w:t>
            </w:r>
          </w:p>
        </w:tc>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2"/>
        </w:trPr>
        <w:tc>
          <w:tcPr>
            <w:tcW w:w="3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Not Designated</w:t>
            </w:r>
          </w:p>
        </w:tc>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88"/>
              </w:rPr>
              <w:t>Location of Gain (Loss)</w:t>
            </w:r>
          </w:p>
        </w:tc>
        <w:tc>
          <w:tcPr>
            <w:tcW w:w="160" w:type="dxa"/>
            <w:vAlign w:val="bottom"/>
          </w:tcPr>
          <w:p>
            <w:pPr>
              <w:spacing w:after="0"/>
              <w:rPr>
                <w:sz w:val="21"/>
                <w:szCs w:val="21"/>
                <w:color w:val="auto"/>
              </w:rPr>
            </w:pPr>
          </w:p>
        </w:tc>
        <w:tc>
          <w:tcPr>
            <w:tcW w:w="4740" w:type="dxa"/>
            <w:vAlign w:val="bottom"/>
            <w:tcBorders>
              <w:bottom w:val="single" w:sz="8" w:color="auto"/>
            </w:tcBorders>
            <w:gridSpan w:val="16"/>
          </w:tcPr>
          <w:p>
            <w:pPr>
              <w:jc w:val="right"/>
              <w:ind w:right="12"/>
              <w:spacing w:after="0"/>
              <w:rPr>
                <w:sz w:val="20"/>
                <w:szCs w:val="20"/>
                <w:color w:val="auto"/>
              </w:rPr>
            </w:pPr>
            <w:r>
              <w:rPr>
                <w:rFonts w:ascii="Arial" w:cs="Arial" w:eastAsia="Arial" w:hAnsi="Arial"/>
                <w:sz w:val="18"/>
                <w:szCs w:val="18"/>
                <w:b w:val="1"/>
                <w:bCs w:val="1"/>
                <w:color w:val="auto"/>
                <w:w w:val="89"/>
              </w:rPr>
              <w:t>Amount of Gain (Loss) Recognized in Income on Derivatives</w:t>
            </w:r>
          </w:p>
        </w:tc>
      </w:tr>
      <w:tr>
        <w:trPr>
          <w:trHeight w:val="237"/>
        </w:trPr>
        <w:tc>
          <w:tcPr>
            <w:tcW w:w="3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as Hedging</w:t>
            </w:r>
          </w:p>
        </w:tc>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86"/>
              </w:rPr>
              <w:t>Recognized in</w:t>
            </w:r>
          </w:p>
        </w:tc>
        <w:tc>
          <w:tcPr>
            <w:tcW w:w="160" w:type="dxa"/>
            <w:vAlign w:val="bottom"/>
          </w:tcPr>
          <w:p>
            <w:pPr>
              <w:spacing w:after="0"/>
              <w:rPr>
                <w:sz w:val="20"/>
                <w:szCs w:val="20"/>
                <w:color w:val="auto"/>
              </w:rPr>
            </w:pPr>
          </w:p>
        </w:tc>
        <w:tc>
          <w:tcPr>
            <w:tcW w:w="1960" w:type="dxa"/>
            <w:vAlign w:val="bottom"/>
            <w:tcBorders>
              <w:bottom w:val="single" w:sz="8" w:color="auto"/>
            </w:tcBorders>
            <w:gridSpan w:val="8"/>
          </w:tcPr>
          <w:p>
            <w:pPr>
              <w:jc w:val="right"/>
              <w:ind w:right="52"/>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8"/>
                <w:szCs w:val="18"/>
                <w:b w:val="1"/>
                <w:bCs w:val="1"/>
                <w:color w:val="auto"/>
                <w:w w:val="99"/>
              </w:rPr>
              <w:t>Nine Months Ended</w:t>
            </w:r>
          </w:p>
        </w:tc>
      </w:tr>
      <w:tr>
        <w:trPr>
          <w:trHeight w:val="228"/>
        </w:trPr>
        <w:tc>
          <w:tcPr>
            <w:tcW w:w="3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Instruments Under</w:t>
            </w:r>
          </w:p>
        </w:tc>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86"/>
              </w:rPr>
              <w:t>Income on</w:t>
            </w:r>
          </w:p>
        </w:tc>
        <w:tc>
          <w:tcPr>
            <w:tcW w:w="1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August 1,</w:t>
            </w:r>
          </w:p>
        </w:tc>
        <w:tc>
          <w:tcPr>
            <w:tcW w:w="160" w:type="dxa"/>
            <w:vAlign w:val="bottom"/>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August 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4"/>
          </w:tcPr>
          <w:p>
            <w:pPr>
              <w:ind w:left="200"/>
              <w:spacing w:after="0"/>
              <w:rPr>
                <w:sz w:val="20"/>
                <w:szCs w:val="20"/>
                <w:color w:val="auto"/>
              </w:rPr>
            </w:pPr>
            <w:r>
              <w:rPr>
                <w:rFonts w:ascii="Arial" w:cs="Arial" w:eastAsia="Arial" w:hAnsi="Arial"/>
                <w:sz w:val="18"/>
                <w:szCs w:val="18"/>
                <w:b w:val="1"/>
                <w:bCs w:val="1"/>
                <w:color w:val="auto"/>
              </w:rPr>
              <w:t>August 1,</w:t>
            </w:r>
          </w:p>
        </w:tc>
        <w:tc>
          <w:tcPr>
            <w:tcW w:w="18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b w:val="1"/>
                <w:bCs w:val="1"/>
                <w:color w:val="auto"/>
                <w:w w:val="95"/>
              </w:rPr>
              <w:t>August 2,</w:t>
            </w:r>
          </w:p>
        </w:tc>
      </w:tr>
      <w:tr>
        <w:trPr>
          <w:trHeight w:val="251"/>
        </w:trPr>
        <w:tc>
          <w:tcPr>
            <w:tcW w:w="3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ASC 815</w:t>
            </w:r>
          </w:p>
        </w:tc>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89"/>
              </w:rPr>
              <w:t>Derivatives</w:t>
            </w:r>
          </w:p>
        </w:tc>
        <w:tc>
          <w:tcPr>
            <w:tcW w:w="1000" w:type="dxa"/>
            <w:vAlign w:val="bottom"/>
            <w:gridSpan w:val="4"/>
          </w:tcPr>
          <w:p>
            <w:pPr>
              <w:jc w:val="right"/>
              <w:ind w:right="152"/>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4"/>
              </w:rPr>
              <w:t>2009</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b w:val="1"/>
                <w:bCs w:val="1"/>
                <w:color w:val="auto"/>
                <w:w w:val="99"/>
              </w:rPr>
              <w:t>2010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b w:val="1"/>
                <w:bCs w:val="1"/>
                <w:color w:val="auto"/>
              </w:rPr>
              <w:t>2009</w:t>
            </w:r>
          </w:p>
        </w:tc>
      </w:tr>
      <w:tr>
        <w:trPr>
          <w:trHeight w:val="228"/>
        </w:trPr>
        <w:tc>
          <w:tcPr>
            <w:tcW w:w="33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Warrants on common stock</w:t>
            </w:r>
          </w:p>
        </w:tc>
        <w:tc>
          <w:tcPr>
            <w:tcW w:w="160" w:type="dxa"/>
            <w:vAlign w:val="bottom"/>
            <w:tcBorders>
              <w:top w:val="single" w:sz="8" w:color="C0C0C0"/>
            </w:tcBorders>
            <w:shd w:val="clear" w:color="auto" w:fill="C0C0C0"/>
          </w:tcPr>
          <w:p>
            <w:pPr>
              <w:spacing w:after="0"/>
              <w:rPr>
                <w:sz w:val="19"/>
                <w:szCs w:val="19"/>
                <w:color w:val="auto"/>
              </w:rPr>
            </w:pPr>
          </w:p>
        </w:tc>
        <w:tc>
          <w:tcPr>
            <w:tcW w:w="29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Investment and other income</w:t>
            </w:r>
          </w:p>
        </w:tc>
        <w:tc>
          <w:tcPr>
            <w:tcW w:w="160" w:type="dxa"/>
            <w:vAlign w:val="bottom"/>
            <w:tcBorders>
              <w:top w:val="single" w:sz="8" w:color="C0C0C0"/>
            </w:tcBorders>
            <w:shd w:val="clear" w:color="auto" w:fill="C0C0C0"/>
          </w:tcPr>
          <w:p>
            <w:pPr>
              <w:spacing w:after="0"/>
              <w:rPr>
                <w:sz w:val="19"/>
                <w:szCs w:val="19"/>
                <w:color w:val="auto"/>
              </w:rPr>
            </w:pPr>
          </w:p>
        </w:tc>
        <w:tc>
          <w:tcPr>
            <w:tcW w:w="400" w:type="dxa"/>
            <w:vAlign w:val="bottom"/>
            <w:tcBorders>
              <w:top w:val="single" w:sz="8" w:color="auto"/>
            </w:tcBorders>
            <w:shd w:val="clear" w:color="auto" w:fill="C0C0C0"/>
          </w:tcPr>
          <w:p>
            <w:pPr>
              <w:spacing w:after="0"/>
              <w:rPr>
                <w:sz w:val="19"/>
                <w:szCs w:val="19"/>
                <w:color w:val="auto"/>
              </w:rPr>
            </w:pPr>
          </w:p>
        </w:tc>
        <w:tc>
          <w:tcPr>
            <w:tcW w:w="140" w:type="dxa"/>
            <w:vAlign w:val="bottom"/>
            <w:tcBorders>
              <w:top w:val="single" w:sz="8" w:color="auto"/>
            </w:tcBorders>
            <w:shd w:val="clear" w:color="auto" w:fill="C0C0C0"/>
          </w:tcPr>
          <w:p>
            <w:pPr>
              <w:spacing w:after="0"/>
              <w:rPr>
                <w:sz w:val="19"/>
                <w:szCs w:val="19"/>
                <w:color w:val="auto"/>
              </w:rPr>
            </w:pPr>
          </w:p>
        </w:tc>
        <w:tc>
          <w:tcPr>
            <w:tcW w:w="300" w:type="dxa"/>
            <w:vAlign w:val="bottom"/>
            <w:tcBorders>
              <w:top w:val="single" w:sz="8" w:color="auto"/>
            </w:tcBorders>
            <w:shd w:val="clear" w:color="auto" w:fill="C0C0C0"/>
          </w:tcPr>
          <w:p>
            <w:pPr>
              <w:spacing w:after="0"/>
              <w:rPr>
                <w:sz w:val="19"/>
                <w:szCs w:val="19"/>
                <w:color w:val="auto"/>
              </w:rPr>
            </w:pPr>
          </w:p>
        </w:tc>
        <w:tc>
          <w:tcPr>
            <w:tcW w:w="160" w:type="dxa"/>
            <w:vAlign w:val="bottom"/>
            <w:tcBorders>
              <w:top w:val="single" w:sz="8" w:color="C0C0C0"/>
            </w:tcBorders>
            <w:shd w:val="clear" w:color="auto" w:fill="C0C0C0"/>
          </w:tcPr>
          <w:p>
            <w:pPr>
              <w:spacing w:after="0"/>
              <w:rPr>
                <w:sz w:val="19"/>
                <w:szCs w:val="19"/>
                <w:color w:val="auto"/>
              </w:rPr>
            </w:pPr>
          </w:p>
        </w:tc>
        <w:tc>
          <w:tcPr>
            <w:tcW w:w="300" w:type="dxa"/>
            <w:vAlign w:val="bottom"/>
            <w:tcBorders>
              <w:top w:val="single" w:sz="8" w:color="auto"/>
              <w:right w:val="single" w:sz="8" w:color="C0C0C0"/>
            </w:tcBorders>
            <w:shd w:val="clear" w:color="auto" w:fill="C0C0C0"/>
          </w:tcPr>
          <w:p>
            <w:pPr>
              <w:spacing w:after="0"/>
              <w:rPr>
                <w:sz w:val="19"/>
                <w:szCs w:val="19"/>
                <w:color w:val="auto"/>
              </w:rPr>
            </w:pPr>
          </w:p>
        </w:tc>
        <w:tc>
          <w:tcPr>
            <w:tcW w:w="220" w:type="dxa"/>
            <w:vAlign w:val="bottom"/>
            <w:tcBorders>
              <w:top w:val="single" w:sz="8" w:color="auto"/>
            </w:tcBorders>
            <w:shd w:val="clear" w:color="auto" w:fill="C0C0C0"/>
          </w:tcPr>
          <w:p>
            <w:pPr>
              <w:spacing w:after="0"/>
              <w:rPr>
                <w:sz w:val="19"/>
                <w:szCs w:val="19"/>
                <w:color w:val="auto"/>
              </w:rPr>
            </w:pPr>
          </w:p>
        </w:tc>
        <w:tc>
          <w:tcPr>
            <w:tcW w:w="240" w:type="dxa"/>
            <w:vAlign w:val="bottom"/>
            <w:tcBorders>
              <w:top w:val="single" w:sz="8" w:color="auto"/>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80" w:type="dxa"/>
            <w:vAlign w:val="bottom"/>
            <w:tcBorders>
              <w:top w:val="single" w:sz="8" w:color="auto"/>
            </w:tcBorders>
            <w:shd w:val="clear" w:color="auto" w:fill="C0C0C0"/>
          </w:tcPr>
          <w:p>
            <w:pPr>
              <w:spacing w:after="0"/>
              <w:rPr>
                <w:sz w:val="19"/>
                <w:szCs w:val="19"/>
                <w:color w:val="auto"/>
              </w:rPr>
            </w:pPr>
          </w:p>
        </w:tc>
        <w:tc>
          <w:tcPr>
            <w:tcW w:w="160" w:type="dxa"/>
            <w:vAlign w:val="bottom"/>
            <w:tcBorders>
              <w:top w:val="single" w:sz="8" w:color="C0C0C0"/>
            </w:tcBorders>
            <w:shd w:val="clear" w:color="auto" w:fill="C0C0C0"/>
          </w:tcPr>
          <w:p>
            <w:pPr>
              <w:spacing w:after="0"/>
              <w:rPr>
                <w:sz w:val="19"/>
                <w:szCs w:val="19"/>
                <w:color w:val="auto"/>
              </w:rPr>
            </w:pPr>
          </w:p>
        </w:tc>
        <w:tc>
          <w:tcPr>
            <w:tcW w:w="260" w:type="dxa"/>
            <w:vAlign w:val="bottom"/>
            <w:tcBorders>
              <w:top w:val="single" w:sz="8" w:color="auto"/>
            </w:tcBorders>
            <w:shd w:val="clear" w:color="auto" w:fill="C0C0C0"/>
          </w:tcPr>
          <w:p>
            <w:pPr>
              <w:spacing w:after="0"/>
              <w:rPr>
                <w:sz w:val="19"/>
                <w:szCs w:val="19"/>
                <w:color w:val="auto"/>
              </w:rPr>
            </w:pPr>
          </w:p>
        </w:tc>
        <w:tc>
          <w:tcPr>
            <w:tcW w:w="60" w:type="dxa"/>
            <w:vAlign w:val="bottom"/>
            <w:tcBorders>
              <w:top w:val="single" w:sz="8" w:color="auto"/>
            </w:tcBorders>
            <w:shd w:val="clear" w:color="auto" w:fill="C0C0C0"/>
          </w:tcPr>
          <w:p>
            <w:pPr>
              <w:spacing w:after="0"/>
              <w:rPr>
                <w:sz w:val="19"/>
                <w:szCs w:val="19"/>
                <w:color w:val="auto"/>
              </w:rPr>
            </w:pPr>
          </w:p>
        </w:tc>
        <w:tc>
          <w:tcPr>
            <w:tcW w:w="800" w:type="dxa"/>
            <w:vAlign w:val="bottom"/>
            <w:tcBorders>
              <w:top w:val="single" w:sz="8" w:color="auto"/>
            </w:tcBorders>
            <w:shd w:val="clear" w:color="auto" w:fill="C0C0C0"/>
          </w:tcPr>
          <w:p>
            <w:pPr>
              <w:spacing w:after="0"/>
              <w:rPr>
                <w:sz w:val="19"/>
                <w:szCs w:val="19"/>
                <w:color w:val="auto"/>
              </w:rPr>
            </w:pPr>
          </w:p>
        </w:tc>
        <w:tc>
          <w:tcPr>
            <w:tcW w:w="160" w:type="dxa"/>
            <w:vAlign w:val="bottom"/>
            <w:tcBorders>
              <w:top w:val="single" w:sz="8" w:color="C0C0C0"/>
            </w:tcBorders>
            <w:shd w:val="clear" w:color="auto" w:fill="C0C0C0"/>
          </w:tcPr>
          <w:p>
            <w:pPr>
              <w:spacing w:after="0"/>
              <w:rPr>
                <w:sz w:val="19"/>
                <w:szCs w:val="19"/>
                <w:color w:val="auto"/>
              </w:rPr>
            </w:pPr>
          </w:p>
        </w:tc>
        <w:tc>
          <w:tcPr>
            <w:tcW w:w="180" w:type="dxa"/>
            <w:vAlign w:val="bottom"/>
            <w:tcBorders>
              <w:top w:val="single" w:sz="8" w:color="auto"/>
            </w:tcBorders>
            <w:shd w:val="clear" w:color="auto" w:fill="C0C0C0"/>
          </w:tcPr>
          <w:p>
            <w:pPr>
              <w:spacing w:after="0"/>
              <w:rPr>
                <w:sz w:val="19"/>
                <w:szCs w:val="19"/>
                <w:color w:val="auto"/>
              </w:rPr>
            </w:pPr>
          </w:p>
        </w:tc>
        <w:tc>
          <w:tcPr>
            <w:tcW w:w="1080" w:type="dxa"/>
            <w:vAlign w:val="bottom"/>
            <w:tcBorders>
              <w:top w:val="single" w:sz="8" w:color="auto"/>
            </w:tcBorders>
            <w:shd w:val="clear" w:color="auto" w:fill="C0C0C0"/>
          </w:tcPr>
          <w:p>
            <w:pPr>
              <w:spacing w:after="0"/>
              <w:rPr>
                <w:sz w:val="19"/>
                <w:szCs w:val="19"/>
                <w:color w:val="auto"/>
              </w:rPr>
            </w:pPr>
          </w:p>
        </w:tc>
      </w:tr>
      <w:tr>
        <w:trPr>
          <w:trHeight w:val="259"/>
        </w:trPr>
        <w:tc>
          <w:tcPr>
            <w:tcW w:w="33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29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(expense), net</w:t>
            </w:r>
          </w:p>
        </w:tc>
        <w:tc>
          <w:tcPr>
            <w:tcW w:w="560" w:type="dxa"/>
            <w:vAlign w:val="bottom"/>
            <w:gridSpan w:val="2"/>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2"/>
                <w:szCs w:val="22"/>
                <w:color w:val="auto"/>
              </w:rPr>
            </w:pP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3"/>
              </w:rPr>
              <w:t>388</w:t>
            </w:r>
          </w:p>
        </w:tc>
        <w:tc>
          <w:tcPr>
            <w:tcW w:w="460" w:type="dxa"/>
            <w:vAlign w:val="bottom"/>
            <w:tcBorders>
              <w:right w:val="single" w:sz="8" w:color="C0C0C0"/>
            </w:tcBorders>
            <w:gridSpan w:val="2"/>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(6,848)</w:t>
            </w:r>
          </w:p>
        </w:tc>
        <w:tc>
          <w:tcPr>
            <w:tcW w:w="500" w:type="dxa"/>
            <w:vAlign w:val="bottom"/>
            <w:gridSpan w:val="3"/>
            <w:shd w:val="clear" w:color="auto" w:fill="C0C0C0"/>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shd w:val="clear" w:color="auto" w:fill="C0C0C0"/>
          </w:tcPr>
          <w:p>
            <w:pPr>
              <w:spacing w:after="0"/>
              <w:rPr>
                <w:sz w:val="22"/>
                <w:szCs w:val="22"/>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0C0C0"/>
          </w:tcPr>
          <w:p>
            <w:pPr>
              <w:spacing w:after="0"/>
              <w:rPr>
                <w:sz w:val="22"/>
                <w:szCs w:val="22"/>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(6,848)</w:t>
            </w:r>
          </w:p>
        </w:tc>
      </w:tr>
      <w:tr>
        <w:trPr>
          <w:trHeight w:val="243"/>
        </w:trPr>
        <w:tc>
          <w:tcPr>
            <w:tcW w:w="3540" w:type="dxa"/>
            <w:vAlign w:val="bottom"/>
            <w:gridSpan w:val="2"/>
          </w:tcPr>
          <w:p>
            <w:pPr>
              <w:spacing w:after="0"/>
              <w:rPr>
                <w:sz w:val="21"/>
                <w:szCs w:val="21"/>
                <w:color w:val="auto"/>
              </w:rPr>
            </w:pPr>
          </w:p>
        </w:tc>
        <w:tc>
          <w:tcPr>
            <w:tcW w:w="2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8"/>
        </w:trPr>
        <w:tc>
          <w:tcPr>
            <w:tcW w:w="3380" w:type="dxa"/>
            <w:vAlign w:val="bottom"/>
            <w:shd w:val="clear" w:color="auto" w:fill="C0C0C0"/>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shd w:val="clear" w:color="auto" w:fill="C0C0C0"/>
          </w:tcPr>
          <w:p>
            <w:pPr>
              <w:spacing w:after="0"/>
              <w:rPr>
                <w:sz w:val="19"/>
                <w:szCs w:val="19"/>
                <w:color w:val="auto"/>
              </w:rPr>
            </w:pPr>
          </w:p>
        </w:tc>
        <w:tc>
          <w:tcPr>
            <w:tcW w:w="2980" w:type="dxa"/>
            <w:vAlign w:val="bottom"/>
            <w:shd w:val="clear" w:color="auto" w:fill="C0C0C0"/>
          </w:tcPr>
          <w:p>
            <w:pPr>
              <w:spacing w:after="0"/>
              <w:rPr>
                <w:sz w:val="20"/>
                <w:szCs w:val="20"/>
                <w:color w:val="auto"/>
              </w:rPr>
            </w:pPr>
            <w:r>
              <w:rPr>
                <w:rFonts w:ascii="Arial" w:cs="Arial" w:eastAsia="Arial" w:hAnsi="Arial"/>
                <w:sz w:val="18"/>
                <w:szCs w:val="18"/>
                <w:color w:val="auto"/>
              </w:rPr>
              <w:t>Investment and other income</w:t>
            </w:r>
          </w:p>
        </w:tc>
        <w:tc>
          <w:tcPr>
            <w:tcW w:w="16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300" w:type="dxa"/>
            <w:vAlign w:val="bottom"/>
            <w:tcBorders>
              <w:right w:val="single" w:sz="8" w:color="C0C0C0"/>
            </w:tcBorders>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1080" w:type="dxa"/>
            <w:vAlign w:val="bottom"/>
            <w:shd w:val="clear" w:color="auto" w:fill="C0C0C0"/>
          </w:tcPr>
          <w:p>
            <w:pPr>
              <w:spacing w:after="0"/>
              <w:rPr>
                <w:sz w:val="19"/>
                <w:szCs w:val="19"/>
                <w:color w:val="auto"/>
              </w:rPr>
            </w:pPr>
          </w:p>
        </w:tc>
      </w:tr>
      <w:tr>
        <w:trPr>
          <w:trHeight w:val="259"/>
        </w:trPr>
        <w:tc>
          <w:tcPr>
            <w:tcW w:w="33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29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(expense), net</w:t>
            </w:r>
          </w:p>
        </w:tc>
        <w:tc>
          <w:tcPr>
            <w:tcW w:w="560" w:type="dxa"/>
            <w:vAlign w:val="bottom"/>
            <w:gridSpan w:val="2"/>
            <w:shd w:val="clear" w:color="auto" w:fill="C0C0C0"/>
          </w:tcPr>
          <w:p>
            <w:pPr>
              <w:jc w:val="right"/>
              <w:ind w:right="2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2"/>
                <w:szCs w:val="22"/>
                <w:color w:val="auto"/>
              </w:rPr>
            </w:pP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0C0C0"/>
            </w:tcBorders>
            <w:gridSpan w:val="2"/>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0C0C0"/>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shd w:val="clear" w:color="auto" w:fill="C0C0C0"/>
          </w:tcPr>
          <w:p>
            <w:pPr>
              <w:spacing w:after="0"/>
              <w:rPr>
                <w:sz w:val="22"/>
                <w:szCs w:val="22"/>
                <w:color w:val="auto"/>
              </w:rPr>
            </w:pP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0C0C0"/>
          </w:tcPr>
          <w:p>
            <w:pPr>
              <w:spacing w:after="0"/>
              <w:rPr>
                <w:sz w:val="22"/>
                <w:szCs w:val="22"/>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93</w:t>
            </w:r>
          </w:p>
        </w:tc>
      </w:tr>
      <w:tr>
        <w:trPr>
          <w:trHeight w:val="457"/>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NOTE 9 - LONG-TERM BORROWINGS</w:t>
            </w:r>
          </w:p>
        </w:tc>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86"/>
        </w:trPr>
        <w:tc>
          <w:tcPr>
            <w:tcW w:w="6520" w:type="dxa"/>
            <w:vAlign w:val="bottom"/>
            <w:gridSpan w:val="3"/>
          </w:tcPr>
          <w:p>
            <w:pPr>
              <w:ind w:left="280"/>
              <w:spacing w:after="0"/>
              <w:rPr>
                <w:sz w:val="20"/>
                <w:szCs w:val="20"/>
                <w:color w:val="auto"/>
              </w:rPr>
            </w:pPr>
            <w:r>
              <w:rPr>
                <w:rFonts w:ascii="Arial" w:cs="Arial" w:eastAsia="Arial" w:hAnsi="Arial"/>
                <w:sz w:val="18"/>
                <w:szCs w:val="18"/>
                <w:color w:val="auto"/>
              </w:rPr>
              <w:t>Long-term borrowings consist of the following:</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73"/>
        </w:trPr>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August 1,</w:t>
            </w:r>
          </w:p>
        </w:tc>
        <w:tc>
          <w:tcPr>
            <w:tcW w:w="1220" w:type="dxa"/>
            <w:vAlign w:val="bottom"/>
            <w:gridSpan w:val="7"/>
          </w:tcPr>
          <w:p>
            <w:pPr>
              <w:ind w:left="220"/>
              <w:spacing w:after="0"/>
              <w:rPr>
                <w:sz w:val="20"/>
                <w:szCs w:val="20"/>
                <w:color w:val="auto"/>
              </w:rPr>
            </w:pPr>
            <w:r>
              <w:rPr>
                <w:rFonts w:ascii="Arial" w:cs="Arial" w:eastAsia="Arial" w:hAnsi="Arial"/>
                <w:sz w:val="18"/>
                <w:szCs w:val="18"/>
                <w:b w:val="1"/>
                <w:bCs w:val="1"/>
                <w:color w:val="auto"/>
                <w:w w:val="90"/>
              </w:rPr>
              <w:t>November 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2"/>
        </w:trPr>
        <w:tc>
          <w:tcPr>
            <w:tcW w:w="338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298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40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4"/>
              </w:rPr>
              <w:t>2009</w:t>
            </w:r>
          </w:p>
        </w:tc>
        <w:tc>
          <w:tcPr>
            <w:tcW w:w="2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8"/>
        </w:trPr>
        <w:tc>
          <w:tcPr>
            <w:tcW w:w="35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5.5% convertible senior notes due</w:t>
            </w:r>
          </w:p>
        </w:tc>
        <w:tc>
          <w:tcPr>
            <w:tcW w:w="298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300" w:type="dxa"/>
            <w:vAlign w:val="bottom"/>
            <w:tcBorders>
              <w:right w:val="single" w:sz="8" w:color="C0C0C0"/>
            </w:tcBorders>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9"/>
        </w:trPr>
        <w:tc>
          <w:tcPr>
            <w:tcW w:w="35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on October 1, 2014</w:t>
            </w:r>
          </w:p>
        </w:tc>
        <w:tc>
          <w:tcPr>
            <w:tcW w:w="2980" w:type="dxa"/>
            <w:vAlign w:val="bottom"/>
            <w:shd w:val="clear" w:color="auto" w:fill="C0C0C0"/>
          </w:tcPr>
          <w:p>
            <w:pPr>
              <w:spacing w:after="0"/>
              <w:rPr>
                <w:sz w:val="22"/>
                <w:szCs w:val="22"/>
                <w:color w:val="auto"/>
              </w:rPr>
            </w:pPr>
          </w:p>
        </w:tc>
        <w:tc>
          <w:tcPr>
            <w:tcW w:w="560" w:type="dxa"/>
            <w:vAlign w:val="bottom"/>
            <w:gridSpan w:val="2"/>
            <w:shd w:val="clear" w:color="auto" w:fill="C0C0C0"/>
          </w:tcPr>
          <w:p>
            <w:pPr>
              <w:spacing w:after="0"/>
              <w:rPr>
                <w:sz w:val="22"/>
                <w:szCs w:val="22"/>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8"/>
                <w:szCs w:val="18"/>
                <w:color w:val="auto"/>
              </w:rPr>
              <w:t>57,500</w:t>
            </w:r>
          </w:p>
        </w:tc>
        <w:tc>
          <w:tcPr>
            <w:tcW w:w="46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2"/>
                <w:szCs w:val="22"/>
                <w:color w:val="auto"/>
              </w:rPr>
            </w:pPr>
          </w:p>
        </w:tc>
        <w:tc>
          <w:tcPr>
            <w:tcW w:w="5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w w:val="87"/>
              </w:rPr>
              <w:t>57,500</w:t>
            </w: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8"/>
        </w:trPr>
        <w:tc>
          <w:tcPr>
            <w:tcW w:w="3540" w:type="dxa"/>
            <w:vAlign w:val="bottom"/>
            <w:gridSpan w:val="2"/>
          </w:tcPr>
          <w:p>
            <w:pPr>
              <w:spacing w:after="0"/>
              <w:rPr>
                <w:sz w:val="20"/>
                <w:szCs w:val="20"/>
                <w:color w:val="auto"/>
              </w:rPr>
            </w:pPr>
            <w:r>
              <w:rPr>
                <w:rFonts w:ascii="Arial" w:cs="Arial" w:eastAsia="Arial" w:hAnsi="Arial"/>
                <w:sz w:val="18"/>
                <w:szCs w:val="18"/>
                <w:color w:val="auto"/>
                <w:w w:val="93"/>
              </w:rPr>
              <w:t>Borrowings under revolving credit facility, which</w:t>
            </w:r>
          </w:p>
        </w:tc>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6520" w:type="dxa"/>
            <w:vAlign w:val="bottom"/>
            <w:gridSpan w:val="3"/>
          </w:tcPr>
          <w:p>
            <w:pPr>
              <w:ind w:left="320"/>
              <w:spacing w:after="0"/>
              <w:rPr>
                <w:sz w:val="20"/>
                <w:szCs w:val="20"/>
                <w:color w:val="auto"/>
              </w:rPr>
            </w:pPr>
            <w:r>
              <w:rPr>
                <w:rFonts w:ascii="Arial" w:cs="Arial" w:eastAsia="Arial" w:hAnsi="Arial"/>
                <w:sz w:val="18"/>
                <w:szCs w:val="18"/>
                <w:color w:val="auto"/>
              </w:rPr>
              <w:t>bears interest at a variable rate, as defined (4.06% at</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1"/>
        </w:trPr>
        <w:tc>
          <w:tcPr>
            <w:tcW w:w="3540" w:type="dxa"/>
            <w:vAlign w:val="bottom"/>
            <w:gridSpan w:val="2"/>
          </w:tcPr>
          <w:p>
            <w:pPr>
              <w:ind w:left="320"/>
              <w:spacing w:after="0"/>
              <w:rPr>
                <w:sz w:val="20"/>
                <w:szCs w:val="20"/>
                <w:color w:val="auto"/>
              </w:rPr>
            </w:pPr>
            <w:r>
              <w:rPr>
                <w:rFonts w:ascii="Arial" w:cs="Arial" w:eastAsia="Arial" w:hAnsi="Arial"/>
                <w:sz w:val="18"/>
                <w:szCs w:val="18"/>
                <w:color w:val="auto"/>
                <w:w w:val="88"/>
              </w:rPr>
              <w:t>August 1, 2010 and 8.0% November 1, 2009)</w:t>
            </w:r>
          </w:p>
        </w:tc>
        <w:tc>
          <w:tcPr>
            <w:tcW w:w="2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2,568</w:t>
            </w: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5"/>
        </w:trPr>
        <w:tc>
          <w:tcPr>
            <w:tcW w:w="3540" w:type="dxa"/>
            <w:vAlign w:val="bottom"/>
            <w:gridSpan w:val="2"/>
            <w:shd w:val="clear" w:color="auto" w:fill="C0C0C0"/>
          </w:tcPr>
          <w:p>
            <w:pPr>
              <w:spacing w:after="0"/>
              <w:rPr>
                <w:sz w:val="20"/>
                <w:szCs w:val="20"/>
                <w:color w:val="auto"/>
              </w:rPr>
            </w:pPr>
            <w:r>
              <w:rPr>
                <w:rFonts w:ascii="Arial" w:cs="Arial" w:eastAsia="Arial" w:hAnsi="Arial"/>
                <w:sz w:val="18"/>
                <w:szCs w:val="18"/>
                <w:color w:val="auto"/>
                <w:w w:val="97"/>
              </w:rPr>
              <w:t>8.0% capital lease obligation payable through</w:t>
            </w:r>
          </w:p>
        </w:tc>
        <w:tc>
          <w:tcPr>
            <w:tcW w:w="29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300" w:type="dxa"/>
            <w:vAlign w:val="bottom"/>
            <w:tcBorders>
              <w:right w:val="single" w:sz="8" w:color="C0C0C0"/>
            </w:tcBorders>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9"/>
        </w:trPr>
        <w:tc>
          <w:tcPr>
            <w:tcW w:w="35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January 2013</w:t>
            </w:r>
          </w:p>
        </w:tc>
        <w:tc>
          <w:tcPr>
            <w:tcW w:w="29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4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6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8"/>
                <w:szCs w:val="18"/>
                <w:color w:val="auto"/>
              </w:rPr>
              <w:t>17,850</w:t>
            </w:r>
          </w:p>
        </w:tc>
        <w:tc>
          <w:tcPr>
            <w:tcW w:w="22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5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w w:val="87"/>
              </w:rPr>
              <w:t>22,552</w:t>
            </w: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8"/>
        </w:trPr>
        <w:tc>
          <w:tcPr>
            <w:tcW w:w="3540" w:type="dxa"/>
            <w:vAlign w:val="bottom"/>
            <w:gridSpan w:val="2"/>
          </w:tcPr>
          <w:p>
            <w:pPr>
              <w:spacing w:after="0"/>
              <w:rPr>
                <w:sz w:val="20"/>
                <w:szCs w:val="20"/>
                <w:color w:val="auto"/>
              </w:rPr>
            </w:pPr>
            <w:r>
              <w:rPr>
                <w:rFonts w:ascii="Arial" w:cs="Arial" w:eastAsia="Arial" w:hAnsi="Arial"/>
                <w:sz w:val="18"/>
                <w:szCs w:val="18"/>
                <w:color w:val="auto"/>
                <w:w w:val="97"/>
              </w:rPr>
              <w:t>5.6% capital lease obligation payable through</w:t>
            </w:r>
          </w:p>
        </w:tc>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3540" w:type="dxa"/>
            <w:vAlign w:val="bottom"/>
            <w:gridSpan w:val="2"/>
          </w:tcPr>
          <w:p>
            <w:pPr>
              <w:ind w:left="320"/>
              <w:spacing w:after="0"/>
              <w:rPr>
                <w:sz w:val="20"/>
                <w:szCs w:val="20"/>
                <w:color w:val="auto"/>
              </w:rPr>
            </w:pPr>
            <w:r>
              <w:rPr>
                <w:rFonts w:ascii="Arial" w:cs="Arial" w:eastAsia="Arial" w:hAnsi="Arial"/>
                <w:sz w:val="18"/>
                <w:szCs w:val="18"/>
                <w:color w:val="auto"/>
              </w:rPr>
              <w:t>October 2012</w:t>
            </w:r>
          </w:p>
        </w:tc>
        <w:tc>
          <w:tcPr>
            <w:tcW w:w="2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9,659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12,614</w:t>
            </w: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1"/>
        </w:trPr>
        <w:tc>
          <w:tcPr>
            <w:tcW w:w="35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4.75% financing loan with customer</w:t>
            </w:r>
          </w:p>
        </w:tc>
        <w:tc>
          <w:tcPr>
            <w:tcW w:w="29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460" w:type="dxa"/>
            <w:vAlign w:val="bottom"/>
            <w:tcBorders>
              <w:right w:val="single" w:sz="8" w:color="C0C0C0"/>
            </w:tcBorders>
            <w:gridSpan w:val="2"/>
            <w:shd w:val="clear" w:color="auto" w:fill="C0C0C0"/>
          </w:tcPr>
          <w:p>
            <w:pPr>
              <w:jc w:val="right"/>
              <w:spacing w:after="0"/>
              <w:rPr>
                <w:sz w:val="20"/>
                <w:szCs w:val="20"/>
                <w:color w:val="auto"/>
              </w:rPr>
            </w:pPr>
            <w:r>
              <w:rPr>
                <w:rFonts w:ascii="Arial" w:cs="Arial" w:eastAsia="Arial" w:hAnsi="Arial"/>
                <w:sz w:val="18"/>
                <w:szCs w:val="18"/>
                <w:color w:val="auto"/>
                <w:w w:val="84"/>
              </w:rPr>
              <w:t>3,007</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50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8"/>
        </w:trPr>
        <w:tc>
          <w:tcPr>
            <w:tcW w:w="3540" w:type="dxa"/>
            <w:vAlign w:val="bottom"/>
            <w:gridSpan w:val="2"/>
          </w:tcPr>
          <w:p>
            <w:pPr>
              <w:spacing w:after="0"/>
              <w:rPr>
                <w:sz w:val="20"/>
                <w:szCs w:val="20"/>
                <w:color w:val="auto"/>
              </w:rPr>
            </w:pPr>
            <w:r>
              <w:rPr>
                <w:rFonts w:ascii="Arial" w:cs="Arial" w:eastAsia="Arial" w:hAnsi="Arial"/>
                <w:sz w:val="18"/>
                <w:szCs w:val="18"/>
                <w:color w:val="auto"/>
                <w:w w:val="93"/>
              </w:rPr>
              <w:t>Term loan which bore interest at a variable rate</w:t>
            </w:r>
          </w:p>
        </w:tc>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3540" w:type="dxa"/>
            <w:vAlign w:val="bottom"/>
            <w:gridSpan w:val="2"/>
          </w:tcPr>
          <w:p>
            <w:pPr>
              <w:ind w:left="320"/>
              <w:spacing w:after="0"/>
              <w:rPr>
                <w:sz w:val="20"/>
                <w:szCs w:val="20"/>
                <w:color w:val="auto"/>
              </w:rPr>
            </w:pPr>
            <w:r>
              <w:rPr>
                <w:rFonts w:ascii="Arial" w:cs="Arial" w:eastAsia="Arial" w:hAnsi="Arial"/>
                <w:sz w:val="18"/>
                <w:szCs w:val="18"/>
                <w:color w:val="auto"/>
              </w:rPr>
              <w:t>as defined (8.0% at November 1, 2009)</w:t>
            </w:r>
          </w:p>
        </w:tc>
        <w:tc>
          <w:tcPr>
            <w:tcW w:w="2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27,204</w:t>
            </w: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
        </w:trPr>
        <w:tc>
          <w:tcPr>
            <w:tcW w:w="33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9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4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0C0C0"/>
            </w:tcBorders>
            <w:gridSpan w:val="3"/>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3"/>
        </w:trPr>
        <w:tc>
          <w:tcPr>
            <w:tcW w:w="33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9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8"/>
                <w:szCs w:val="18"/>
                <w:color w:val="auto"/>
              </w:rPr>
              <w:t>88,016</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0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122,438</w:t>
            </w: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5"/>
        </w:trPr>
        <w:tc>
          <w:tcPr>
            <w:tcW w:w="35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11,577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10,301</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
        </w:trPr>
        <w:tc>
          <w:tcPr>
            <w:tcW w:w="33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2980" w:type="dxa"/>
            <w:vAlign w:val="bottom"/>
            <w:shd w:val="clear" w:color="auto" w:fill="C0C0C0"/>
          </w:tcPr>
          <w:p>
            <w:pPr>
              <w:spacing w:after="0" w:line="20" w:lineRule="exact"/>
              <w:rPr>
                <w:sz w:val="1"/>
                <w:szCs w:val="1"/>
                <w:color w:val="auto"/>
              </w:rPr>
            </w:pPr>
          </w:p>
        </w:tc>
        <w:tc>
          <w:tcPr>
            <w:tcW w:w="560" w:type="dxa"/>
            <w:vAlign w:val="bottom"/>
            <w:gridSpan w:val="2"/>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0C0C0"/>
            </w:tcBorders>
            <w:gridSpan w:val="3"/>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5"/>
        </w:trPr>
        <w:tc>
          <w:tcPr>
            <w:tcW w:w="33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2980" w:type="dxa"/>
            <w:vAlign w:val="bottom"/>
            <w:shd w:val="clear" w:color="auto" w:fill="C0C0C0"/>
          </w:tcPr>
          <w:p>
            <w:pPr>
              <w:spacing w:after="0"/>
              <w:rPr>
                <w:sz w:val="20"/>
                <w:szCs w:val="20"/>
                <w:color w:val="auto"/>
              </w:rPr>
            </w:pPr>
          </w:p>
        </w:tc>
        <w:tc>
          <w:tcPr>
            <w:tcW w:w="560" w:type="dxa"/>
            <w:vAlign w:val="bottom"/>
            <w:gridSpan w:val="2"/>
            <w:shd w:val="clear" w:color="auto" w:fill="C0C0C0"/>
          </w:tcPr>
          <w:p>
            <w:pPr>
              <w:spacing w:after="0"/>
              <w:rPr>
                <w:sz w:val="20"/>
                <w:szCs w:val="20"/>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8"/>
                <w:szCs w:val="18"/>
                <w:color w:val="auto"/>
              </w:rPr>
              <w:t>76,439</w:t>
            </w:r>
          </w:p>
        </w:tc>
        <w:tc>
          <w:tcPr>
            <w:tcW w:w="46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112,137</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5"/>
        </w:trPr>
        <w:tc>
          <w:tcPr>
            <w:tcW w:w="3380" w:type="dxa"/>
            <w:vAlign w:val="bottom"/>
            <w:shd w:val="clear" w:color="auto" w:fill="C0C0C0"/>
          </w:tcPr>
          <w:p>
            <w:pPr>
              <w:spacing w:after="0"/>
              <w:rPr>
                <w:sz w:val="3"/>
                <w:szCs w:val="3"/>
                <w:color w:val="auto"/>
              </w:rPr>
            </w:pPr>
          </w:p>
        </w:tc>
        <w:tc>
          <w:tcPr>
            <w:tcW w:w="160" w:type="dxa"/>
            <w:vAlign w:val="bottom"/>
            <w:shd w:val="clear" w:color="auto" w:fill="C0C0C0"/>
          </w:tcPr>
          <w:p>
            <w:pPr>
              <w:spacing w:after="0"/>
              <w:rPr>
                <w:sz w:val="3"/>
                <w:szCs w:val="3"/>
                <w:color w:val="auto"/>
              </w:rPr>
            </w:pPr>
          </w:p>
        </w:tc>
        <w:tc>
          <w:tcPr>
            <w:tcW w:w="2980" w:type="dxa"/>
            <w:vAlign w:val="bottom"/>
            <w:shd w:val="clear" w:color="auto" w:fill="C0C0C0"/>
          </w:tcPr>
          <w:p>
            <w:pPr>
              <w:spacing w:after="0"/>
              <w:rPr>
                <w:sz w:val="3"/>
                <w:szCs w:val="3"/>
                <w:color w:val="auto"/>
              </w:rPr>
            </w:pPr>
          </w:p>
        </w:tc>
        <w:tc>
          <w:tcPr>
            <w:tcW w:w="160" w:type="dxa"/>
            <w:vAlign w:val="bottom"/>
            <w:shd w:val="clear" w:color="auto" w:fill="C0C0C0"/>
          </w:tcPr>
          <w:p>
            <w:pPr>
              <w:spacing w:after="0"/>
              <w:rPr>
                <w:sz w:val="3"/>
                <w:szCs w:val="3"/>
                <w:color w:val="auto"/>
              </w:rPr>
            </w:pPr>
          </w:p>
        </w:tc>
        <w:tc>
          <w:tcPr>
            <w:tcW w:w="400" w:type="dxa"/>
            <w:vAlign w:val="bottom"/>
            <w:shd w:val="clear" w:color="auto" w:fill="C0C0C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00" w:type="dxa"/>
            <w:vAlign w:val="bottom"/>
            <w:tcBorders>
              <w:right w:val="single" w:sz="8" w:color="C0C0C0"/>
            </w:tcBorders>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bl>
    <w:p>
      <w:pPr>
        <w:spacing w:after="0" w:line="262" w:lineRule="exact"/>
        <w:rPr>
          <w:sz w:val="20"/>
          <w:szCs w:val="20"/>
          <w:color w:val="auto"/>
        </w:rPr>
      </w:pPr>
    </w:p>
    <w:p>
      <w:pPr>
        <w:ind w:right="100" w:firstLine="270"/>
        <w:spacing w:after="0" w:line="254" w:lineRule="auto"/>
        <w:rPr>
          <w:sz w:val="20"/>
          <w:szCs w:val="20"/>
          <w:color w:val="auto"/>
        </w:rPr>
      </w:pPr>
      <w:r>
        <w:rPr>
          <w:rFonts w:ascii="Arial" w:cs="Arial" w:eastAsia="Arial" w:hAnsi="Arial"/>
          <w:sz w:val="18"/>
          <w:szCs w:val="18"/>
          <w:color w:val="auto"/>
        </w:rPr>
        <w:t>On February 12, 2010, the Company amended its revolving credit facility, which was originally established on June 6, 2007, to a three-year $50 million revolving credit facility ("the credit facility"). At the time of the February 12, 2010 amendment, the then existing revolving credit facility and term loan were repaid in full with borrowings from the credit facility of $20.8 million and, in connection therewith, the Company wrote off $1.0 million of deferred financing fees. On May 7, 2010, the credit facility was further amended to increase its borrowing capacity to $65 million. The credit facility bears interest at LIBOR plus a spread, as defined in the agreement based upon the Company's total leverage ratio. As of August 1, 2010, the Company had no outstanding borrowings under the credit facility and $65 million was available for borrowing.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16" w:name="page17"/>
    <w:bookmarkEnd w:id="16"/>
    <w:p>
      <w:pPr>
        <w:ind w:right="120" w:firstLine="270"/>
        <w:spacing w:after="0" w:line="306" w:lineRule="auto"/>
        <w:rPr>
          <w:sz w:val="20"/>
          <w:szCs w:val="20"/>
          <w:color w:val="auto"/>
        </w:rPr>
      </w:pPr>
      <w:r>
        <w:rPr>
          <w:rFonts w:ascii="Arial" w:cs="Arial" w:eastAsia="Arial" w:hAnsi="Arial"/>
          <w:sz w:val="16"/>
          <w:szCs w:val="16"/>
          <w:color w:val="auto"/>
        </w:rPr>
        <w:t>The credit facility, which matures on February 12, 2013, is secured by substantially all of the Company's assets in the United States as well as common stock the Company owns in certain of its foreign subsidiaries. The credit facility is subject to the following financial covenants: fixed charge coverage ratio, total leverage ratio, minimum unrestricted cash balance, and maximum capital expenditures, all as defined in the agreement.</w:t>
      </w:r>
    </w:p>
    <w:p>
      <w:pPr>
        <w:spacing w:after="0" w:line="215" w:lineRule="exact"/>
        <w:rPr>
          <w:sz w:val="20"/>
          <w:szCs w:val="20"/>
          <w:color w:val="auto"/>
        </w:rPr>
      </w:pPr>
    </w:p>
    <w:p>
      <w:pPr>
        <w:ind w:right="20" w:firstLine="270"/>
        <w:spacing w:after="0" w:line="287" w:lineRule="auto"/>
        <w:rPr>
          <w:sz w:val="20"/>
          <w:szCs w:val="20"/>
          <w:color w:val="auto"/>
        </w:rPr>
      </w:pPr>
      <w:r>
        <w:rPr>
          <w:rFonts w:ascii="Arial" w:cs="Arial" w:eastAsia="Arial" w:hAnsi="Arial"/>
          <w:sz w:val="16"/>
          <w:szCs w:val="16"/>
          <w:color w:val="auto"/>
        </w:rPr>
        <w:t>In May 2009, the Company amended its then existing revolving credit facility and entered into a warrant agreement with its lenders for 2.1 million shares of its common stock. Forty percent of the warrants were exercisable upon issuance while the remaining warrants were cancelled as a result of the Company's September 2009 early repayment of a portion of the outstanding balance under its June 6, 2007 credit agreement. As of August 1, 2010, approximately 0.4 million warrants have been exercised, including 0.3 million of which were exercised during the nine month period ended August 1, 2010. There were no warrant exercises during the three month period ended August 1, 2010. The warrants, approximately 0.4 million of which remained outstanding at August 1, 2010, are exercisable for one share of the Company's common stock, at an exercise price of $.01 per share. The warrant agreement also included a net cash settleable put provision exercisable starting in May 2012 and a call provision exercisable starting in May 2013, both of which were exercisable only if the Company's common stock was not traded on a national exchange or, in the case of the put provision, such repurchase does not create a default under the credit facility or any refinancing of it. As a result of the aforementioned net cash settleable put provisions, the warrants were initially recorded as a liability (included in other liabilities) and have been subsequently reported at their fair value.</w:t>
      </w:r>
    </w:p>
    <w:p>
      <w:pPr>
        <w:spacing w:after="0" w:line="231"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In addition to the former credit facility discussed above, the Company also entered into a term loan agreement with an aggregate commitment of $27.2 million in the U.S. dated on June 8, 2009. This loan was repaid in February 2010 with funds from the credit facility.</w:t>
      </w:r>
    </w:p>
    <w:p>
      <w:pPr>
        <w:spacing w:after="0" w:line="240"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color w:val="auto"/>
        </w:rPr>
        <w:t>On September 11, 2009, the Company sold, through a public offering, $57.5 million aggregate principal amount of 5.5% convertible senior notes which mature on October 1, 2014. Note holders may convert each $1,000 principal amount of notes to 196.7052 shares of stock (equivalent to an initial conversion price of approximately $5.08 per share of common stock) on September 30, 2014. The conversion rate may be increased in the event of a make-whole fundamental change (as defined in the prospectus supplement filed by the Company on September 11, 2009) and the Company may not redeem the notes prior to their maturity date. The net proceeds of the convertible senior notes offering were approximately $54.9 million.</w:t>
      </w:r>
    </w:p>
    <w:p>
      <w:pPr>
        <w:spacing w:after="0" w:line="224" w:lineRule="exact"/>
        <w:rPr>
          <w:sz w:val="20"/>
          <w:szCs w:val="20"/>
          <w:color w:val="auto"/>
        </w:rPr>
      </w:pPr>
    </w:p>
    <w:p>
      <w:pPr>
        <w:ind w:right="60" w:firstLine="270"/>
        <w:spacing w:after="0" w:line="306" w:lineRule="auto"/>
        <w:rPr>
          <w:sz w:val="20"/>
          <w:szCs w:val="20"/>
          <w:color w:val="auto"/>
        </w:rPr>
      </w:pPr>
      <w:r>
        <w:rPr>
          <w:rFonts w:ascii="Arial" w:cs="Arial" w:eastAsia="Arial" w:hAnsi="Arial"/>
          <w:sz w:val="16"/>
          <w:szCs w:val="16"/>
          <w:color w:val="auto"/>
        </w:rPr>
        <w:t>In January 2010 the Company borrowed $3.7 million from a customer to purchase manufacturing equipment. This loan bears interest at 4.75% and will be repaid with product supplied to the customer. Product valued at $0.3 million and $0.5 million was shipped to the customer and applied against the loan during the three and nine month periods ended August 1, 2010, respectively. The Company estimates that the loan will be fully repaid by September 2014.</w:t>
      </w:r>
    </w:p>
    <w:p>
      <w:pPr>
        <w:spacing w:after="0" w:line="215" w:lineRule="exact"/>
        <w:rPr>
          <w:sz w:val="20"/>
          <w:szCs w:val="20"/>
          <w:color w:val="auto"/>
        </w:rPr>
      </w:pPr>
    </w:p>
    <w:p>
      <w:pPr>
        <w:ind w:right="60" w:firstLine="270"/>
        <w:spacing w:after="0" w:line="253" w:lineRule="auto"/>
        <w:rPr>
          <w:sz w:val="20"/>
          <w:szCs w:val="20"/>
          <w:color w:val="auto"/>
        </w:rPr>
      </w:pPr>
      <w:r>
        <w:rPr>
          <w:rFonts w:ascii="Arial" w:cs="Arial" w:eastAsia="Arial" w:hAnsi="Arial"/>
          <w:sz w:val="18"/>
          <w:szCs w:val="18"/>
          <w:color w:val="auto"/>
        </w:rPr>
        <w:t>In the first quarter of 2008 a capital lease agreement commenced for the U.S. nanoFab facility which bore interest at 8%. This lease was cancelled in the third fiscal quarter of 2009, at which time the Company and Micron (the lessor) entered into a new lease agreement for the facility. Under the provisions of the new lease agreement, quarterly lease payments were reduced from $3.8 million to $2.0 million, the term of the lease was extended from December 31, 2012 to December 31, 2014, and ownership of the property will not transfer to the Company at the end of the lease term. As a result of the new lease agreement, the Company reduced its lease obligation and the carrying value of its assets under capital leases by approximately $28 million. The lease will continue to be accounted for as a capital lease until the end of its original lease term. For the addit ional two years of the new lease term, the lease will be accounted for as an operating lease. As of August 1, 2010, total capital lease amounts payable were $19.9 million, of which $17.9 million represented principal and $2.0 million represented interest.</w:t>
      </w:r>
    </w:p>
    <w:p>
      <w:pPr>
        <w:spacing w:after="0" w:line="253"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In October 2007, the Company entered into a capital lease agreement in the amount of $19.9 million associated with certain equipment. Under the capital lease agreement, the Company is required to maintain the equipment in good working condition, and is required to comply with certain non-financial covenants. Payments under the lease are $0.4 million per month over a 5-year term at a 5.6% interest rate.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10 - COMMON STOCK WARRANTS</w:t>
      </w:r>
    </w:p>
    <w:p>
      <w:pPr>
        <w:spacing w:after="0" w:line="285"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On September 10, 2009, the Company entered into two warrant agreements with Intel Capital Corporation to purchase a total of 750,000 shares of the Company's common stock. Under one warrant agreement 500,000 shares of the Company's common stock can be purchased at an exercise price of $4.15 per share and under the second warrant agreement 250,000 shares of the Company's common stock can be purchased at an exercise price of $5.08 per share. The warrant agreements expire on September 10, 2014. Also, on September 10, 2009, the Company and Intel Corporation entered into an agreement to share technical and operations information regarding the development of the Company's products, the capabilities of the Company's photomask manufacturing lines and the alignment of photomask toolsets. Intel Capital Corporation also invested in the Company's September 2009 converti ble debt offering. The warrants were recorded at their fair value on their date of grant, which was determined using the Black-Scholes option pricing model. As of August 1, 2010, none of the warrants had been exercised.</w:t>
      </w:r>
    </w:p>
    <w:p>
      <w:pPr>
        <w:spacing w:after="0" w:line="226" w:lineRule="exact"/>
        <w:rPr>
          <w:sz w:val="20"/>
          <w:szCs w:val="20"/>
          <w:color w:val="auto"/>
        </w:rPr>
      </w:pPr>
    </w:p>
    <w:p>
      <w:pPr>
        <w:ind w:right="120" w:firstLine="270"/>
        <w:spacing w:after="0" w:line="268" w:lineRule="auto"/>
        <w:rPr>
          <w:sz w:val="20"/>
          <w:szCs w:val="20"/>
          <w:color w:val="auto"/>
        </w:rPr>
      </w:pPr>
      <w:r>
        <w:rPr>
          <w:rFonts w:ascii="Arial" w:cs="Arial" w:eastAsia="Arial" w:hAnsi="Arial"/>
          <w:sz w:val="18"/>
          <w:szCs w:val="18"/>
          <w:color w:val="auto"/>
        </w:rPr>
        <w:t>In conjunction with its May 2009 amendment to its credit facility, the Company also entered into a warrant agreement with its lenders. See Note 9 for further discussion of these warrants.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85"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Fair value, as defined in accounting guidance, is the price that would be received to sell an asset or transfer a liability in an orderly transaction between market participants at the measurement date. An "orderly transaction" is a transaction that assumes exposure to the market for a period prior to the measurement date to allow for marketing activities that are usual and customary for transactions involving such assets or liabilities (i.e. it is not a forced transaction). The transaction to sell an asset or transfer a liability is a hypothetical transaction at the measurement date, considered from the perspective of a market participant that holds the asset or owes the liability. Therefore, the objective of a fair value measurement is to determine the price that would be received to sell the asset or paid to transfer the liability (an exit price) at the measurement date.</w:t>
      </w:r>
    </w:p>
    <w:p>
      <w:pPr>
        <w:spacing w:after="0" w:line="228" w:lineRule="exact"/>
        <w:rPr>
          <w:sz w:val="20"/>
          <w:szCs w:val="20"/>
          <w:color w:val="auto"/>
        </w:rPr>
      </w:pPr>
    </w:p>
    <w:p>
      <w:pPr>
        <w:jc w:val="both"/>
        <w:ind w:right="260" w:firstLine="270"/>
        <w:spacing w:after="0" w:line="335" w:lineRule="auto"/>
        <w:rPr>
          <w:sz w:val="20"/>
          <w:szCs w:val="20"/>
          <w:color w:val="auto"/>
        </w:rPr>
      </w:pPr>
      <w:r>
        <w:rPr>
          <w:rFonts w:ascii="Arial" w:cs="Arial" w:eastAsia="Arial" w:hAnsi="Arial"/>
          <w:sz w:val="15"/>
          <w:szCs w:val="15"/>
          <w:color w:val="auto"/>
        </w:rPr>
        <w:t>A fair value measurement further assumes that the hypothetical transaction occurs in the principal (or if no principal market exists, the most advantageous) market for the asset or liability. Further, a fair value measurement assumes a transaction involving the highest and best use of an asset and the consideration of assumptions that would be made by market participants when pricing an asset or liability, such as transfer restrictions or non-performance risk.</w:t>
      </w:r>
    </w:p>
    <w:p>
      <w:pPr>
        <w:spacing w:after="0" w:line="196" w:lineRule="exact"/>
        <w:rPr>
          <w:sz w:val="20"/>
          <w:szCs w:val="20"/>
          <w:color w:val="auto"/>
        </w:rPr>
      </w:pPr>
    </w:p>
    <w:p>
      <w:pPr>
        <w:ind w:right="100" w:firstLine="270"/>
        <w:spacing w:after="0" w:line="288" w:lineRule="auto"/>
        <w:rPr>
          <w:sz w:val="20"/>
          <w:szCs w:val="20"/>
          <w:color w:val="auto"/>
        </w:rPr>
      </w:pPr>
      <w:r>
        <w:rPr>
          <w:rFonts w:ascii="Arial" w:cs="Arial" w:eastAsia="Arial" w:hAnsi="Arial"/>
          <w:sz w:val="16"/>
          <w:szCs w:val="16"/>
          <w:color w:val="auto"/>
        </w:rPr>
        <w:t>The Company follows a fair value hierarchy that prioritizes the inputs to valuation techniques used to measure fair value into three broad levels. This fair value hierarchy gives the highest priority to unadjusted, quoted market prices in active markets for identical assets or liabilities (including when the liabilities are traded as assets) while giving the lowest priority to unobservable inputs, which are inputs that reflect the Company's assumptions about the factors that market participants would use in valuing assets or liabilities, based upon the best information available under existing circumstances. In cases when the inputs used to measure fair value fall in different levels of the fair value hierarchy, the level within which the fair value measurement in its entirety falls is determined based on the lowest level input that is significant to the fa ir value measurement in its entirety. When, due to changes in the inputs to valuation techniques used to measure its fair value, an asset or liability is transferred between levels of the fair value hierarchy, the Company recognizes all transfer to or from any level to be as of the beginning of the reporting period. Assessing the significance of a particular input to the fair value measurement in its entirety requires judgment, including the consideration of factors specific to the asset or liability. The hierarchy consists of the following three levels:</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Inputs are prices in active markets that are accessible at the measurement date.</w:t>
      </w:r>
    </w:p>
    <w:p>
      <w:pPr>
        <w:spacing w:after="0" w:line="279" w:lineRule="exact"/>
        <w:rPr>
          <w:sz w:val="20"/>
          <w:szCs w:val="20"/>
          <w:color w:val="auto"/>
        </w:rPr>
      </w:pPr>
    </w:p>
    <w:p>
      <w:pPr>
        <w:ind w:right="200" w:firstLine="270"/>
        <w:spacing w:after="0" w:line="33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Inputs other than quoted prices included within Level 1 are observable for the asset or liability, either directly or indirectly. At August 1, 2010 and November 1, 2009, the Company's Level 2 liability consists of its common stock warrants which are reported in other liabilities.</w:t>
      </w:r>
    </w:p>
    <w:p>
      <w:pPr>
        <w:spacing w:after="0" w:line="193"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Inputs are unobservable inputs for the asset or liability. At November 1, 2009, the Company's Level 3 asset is a foreign bond fund which is reported in other current assets.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tables below present assets and liabilities as of August 1, 2010 and November 1, 2009, that are measured at fair value on a recurring basis.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color w:val="auto"/>
              </w:rPr>
              <w:t>August 1, 2010</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28"/>
        </w:trPr>
        <w:tc>
          <w:tcPr>
            <w:tcW w:w="6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Quoted</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3"/>
        </w:trPr>
        <w:tc>
          <w:tcPr>
            <w:tcW w:w="6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Prices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6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in Active</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Significant</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6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Markets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Significant</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6640" w:type="dxa"/>
            <w:vAlign w:val="bottom"/>
          </w:tcPr>
          <w:p>
            <w:pPr>
              <w:spacing w:after="0"/>
              <w:rPr>
                <w:sz w:val="21"/>
                <w:szCs w:val="21"/>
                <w:color w:val="auto"/>
              </w:rPr>
            </w:pPr>
          </w:p>
        </w:tc>
        <w:tc>
          <w:tcPr>
            <w:tcW w:w="1120" w:type="dxa"/>
            <w:vAlign w:val="bottom"/>
            <w:gridSpan w:val="5"/>
          </w:tcPr>
          <w:p>
            <w:pPr>
              <w:jc w:val="center"/>
              <w:ind w:right="120"/>
              <w:spacing w:after="0"/>
              <w:rPr>
                <w:sz w:val="20"/>
                <w:szCs w:val="20"/>
                <w:color w:val="auto"/>
              </w:rPr>
            </w:pPr>
            <w:r>
              <w:rPr>
                <w:rFonts w:ascii="Arial" w:cs="Arial" w:eastAsia="Arial" w:hAnsi="Arial"/>
                <w:sz w:val="18"/>
                <w:szCs w:val="18"/>
                <w:color w:val="auto"/>
                <w:w w:val="94"/>
              </w:rPr>
              <w:t>for Identical</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Observable</w:t>
            </w:r>
          </w:p>
        </w:tc>
        <w:tc>
          <w:tcPr>
            <w:tcW w:w="130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Unobservable</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6640" w:type="dxa"/>
            <w:vAlign w:val="bottom"/>
          </w:tcPr>
          <w:p>
            <w:pPr>
              <w:spacing w:after="0"/>
              <w:rPr>
                <w:sz w:val="21"/>
                <w:szCs w:val="21"/>
                <w:color w:val="auto"/>
              </w:rPr>
            </w:pPr>
          </w:p>
        </w:tc>
        <w:tc>
          <w:tcPr>
            <w:tcW w:w="112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Instruments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Inputs</w:t>
            </w:r>
          </w:p>
        </w:tc>
        <w:tc>
          <w:tcPr>
            <w:tcW w:w="10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Inputs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2"/>
        </w:trPr>
        <w:tc>
          <w:tcPr>
            <w:tcW w:w="664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(Level 1)</w:t>
            </w: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(Level 2)</w:t>
            </w: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4"/>
              </w:rPr>
              <w:t>(Level 3)</w:t>
            </w:r>
          </w:p>
        </w:tc>
        <w:tc>
          <w:tcPr>
            <w:tcW w:w="26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Total</w:t>
            </w:r>
          </w:p>
        </w:tc>
      </w:tr>
      <w:tr>
        <w:trPr>
          <w:trHeight w:val="237"/>
        </w:trPr>
        <w:tc>
          <w:tcPr>
            <w:tcW w:w="6640" w:type="dxa"/>
            <w:vAlign w:val="bottom"/>
            <w:shd w:val="clear" w:color="auto" w:fill="C0C0C0"/>
          </w:tcPr>
          <w:p>
            <w:pPr>
              <w:spacing w:after="0"/>
              <w:rPr>
                <w:sz w:val="20"/>
                <w:szCs w:val="20"/>
                <w:color w:val="auto"/>
              </w:rPr>
            </w:pPr>
            <w:r>
              <w:rPr>
                <w:rFonts w:ascii="Arial" w:cs="Arial" w:eastAsia="Arial" w:hAnsi="Arial"/>
                <w:sz w:val="18"/>
                <w:szCs w:val="18"/>
                <w:color w:val="auto"/>
              </w:rPr>
              <w:t>Common stock warrants</w:t>
            </w: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0C0C0"/>
          </w:tcPr>
          <w:p>
            <w:pPr>
              <w:spacing w:after="0"/>
              <w:rPr>
                <w:sz w:val="20"/>
                <w:szCs w:val="20"/>
                <w:color w:val="auto"/>
              </w:rPr>
            </w:pPr>
          </w:p>
        </w:tc>
        <w:tc>
          <w:tcPr>
            <w:tcW w:w="12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0"/>
                <w:szCs w:val="20"/>
                <w:color w:val="auto"/>
              </w:rPr>
            </w:pPr>
          </w:p>
        </w:tc>
        <w:tc>
          <w:tcPr>
            <w:tcW w:w="140" w:type="dxa"/>
            <w:vAlign w:val="bottom"/>
            <w:gridSpan w:val="2"/>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(1,884)</w:t>
            </w:r>
          </w:p>
        </w:tc>
        <w:tc>
          <w:tcPr>
            <w:tcW w:w="28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0"/>
                <w:szCs w:val="20"/>
                <w:color w:val="auto"/>
              </w:rPr>
            </w:pPr>
          </w:p>
        </w:tc>
        <w:tc>
          <w:tcPr>
            <w:tcW w:w="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(1,884)</w:t>
            </w:r>
          </w:p>
        </w:tc>
      </w:tr>
      <w:tr>
        <w:trPr>
          <w:trHeight w:val="250"/>
        </w:trPr>
        <w:tc>
          <w:tcPr>
            <w:tcW w:w="664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2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w:t>
            </w:r>
          </w:p>
        </w:tc>
      </w:tr>
      <w:tr>
        <w:trPr>
          <w:trHeight w:val="480"/>
        </w:trPr>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color w:val="auto"/>
              </w:rPr>
              <w:t>November 1, 2009</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28"/>
        </w:trPr>
        <w:tc>
          <w:tcPr>
            <w:tcW w:w="6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ind w:left="12"/>
              <w:spacing w:after="0"/>
              <w:rPr>
                <w:sz w:val="20"/>
                <w:szCs w:val="20"/>
                <w:color w:val="auto"/>
              </w:rPr>
            </w:pPr>
            <w:r>
              <w:rPr>
                <w:rFonts w:ascii="Arial" w:cs="Arial" w:eastAsia="Arial" w:hAnsi="Arial"/>
                <w:sz w:val="18"/>
                <w:szCs w:val="18"/>
                <w:color w:val="auto"/>
                <w:w w:val="87"/>
              </w:rPr>
              <w:t>Quoted</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3"/>
        </w:trPr>
        <w:tc>
          <w:tcPr>
            <w:tcW w:w="6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3"/>
              </w:rPr>
              <w:t>Prices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6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in Active</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Significant</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6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Markets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Significant</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6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8"/>
                <w:szCs w:val="18"/>
                <w:color w:val="auto"/>
                <w:w w:val="94"/>
              </w:rPr>
              <w:t>for Identical</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Observable</w:t>
            </w:r>
          </w:p>
        </w:tc>
        <w:tc>
          <w:tcPr>
            <w:tcW w:w="130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Unobservable</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6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4"/>
          </w:tcPr>
          <w:p>
            <w:pPr>
              <w:jc w:val="center"/>
              <w:ind w:right="160"/>
              <w:spacing w:after="0"/>
              <w:rPr>
                <w:sz w:val="20"/>
                <w:szCs w:val="20"/>
                <w:color w:val="auto"/>
              </w:rPr>
            </w:pPr>
            <w:r>
              <w:rPr>
                <w:rFonts w:ascii="Arial" w:cs="Arial" w:eastAsia="Arial" w:hAnsi="Arial"/>
                <w:sz w:val="18"/>
                <w:szCs w:val="18"/>
                <w:color w:val="auto"/>
                <w:w w:val="87"/>
              </w:rPr>
              <w:t>Instruments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Inputs</w:t>
            </w:r>
          </w:p>
        </w:tc>
        <w:tc>
          <w:tcPr>
            <w:tcW w:w="10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Inputs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2"/>
        </w:trPr>
        <w:tc>
          <w:tcPr>
            <w:tcW w:w="66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(Level 1)</w:t>
            </w: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1"/>
              </w:rPr>
              <w:t>(Level 2)</w:t>
            </w: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4"/>
              </w:rPr>
              <w:t>(Level 3)</w:t>
            </w:r>
          </w:p>
        </w:tc>
        <w:tc>
          <w:tcPr>
            <w:tcW w:w="26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Total</w:t>
            </w:r>
          </w:p>
        </w:tc>
      </w:tr>
      <w:tr>
        <w:trPr>
          <w:trHeight w:val="237"/>
        </w:trPr>
        <w:tc>
          <w:tcPr>
            <w:tcW w:w="6640" w:type="dxa"/>
            <w:vAlign w:val="bottom"/>
            <w:shd w:val="clear" w:color="auto" w:fill="C0C0C0"/>
          </w:tcPr>
          <w:p>
            <w:pPr>
              <w:spacing w:after="0"/>
              <w:rPr>
                <w:sz w:val="20"/>
                <w:szCs w:val="20"/>
                <w:color w:val="auto"/>
              </w:rPr>
            </w:pPr>
            <w:r>
              <w:rPr>
                <w:rFonts w:ascii="Arial" w:cs="Arial" w:eastAsia="Arial" w:hAnsi="Arial"/>
                <w:sz w:val="18"/>
                <w:szCs w:val="18"/>
                <w:color w:val="auto"/>
              </w:rPr>
              <w:t>Foreign bond fund</w:t>
            </w:r>
          </w:p>
        </w:tc>
        <w:tc>
          <w:tcPr>
            <w:tcW w:w="100" w:type="dxa"/>
            <w:vAlign w:val="bottom"/>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ind w:right="592"/>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4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0C0C0"/>
          </w:tcPr>
          <w:p>
            <w:pPr>
              <w:spacing w:after="0"/>
              <w:rPr>
                <w:sz w:val="20"/>
                <w:szCs w:val="20"/>
                <w:color w:val="auto"/>
              </w:rPr>
            </w:pPr>
          </w:p>
        </w:tc>
        <w:tc>
          <w:tcPr>
            <w:tcW w:w="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148</w:t>
            </w:r>
          </w:p>
        </w:tc>
      </w:tr>
      <w:tr>
        <w:trPr>
          <w:trHeight w:val="250"/>
        </w:trPr>
        <w:tc>
          <w:tcPr>
            <w:tcW w:w="66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0C0C0"/>
            </w:tcBorders>
          </w:tcPr>
          <w:p>
            <w:pPr>
              <w:spacing w:after="0"/>
              <w:rPr>
                <w:sz w:val="21"/>
                <w:szCs w:val="21"/>
                <w:color w:val="auto"/>
              </w:rPr>
            </w:pPr>
          </w:p>
        </w:tc>
        <w:tc>
          <w:tcPr>
            <w:tcW w:w="78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148</w:t>
            </w:r>
          </w:p>
        </w:tc>
      </w:tr>
      <w:tr>
        <w:trPr>
          <w:trHeight w:val="237"/>
        </w:trPr>
        <w:tc>
          <w:tcPr>
            <w:tcW w:w="6640" w:type="dxa"/>
            <w:vAlign w:val="bottom"/>
            <w:shd w:val="clear" w:color="auto" w:fill="C0C0C0"/>
          </w:tcPr>
          <w:p>
            <w:pPr>
              <w:spacing w:after="0"/>
              <w:rPr>
                <w:sz w:val="20"/>
                <w:szCs w:val="20"/>
                <w:color w:val="auto"/>
              </w:rPr>
            </w:pPr>
            <w:r>
              <w:rPr>
                <w:rFonts w:ascii="Arial" w:cs="Arial" w:eastAsia="Arial" w:hAnsi="Arial"/>
                <w:sz w:val="18"/>
                <w:szCs w:val="18"/>
                <w:color w:val="auto"/>
              </w:rPr>
              <w:t>Common stock warrants</w:t>
            </w:r>
          </w:p>
        </w:tc>
        <w:tc>
          <w:tcPr>
            <w:tcW w:w="100" w:type="dxa"/>
            <w:vAlign w:val="bottom"/>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ind w:right="592"/>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4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(3,205)</w:t>
            </w:r>
          </w:p>
        </w:tc>
        <w:tc>
          <w:tcPr>
            <w:tcW w:w="28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0"/>
                <w:szCs w:val="20"/>
                <w:color w:val="auto"/>
              </w:rPr>
            </w:pPr>
          </w:p>
        </w:tc>
        <w:tc>
          <w:tcPr>
            <w:tcW w:w="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(3,205)</w:t>
            </w:r>
          </w:p>
        </w:tc>
      </w:tr>
      <w:tr>
        <w:trPr>
          <w:trHeight w:val="250"/>
        </w:trPr>
        <w:tc>
          <w:tcPr>
            <w:tcW w:w="664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2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0" w:firstLine="270"/>
        <w:spacing w:after="0" w:line="256" w:lineRule="auto"/>
        <w:rPr>
          <w:sz w:val="20"/>
          <w:szCs w:val="20"/>
          <w:color w:val="auto"/>
        </w:rPr>
      </w:pPr>
      <w:r>
        <w:rPr>
          <w:rFonts w:ascii="Arial" w:cs="Arial" w:eastAsia="Arial" w:hAnsi="Arial"/>
          <w:sz w:val="18"/>
          <w:szCs w:val="18"/>
          <w:color w:val="auto"/>
        </w:rPr>
        <w:t>The foreign bond fund above represents the Company's investment in a fund whose fair value was provided by the trust. During the three month period ended August 1, 2010, the Company determined that its investment in the fund was not recoverable. As a result of this determination the Company wrote off its entire investment in the fund. This resulted in a net of tax charge of $0.2 million (included in investment and other income (expense), net) and a reclassification adjustment of an unrealized holding gain to earnings of $0.1 million.</w:t>
      </w:r>
    </w:p>
    <w:p>
      <w:pPr>
        <w:spacing w:after="0" w:line="251"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The fair value of the common stock warrants liability was determined using the Black-Scholes option pricing model. Significant observable inputs into the model included the market price of the Company's common stock at the measurement date. Gains or losses related to fair value adjustments to the common stock warrants liability are included in other income (expense), net.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79"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The Company, as permitted under accounting guidance issued in 2008, deferred the effective date for applying fair value guidance to nonfinancial assets and liabilities that are measured at fair value on a nonrecurring basis until November 2, 2009. As a result of this election, certain long-lived assets that, in fiscal year 2009 and in connection with the Company's restructuring initiatives, were measured at fair value on a nonrecurring basis did not have fair value disclosure provisions applied to them. The Company did not have any nonfinancial assets or liabilities measured at fair value on a nonrecurring basis during the three and nine month periods ended August 1,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79"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The fair values of the Company's cash and cash equivalents, accounts receivable, accounts payable, and certain other current assets and current liabilities approximate their carrying value due to their short-term maturities. The fair value of the Company's variable rate long-term debt approximates its carrying value due to the variable nature of the underlying interest rates. As of August 1, 2010, the estimated fair value of the Company's outstanding 5.5% convertible senior notes was approximately $66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GEOGRAPHIC INFORMATION</w:t>
      </w:r>
    </w:p>
    <w:p>
      <w:pPr>
        <w:spacing w:after="0" w:line="285"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The Company operates as a single operating segment as a manufacturer of photomasks, which are high precision quartz plates containing microscopic images of electronic circuits for use in the fabrication of semiconductors. Geographic net sales are based primarily on where the Company's manufacturing facility is located. The Company's net sales for the three and nine month periods ended August 1, 2010 and August 2, 2009, and its long-lived assets by geographic area as of August 1, 2010 and November 1, 2009, are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1820" w:type="dxa"/>
            <w:vAlign w:val="bottom"/>
            <w:gridSpan w:val="4"/>
          </w:tcPr>
          <w:p>
            <w:pPr>
              <w:ind w:left="80"/>
              <w:spacing w:after="0"/>
              <w:rPr>
                <w:sz w:val="20"/>
                <w:szCs w:val="20"/>
                <w:color w:val="auto"/>
              </w:rPr>
            </w:pPr>
            <w:r>
              <w:rPr>
                <w:rFonts w:ascii="Arial" w:cs="Arial" w:eastAsia="Arial" w:hAnsi="Arial"/>
                <w:sz w:val="18"/>
                <w:szCs w:val="18"/>
                <w:b w:val="1"/>
                <w:bCs w:val="1"/>
                <w:color w:val="auto"/>
              </w:rPr>
              <w:t>Nine Months Ended</w:t>
            </w:r>
          </w:p>
        </w:tc>
      </w:tr>
      <w:tr>
        <w:trPr>
          <w:trHeight w:val="228"/>
        </w:trPr>
        <w:tc>
          <w:tcPr>
            <w:tcW w:w="5920" w:type="dxa"/>
            <w:vAlign w:val="bottom"/>
          </w:tcPr>
          <w:p>
            <w:pPr>
              <w:spacing w:after="0"/>
              <w:rPr>
                <w:sz w:val="19"/>
                <w:szCs w:val="19"/>
                <w:color w:val="auto"/>
              </w:rPr>
            </w:pPr>
          </w:p>
        </w:tc>
        <w:tc>
          <w:tcPr>
            <w:tcW w:w="11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August 1,</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5"/>
              </w:rPr>
              <w:t>August 2,</w:t>
            </w:r>
          </w:p>
        </w:tc>
        <w:tc>
          <w:tcPr>
            <w:tcW w:w="260" w:type="dxa"/>
            <w:vAlign w:val="bottom"/>
          </w:tcPr>
          <w:p>
            <w:pPr>
              <w:spacing w:after="0"/>
              <w:rPr>
                <w:sz w:val="19"/>
                <w:szCs w:val="19"/>
                <w:color w:val="auto"/>
              </w:rPr>
            </w:pPr>
          </w:p>
        </w:tc>
        <w:tc>
          <w:tcPr>
            <w:tcW w:w="108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August 1,</w:t>
            </w:r>
          </w:p>
        </w:tc>
        <w:tc>
          <w:tcPr>
            <w:tcW w:w="90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w w:val="95"/>
              </w:rPr>
              <w:t>August 2,</w:t>
            </w:r>
          </w:p>
        </w:tc>
      </w:tr>
      <w:tr>
        <w:trPr>
          <w:trHeight w:val="251"/>
        </w:trPr>
        <w:tc>
          <w:tcPr>
            <w:tcW w:w="592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r>
      <w:tr>
        <w:trPr>
          <w:trHeight w:val="243"/>
        </w:trPr>
        <w:tc>
          <w:tcPr>
            <w:tcW w:w="59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Net sales</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r>
      <w:tr>
        <w:trPr>
          <w:trHeight w:val="235"/>
        </w:trPr>
        <w:tc>
          <w:tcPr>
            <w:tcW w:w="5920" w:type="dxa"/>
            <w:vAlign w:val="bottom"/>
          </w:tcPr>
          <w:p>
            <w:pPr>
              <w:ind w:left="320"/>
              <w:spacing w:after="0"/>
              <w:rPr>
                <w:sz w:val="20"/>
                <w:szCs w:val="20"/>
                <w:color w:val="auto"/>
              </w:rPr>
            </w:pPr>
            <w:r>
              <w:rPr>
                <w:rFonts w:ascii="Arial" w:cs="Arial" w:eastAsia="Arial" w:hAnsi="Arial"/>
                <w:sz w:val="18"/>
                <w:szCs w:val="18"/>
                <w:color w:val="auto"/>
              </w:rPr>
              <w:t>Asia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70,349</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60,278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192,977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167,461</w:t>
            </w:r>
          </w:p>
        </w:tc>
      </w:tr>
      <w:tr>
        <w:trPr>
          <w:trHeight w:val="251"/>
        </w:trPr>
        <w:tc>
          <w:tcPr>
            <w:tcW w:w="59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Europe</w:t>
            </w:r>
          </w:p>
        </w:tc>
        <w:tc>
          <w:tcPr>
            <w:tcW w:w="180" w:type="dxa"/>
            <w:vAlign w:val="bottom"/>
            <w:shd w:val="clear" w:color="auto" w:fill="C0C0C0"/>
          </w:tcPr>
          <w:p>
            <w:pPr>
              <w:spacing w:after="0"/>
              <w:rPr>
                <w:sz w:val="21"/>
                <w:szCs w:val="21"/>
                <w:color w:val="auto"/>
              </w:rPr>
            </w:pPr>
          </w:p>
        </w:tc>
        <w:tc>
          <w:tcPr>
            <w:tcW w:w="9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11,116</w:t>
            </w:r>
          </w:p>
        </w:tc>
        <w:tc>
          <w:tcPr>
            <w:tcW w:w="12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10,373</w:t>
            </w:r>
          </w:p>
        </w:tc>
        <w:tc>
          <w:tcPr>
            <w:tcW w:w="160" w:type="dxa"/>
            <w:vAlign w:val="bottom"/>
            <w:shd w:val="clear" w:color="auto" w:fill="C0C0C0"/>
          </w:tcPr>
          <w:p>
            <w:pPr>
              <w:spacing w:after="0"/>
              <w:rPr>
                <w:sz w:val="21"/>
                <w:szCs w:val="21"/>
                <w:color w:val="auto"/>
              </w:rPr>
            </w:pPr>
          </w:p>
        </w:tc>
        <w:tc>
          <w:tcPr>
            <w:tcW w:w="9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31,298</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28,458</w:t>
            </w:r>
          </w:p>
        </w:tc>
      </w:tr>
      <w:tr>
        <w:trPr>
          <w:trHeight w:val="237"/>
        </w:trPr>
        <w:tc>
          <w:tcPr>
            <w:tcW w:w="592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30,786</w:t>
            </w: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24,750</w:t>
            </w:r>
          </w:p>
        </w:tc>
        <w:tc>
          <w:tcPr>
            <w:tcW w:w="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91,243</w:t>
            </w:r>
          </w:p>
        </w:tc>
        <w:tc>
          <w:tcPr>
            <w:tcW w:w="26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70,757</w:t>
            </w:r>
          </w:p>
        </w:tc>
      </w:tr>
      <w:tr>
        <w:trPr>
          <w:trHeight w:val="250"/>
        </w:trPr>
        <w:tc>
          <w:tcPr>
            <w:tcW w:w="592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112,251</w:t>
            </w:r>
          </w:p>
        </w:tc>
        <w:tc>
          <w:tcPr>
            <w:tcW w:w="2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95,401</w:t>
            </w:r>
          </w:p>
        </w:tc>
        <w:tc>
          <w:tcPr>
            <w:tcW w:w="26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8"/>
              </w:rPr>
              <w:t>315,518</w:t>
            </w:r>
          </w:p>
        </w:tc>
        <w:tc>
          <w:tcPr>
            <w:tcW w:w="26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266,676</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As of</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5920" w:type="dxa"/>
            <w:vAlign w:val="bottom"/>
          </w:tcPr>
          <w:p>
            <w:pPr>
              <w:spacing w:after="0"/>
              <w:rPr>
                <w:sz w:val="19"/>
                <w:szCs w:val="19"/>
                <w:color w:val="auto"/>
              </w:rPr>
            </w:pPr>
          </w:p>
        </w:tc>
        <w:tc>
          <w:tcPr>
            <w:tcW w:w="1160" w:type="dxa"/>
            <w:vAlign w:val="bottom"/>
            <w:gridSpan w:val="3"/>
          </w:tcPr>
          <w:p>
            <w:pPr>
              <w:ind w:left="100"/>
              <w:spacing w:after="0"/>
              <w:rPr>
                <w:sz w:val="20"/>
                <w:szCs w:val="20"/>
                <w:color w:val="auto"/>
              </w:rPr>
            </w:pPr>
            <w:r>
              <w:rPr>
                <w:rFonts w:ascii="Arial" w:cs="Arial" w:eastAsia="Arial" w:hAnsi="Arial"/>
                <w:sz w:val="18"/>
                <w:szCs w:val="18"/>
                <w:b w:val="1"/>
                <w:bCs w:val="1"/>
                <w:color w:val="auto"/>
              </w:rPr>
              <w:t>August 1,</w:t>
            </w: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86"/>
              </w:rPr>
              <w:t>November 1,</w:t>
            </w:r>
          </w:p>
        </w:tc>
        <w:tc>
          <w:tcPr>
            <w:tcW w:w="20" w:type="dxa"/>
            <w:vAlign w:val="bottom"/>
          </w:tcPr>
          <w:p>
            <w:pPr>
              <w:spacing w:after="0"/>
              <w:rPr>
                <w:sz w:val="19"/>
                <w:szCs w:val="19"/>
                <w:color w:val="auto"/>
              </w:rPr>
            </w:pPr>
          </w:p>
        </w:tc>
      </w:tr>
      <w:tr>
        <w:trPr>
          <w:trHeight w:val="251"/>
        </w:trPr>
        <w:tc>
          <w:tcPr>
            <w:tcW w:w="592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43"/>
        </w:trPr>
        <w:tc>
          <w:tcPr>
            <w:tcW w:w="59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Long-lived assets</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920" w:type="dxa"/>
            <w:vAlign w:val="bottom"/>
          </w:tcPr>
          <w:p>
            <w:pPr>
              <w:ind w:left="320"/>
              <w:spacing w:after="0"/>
              <w:rPr>
                <w:sz w:val="20"/>
                <w:szCs w:val="20"/>
                <w:color w:val="auto"/>
              </w:rPr>
            </w:pPr>
            <w:r>
              <w:rPr>
                <w:rFonts w:ascii="Arial" w:cs="Arial" w:eastAsia="Arial" w:hAnsi="Arial"/>
                <w:sz w:val="18"/>
                <w:szCs w:val="18"/>
                <w:color w:val="auto"/>
              </w:rPr>
              <w:t>Asia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207,293</w:t>
            </w:r>
          </w:p>
        </w:tc>
        <w:tc>
          <w:tcPr>
            <w:tcW w:w="26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199,179</w:t>
            </w:r>
          </w:p>
        </w:tc>
      </w:tr>
      <w:tr>
        <w:trPr>
          <w:trHeight w:val="251"/>
        </w:trPr>
        <w:tc>
          <w:tcPr>
            <w:tcW w:w="59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Europe</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13,794</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9,579</w:t>
            </w:r>
          </w:p>
        </w:tc>
        <w:tc>
          <w:tcPr>
            <w:tcW w:w="20" w:type="dxa"/>
            <w:vAlign w:val="bottom"/>
          </w:tcPr>
          <w:p>
            <w:pPr>
              <w:spacing w:after="0"/>
              <w:rPr>
                <w:sz w:val="21"/>
                <w:szCs w:val="21"/>
                <w:color w:val="auto"/>
              </w:rPr>
            </w:pPr>
          </w:p>
        </w:tc>
      </w:tr>
      <w:tr>
        <w:trPr>
          <w:trHeight w:val="237"/>
        </w:trPr>
        <w:tc>
          <w:tcPr>
            <w:tcW w:w="5920" w:type="dxa"/>
            <w:vAlign w:val="bottom"/>
          </w:tcPr>
          <w:p>
            <w:pPr>
              <w:ind w:left="320"/>
              <w:spacing w:after="0"/>
              <w:rPr>
                <w:sz w:val="20"/>
                <w:szCs w:val="20"/>
                <w:color w:val="auto"/>
              </w:rPr>
            </w:pPr>
            <w:r>
              <w:rPr>
                <w:rFonts w:ascii="Arial" w:cs="Arial" w:eastAsia="Arial" w:hAnsi="Arial"/>
                <w:sz w:val="18"/>
                <w:szCs w:val="18"/>
                <w:color w:val="auto"/>
              </w:rPr>
              <w:t>North America</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133,335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139,131</w:t>
            </w:r>
          </w:p>
        </w:tc>
      </w:tr>
      <w:tr>
        <w:trPr>
          <w:trHeight w:val="250"/>
        </w:trPr>
        <w:tc>
          <w:tcPr>
            <w:tcW w:w="5920" w:type="dxa"/>
            <w:vAlign w:val="bottom"/>
            <w:tcBorders>
              <w:top w:val="single" w:sz="8" w:color="C0C0C0"/>
              <w:bottom w:val="single" w:sz="8" w:color="C0C0C0"/>
            </w:tcBorders>
            <w:shd w:val="clear" w:color="auto" w:fill="C0C0C0"/>
          </w:tcPr>
          <w:p>
            <w:pPr>
              <w:spacing w:after="0"/>
              <w:rPr>
                <w:sz w:val="21"/>
                <w:szCs w:val="21"/>
                <w:color w:val="auto"/>
              </w:rPr>
            </w:pPr>
          </w:p>
        </w:tc>
        <w:tc>
          <w:tcPr>
            <w:tcW w:w="1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354,422</w:t>
            </w:r>
          </w:p>
        </w:tc>
        <w:tc>
          <w:tcPr>
            <w:tcW w:w="260" w:type="dxa"/>
            <w:vAlign w:val="bottom"/>
            <w:tcBorders>
              <w:top w:val="single" w:sz="8" w:color="C0C0C0"/>
              <w:bottom w:val="single" w:sz="8" w:color="C0C0C0"/>
            </w:tcBorders>
            <w:shd w:val="clear" w:color="auto" w:fill="C0C0C0"/>
          </w:tcPr>
          <w:p>
            <w:pPr>
              <w:spacing w:after="0"/>
              <w:rPr>
                <w:sz w:val="21"/>
                <w:szCs w:val="21"/>
                <w:color w:val="auto"/>
              </w:rPr>
            </w:pPr>
          </w:p>
        </w:tc>
        <w:tc>
          <w:tcPr>
            <w:tcW w:w="200" w:type="dxa"/>
            <w:vAlign w:val="bottom"/>
            <w:tcBorders>
              <w:top w:val="single" w:sz="8" w:color="auto"/>
              <w:bottom w:val="single" w:sz="8" w:color="auto"/>
            </w:tcBorders>
            <w:shd w:val="clear" w:color="auto" w:fill="C0C0C0"/>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347,889</w:t>
            </w:r>
          </w:p>
        </w:tc>
        <w:tc>
          <w:tcPr>
            <w:tcW w:w="20" w:type="dxa"/>
            <w:vAlign w:val="bottom"/>
          </w:tcPr>
          <w:p>
            <w:pPr>
              <w:spacing w:after="0"/>
              <w:rPr>
                <w:sz w:val="21"/>
                <w:szCs w:val="21"/>
                <w:color w:val="auto"/>
              </w:rPr>
            </w:pPr>
          </w:p>
        </w:tc>
      </w:tr>
    </w:tbl>
    <w:p>
      <w:pPr>
        <w:spacing w:after="0" w:line="262" w:lineRule="exact"/>
        <w:rPr>
          <w:sz w:val="20"/>
          <w:szCs w:val="20"/>
          <w:color w:val="auto"/>
        </w:rPr>
      </w:pPr>
    </w:p>
    <w:p>
      <w:pPr>
        <w:ind w:right="520" w:firstLine="270"/>
        <w:spacing w:after="0" w:line="268" w:lineRule="auto"/>
        <w:rPr>
          <w:sz w:val="20"/>
          <w:szCs w:val="20"/>
          <w:color w:val="auto"/>
        </w:rPr>
      </w:pPr>
      <w:r>
        <w:rPr>
          <w:rFonts w:ascii="Arial" w:cs="Arial" w:eastAsia="Arial" w:hAnsi="Arial"/>
          <w:sz w:val="18"/>
          <w:szCs w:val="18"/>
          <w:color w:val="auto"/>
        </w:rPr>
        <w:t>The Company is typically impacted during its first fiscal quarter by the North American and European holiday periods as some customers reduce their effective workdays and orders during this period.</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7"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August 1, 2010, the Company had commitments outstanding for capital expenditures of approximately $15 million.</w:t>
      </w:r>
    </w:p>
    <w:p>
      <w:pPr>
        <w:spacing w:after="0" w:line="279"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adverse effect on the business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RECENT ACCOUNTING PRONOUNCEMENTS</w:t>
      </w:r>
    </w:p>
    <w:p>
      <w:pPr>
        <w:spacing w:after="0" w:line="285"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color w:val="auto"/>
        </w:rPr>
        <w:t>In July 2010, the FASB amended its guidance on disclosures for financing receivables with the intention of providing additional information to assist financial statement users in assessing an entity's credit risk exposures and evaluating the adequacy of its credit losses. The disclosure requirements in the amended guidance that are as of the end of a reporting period are effective for interim and annual reporting periods ending on or after December 15, 2010, and the disclosures about activity that occurs during a reporting period are effective for interim and annual reporting periods beginning on or after December 15, 2010. The Company expects to provide any applicable disclosures required by this amended guidance beginning in the first quarter of its 2011 fiscal year.</w:t>
      </w:r>
    </w:p>
    <w:p>
      <w:pPr>
        <w:spacing w:after="0" w:line="224" w:lineRule="exact"/>
        <w:rPr>
          <w:sz w:val="20"/>
          <w:szCs w:val="20"/>
          <w:color w:val="auto"/>
        </w:rPr>
      </w:pPr>
    </w:p>
    <w:p>
      <w:pPr>
        <w:ind w:right="40" w:firstLine="270"/>
        <w:spacing w:after="0" w:line="288" w:lineRule="auto"/>
        <w:rPr>
          <w:sz w:val="20"/>
          <w:szCs w:val="20"/>
          <w:color w:val="auto"/>
        </w:rPr>
      </w:pPr>
      <w:r>
        <w:rPr>
          <w:rFonts w:ascii="Arial" w:cs="Arial" w:eastAsia="Arial" w:hAnsi="Arial"/>
          <w:sz w:val="16"/>
          <w:szCs w:val="16"/>
          <w:color w:val="auto"/>
        </w:rPr>
        <w:t>In September 2009, the FASB issued revised guidance for multiple-deliverable revenue arrangements. This guidance changes the criteria for separating consideration in multiple-deliverable arrangements by establishing a selling price hierarchy for determining the selling price of a deliverable. Under the revised guidance, the selling price for each deliverable in a multiple-deliverable arrangement will, in order of preference and when available, be based on vendor specific objective evidence, third party evidence, or estimated selling price. The revised guidance prescribes that an estimated selling price be determined in a manner that is consistent with that used to determine the price to sell the deliverable on a stand alone basis, eliminates the residual method of allocation, and requires that arrangement consideration be allocated at the inception of the a rrangement to all deliverables using the relative selling price method. The revised guidance also significantly expands the disclosures related to multiple-deliverable arrangements, and is effective prospectively for revenue arrangements entered into or materially modified in fiscal years beginning on or after June 15, 2010, with early adoption permitted. The Company does not expect that the adoption of the revised guidance will have a material impact on its consolidated financial statements.</w:t>
      </w:r>
    </w:p>
    <w:p>
      <w:pPr>
        <w:spacing w:after="0" w:line="228"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In June 2009, the FASB issued amended standards for determining whether to consolidate a variable interest entity. The amended standards require an enterprise to perform an analysis to determine whether its variable interest or interests give it a controlling financial interest in a variable interest entity. This analysis is performed in order to identify the primary beneficiary of the variable interest entity as being the enterprise that has certain characteristics described in the amended standards. The amended standards, in addition to other requirements, require an enterprise to assess whether it has an implicit financial responsibility to ensure that a variable interest entity operates as designed when determining whether it has the power to direct the activities of the variable interest entity that most significantly impact the entity's financial perf ormance and, mandates ongoing reassessments of whether an enterprise is the primary beneficiary of a variable interest entity. These amended standards are effective for financial statements issued for fiscal years beginning after November 15, 2009, and interim financial statements within those fiscal years. The Company is currently evaluating the impact, if any, this guidance will have on its consolidated financial statements.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5" w:lineRule="exact"/>
        <w:rPr>
          <w:sz w:val="20"/>
          <w:szCs w:val="20"/>
          <w:color w:val="auto"/>
        </w:rPr>
      </w:pPr>
    </w:p>
    <w:p>
      <w:pPr>
        <w:ind w:right="20" w:firstLine="270"/>
        <w:spacing w:after="0" w:line="298"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2009 year), that may cause actual results to materially differ from these expectations.</w:t>
      </w:r>
    </w:p>
    <w:p>
      <w:pPr>
        <w:spacing w:after="0" w:line="221" w:lineRule="exact"/>
        <w:rPr>
          <w:sz w:val="20"/>
          <w:szCs w:val="20"/>
          <w:color w:val="auto"/>
        </w:rPr>
      </w:pPr>
    </w:p>
    <w:p>
      <w:pPr>
        <w:ind w:right="20" w:firstLine="270"/>
        <w:spacing w:after="0" w:line="286"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in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In addition,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and photomask design and semiconductor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 The semiconductor industry experienced a downturn in 2008 that continued into 2009, which had a negative impact on the Company's 2009 operating results.</w:t>
      </w:r>
    </w:p>
    <w:p>
      <w:pPr>
        <w:spacing w:after="0" w:line="232"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The global semiconductor industry is driven by end markets which have been closely tied to consumer driven applications of high performance semiconductor devices including, but not limited to, communications and mobile computing solutions. The Company is typically required to fulfill its customer orders within a short period of time, sometimes within 24 hours. This results in the Company having a minimal level of backlog orders, typically one to two weeks.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Company's ability to remain succe ssful in these environments is based upon achieving its goals of being a service and technology leader, an efficient solutions supplier, and a company able to continually reinvest in its global infrastructure.</w:t>
      </w:r>
    </w:p>
    <w:p>
      <w:pPr>
        <w:spacing w:after="0" w:line="226" w:lineRule="exact"/>
        <w:rPr>
          <w:sz w:val="20"/>
          <w:szCs w:val="20"/>
          <w:color w:val="auto"/>
        </w:rPr>
      </w:pPr>
    </w:p>
    <w:p>
      <w:pPr>
        <w:ind w:right="580" w:firstLine="270"/>
        <w:spacing w:after="0" w:line="268" w:lineRule="auto"/>
        <w:rPr>
          <w:sz w:val="20"/>
          <w:szCs w:val="20"/>
          <w:color w:val="auto"/>
        </w:rPr>
      </w:pPr>
      <w:r>
        <w:rPr>
          <w:rFonts w:ascii="Arial" w:cs="Arial" w:eastAsia="Arial" w:hAnsi="Arial"/>
          <w:sz w:val="18"/>
          <w:szCs w:val="18"/>
          <w:color w:val="auto"/>
        </w:rPr>
        <w:t>The effects of the weakened global economy and the tightened credit market require the Company to continue to make significant improvements in its competitiveness. In connection therewith, the Company continues to evaluate further cost reduction initiatives.</w:t>
      </w:r>
    </w:p>
    <w:p>
      <w:pPr>
        <w:spacing w:after="0" w:line="240"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The Company's ability to comply with the financial and other covenants in its debt agreements may be affected by worsening economic or business conditions, or other events. Existing covenant restrictions limit the Company's ability to obtain additional debt financing and, should the Company be unable to meet one or more of these covenants, the Company's lenders may require the Company to repay any of its then outstanding balances prior to the expiration date of the agreements. The Company cannot assure that additional sources of financing would be available to the Company to pay off its long-term borrowings to avoid default. Should the Company default on any of its long-term borrowings, a cross default would occur on certain of its other long-term borrowings, unless amended or waived. As of August 1, 2010, the Company was in compliance with its debt covenan 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August 1, 2010 and August 2, 2009</w:t>
      </w:r>
    </w:p>
    <w:p>
      <w:pPr>
        <w:spacing w:after="0" w:line="2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represents selected operating information expressed as a percentage of net sales.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78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w w:val="96"/>
              </w:rPr>
              <w:t>Nine Months Ended</w:t>
            </w:r>
          </w:p>
        </w:tc>
      </w:tr>
      <w:tr>
        <w:trPr>
          <w:trHeight w:val="228"/>
        </w:trPr>
        <w:tc>
          <w:tcPr>
            <w:tcW w:w="5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August 1,</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August 2,</w:t>
            </w:r>
          </w:p>
        </w:tc>
        <w:tc>
          <w:tcPr>
            <w:tcW w:w="280" w:type="dxa"/>
            <w:vAlign w:val="bottom"/>
          </w:tcPr>
          <w:p>
            <w:pPr>
              <w:spacing w:after="0"/>
              <w:rPr>
                <w:sz w:val="19"/>
                <w:szCs w:val="19"/>
                <w:color w:val="auto"/>
              </w:rPr>
            </w:pPr>
          </w:p>
        </w:tc>
        <w:tc>
          <w:tcPr>
            <w:tcW w:w="10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August 1,</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August 2,</w:t>
            </w:r>
          </w:p>
        </w:tc>
      </w:tr>
      <w:tr>
        <w:trPr>
          <w:trHeight w:val="251"/>
        </w:trPr>
        <w:tc>
          <w:tcPr>
            <w:tcW w:w="510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C0C0C0"/>
            </w:tcBorders>
          </w:tcPr>
          <w:p>
            <w:pPr>
              <w:spacing w:after="0"/>
              <w:rPr>
                <w:sz w:val="21"/>
                <w:szCs w:val="21"/>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2009</w:t>
            </w:r>
          </w:p>
        </w:tc>
      </w:tr>
      <w:tr>
        <w:trPr>
          <w:trHeight w:val="243"/>
        </w:trPr>
        <w:tc>
          <w:tcPr>
            <w:tcW w:w="510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9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510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0C0C0"/>
            </w:tcBorders>
          </w:tcPr>
          <w:p>
            <w:pPr>
              <w:spacing w:after="0"/>
              <w:rPr>
                <w:sz w:val="20"/>
                <w:szCs w:val="20"/>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(76.6)</w:t>
            </w:r>
          </w:p>
        </w:tc>
        <w:tc>
          <w:tcPr>
            <w:tcW w:w="260" w:type="dxa"/>
            <w:vAlign w:val="bottom"/>
            <w:tcBorders>
              <w:bottom w:val="single" w:sz="8" w:color="C0C0C0"/>
            </w:tcBorders>
          </w:tcPr>
          <w:p>
            <w:pPr>
              <w:spacing w:after="0"/>
              <w:rPr>
                <w:sz w:val="20"/>
                <w:szCs w:val="20"/>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(81.1)</w:t>
            </w:r>
          </w:p>
        </w:tc>
        <w:tc>
          <w:tcPr>
            <w:tcW w:w="280" w:type="dxa"/>
            <w:vAlign w:val="bottom"/>
            <w:tcBorders>
              <w:bottom w:val="single" w:sz="8" w:color="C0C0C0"/>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280" w:type="dxa"/>
            <w:vAlign w:val="bottom"/>
            <w:tcBorders>
              <w:bottom w:val="single" w:sz="8" w:color="C0C0C0"/>
            </w:tcBorders>
          </w:tcPr>
          <w:p>
            <w:pPr>
              <w:spacing w:after="0"/>
              <w:rPr>
                <w:sz w:val="20"/>
                <w:szCs w:val="20"/>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(85.0)</w:t>
            </w:r>
          </w:p>
        </w:tc>
      </w:tr>
      <w:tr>
        <w:trPr>
          <w:trHeight w:val="243"/>
        </w:trPr>
        <w:tc>
          <w:tcPr>
            <w:tcW w:w="5100" w:type="dxa"/>
            <w:vAlign w:val="bottom"/>
            <w:shd w:val="clear" w:color="auto" w:fill="C0C0C0"/>
          </w:tcPr>
          <w:p>
            <w:pPr>
              <w:spacing w:after="0"/>
              <w:rPr>
                <w:sz w:val="20"/>
                <w:szCs w:val="20"/>
                <w:color w:val="auto"/>
              </w:rPr>
            </w:pPr>
            <w:r>
              <w:rPr>
                <w:rFonts w:ascii="Arial" w:cs="Arial" w:eastAsia="Arial" w:hAnsi="Arial"/>
                <w:sz w:val="18"/>
                <w:szCs w:val="18"/>
                <w:color w:val="auto"/>
              </w:rPr>
              <w:t>Gross margin</w:t>
            </w:r>
          </w:p>
        </w:tc>
        <w:tc>
          <w:tcPr>
            <w:tcW w:w="980" w:type="dxa"/>
            <w:vAlign w:val="bottom"/>
            <w:gridSpan w:val="2"/>
            <w:shd w:val="clear" w:color="auto" w:fill="C0C0C0"/>
          </w:tcPr>
          <w:p>
            <w:pPr>
              <w:jc w:val="right"/>
              <w:ind w:right="92"/>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21.1</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15.0</w:t>
            </w:r>
          </w:p>
        </w:tc>
      </w:tr>
      <w:tr>
        <w:trPr>
          <w:trHeight w:val="235"/>
        </w:trPr>
        <w:tc>
          <w:tcPr>
            <w:tcW w:w="5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gridSpan w:val="2"/>
          </w:tcPr>
          <w:p>
            <w:pPr>
              <w:jc w:val="right"/>
              <w:ind w:right="32"/>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20"/>
                <w:szCs w:val="20"/>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0"/>
                <w:szCs w:val="20"/>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(11.6)</w:t>
            </w:r>
          </w:p>
        </w:tc>
      </w:tr>
      <w:tr>
        <w:trPr>
          <w:trHeight w:val="251"/>
        </w:trPr>
        <w:tc>
          <w:tcPr>
            <w:tcW w:w="510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0C0C0"/>
          </w:tcPr>
          <w:p>
            <w:pPr>
              <w:spacing w:after="0"/>
              <w:rPr>
                <w:sz w:val="21"/>
                <w:szCs w:val="21"/>
                <w:color w:val="auto"/>
              </w:rPr>
            </w:pPr>
          </w:p>
        </w:tc>
        <w:tc>
          <w:tcPr>
            <w:tcW w:w="7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(4.4)</w:t>
            </w:r>
          </w:p>
        </w:tc>
      </w:tr>
      <w:tr>
        <w:trPr>
          <w:trHeight w:val="228"/>
        </w:trPr>
        <w:tc>
          <w:tcPr>
            <w:tcW w:w="5100" w:type="dxa"/>
            <w:vAlign w:val="bottom"/>
          </w:tcPr>
          <w:p>
            <w:pPr>
              <w:spacing w:after="0"/>
              <w:rPr>
                <w:sz w:val="20"/>
                <w:szCs w:val="20"/>
                <w:color w:val="auto"/>
              </w:rPr>
            </w:pPr>
            <w:r>
              <w:rPr>
                <w:rFonts w:ascii="Arial" w:cs="Arial" w:eastAsia="Arial" w:hAnsi="Arial"/>
                <w:sz w:val="18"/>
                <w:szCs w:val="18"/>
                <w:color w:val="auto"/>
              </w:rPr>
              <w:t>Consolidation, restructuring and related</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1"/>
        </w:trPr>
        <w:tc>
          <w:tcPr>
            <w:tcW w:w="5100" w:type="dxa"/>
            <w:vAlign w:val="bottom"/>
          </w:tcPr>
          <w:p>
            <w:pPr>
              <w:ind w:left="320"/>
              <w:spacing w:after="0"/>
              <w:rPr>
                <w:sz w:val="20"/>
                <w:szCs w:val="20"/>
                <w:color w:val="auto"/>
              </w:rPr>
            </w:pPr>
            <w:r>
              <w:rPr>
                <w:rFonts w:ascii="Arial" w:cs="Arial" w:eastAsia="Arial" w:hAnsi="Arial"/>
                <w:sz w:val="18"/>
                <w:szCs w:val="18"/>
                <w:color w:val="auto"/>
              </w:rPr>
              <w:t>(charges) credits</w:t>
            </w:r>
          </w:p>
        </w:tc>
        <w:tc>
          <w:tcPr>
            <w:tcW w:w="9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1"/>
                <w:szCs w:val="21"/>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(4.8)</w:t>
            </w:r>
          </w:p>
        </w:tc>
      </w:tr>
      <w:tr>
        <w:trPr>
          <w:trHeight w:val="251"/>
        </w:trPr>
        <w:tc>
          <w:tcPr>
            <w:tcW w:w="5100" w:type="dxa"/>
            <w:vAlign w:val="bottom"/>
            <w:shd w:val="clear" w:color="auto" w:fill="C0C0C0"/>
          </w:tcPr>
          <w:p>
            <w:pPr>
              <w:spacing w:after="0"/>
              <w:rPr>
                <w:sz w:val="20"/>
                <w:szCs w:val="20"/>
                <w:color w:val="auto"/>
              </w:rPr>
            </w:pPr>
            <w:r>
              <w:rPr>
                <w:rFonts w:ascii="Arial" w:cs="Arial" w:eastAsia="Arial" w:hAnsi="Arial"/>
                <w:sz w:val="18"/>
                <w:szCs w:val="18"/>
                <w:color w:val="auto"/>
              </w:rPr>
              <w:t>Impairment of long-lived assets</w:t>
            </w:r>
          </w:p>
        </w:tc>
        <w:tc>
          <w:tcPr>
            <w:tcW w:w="260" w:type="dxa"/>
            <w:vAlign w:val="bottom"/>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(0.5)</w:t>
            </w: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Operating income (loss)</w:t>
            </w:r>
          </w:p>
        </w:tc>
        <w:tc>
          <w:tcPr>
            <w:tcW w:w="980" w:type="dxa"/>
            <w:vAlign w:val="bottom"/>
            <w:gridSpan w:val="2"/>
          </w:tcPr>
          <w:p>
            <w:pPr>
              <w:jc w:val="right"/>
              <w:ind w:right="92"/>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(6.3)</w:t>
            </w:r>
          </w:p>
        </w:tc>
      </w:tr>
      <w:tr>
        <w:trPr>
          <w:trHeight w:val="251"/>
        </w:trPr>
        <w:tc>
          <w:tcPr>
            <w:tcW w:w="510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(8.6)</w:t>
            </w: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980" w:type="dxa"/>
            <w:vAlign w:val="bottom"/>
            <w:gridSpan w:val="2"/>
          </w:tcPr>
          <w:p>
            <w:pPr>
              <w:jc w:val="right"/>
              <w:ind w:right="92"/>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(14.9)</w:t>
            </w:r>
          </w:p>
        </w:tc>
      </w:tr>
      <w:tr>
        <w:trPr>
          <w:trHeight w:val="251"/>
        </w:trPr>
        <w:tc>
          <w:tcPr>
            <w:tcW w:w="5100" w:type="dxa"/>
            <w:vAlign w:val="bottom"/>
            <w:shd w:val="clear" w:color="auto" w:fill="C0C0C0"/>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(1.1)</w:t>
            </w: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ind w:right="92"/>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(16.0)</w:t>
            </w:r>
          </w:p>
        </w:tc>
      </w:tr>
      <w:tr>
        <w:trPr>
          <w:trHeight w:val="235"/>
        </w:trPr>
        <w:tc>
          <w:tcPr>
            <w:tcW w:w="5100" w:type="dxa"/>
            <w:vAlign w:val="bottom"/>
            <w:shd w:val="clear" w:color="auto" w:fill="C0C0C0"/>
          </w:tcPr>
          <w:p>
            <w:pPr>
              <w:spacing w:after="0"/>
              <w:rPr>
                <w:sz w:val="20"/>
                <w:szCs w:val="20"/>
                <w:color w:val="auto"/>
              </w:rPr>
            </w:pPr>
            <w:r>
              <w:rPr>
                <w:rFonts w:ascii="Arial" w:cs="Arial" w:eastAsia="Arial" w:hAnsi="Arial"/>
                <w:sz w:val="18"/>
                <w:szCs w:val="18"/>
                <w:color w:val="auto"/>
              </w:rPr>
              <w:t>Net (income) loss attributable to</w:t>
            </w:r>
          </w:p>
        </w:tc>
        <w:tc>
          <w:tcPr>
            <w:tcW w:w="26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76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r>
      <w:tr>
        <w:trPr>
          <w:trHeight w:val="259"/>
        </w:trPr>
        <w:tc>
          <w:tcPr>
            <w:tcW w:w="51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noncontrolling interests</w:t>
            </w:r>
          </w:p>
        </w:tc>
        <w:tc>
          <w:tcPr>
            <w:tcW w:w="980" w:type="dxa"/>
            <w:vAlign w:val="bottom"/>
            <w:gridSpan w:val="2"/>
            <w:shd w:val="clear" w:color="auto" w:fill="C0C0C0"/>
          </w:tcPr>
          <w:p>
            <w:pPr>
              <w:jc w:val="right"/>
              <w:ind w:right="92"/>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0C0C0"/>
          </w:tcPr>
          <w:p>
            <w:pPr>
              <w:spacing w:after="0"/>
              <w:rPr>
                <w:sz w:val="22"/>
                <w:szCs w:val="22"/>
                <w:color w:val="auto"/>
              </w:rPr>
            </w:pPr>
          </w:p>
        </w:tc>
        <w:tc>
          <w:tcPr>
            <w:tcW w:w="7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0C0C0"/>
          </w:tcPr>
          <w:p>
            <w:pPr>
              <w:spacing w:after="0"/>
              <w:rPr>
                <w:sz w:val="22"/>
                <w:szCs w:val="22"/>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0C0C0"/>
          </w:tcPr>
          <w:p>
            <w:pPr>
              <w:spacing w:after="0"/>
              <w:rPr>
                <w:sz w:val="22"/>
                <w:szCs w:val="22"/>
                <w:color w:val="auto"/>
              </w:rPr>
            </w:pPr>
          </w:p>
        </w:tc>
        <w:tc>
          <w:tcPr>
            <w:tcW w:w="7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(0.2)</w:t>
            </w:r>
          </w:p>
        </w:tc>
      </w:tr>
      <w:tr>
        <w:trPr>
          <w:trHeight w:val="221"/>
        </w:trPr>
        <w:tc>
          <w:tcPr>
            <w:tcW w:w="5100" w:type="dxa"/>
            <w:vAlign w:val="bottom"/>
          </w:tcPr>
          <w:p>
            <w:pPr>
              <w:spacing w:after="0"/>
              <w:rPr>
                <w:sz w:val="20"/>
                <w:szCs w:val="20"/>
                <w:color w:val="auto"/>
              </w:rPr>
            </w:pPr>
            <w:r>
              <w:rPr>
                <w:rFonts w:ascii="Arial" w:cs="Arial" w:eastAsia="Arial" w:hAnsi="Arial"/>
                <w:sz w:val="18"/>
                <w:szCs w:val="18"/>
                <w:color w:val="auto"/>
              </w:rPr>
              <w:t>Net income (loss) attributable to</w:t>
            </w:r>
          </w:p>
        </w:tc>
        <w:tc>
          <w:tcPr>
            <w:tcW w:w="2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66"/>
        </w:trPr>
        <w:tc>
          <w:tcPr>
            <w:tcW w:w="5100" w:type="dxa"/>
            <w:vAlign w:val="bottom"/>
          </w:tcPr>
          <w:p>
            <w:pPr>
              <w:ind w:left="320"/>
              <w:spacing w:after="0"/>
              <w:rPr>
                <w:sz w:val="20"/>
                <w:szCs w:val="20"/>
                <w:color w:val="auto"/>
              </w:rPr>
            </w:pPr>
            <w:r>
              <w:rPr>
                <w:rFonts w:ascii="Arial" w:cs="Arial" w:eastAsia="Arial" w:hAnsi="Arial"/>
                <w:sz w:val="18"/>
                <w:szCs w:val="18"/>
                <w:color w:val="auto"/>
              </w:rPr>
              <w:t>Photronics, Inc.</w:t>
            </w:r>
          </w:p>
        </w:tc>
        <w:tc>
          <w:tcPr>
            <w:tcW w:w="260" w:type="dxa"/>
            <w:vAlign w:val="bottom"/>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bl>
    <w:p>
      <w:pPr>
        <w:spacing w:after="0" w:line="262" w:lineRule="exact"/>
        <w:rPr>
          <w:sz w:val="20"/>
          <w:szCs w:val="20"/>
          <w:color w:val="auto"/>
        </w:rPr>
      </w:pPr>
    </w:p>
    <w:p>
      <w:pPr>
        <w:ind w:right="60" w:firstLine="270"/>
        <w:spacing w:after="0" w:line="268" w:lineRule="auto"/>
        <w:rPr>
          <w:sz w:val="20"/>
          <w:szCs w:val="20"/>
          <w:color w:val="auto"/>
        </w:rPr>
      </w:pPr>
      <w:r>
        <w:rPr>
          <w:rFonts w:ascii="Arial" w:cs="Arial" w:eastAsia="Arial" w:hAnsi="Arial"/>
          <w:sz w:val="18"/>
          <w:szCs w:val="18"/>
          <w:color w:val="auto"/>
        </w:rPr>
        <w:t>All of the following tabular comparisons, unless otherwise indicated, are for the three months ended August 1, 2010 (Q3-10) and August 2, 2009 (Q3-09) and for the nine months ended August 1, 2010 (YTD-10) and August 2, 2009 (YTD-09) in millions of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6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6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9"/>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360" w:type="dxa"/>
            <w:vAlign w:val="bottom"/>
            <w:gridSpan w:val="7"/>
          </w:tcPr>
          <w:p>
            <w:pPr>
              <w:jc w:val="right"/>
              <w:ind w:right="452"/>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8"/>
        </w:trPr>
        <w:tc>
          <w:tcPr>
            <w:tcW w:w="6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center"/>
              <w:ind w:left="52"/>
              <w:spacing w:after="0"/>
              <w:rPr>
                <w:sz w:val="20"/>
                <w:szCs w:val="20"/>
                <w:color w:val="auto"/>
              </w:rPr>
            </w:pPr>
            <w:r>
              <w:rPr>
                <w:rFonts w:ascii="Arial" w:cs="Arial" w:eastAsia="Arial" w:hAnsi="Arial"/>
                <w:sz w:val="18"/>
                <w:szCs w:val="18"/>
                <w:b w:val="1"/>
                <w:bCs w:val="1"/>
                <w:color w:val="auto"/>
                <w:w w:val="84"/>
              </w:rPr>
              <w:t>Percent</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Percent</w:t>
            </w:r>
          </w:p>
        </w:tc>
        <w:tc>
          <w:tcPr>
            <w:tcW w:w="0" w:type="dxa"/>
            <w:vAlign w:val="bottom"/>
          </w:tcPr>
          <w:p>
            <w:pPr>
              <w:spacing w:after="0"/>
              <w:rPr>
                <w:sz w:val="1"/>
                <w:szCs w:val="1"/>
                <w:color w:val="auto"/>
              </w:rPr>
            </w:pPr>
          </w:p>
        </w:tc>
      </w:tr>
      <w:tr>
        <w:trPr>
          <w:trHeight w:val="250"/>
        </w:trPr>
        <w:tc>
          <w:tcPr>
            <w:tcW w:w="6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b w:val="1"/>
                <w:bCs w:val="1"/>
                <w:color w:val="auto"/>
                <w:w w:val="91"/>
              </w:rPr>
              <w:t>Q3-10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b w:val="1"/>
                <w:bCs w:val="1"/>
                <w:color w:val="auto"/>
              </w:rPr>
              <w:t>Q3-09</w:t>
            </w:r>
          </w:p>
        </w:tc>
        <w:tc>
          <w:tcPr>
            <w:tcW w:w="140" w:type="dxa"/>
            <w:vAlign w:val="bottom"/>
          </w:tcPr>
          <w:p>
            <w:pPr>
              <w:spacing w:after="0"/>
              <w:rPr>
                <w:sz w:val="21"/>
                <w:szCs w:val="21"/>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Change</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YTD-10</w:t>
            </w:r>
          </w:p>
        </w:tc>
        <w:tc>
          <w:tcPr>
            <w:tcW w:w="1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YTD-09</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
        </w:trPr>
        <w:tc>
          <w:tcPr>
            <w:tcW w:w="616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IC</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160" w:type="dxa"/>
            <w:vAlign w:val="bottom"/>
            <w:vMerge w:val="continue"/>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71.7</w:t>
            </w:r>
          </w:p>
        </w:tc>
        <w:tc>
          <w:tcPr>
            <w:tcW w:w="700" w:type="dxa"/>
            <w:vAlign w:val="bottom"/>
            <w:gridSpan w:val="2"/>
            <w:shd w:val="clear" w:color="auto" w:fill="C0C0C0"/>
          </w:tcPr>
          <w:p>
            <w:pPr>
              <w:jc w:val="center"/>
              <w:ind w:left="72"/>
              <w:spacing w:after="0"/>
              <w:rPr>
                <w:sz w:val="20"/>
                <w:szCs w:val="20"/>
                <w:color w:val="auto"/>
              </w:rPr>
            </w:pPr>
            <w:r>
              <w:rPr>
                <w:rFonts w:ascii="Arial" w:cs="Arial" w:eastAsia="Arial" w:hAnsi="Arial"/>
                <w:sz w:val="18"/>
                <w:szCs w:val="18"/>
                <w:color w:val="auto"/>
                <w:w w:val="90"/>
              </w:rPr>
              <w:t>20.0%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4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244.5</w:t>
            </w:r>
          </w:p>
        </w:tc>
        <w:tc>
          <w:tcPr>
            <w:tcW w:w="34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199.1</w:t>
            </w: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5"/>
        </w:trPr>
        <w:tc>
          <w:tcPr>
            <w:tcW w:w="6160" w:type="dxa"/>
            <w:vAlign w:val="bottom"/>
          </w:tcPr>
          <w:p>
            <w:pPr>
              <w:spacing w:after="0"/>
              <w:rPr>
                <w:sz w:val="20"/>
                <w:szCs w:val="20"/>
                <w:color w:val="auto"/>
              </w:rPr>
            </w:pPr>
            <w:r>
              <w:rPr>
                <w:rFonts w:ascii="Arial" w:cs="Arial" w:eastAsia="Arial" w:hAnsi="Arial"/>
                <w:sz w:val="18"/>
                <w:szCs w:val="18"/>
                <w:color w:val="auto"/>
              </w:rPr>
              <w:t>FPD</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23.7</w:t>
            </w:r>
          </w:p>
        </w:tc>
        <w:tc>
          <w:tcPr>
            <w:tcW w:w="700" w:type="dxa"/>
            <w:vAlign w:val="bottom"/>
            <w:gridSpan w:val="2"/>
          </w:tcPr>
          <w:p>
            <w:pPr>
              <w:jc w:val="center"/>
              <w:ind w:left="72"/>
              <w:spacing w:after="0"/>
              <w:rPr>
                <w:sz w:val="20"/>
                <w:szCs w:val="20"/>
                <w:color w:val="auto"/>
              </w:rPr>
            </w:pPr>
            <w:r>
              <w:rPr>
                <w:rFonts w:ascii="Arial" w:cs="Arial" w:eastAsia="Arial" w:hAnsi="Arial"/>
                <w:sz w:val="18"/>
                <w:szCs w:val="18"/>
                <w:color w:val="auto"/>
                <w:w w:val="90"/>
              </w:rPr>
              <w:t>10.7%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
        </w:trPr>
        <w:tc>
          <w:tcPr>
            <w:tcW w:w="61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56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60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160" w:type="dxa"/>
            <w:vAlign w:val="bottom"/>
            <w:shd w:val="clear" w:color="auto" w:fill="C0C0C0"/>
          </w:tcPr>
          <w:p>
            <w:pPr>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112.3</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95.4</w:t>
            </w:r>
          </w:p>
        </w:tc>
        <w:tc>
          <w:tcPr>
            <w:tcW w:w="700" w:type="dxa"/>
            <w:vAlign w:val="bottom"/>
            <w:gridSpan w:val="2"/>
            <w:shd w:val="clear" w:color="auto" w:fill="C0C0C0"/>
          </w:tcPr>
          <w:p>
            <w:pPr>
              <w:jc w:val="center"/>
              <w:ind w:left="72"/>
              <w:spacing w:after="0"/>
              <w:rPr>
                <w:sz w:val="20"/>
                <w:szCs w:val="20"/>
                <w:color w:val="auto"/>
              </w:rPr>
            </w:pPr>
            <w:r>
              <w:rPr>
                <w:rFonts w:ascii="Arial" w:cs="Arial" w:eastAsia="Arial" w:hAnsi="Arial"/>
                <w:sz w:val="18"/>
                <w:szCs w:val="18"/>
                <w:color w:val="auto"/>
                <w:w w:val="90"/>
              </w:rPr>
              <w:t>17.7%</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4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315.5</w:t>
            </w:r>
          </w:p>
        </w:tc>
        <w:tc>
          <w:tcPr>
            <w:tcW w:w="34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266.7</w:t>
            </w: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8"/>
        </w:trPr>
        <w:tc>
          <w:tcPr>
            <w:tcW w:w="61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560" w:type="dxa"/>
            <w:vAlign w:val="bottom"/>
            <w:shd w:val="clear" w:color="auto" w:fill="C0C0C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600" w:type="dxa"/>
            <w:vAlign w:val="bottom"/>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right="80" w:firstLine="270"/>
        <w:spacing w:after="0" w:line="290" w:lineRule="auto"/>
        <w:rPr>
          <w:sz w:val="20"/>
          <w:szCs w:val="20"/>
          <w:color w:val="auto"/>
        </w:rPr>
      </w:pPr>
      <w:r>
        <w:rPr>
          <w:rFonts w:ascii="Arial" w:cs="Arial" w:eastAsia="Arial" w:hAnsi="Arial"/>
          <w:sz w:val="16"/>
          <w:szCs w:val="16"/>
          <w:color w:val="auto"/>
        </w:rPr>
        <w:t>Net sales for Q3-10 increased 17.7% to $112.3 million as compared to $95.4 million for Q3-09. The increase was primarily related to increased IC sales, mainly resulting from increased high-end unit demand, and to a lesser extent increased mainstream unit demand. FPD sales increased as a result of increased unit demand for high-end and mainstream products. Revenues attributable to high-end products were $33.6 million in Q3-10 and $21.4 million in Q3-09. High-end photomask applications, which typically have higher average selling prices (ASPs), include mask sets for 65 nanometer and below for IC products, and G7 and above technologies for FPD products. By geographic area, net sales in Q3-10 as compared to Q3-09 increased by $10.1 million or 16.7% in Asia, increased by $6.0 million or 24.4% in North America, and increased by $0.7 million or 7.2% in Europe. As a percent of total sales in Q3-10, net sales were 63% in Asia, 27% in North America, and 10% in Europe; and net sales in Q3-09 were 63% in Asia, 26% in North America, and 11% in Europe.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3" w:name="page24"/>
    <w:bookmarkEnd w:id="23"/>
    <w:p>
      <w:pPr>
        <w:ind w:right="100" w:firstLine="270"/>
        <w:spacing w:after="0" w:line="314" w:lineRule="auto"/>
        <w:rPr>
          <w:sz w:val="20"/>
          <w:szCs w:val="20"/>
          <w:color w:val="auto"/>
        </w:rPr>
      </w:pPr>
      <w:r>
        <w:rPr>
          <w:rFonts w:ascii="Arial" w:cs="Arial" w:eastAsia="Arial" w:hAnsi="Arial"/>
          <w:sz w:val="15"/>
          <w:szCs w:val="15"/>
          <w:color w:val="auto"/>
        </w:rPr>
        <w:t>Net sales for YTD-10 increased 18.3% to $315.5 million as compared to $266.7 million for YTD-09. The increase was caused by higher sales of both IC and FPD photomasks, due in part to improved overall business conditions. IC photomask sales increased $45.4 million as a result of increased units for high-end and mainstream products, and higher ASPs for high-end products. FPD photomask sales increased $3.4 million, primarily as a result of increased unit demand. The Company's quarterly revenues can be affected by the seasonal purchasing of its customers. The Company is typically impacted during the first six months of its fiscal year by the North American, European and Asian holiday periods, as some customers reduce their effective workdays and orders during this period. This seasonality was experienced to a greater than normal extent during YTD-09 as many of the Company's customers placed their fabs on extended shutd owns.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2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3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920" w:type="dxa"/>
            <w:vAlign w:val="bottom"/>
            <w:gridSpan w:val="6"/>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2080" w:type="dxa"/>
            <w:vAlign w:val="bottom"/>
            <w:gridSpan w:val="4"/>
          </w:tcPr>
          <w:p>
            <w:pPr>
              <w:ind w:left="560"/>
              <w:spacing w:after="0"/>
              <w:rPr>
                <w:sz w:val="20"/>
                <w:szCs w:val="20"/>
                <w:color w:val="auto"/>
              </w:rPr>
            </w:pPr>
            <w:r>
              <w:rPr>
                <w:rFonts w:ascii="Arial" w:cs="Arial" w:eastAsia="Arial" w:hAnsi="Arial"/>
                <w:sz w:val="18"/>
                <w:szCs w:val="18"/>
                <w:b w:val="1"/>
                <w:bCs w:val="1"/>
                <w:color w:val="auto"/>
                <w:w w:val="89"/>
              </w:rPr>
              <w:t>Nine Months Ended</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center"/>
              <w:ind w:left="192"/>
              <w:spacing w:after="0"/>
              <w:rPr>
                <w:sz w:val="20"/>
                <w:szCs w:val="20"/>
                <w:color w:val="auto"/>
              </w:rPr>
            </w:pPr>
            <w:r>
              <w:rPr>
                <w:rFonts w:ascii="Arial" w:cs="Arial" w:eastAsia="Arial" w:hAnsi="Arial"/>
                <w:sz w:val="18"/>
                <w:szCs w:val="18"/>
                <w:b w:val="1"/>
                <w:bCs w:val="1"/>
                <w:color w:val="auto"/>
                <w:w w:val="84"/>
              </w:rPr>
              <w:t>Percent</w:t>
            </w: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Percent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rPr>
              <w:t>Q3-10</w:t>
            </w:r>
          </w:p>
        </w:tc>
        <w:tc>
          <w:tcPr>
            <w:tcW w:w="28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b w:val="1"/>
                <w:bCs w:val="1"/>
                <w:color w:val="auto"/>
              </w:rPr>
              <w:t>Q3-09</w:t>
            </w: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Change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YTD-10</w:t>
            </w:r>
          </w:p>
        </w:tc>
        <w:tc>
          <w:tcPr>
            <w:tcW w:w="28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YTD-09</w:t>
            </w:r>
          </w:p>
        </w:tc>
        <w:tc>
          <w:tcPr>
            <w:tcW w:w="5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4"/>
              </w:rPr>
              <w:t>Change</w:t>
            </w:r>
          </w:p>
        </w:tc>
        <w:tc>
          <w:tcPr>
            <w:tcW w:w="0" w:type="dxa"/>
            <w:vAlign w:val="bottom"/>
          </w:tcPr>
          <w:p>
            <w:pPr>
              <w:spacing w:after="0"/>
              <w:rPr>
                <w:sz w:val="1"/>
                <w:szCs w:val="1"/>
                <w:color w:val="auto"/>
              </w:rPr>
            </w:pPr>
          </w:p>
        </w:tc>
      </w:tr>
      <w:tr>
        <w:trPr>
          <w:trHeight w:val="21"/>
        </w:trPr>
        <w:tc>
          <w:tcPr>
            <w:tcW w:w="374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Gross margin</w:t>
            </w:r>
          </w:p>
        </w:tc>
        <w:tc>
          <w:tcPr>
            <w:tcW w:w="2120" w:type="dxa"/>
            <w:vAlign w:val="bottom"/>
            <w:shd w:val="clear" w:color="auto" w:fill="C0C0C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740" w:type="dxa"/>
            <w:vAlign w:val="bottom"/>
            <w:vMerge w:val="continue"/>
            <w:shd w:val="clear" w:color="auto" w:fill="C0C0C0"/>
          </w:tcPr>
          <w:p>
            <w:pPr>
              <w:spacing w:after="0"/>
              <w:rPr>
                <w:sz w:val="21"/>
                <w:szCs w:val="21"/>
                <w:color w:val="auto"/>
              </w:rPr>
            </w:pPr>
          </w:p>
        </w:tc>
        <w:tc>
          <w:tcPr>
            <w:tcW w:w="288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   26.3</w:t>
            </w: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9"/>
              </w:rPr>
              <w:t>$   18.1</w:t>
            </w:r>
          </w:p>
        </w:tc>
        <w:tc>
          <w:tcPr>
            <w:tcW w:w="840" w:type="dxa"/>
            <w:vAlign w:val="bottom"/>
            <w:gridSpan w:val="2"/>
            <w:shd w:val="clear" w:color="auto" w:fill="C0C0C0"/>
          </w:tcPr>
          <w:p>
            <w:pPr>
              <w:jc w:val="center"/>
              <w:ind w:left="212"/>
              <w:spacing w:after="0"/>
              <w:rPr>
                <w:sz w:val="20"/>
                <w:szCs w:val="20"/>
                <w:color w:val="auto"/>
              </w:rPr>
            </w:pPr>
            <w:r>
              <w:rPr>
                <w:rFonts w:ascii="Arial" w:cs="Arial" w:eastAsia="Arial" w:hAnsi="Arial"/>
                <w:sz w:val="18"/>
                <w:szCs w:val="18"/>
                <w:color w:val="auto"/>
                <w:w w:val="90"/>
              </w:rPr>
              <w:t>45.5%</w:t>
            </w: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9"/>
              </w:rPr>
              <w:t>$   66.5</w:t>
            </w:r>
          </w:p>
        </w:tc>
        <w:tc>
          <w:tcPr>
            <w:tcW w:w="104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   40.1</w:t>
            </w:r>
          </w:p>
        </w:tc>
        <w:tc>
          <w:tcPr>
            <w:tcW w:w="280" w:type="dxa"/>
            <w:vAlign w:val="bottom"/>
            <w:shd w:val="clear" w:color="auto" w:fill="C0C0C0"/>
          </w:tcPr>
          <w:p>
            <w:pPr>
              <w:spacing w:after="0"/>
              <w:rPr>
                <w:sz w:val="21"/>
                <w:szCs w:val="21"/>
                <w:color w:val="auto"/>
              </w:rPr>
            </w:pPr>
          </w:p>
        </w:tc>
        <w:tc>
          <w:tcPr>
            <w:tcW w:w="5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0"/>
              </w:rPr>
              <w:t>66.1%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7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40" w:firstLine="270"/>
        <w:spacing w:after="0" w:line="298" w:lineRule="auto"/>
        <w:rPr>
          <w:sz w:val="20"/>
          <w:szCs w:val="20"/>
          <w:color w:val="auto"/>
        </w:rPr>
      </w:pPr>
      <w:r>
        <w:rPr>
          <w:rFonts w:ascii="Arial" w:cs="Arial" w:eastAsia="Arial" w:hAnsi="Arial"/>
          <w:sz w:val="16"/>
          <w:szCs w:val="16"/>
          <w:color w:val="auto"/>
        </w:rPr>
        <w:t>Gross margin percentage increased to 23.4% in Q3-10 from 18.9% in Q3-09 and increased to 21.1% in YTD-10 from 15.0% in YTD-09. These increases were a result of increased sales in all geographic regions, including increased high-end sales, and as a result of reduced costs associated with the 2009 closures of the Company's manufacturing facilities in Manchester, U.K., and Shanghai, China. The Company operates in a high fixed cost environment and, to the extent that the Company's revenues and utilization increase or decrease, gross margin will generally be positively or negatively impacted.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40" w:type="dxa"/>
            <w:vAlign w:val="bottom"/>
          </w:tcPr>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82"/>
        </w:trPr>
        <w:tc>
          <w:tcPr>
            <w:tcW w:w="5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6"/>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2100" w:type="dxa"/>
            <w:vAlign w:val="bottom"/>
            <w:gridSpan w:val="5"/>
          </w:tcPr>
          <w:p>
            <w:pPr>
              <w:ind w:left="600"/>
              <w:spacing w:after="0"/>
              <w:rPr>
                <w:sz w:val="20"/>
                <w:szCs w:val="20"/>
                <w:color w:val="auto"/>
              </w:rPr>
            </w:pPr>
            <w:r>
              <w:rPr>
                <w:rFonts w:ascii="Arial" w:cs="Arial" w:eastAsia="Arial" w:hAnsi="Arial"/>
                <w:sz w:val="18"/>
                <w:szCs w:val="18"/>
                <w:b w:val="1"/>
                <w:bCs w:val="1"/>
                <w:color w:val="auto"/>
                <w:w w:val="88"/>
              </w:rPr>
              <w:t>Nine Months Ended</w:t>
            </w:r>
          </w:p>
        </w:tc>
        <w:tc>
          <w:tcPr>
            <w:tcW w:w="580" w:type="dxa"/>
            <w:vAlign w:val="bottom"/>
          </w:tcPr>
          <w:p>
            <w:pPr>
              <w:spacing w:after="0"/>
              <w:rPr>
                <w:sz w:val="24"/>
                <w:szCs w:val="24"/>
                <w:color w:val="auto"/>
              </w:rPr>
            </w:pPr>
          </w:p>
        </w:tc>
      </w:tr>
      <w:tr>
        <w:trPr>
          <w:trHeight w:val="228"/>
        </w:trPr>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84"/>
              </w:rPr>
              <w:t>Percent</w:t>
            </w:r>
          </w:p>
        </w:tc>
        <w:tc>
          <w:tcPr>
            <w:tcW w:w="2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1"/>
              </w:rPr>
              <w:t>Percent</w:t>
            </w:r>
          </w:p>
        </w:tc>
      </w:tr>
      <w:tr>
        <w:trPr>
          <w:trHeight w:val="251"/>
        </w:trPr>
        <w:tc>
          <w:tcPr>
            <w:tcW w:w="5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b w:val="1"/>
                <w:bCs w:val="1"/>
                <w:color w:val="auto"/>
              </w:rPr>
              <w:t>Q3-10</w:t>
            </w:r>
          </w:p>
        </w:tc>
        <w:tc>
          <w:tcPr>
            <w:tcW w:w="260" w:type="dxa"/>
            <w:vAlign w:val="bottom"/>
          </w:tcPr>
          <w:p>
            <w:pPr>
              <w:spacing w:after="0"/>
              <w:rPr>
                <w:sz w:val="21"/>
                <w:szCs w:val="21"/>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Q3-09</w:t>
            </w: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YTD-10</w:t>
            </w:r>
          </w:p>
        </w:tc>
        <w:tc>
          <w:tcPr>
            <w:tcW w:w="260" w:type="dxa"/>
            <w:vAlign w:val="bottom"/>
          </w:tcPr>
          <w:p>
            <w:pPr>
              <w:spacing w:after="0"/>
              <w:rPr>
                <w:sz w:val="21"/>
                <w:szCs w:val="21"/>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b w:val="1"/>
                <w:bCs w:val="1"/>
                <w:color w:val="auto"/>
              </w:rPr>
              <w:t>YTD-09</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4"/>
              </w:rPr>
              <w:t>Change</w:t>
            </w:r>
          </w:p>
        </w:tc>
      </w:tr>
      <w:tr>
        <w:trPr>
          <w:trHeight w:val="228"/>
        </w:trPr>
        <w:tc>
          <w:tcPr>
            <w:tcW w:w="55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Selling, general and</w:t>
            </w:r>
          </w:p>
        </w:tc>
        <w:tc>
          <w:tcPr>
            <w:tcW w:w="260" w:type="dxa"/>
            <w:vAlign w:val="bottom"/>
            <w:tcBorders>
              <w:top w:val="single" w:sz="8" w:color="C0C0C0"/>
            </w:tcBorders>
            <w:shd w:val="clear" w:color="auto" w:fill="C0C0C0"/>
          </w:tcPr>
          <w:p>
            <w:pPr>
              <w:spacing w:after="0"/>
              <w:rPr>
                <w:sz w:val="19"/>
                <w:szCs w:val="19"/>
                <w:color w:val="auto"/>
              </w:rPr>
            </w:pPr>
          </w:p>
        </w:tc>
        <w:tc>
          <w:tcPr>
            <w:tcW w:w="78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78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60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78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78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20" w:type="dxa"/>
            <w:vAlign w:val="bottom"/>
            <w:tcBorders>
              <w:top w:val="single" w:sz="8" w:color="auto"/>
            </w:tcBorders>
            <w:shd w:val="clear" w:color="auto" w:fill="C0C0C0"/>
          </w:tcPr>
          <w:p>
            <w:pPr>
              <w:spacing w:after="0"/>
              <w:rPr>
                <w:sz w:val="19"/>
                <w:szCs w:val="19"/>
                <w:color w:val="auto"/>
              </w:rPr>
            </w:pPr>
          </w:p>
        </w:tc>
        <w:tc>
          <w:tcPr>
            <w:tcW w:w="580" w:type="dxa"/>
            <w:vAlign w:val="bottom"/>
            <w:tcBorders>
              <w:top w:val="single" w:sz="8" w:color="auto"/>
            </w:tcBorders>
            <w:shd w:val="clear" w:color="auto" w:fill="C0C0C0"/>
          </w:tcPr>
          <w:p>
            <w:pPr>
              <w:spacing w:after="0"/>
              <w:rPr>
                <w:sz w:val="19"/>
                <w:szCs w:val="19"/>
                <w:color w:val="auto"/>
              </w:rPr>
            </w:pPr>
          </w:p>
        </w:tc>
      </w:tr>
      <w:tr>
        <w:trPr>
          <w:trHeight w:val="259"/>
        </w:trPr>
        <w:tc>
          <w:tcPr>
            <w:tcW w:w="55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administrative expenses</w:t>
            </w:r>
          </w:p>
        </w:tc>
        <w:tc>
          <w:tcPr>
            <w:tcW w:w="104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   11.1</w:t>
            </w:r>
          </w:p>
        </w:tc>
        <w:tc>
          <w:tcPr>
            <w:tcW w:w="104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   10.0</w:t>
            </w:r>
          </w:p>
        </w:tc>
        <w:tc>
          <w:tcPr>
            <w:tcW w:w="260" w:type="dxa"/>
            <w:vAlign w:val="bottom"/>
            <w:shd w:val="clear" w:color="auto" w:fill="C0C0C0"/>
          </w:tcPr>
          <w:p>
            <w:pPr>
              <w:spacing w:after="0"/>
              <w:rPr>
                <w:sz w:val="22"/>
                <w:szCs w:val="22"/>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0C0C0"/>
          </w:tcPr>
          <w:p>
            <w:pPr>
              <w:spacing w:after="0"/>
              <w:rPr>
                <w:sz w:val="22"/>
                <w:szCs w:val="22"/>
                <w:color w:val="auto"/>
              </w:rPr>
            </w:pPr>
          </w:p>
        </w:tc>
        <w:tc>
          <w:tcPr>
            <w:tcW w:w="7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9"/>
              </w:rPr>
              <w:t>$   32.1</w:t>
            </w:r>
          </w:p>
        </w:tc>
        <w:tc>
          <w:tcPr>
            <w:tcW w:w="104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   31.0</w:t>
            </w:r>
          </w:p>
        </w:tc>
        <w:tc>
          <w:tcPr>
            <w:tcW w:w="26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w:t>
            </w:r>
          </w:p>
        </w:tc>
      </w:tr>
      <w:tr>
        <w:trPr>
          <w:trHeight w:val="228"/>
        </w:trPr>
        <w:tc>
          <w:tcPr>
            <w:tcW w:w="55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277" w:lineRule="exact"/>
        <w:rPr>
          <w:sz w:val="20"/>
          <w:szCs w:val="20"/>
          <w:color w:val="auto"/>
        </w:rPr>
      </w:pPr>
    </w:p>
    <w:p>
      <w:pPr>
        <w:ind w:right="720" w:firstLine="270"/>
        <w:spacing w:after="0" w:line="332" w:lineRule="auto"/>
        <w:rPr>
          <w:sz w:val="20"/>
          <w:szCs w:val="20"/>
          <w:color w:val="auto"/>
        </w:rPr>
      </w:pPr>
      <w:r>
        <w:rPr>
          <w:rFonts w:ascii="Arial" w:cs="Arial" w:eastAsia="Arial" w:hAnsi="Arial"/>
          <w:sz w:val="16"/>
          <w:szCs w:val="16"/>
          <w:color w:val="auto"/>
        </w:rPr>
        <w:t>Selling, general and administrative expenses increased by 11.1% in Q3-10 compared to Q3-09, primarily as a result of increased legal and collection expenses. Selling, general and administrative expenses increased modestly by 3.5% in YTD-10 as compared to YTD-09.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82"/>
        </w:trPr>
        <w:tc>
          <w:tcPr>
            <w:tcW w:w="5980" w:type="dxa"/>
            <w:vAlign w:val="bottom"/>
          </w:tcPr>
          <w:p>
            <w:pPr>
              <w:spacing w:after="0"/>
              <w:rPr>
                <w:sz w:val="24"/>
                <w:szCs w:val="24"/>
                <w:color w:val="auto"/>
              </w:rPr>
            </w:pPr>
          </w:p>
        </w:tc>
        <w:tc>
          <w:tcPr>
            <w:tcW w:w="276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100" w:type="dxa"/>
            <w:vAlign w:val="bottom"/>
            <w:gridSpan w:val="5"/>
          </w:tcPr>
          <w:p>
            <w:pPr>
              <w:ind w:left="600"/>
              <w:spacing w:after="0"/>
              <w:rPr>
                <w:sz w:val="20"/>
                <w:szCs w:val="20"/>
                <w:color w:val="auto"/>
              </w:rPr>
            </w:pPr>
            <w:r>
              <w:rPr>
                <w:rFonts w:ascii="Arial" w:cs="Arial" w:eastAsia="Arial" w:hAnsi="Arial"/>
                <w:sz w:val="18"/>
                <w:szCs w:val="18"/>
                <w:b w:val="1"/>
                <w:bCs w:val="1"/>
                <w:color w:val="auto"/>
                <w:w w:val="88"/>
              </w:rPr>
              <w:t>Nine Months Ended</w:t>
            </w:r>
          </w:p>
        </w:tc>
        <w:tc>
          <w:tcPr>
            <w:tcW w:w="580" w:type="dxa"/>
            <w:vAlign w:val="bottom"/>
          </w:tcPr>
          <w:p>
            <w:pPr>
              <w:spacing w:after="0"/>
              <w:rPr>
                <w:sz w:val="24"/>
                <w:szCs w:val="24"/>
                <w:color w:val="auto"/>
              </w:rPr>
            </w:pPr>
          </w:p>
        </w:tc>
      </w:tr>
      <w:tr>
        <w:trPr>
          <w:trHeight w:val="228"/>
        </w:trPr>
        <w:tc>
          <w:tcPr>
            <w:tcW w:w="59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4"/>
              </w:rPr>
              <w:t>Percent</w:t>
            </w:r>
          </w:p>
        </w:tc>
        <w:tc>
          <w:tcPr>
            <w:tcW w:w="2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1"/>
              </w:rPr>
              <w:t>Percent</w:t>
            </w:r>
          </w:p>
        </w:tc>
      </w:tr>
      <w:tr>
        <w:trPr>
          <w:trHeight w:val="251"/>
        </w:trPr>
        <w:tc>
          <w:tcPr>
            <w:tcW w:w="5980" w:type="dxa"/>
            <w:vAlign w:val="bottom"/>
            <w:tcBorders>
              <w:bottom w:val="single" w:sz="8" w:color="C0C0C0"/>
            </w:tcBorders>
          </w:tcPr>
          <w:p>
            <w:pPr>
              <w:spacing w:after="0"/>
              <w:rPr>
                <w:sz w:val="21"/>
                <w:szCs w:val="21"/>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Q3-10</w:t>
            </w:r>
          </w:p>
        </w:tc>
        <w:tc>
          <w:tcPr>
            <w:tcW w:w="280" w:type="dxa"/>
            <w:vAlign w:val="bottom"/>
            <w:tcBorders>
              <w:bottom w:val="single" w:sz="8" w:color="C0C0C0"/>
            </w:tcBorders>
          </w:tcPr>
          <w:p>
            <w:pPr>
              <w:spacing w:after="0"/>
              <w:rPr>
                <w:sz w:val="21"/>
                <w:szCs w:val="21"/>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Q3-09</w:t>
            </w:r>
          </w:p>
        </w:tc>
        <w:tc>
          <w:tcPr>
            <w:tcW w:w="280" w:type="dxa"/>
            <w:vAlign w:val="bottom"/>
            <w:tcBorders>
              <w:bottom w:val="single" w:sz="8" w:color="C0C0C0"/>
            </w:tcBorders>
          </w:tcPr>
          <w:p>
            <w:pPr>
              <w:spacing w:after="0"/>
              <w:rPr>
                <w:sz w:val="21"/>
                <w:szCs w:val="21"/>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Change</w:t>
            </w:r>
          </w:p>
        </w:tc>
        <w:tc>
          <w:tcPr>
            <w:tcW w:w="260" w:type="dxa"/>
            <w:vAlign w:val="bottom"/>
            <w:tcBorders>
              <w:bottom w:val="single" w:sz="8" w:color="C0C0C0"/>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YTD-10</w:t>
            </w:r>
          </w:p>
        </w:tc>
        <w:tc>
          <w:tcPr>
            <w:tcW w:w="260" w:type="dxa"/>
            <w:vAlign w:val="bottom"/>
            <w:tcBorders>
              <w:bottom w:val="single" w:sz="8" w:color="C0C0C0"/>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YTD-09</w:t>
            </w:r>
          </w:p>
        </w:tc>
        <w:tc>
          <w:tcPr>
            <w:tcW w:w="260" w:type="dxa"/>
            <w:vAlign w:val="bottom"/>
            <w:tcBorders>
              <w:bottom w:val="single" w:sz="8" w:color="C0C0C0"/>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Change</w:t>
            </w:r>
          </w:p>
        </w:tc>
      </w:tr>
      <w:tr>
        <w:trPr>
          <w:trHeight w:val="243"/>
        </w:trPr>
        <w:tc>
          <w:tcPr>
            <w:tcW w:w="598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   3.4</w:t>
            </w:r>
          </w:p>
        </w:tc>
        <w:tc>
          <w:tcPr>
            <w:tcW w:w="96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   3.9</w:t>
            </w:r>
          </w:p>
        </w:tc>
        <w:tc>
          <w:tcPr>
            <w:tcW w:w="2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0"/>
                <w:szCs w:val="20"/>
                <w:color w:val="auto"/>
              </w:rPr>
            </w:pPr>
            <w:r>
              <w:rPr>
                <w:rFonts w:ascii="Arial" w:cs="Arial" w:eastAsia="Arial" w:hAnsi="Arial"/>
                <w:sz w:val="18"/>
                <w:szCs w:val="18"/>
                <w:color w:val="auto"/>
                <w:w w:val="88"/>
              </w:rPr>
              <w:t>(11.1)%</w:t>
            </w:r>
          </w:p>
        </w:tc>
        <w:tc>
          <w:tcPr>
            <w:tcW w:w="26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9"/>
              </w:rPr>
              <w:t>$   11.0</w:t>
            </w:r>
          </w:p>
        </w:tc>
        <w:tc>
          <w:tcPr>
            <w:tcW w:w="104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   11.7</w:t>
            </w:r>
          </w:p>
        </w:tc>
        <w:tc>
          <w:tcPr>
            <w:tcW w:w="26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(5.8)%</w:t>
            </w:r>
          </w:p>
        </w:tc>
      </w:tr>
      <w:tr>
        <w:trPr>
          <w:trHeight w:val="228"/>
        </w:trPr>
        <w:tc>
          <w:tcPr>
            <w:tcW w:w="598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277" w:lineRule="exact"/>
        <w:rPr>
          <w:sz w:val="20"/>
          <w:szCs w:val="20"/>
          <w:color w:val="auto"/>
        </w:rPr>
      </w:pPr>
    </w:p>
    <w:p>
      <w:pPr>
        <w:ind w:right="20" w:firstLine="270"/>
        <w:spacing w:after="0" w:line="284" w:lineRule="auto"/>
        <w:rPr>
          <w:sz w:val="20"/>
          <w:szCs w:val="20"/>
          <w:color w:val="auto"/>
        </w:rPr>
      </w:pPr>
      <w:r>
        <w:rPr>
          <w:rFonts w:ascii="Arial" w:cs="Arial" w:eastAsia="Arial" w:hAnsi="Arial"/>
          <w:sz w:val="16"/>
          <w:szCs w:val="16"/>
          <w:color w:val="auto"/>
        </w:rPr>
        <w:t>Research and development expenses consist primarily of global development efforts relating to high-end process technologies for advanced sub-wavelength reticle solutions for IC and FPD technologies. Research and development expenses decreased by $0.5 million to $3.4 million in Q3-10, as compared to $3.9 million in Q3-09. On a YTD basis, research and development expenses decreased $0.7 million to $11.0 million in YTD-10, as compared to $11.7 million in YTD-</w:t>
      </w:r>
    </w:p>
    <w:p>
      <w:pPr>
        <w:spacing w:after="0" w:line="1" w:lineRule="exact"/>
        <w:rPr>
          <w:sz w:val="20"/>
          <w:szCs w:val="20"/>
          <w:color w:val="auto"/>
        </w:rPr>
      </w:pPr>
    </w:p>
    <w:p>
      <w:pPr>
        <w:ind w:right="160" w:firstLine="8"/>
        <w:spacing w:after="0" w:line="261" w:lineRule="auto"/>
        <w:tabs>
          <w:tab w:leader="none" w:pos="26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reduction in research and development expenses in Q3-10 and YTD-10 as compared to the same periods in the prior year were primarily due to reduced expenditures in the U.S.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2"/>
        </w:trPr>
        <w:tc>
          <w:tcPr>
            <w:tcW w:w="5480" w:type="dxa"/>
            <w:vAlign w:val="bottom"/>
          </w:tcPr>
          <w:p>
            <w:pPr>
              <w:spacing w:after="0"/>
              <w:rPr>
                <w:sz w:val="20"/>
                <w:szCs w:val="20"/>
                <w:color w:val="auto"/>
              </w:rPr>
            </w:pPr>
            <w:r>
              <w:rPr>
                <w:rFonts w:ascii="Arial" w:cs="Arial" w:eastAsia="Arial" w:hAnsi="Arial"/>
                <w:sz w:val="18"/>
                <w:szCs w:val="18"/>
                <w:b w:val="1"/>
                <w:bCs w:val="1"/>
                <w:i w:val="1"/>
                <w:iCs w:val="1"/>
                <w:color w:val="auto"/>
              </w:rPr>
              <w:t>Consolidation, Restructuring and Related Charges (Credits)</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2"/>
        </w:trPr>
        <w:tc>
          <w:tcPr>
            <w:tcW w:w="5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w:t>
            </w:r>
          </w:p>
        </w:tc>
        <w:tc>
          <w:tcPr>
            <w:tcW w:w="1580" w:type="dxa"/>
            <w:vAlign w:val="bottom"/>
            <w:gridSpan w:val="6"/>
          </w:tcPr>
          <w:p>
            <w:pPr>
              <w:ind w:left="20"/>
              <w:spacing w:after="0"/>
              <w:rPr>
                <w:sz w:val="20"/>
                <w:szCs w:val="20"/>
                <w:color w:val="auto"/>
              </w:rPr>
            </w:pPr>
            <w:r>
              <w:rPr>
                <w:rFonts w:ascii="Arial" w:cs="Arial" w:eastAsia="Arial" w:hAnsi="Arial"/>
                <w:sz w:val="18"/>
                <w:szCs w:val="18"/>
                <w:b w:val="1"/>
                <w:bCs w:val="1"/>
                <w:color w:val="auto"/>
                <w:w w:val="91"/>
              </w:rPr>
              <w:t>Nine Months Ended</w:t>
            </w:r>
          </w:p>
        </w:tc>
      </w:tr>
      <w:tr>
        <w:trPr>
          <w:trHeight w:val="237"/>
        </w:trPr>
        <w:tc>
          <w:tcPr>
            <w:tcW w:w="548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91"/>
              </w:rPr>
              <w:t>Q3-10</w:t>
            </w:r>
          </w:p>
        </w:tc>
        <w:tc>
          <w:tcPr>
            <w:tcW w:w="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0C0C0"/>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Q3-09</w:t>
            </w:r>
          </w:p>
        </w:tc>
        <w:tc>
          <w:tcPr>
            <w:tcW w:w="280" w:type="dxa"/>
            <w:vAlign w:val="bottom"/>
            <w:tcBorders>
              <w:bottom w:val="single" w:sz="8" w:color="C0C0C0"/>
            </w:tcBorders>
          </w:tcPr>
          <w:p>
            <w:pPr>
              <w:spacing w:after="0"/>
              <w:rPr>
                <w:sz w:val="20"/>
                <w:szCs w:val="20"/>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YTD-10</w:t>
            </w:r>
          </w:p>
        </w:tc>
        <w:tc>
          <w:tcPr>
            <w:tcW w:w="280" w:type="dxa"/>
            <w:vAlign w:val="bottom"/>
            <w:tcBorders>
              <w:top w:val="single" w:sz="8" w:color="auto"/>
              <w:bottom w:val="single" w:sz="8" w:color="C0C0C0"/>
            </w:tcBorders>
          </w:tcPr>
          <w:p>
            <w:pPr>
              <w:spacing w:after="0"/>
              <w:rPr>
                <w:sz w:val="20"/>
                <w:szCs w:val="20"/>
                <w:color w:val="auto"/>
              </w:rPr>
            </w:pPr>
          </w:p>
        </w:tc>
        <w:tc>
          <w:tcPr>
            <w:tcW w:w="6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YTD-09</w:t>
            </w:r>
          </w:p>
        </w:tc>
        <w:tc>
          <w:tcPr>
            <w:tcW w:w="20" w:type="dxa"/>
            <w:vAlign w:val="bottom"/>
          </w:tcPr>
          <w:p>
            <w:pPr>
              <w:spacing w:after="0"/>
              <w:rPr>
                <w:sz w:val="20"/>
                <w:szCs w:val="20"/>
                <w:color w:val="auto"/>
              </w:rPr>
            </w:pPr>
          </w:p>
        </w:tc>
      </w:tr>
      <w:tr>
        <w:trPr>
          <w:trHeight w:val="243"/>
        </w:trPr>
        <w:tc>
          <w:tcPr>
            <w:tcW w:w="5480" w:type="dxa"/>
            <w:vAlign w:val="bottom"/>
            <w:shd w:val="clear" w:color="auto" w:fill="C0C0C0"/>
          </w:tcPr>
          <w:p>
            <w:pPr>
              <w:spacing w:after="0"/>
              <w:rPr>
                <w:sz w:val="20"/>
                <w:szCs w:val="20"/>
                <w:color w:val="auto"/>
              </w:rPr>
            </w:pPr>
            <w:r>
              <w:rPr>
                <w:rFonts w:ascii="Arial" w:cs="Arial" w:eastAsia="Arial" w:hAnsi="Arial"/>
                <w:sz w:val="18"/>
                <w:szCs w:val="18"/>
                <w:color w:val="auto"/>
              </w:rPr>
              <w:t>Asset write-downs</w:t>
            </w:r>
          </w:p>
        </w:tc>
        <w:tc>
          <w:tcPr>
            <w:tcW w:w="82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0C0C0"/>
          </w:tcPr>
          <w:p>
            <w:pPr>
              <w:jc w:val="right"/>
              <w:spacing w:after="0"/>
              <w:rPr>
                <w:sz w:val="20"/>
                <w:szCs w:val="20"/>
                <w:color w:val="auto"/>
              </w:rPr>
            </w:pPr>
            <w:r>
              <w:rPr>
                <w:rFonts w:ascii="Arial" w:cs="Arial" w:eastAsia="Arial" w:hAnsi="Arial"/>
                <w:sz w:val="16"/>
                <w:szCs w:val="16"/>
                <w:color w:val="auto"/>
                <w:w w:val="74"/>
              </w:rPr>
              <w:t>-</w:t>
            </w:r>
          </w:p>
        </w:tc>
        <w:tc>
          <w:tcPr>
            <w:tcW w:w="52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1"/>
                <w:szCs w:val="21"/>
                <w:color w:val="auto"/>
              </w:rPr>
            </w:pPr>
          </w:p>
        </w:tc>
      </w:tr>
      <w:tr>
        <w:trPr>
          <w:trHeight w:val="235"/>
        </w:trPr>
        <w:tc>
          <w:tcPr>
            <w:tcW w:w="5480" w:type="dxa"/>
            <w:vAlign w:val="bottom"/>
          </w:tcPr>
          <w:p>
            <w:pPr>
              <w:spacing w:after="0"/>
              <w:rPr>
                <w:sz w:val="20"/>
                <w:szCs w:val="20"/>
                <w:color w:val="auto"/>
              </w:rPr>
            </w:pPr>
            <w:r>
              <w:rPr>
                <w:rFonts w:ascii="Arial" w:cs="Arial" w:eastAsia="Arial" w:hAnsi="Arial"/>
                <w:sz w:val="18"/>
                <w:szCs w:val="18"/>
                <w:color w:val="auto"/>
              </w:rPr>
              <w:t>Net gain on sales of assets</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1"/>
        </w:trPr>
        <w:tc>
          <w:tcPr>
            <w:tcW w:w="5480" w:type="dxa"/>
            <w:vAlign w:val="bottom"/>
            <w:shd w:val="clear" w:color="auto" w:fill="C0C0C0"/>
          </w:tcPr>
          <w:p>
            <w:pPr>
              <w:spacing w:after="0"/>
              <w:rPr>
                <w:sz w:val="20"/>
                <w:szCs w:val="20"/>
                <w:color w:val="auto"/>
              </w:rPr>
            </w:pPr>
            <w:r>
              <w:rPr>
                <w:rFonts w:ascii="Arial" w:cs="Arial" w:eastAsia="Arial" w:hAnsi="Arial"/>
                <w:sz w:val="18"/>
                <w:szCs w:val="18"/>
                <w:color w:val="auto"/>
              </w:rPr>
              <w:t>Employee terminations</w:t>
            </w:r>
          </w:p>
        </w:tc>
        <w:tc>
          <w:tcPr>
            <w:tcW w:w="26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60" w:type="dxa"/>
            <w:vAlign w:val="bottom"/>
            <w:shd w:val="clear" w:color="auto" w:fill="C0C0C0"/>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r>
      <w:tr>
        <w:trPr>
          <w:trHeight w:val="250"/>
        </w:trPr>
        <w:tc>
          <w:tcPr>
            <w:tcW w:w="548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28"/>
        </w:trPr>
        <w:tc>
          <w:tcPr>
            <w:tcW w:w="548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 consolidation, restructuring</w:t>
            </w:r>
          </w:p>
        </w:tc>
        <w:tc>
          <w:tcPr>
            <w:tcW w:w="260" w:type="dxa"/>
            <w:vAlign w:val="bottom"/>
            <w:tcBorders>
              <w:top w:val="single" w:sz="8" w:color="C0C0C0"/>
            </w:tcBorders>
            <w:shd w:val="clear" w:color="auto" w:fill="C0C0C0"/>
          </w:tcPr>
          <w:p>
            <w:pPr>
              <w:spacing w:after="0"/>
              <w:rPr>
                <w:sz w:val="19"/>
                <w:szCs w:val="19"/>
                <w:color w:val="auto"/>
              </w:rPr>
            </w:pPr>
          </w:p>
        </w:tc>
        <w:tc>
          <w:tcPr>
            <w:tcW w:w="560" w:type="dxa"/>
            <w:vAlign w:val="bottom"/>
            <w:tcBorders>
              <w:top w:val="single" w:sz="8" w:color="auto"/>
            </w:tcBorders>
            <w:shd w:val="clear" w:color="auto" w:fill="C0C0C0"/>
          </w:tcPr>
          <w:p>
            <w:pPr>
              <w:spacing w:after="0"/>
              <w:rPr>
                <w:sz w:val="19"/>
                <w:szCs w:val="19"/>
                <w:color w:val="auto"/>
              </w:rPr>
            </w:pPr>
          </w:p>
        </w:tc>
        <w:tc>
          <w:tcPr>
            <w:tcW w:w="60" w:type="dxa"/>
            <w:vAlign w:val="bottom"/>
            <w:tcBorders>
              <w:top w:val="single" w:sz="8" w:color="auto"/>
            </w:tcBorders>
            <w:shd w:val="clear" w:color="auto" w:fill="C0C0C0"/>
          </w:tcPr>
          <w:p>
            <w:pPr>
              <w:spacing w:after="0"/>
              <w:rPr>
                <w:sz w:val="19"/>
                <w:szCs w:val="19"/>
                <w:color w:val="auto"/>
              </w:rPr>
            </w:pPr>
          </w:p>
        </w:tc>
        <w:tc>
          <w:tcPr>
            <w:tcW w:w="320" w:type="dxa"/>
            <w:vAlign w:val="bottom"/>
            <w:tcBorders>
              <w:top w:val="single" w:sz="8" w:color="C0C0C0"/>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42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46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420" w:type="dxa"/>
            <w:vAlign w:val="bottom"/>
            <w:tcBorders>
              <w:top w:val="single" w:sz="8" w:color="auto"/>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58"/>
        </w:trPr>
        <w:tc>
          <w:tcPr>
            <w:tcW w:w="54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and related charges (credits)</w:t>
            </w:r>
          </w:p>
        </w:tc>
        <w:tc>
          <w:tcPr>
            <w:tcW w:w="260" w:type="dxa"/>
            <w:vAlign w:val="bottom"/>
            <w:shd w:val="clear" w:color="auto" w:fill="C0C0C0"/>
          </w:tcPr>
          <w:p>
            <w:pPr>
              <w:spacing w:after="0"/>
              <w:rPr>
                <w:sz w:val="22"/>
                <w:szCs w:val="22"/>
                <w:color w:val="auto"/>
              </w:rPr>
            </w:pPr>
          </w:p>
        </w:tc>
        <w:tc>
          <w:tcPr>
            <w:tcW w:w="5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0C0C0"/>
          </w:tcPr>
          <w:p>
            <w:pPr>
              <w:jc w:val="right"/>
              <w:spacing w:after="0"/>
              <w:rPr>
                <w:sz w:val="20"/>
                <w:szCs w:val="20"/>
                <w:color w:val="auto"/>
              </w:rPr>
            </w:pPr>
            <w:r>
              <w:rPr>
                <w:rFonts w:ascii="Arial" w:cs="Arial" w:eastAsia="Arial" w:hAnsi="Arial"/>
                <w:sz w:val="16"/>
                <w:szCs w:val="16"/>
                <w:color w:val="auto"/>
                <w:w w:val="74"/>
              </w:rPr>
              <w:t>-</w:t>
            </w:r>
          </w:p>
        </w:tc>
        <w:tc>
          <w:tcPr>
            <w:tcW w:w="52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2"/>
                <w:szCs w:val="22"/>
                <w:color w:val="auto"/>
              </w:rPr>
            </w:pPr>
          </w:p>
        </w:tc>
      </w:tr>
      <w:tr>
        <w:trPr>
          <w:trHeight w:val="28"/>
        </w:trPr>
        <w:tc>
          <w:tcPr>
            <w:tcW w:w="548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Shanghai, China, Facility</w:t>
      </w:r>
    </w:p>
    <w:p>
      <w:pPr>
        <w:spacing w:after="0" w:line="279" w:lineRule="exact"/>
        <w:rPr>
          <w:sz w:val="20"/>
          <w:szCs w:val="20"/>
          <w:color w:val="auto"/>
        </w:rPr>
      </w:pPr>
    </w:p>
    <w:p>
      <w:pPr>
        <w:ind w:right="120" w:firstLine="270"/>
        <w:spacing w:after="0" w:line="256" w:lineRule="auto"/>
        <w:rPr>
          <w:sz w:val="20"/>
          <w:szCs w:val="20"/>
          <w:color w:val="auto"/>
        </w:rPr>
      </w:pPr>
      <w:r>
        <w:rPr>
          <w:rFonts w:ascii="Arial" w:cs="Arial" w:eastAsia="Arial" w:hAnsi="Arial"/>
          <w:sz w:val="18"/>
          <w:szCs w:val="18"/>
          <w:color w:val="auto"/>
        </w:rPr>
        <w:t>During the three months ended August 2, 2009, the Company ceased the manufacture of photomasks at its Shanghai, China, facility. In connection with this restructuring, which was substantially completed during the three month period ended August 1, 2010, the Company has recorded total net charges of $5.4 million, including $4.2 million of net asset write-downs. The fair value of the assets written down was determined by management using a market approach. Approximately 75 employees were affected by this restructuring.</w:t>
      </w:r>
    </w:p>
    <w:p>
      <w:pPr>
        <w:spacing w:after="0" w:line="251" w:lineRule="exact"/>
        <w:rPr>
          <w:sz w:val="20"/>
          <w:szCs w:val="20"/>
          <w:color w:val="auto"/>
        </w:rPr>
      </w:pPr>
    </w:p>
    <w:p>
      <w:pPr>
        <w:ind w:right="140" w:firstLine="270"/>
        <w:spacing w:after="0" w:line="256" w:lineRule="auto"/>
        <w:rPr>
          <w:sz w:val="20"/>
          <w:szCs w:val="20"/>
          <w:color w:val="auto"/>
        </w:rPr>
      </w:pPr>
      <w:r>
        <w:rPr>
          <w:rFonts w:ascii="Arial" w:cs="Arial" w:eastAsia="Arial" w:hAnsi="Arial"/>
          <w:sz w:val="18"/>
          <w:szCs w:val="18"/>
          <w:color w:val="auto"/>
        </w:rPr>
        <w:t>The Company recorded an initial restructuring charge of $10.1 million during the three month period ended August 2, 2009, which included $7.7 million to write down the carrying value of the Company's Shanghai manufacturing facility to its estimated fair value at that time. During the three months ended May 2, 2010, the Company sold its facility in Shanghai, China, for net proceeds of $12.9 million which resulted in a gain of $5.2 million. This gain was recorded as a credit to the restructuring reserve during the three months ended May 2,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Manchester, U.K., Facility</w:t>
      </w:r>
    </w:p>
    <w:p>
      <w:pPr>
        <w:spacing w:after="0" w:line="279"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During the three months ended February 1, 2009, the Company ceased the manufacture of photomasks at its Manchester, U.K., facility, and in connection therewith incurred total restructuring charges of $3.3 million through its completion in the fourth quarter of fiscal 2009, primarily for employee termination costs and asset write-downs. Approximately 85 employees were affected by this restructuring.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4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82"/>
        </w:trPr>
        <w:tc>
          <w:tcPr>
            <w:tcW w:w="5440" w:type="dxa"/>
            <w:vAlign w:val="bottom"/>
          </w:tcPr>
          <w:p>
            <w:pPr>
              <w:spacing w:after="0"/>
              <w:rPr>
                <w:sz w:val="24"/>
                <w:szCs w:val="2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8"/>
                <w:szCs w:val="18"/>
                <w:b w:val="1"/>
                <w:bCs w:val="1"/>
                <w:color w:val="auto"/>
                <w:w w:val="89"/>
              </w:rPr>
              <w:t>Nine Months Ended</w:t>
            </w:r>
          </w:p>
        </w:tc>
      </w:tr>
      <w:tr>
        <w:trPr>
          <w:trHeight w:val="237"/>
        </w:trPr>
        <w:tc>
          <w:tcPr>
            <w:tcW w:w="54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7"/>
              </w:rPr>
              <w:t>Q3-10</w:t>
            </w: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5"/>
              </w:rPr>
              <w:t>Q3-09</w:t>
            </w:r>
          </w:p>
        </w:tc>
        <w:tc>
          <w:tcPr>
            <w:tcW w:w="260" w:type="dxa"/>
            <w:vAlign w:val="bottom"/>
            <w:tcBorders>
              <w:bottom w:val="single" w:sz="8" w:color="C0C0C0"/>
            </w:tcBorders>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YTD-10</w:t>
            </w:r>
          </w:p>
        </w:tc>
        <w:tc>
          <w:tcPr>
            <w:tcW w:w="260" w:type="dxa"/>
            <w:vAlign w:val="bottom"/>
            <w:tcBorders>
              <w:bottom w:val="single" w:sz="8" w:color="C0C0C0"/>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YTD-09</w:t>
            </w:r>
          </w:p>
        </w:tc>
      </w:tr>
      <w:tr>
        <w:trPr>
          <w:trHeight w:val="243"/>
        </w:trPr>
        <w:tc>
          <w:tcPr>
            <w:tcW w:w="5440" w:type="dxa"/>
            <w:vAlign w:val="bottom"/>
            <w:shd w:val="clear" w:color="auto" w:fill="C0C0C0"/>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(14.4)</w:t>
            </w:r>
          </w:p>
        </w:tc>
      </w:tr>
      <w:tr>
        <w:trPr>
          <w:trHeight w:val="228"/>
        </w:trPr>
        <w:tc>
          <w:tcPr>
            <w:tcW w:w="5440" w:type="dxa"/>
            <w:vAlign w:val="bottom"/>
          </w:tcPr>
          <w:p>
            <w:pPr>
              <w:spacing w:after="0"/>
              <w:rPr>
                <w:sz w:val="20"/>
                <w:szCs w:val="20"/>
                <w:color w:val="auto"/>
              </w:rPr>
            </w:pPr>
            <w:r>
              <w:rPr>
                <w:rFonts w:ascii="Arial" w:cs="Arial" w:eastAsia="Arial" w:hAnsi="Arial"/>
                <w:sz w:val="18"/>
                <w:szCs w:val="18"/>
                <w:color w:val="auto"/>
              </w:rPr>
              <w:t>Investment and other</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52"/>
        </w:trPr>
        <w:tc>
          <w:tcPr>
            <w:tcW w:w="54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income (expense), net</w:t>
            </w: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50"/>
        </w:trPr>
        <w:tc>
          <w:tcPr>
            <w:tcW w:w="54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(22.8)</w:t>
            </w:r>
          </w:p>
        </w:tc>
      </w:tr>
    </w:tbl>
    <w:p>
      <w:pPr>
        <w:spacing w:after="0" w:line="262"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Interest expense decreased in Q3-10 as compared to Q3-09 and in YTD-10 as compared to YTD-09, primarily as a result of lower debt levels, and lower average interest rates on the Company's long-term borrowings. In addition, the Company incurred significantly higher amortization of deferred financing fees in the prior year periods, that were related to amendments to its credit facility. Interest expense in YTD-10 includes $1.0 million related to the write-off of deferred financing fees in connection with an amendment to the Company’s credit facility. The outstanding balance of the Company's variable rate debt and related higher interest costs were reduced substantially during the three month period ended November 1, 2009, with net proceeds from its common stock and convertible debt offerings.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617" w:right="319" w:bottom="1440" w:gutter="0" w:footer="0" w:header="0"/>
        </w:sectPr>
      </w:pPr>
    </w:p>
    <w:bookmarkStart w:id="25" w:name="page26"/>
    <w:bookmarkEnd w:id="25"/>
    <w:p>
      <w:pPr>
        <w:jc w:val="both"/>
        <w:ind w:right="400" w:firstLine="270"/>
        <w:spacing w:after="0" w:line="370" w:lineRule="auto"/>
        <w:rPr>
          <w:sz w:val="20"/>
          <w:szCs w:val="20"/>
          <w:color w:val="auto"/>
        </w:rPr>
      </w:pPr>
      <w:r>
        <w:rPr>
          <w:rFonts w:ascii="Arial" w:cs="Arial" w:eastAsia="Arial" w:hAnsi="Arial"/>
          <w:sz w:val="15"/>
          <w:szCs w:val="15"/>
          <w:color w:val="auto"/>
        </w:rPr>
        <w:t>Investment and other income (expense), net, increased in Q3-10 and in YTD-10 as compared to the same periods in the prior year. These increases were primarily due to improved foreign currency transaction results, and more favorable fair value adjustments related to the Company’s common stock warrants.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2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82"/>
        </w:trPr>
        <w:tc>
          <w:tcPr>
            <w:tcW w:w="5320" w:type="dxa"/>
            <w:vAlign w:val="bottom"/>
          </w:tcPr>
          <w:p>
            <w:pPr>
              <w:spacing w:after="0"/>
              <w:rPr>
                <w:sz w:val="24"/>
                <w:szCs w:val="24"/>
                <w:color w:val="auto"/>
              </w:rPr>
            </w:pPr>
          </w:p>
        </w:tc>
        <w:tc>
          <w:tcPr>
            <w:tcW w:w="220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620" w:type="dxa"/>
            <w:vAlign w:val="bottom"/>
            <w:gridSpan w:val="3"/>
          </w:tcPr>
          <w:p>
            <w:pPr>
              <w:ind w:left="60"/>
              <w:spacing w:after="0"/>
              <w:rPr>
                <w:sz w:val="20"/>
                <w:szCs w:val="20"/>
                <w:color w:val="auto"/>
              </w:rPr>
            </w:pPr>
            <w:r>
              <w:rPr>
                <w:rFonts w:ascii="Arial" w:cs="Arial" w:eastAsia="Arial" w:hAnsi="Arial"/>
                <w:sz w:val="18"/>
                <w:szCs w:val="18"/>
                <w:b w:val="1"/>
                <w:bCs w:val="1"/>
                <w:color w:val="auto"/>
                <w:w w:val="91"/>
              </w:rPr>
              <w:t>Nine Months Ended</w:t>
            </w:r>
          </w:p>
        </w:tc>
      </w:tr>
      <w:tr>
        <w:trPr>
          <w:trHeight w:val="237"/>
        </w:trPr>
        <w:tc>
          <w:tcPr>
            <w:tcW w:w="5320" w:type="dxa"/>
            <w:vAlign w:val="bottom"/>
            <w:tcBorders>
              <w:bottom w:val="single" w:sz="8" w:color="C0C0C0"/>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Q3-10</w:t>
            </w:r>
          </w:p>
        </w:tc>
        <w:tc>
          <w:tcPr>
            <w:tcW w:w="260" w:type="dxa"/>
            <w:vAlign w:val="bottom"/>
            <w:tcBorders>
              <w:top w:val="single" w:sz="8" w:color="auto"/>
              <w:bottom w:val="single" w:sz="8" w:color="C0C0C0"/>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Q3-09</w:t>
            </w:r>
          </w:p>
        </w:tc>
        <w:tc>
          <w:tcPr>
            <w:tcW w:w="280" w:type="dxa"/>
            <w:vAlign w:val="bottom"/>
            <w:tcBorders>
              <w:bottom w:val="single" w:sz="8" w:color="C0C0C0"/>
            </w:tcBorders>
          </w:tcPr>
          <w:p>
            <w:pPr>
              <w:spacing w:after="0"/>
              <w:rPr>
                <w:sz w:val="20"/>
                <w:szCs w:val="20"/>
                <w:color w:val="auto"/>
              </w:rPr>
            </w:pPr>
          </w:p>
        </w:tc>
        <w:tc>
          <w:tcPr>
            <w:tcW w:w="6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YTD-10</w:t>
            </w:r>
          </w:p>
        </w:tc>
        <w:tc>
          <w:tcPr>
            <w:tcW w:w="260" w:type="dxa"/>
            <w:vAlign w:val="bottom"/>
            <w:tcBorders>
              <w:top w:val="single" w:sz="8" w:color="auto"/>
              <w:bottom w:val="single" w:sz="8" w:color="C0C0C0"/>
            </w:tcBorders>
          </w:tcPr>
          <w:p>
            <w:pPr>
              <w:spacing w:after="0"/>
              <w:rPr>
                <w:sz w:val="20"/>
                <w:szCs w:val="20"/>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YTD-09</w:t>
            </w:r>
          </w:p>
        </w:tc>
      </w:tr>
      <w:tr>
        <w:trPr>
          <w:trHeight w:val="250"/>
        </w:trPr>
        <w:tc>
          <w:tcPr>
            <w:tcW w:w="5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Income tax provision</w:t>
            </w:r>
          </w:p>
        </w:tc>
        <w:tc>
          <w:tcPr>
            <w:tcW w:w="84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   (2.9)</w:t>
            </w:r>
          </w:p>
        </w:tc>
        <w:tc>
          <w:tcPr>
            <w:tcW w:w="260" w:type="dxa"/>
            <w:vAlign w:val="bottom"/>
            <w:tcBorders>
              <w:bottom w:val="single" w:sz="8" w:color="C0C0C0"/>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   (1.8)</w:t>
            </w:r>
          </w:p>
        </w:tc>
        <w:tc>
          <w:tcPr>
            <w:tcW w:w="280" w:type="dxa"/>
            <w:vAlign w:val="bottom"/>
            <w:tcBorders>
              <w:bottom w:val="single" w:sz="8" w:color="C0C0C0"/>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   (5.8)</w:t>
            </w:r>
          </w:p>
        </w:tc>
        <w:tc>
          <w:tcPr>
            <w:tcW w:w="260" w:type="dxa"/>
            <w:vAlign w:val="bottom"/>
            <w:tcBorders>
              <w:bottom w:val="single" w:sz="8" w:color="C0C0C0"/>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   (2.9)</w:t>
            </w:r>
          </w:p>
        </w:tc>
      </w:tr>
    </w:tbl>
    <w:p>
      <w:pPr>
        <w:spacing w:after="0" w:line="262" w:lineRule="exact"/>
        <w:rPr>
          <w:sz w:val="20"/>
          <w:szCs w:val="20"/>
          <w:color w:val="auto"/>
        </w:rPr>
      </w:pPr>
    </w:p>
    <w:p>
      <w:pPr>
        <w:ind w:right="100" w:firstLine="270"/>
        <w:spacing w:after="0" w:line="254" w:lineRule="auto"/>
        <w:rPr>
          <w:sz w:val="20"/>
          <w:szCs w:val="20"/>
          <w:color w:val="auto"/>
        </w:rPr>
      </w:pPr>
      <w:r>
        <w:rPr>
          <w:rFonts w:ascii="Arial" w:cs="Arial" w:eastAsia="Arial" w:hAnsi="Arial"/>
          <w:sz w:val="18"/>
          <w:szCs w:val="18"/>
          <w:color w:val="auto"/>
        </w:rPr>
        <w:t>The effective income tax rates differ from the amount computed by applying the U.S. statutory rate of 35% to the income (loss) before income taxes in 2009 primarily because income tax provisions incurred in jurisdictions where the Company generated income before income taxes were, due to valuation allowances, not significantly offset by income tax benefits in jurisdictions where the Company incurred losses before income taxes. In 2010, the effective income tax rates differ from the amount computed by applying the U.S. statutory rate of 35% to the income (loss) before income taxes primarily due to lower statutory rates in international locations. Further, various investment tax credits have been utilized in Korea and Taiwan which reduced the Company's effective income tax rate in both years.</w:t>
      </w:r>
    </w:p>
    <w:p>
      <w:pPr>
        <w:spacing w:after="0" w:line="252"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color w:val="auto"/>
        </w:rPr>
        <w:t>PKLT, the Company's FPD manufacturing facility in Taiwan, is accorded a tax holiday, which expires in 2012. In addition, the Company has been accorded a tax holiday in China which is expected to expire in 2011. The availability of these tax holidays did not have a significant impact on the Company's decisions to increase or decrease its Asian presence, as the Company's decisions were in response to fundamental changes that took place in the semiconductor industry. These tax holidays had no dollar or per share effect in the three and nine month periods ended August 1, 2010 and August 2, 2009.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Noncontrolling Interests</w:t>
      </w:r>
    </w:p>
    <w:p>
      <w:pPr>
        <w:spacing w:after="0" w:line="279"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Net income attributable to noncontrolling interests (formerly referred to as "minority interests") increased $0.5 million to $0.1 million in Q3-10 as compared to Q3-09, primarily due to the Company's non-wholly owned subsidiary in Taiwan reporting a net loss in Q3-10, as compared to net income in Q3-09. Year to date, net income attributable to noncontrolling interests increased to $0.8 million in YTD-10 as compared to $0.6 million in YTD-09, primarily as a result of increased net income at the Company’s non-wholly owned subsidiary in Taiwan. The Company's ownership in its subsidiary in Taiwan was approximately 58% at August 1, 2010 and November 1, 2009, and its ownership in its subsidiary in Korea was approximately 99.7% at August 1, 2010 and November 1, 2009.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5"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The Company's working capital was $77.2 million at August 1, 2010 and $89.5 million at November 1, 2009. The decrease in working capital primarily related to repayments of long-term borrowings. Cash and cash equivalents increased to $104.0 million at August 1, 2010, as compared to $88.5 million at November 1, 2009. Cash provided by operating activities was $74.2 million for the nine months ended August 1, 2010, as compared to $41.6 million for the same period last year. The increase was primarily due to the Company's increased net income as compared to the same prior year period, partially offset by changes in operating assets and liabilities (primarily accounts receivable). Cash used in investing activities for the nine months ended August 1, 2010, was $24.9 million, which was comprised primarily of capital expenditure payments of $38.0 million, offset by net proceeds of $12.9 million from the sale of the Company’s Shanghai, China, facility. Cash used in financing activities of $34.8 million for the nine months ended August 1, 2010, was primarily comprised of net repayments of long-term borrowings.</w:t>
      </w:r>
    </w:p>
    <w:p>
      <w:pPr>
        <w:spacing w:after="0" w:line="226" w:lineRule="exact"/>
        <w:rPr>
          <w:sz w:val="20"/>
          <w:szCs w:val="20"/>
          <w:color w:val="auto"/>
        </w:rPr>
      </w:pPr>
    </w:p>
    <w:p>
      <w:pPr>
        <w:ind w:right="40" w:firstLine="270"/>
        <w:spacing w:after="0" w:line="318" w:lineRule="auto"/>
        <w:rPr>
          <w:sz w:val="20"/>
          <w:szCs w:val="20"/>
          <w:color w:val="auto"/>
        </w:rPr>
      </w:pPr>
      <w:r>
        <w:rPr>
          <w:rFonts w:ascii="Arial" w:cs="Arial" w:eastAsia="Arial" w:hAnsi="Arial"/>
          <w:sz w:val="15"/>
          <w:szCs w:val="15"/>
          <w:color w:val="auto"/>
        </w:rPr>
        <w:t>On May 7, 2010, the Company exercised its option to expand its revolving credit facility from $50 million to its $65 million limit. The credit facility, which matures on February 12, 2013, bears interest at LIBOR plus a spread, as defined in the agreement (4.06% at August 1, 2010), is secured by substantially all of the Company's assets in the United States as well as stock the Company owns in certain of its foreign subsidiaries and, includes the following financial covenants: fixed charge coverage ratio, total leverage ratio, minimum unrestricted cash balance, and maximum capital expenditures, all as defined in the agreement. As of August 1, 2010, the Company had no outstanding borrowings against the credit facility, which left $65 million available for the Company to borrow.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44" w:right="259" w:bottom="1440" w:gutter="0" w:footer="0" w:header="0"/>
        </w:sectPr>
      </w:pPr>
    </w:p>
    <w:bookmarkStart w:id="26" w:name="page27"/>
    <w:bookmarkEnd w:id="26"/>
    <w:p>
      <w:pPr>
        <w:ind w:firstLine="270"/>
        <w:spacing w:after="0" w:line="255" w:lineRule="auto"/>
        <w:rPr>
          <w:sz w:val="20"/>
          <w:szCs w:val="20"/>
          <w:color w:val="auto"/>
        </w:rPr>
      </w:pPr>
      <w:r>
        <w:rPr>
          <w:rFonts w:ascii="Arial" w:cs="Arial" w:eastAsia="Arial" w:hAnsi="Arial"/>
          <w:sz w:val="18"/>
          <w:szCs w:val="18"/>
          <w:color w:val="auto"/>
        </w:rPr>
        <w:t>At August 1, 2010, the Company had capital commitments outstanding of approximately $15 million. Photronics believes that its currently available resources, together with its capacity for growth, and its access to equity and other financing sources, will be sufficient to satisfy its currently planned capital expenditures, as well as its anticipated working capital requirements for the next twelve months.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251"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The Company's liquidity is highly dependent on its sales volume, cash conversion cycle and, as it operates in a high fixed cost environment, the timing of its capital expenditures. Depending on conditions in the IC semiconductor and FPD market,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capital requirements exceed cash available from operati ons, existing cash, and cash available under its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85" w:lineRule="exact"/>
        <w:rPr>
          <w:sz w:val="20"/>
          <w:szCs w:val="20"/>
          <w:color w:val="auto"/>
        </w:rPr>
      </w:pPr>
    </w:p>
    <w:p>
      <w:pPr>
        <w:ind w:right="60" w:firstLine="270"/>
        <w:spacing w:after="0" w:line="298" w:lineRule="auto"/>
        <w:rPr>
          <w:sz w:val="20"/>
          <w:szCs w:val="20"/>
          <w:color w:val="auto"/>
        </w:rPr>
      </w:pPr>
      <w:r>
        <w:rPr>
          <w:rFonts w:ascii="Arial" w:cs="Arial" w:eastAsia="Arial" w:hAnsi="Arial"/>
          <w:sz w:val="16"/>
          <w:szCs w:val="16"/>
          <w:color w:val="auto"/>
        </w:rPr>
        <w:t>Total share-based compensation expense for the three and nine months ended August 1, 2010, was $0.5 million and $1.5 million, respectively, as compared to $0.4 million and $1.7 million, respectively, for the comparable prior year periods, substantially all of which is in selling, general and administrative expenses. No compensation cost was capitalized as part of inventory, and no related income tax benefit has been recorded. As of August 1, 2010, total unrecognized compensation cost of $3.7 million is expected to be recognized over a weighted-average amortization period of 3.2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5" w:lineRule="exact"/>
        <w:rPr>
          <w:sz w:val="20"/>
          <w:szCs w:val="20"/>
          <w:color w:val="auto"/>
        </w:rPr>
      </w:pPr>
    </w:p>
    <w:p>
      <w:pPr>
        <w:ind w:right="120" w:firstLine="270"/>
        <w:spacing w:after="0" w:line="253" w:lineRule="auto"/>
        <w:rPr>
          <w:sz w:val="20"/>
          <w:szCs w:val="20"/>
          <w:color w:val="auto"/>
        </w:rPr>
      </w:pPr>
      <w:r>
        <w:rPr>
          <w:rFonts w:ascii="Arial" w:cs="Arial" w:eastAsia="Arial" w:hAnsi="Arial"/>
          <w:sz w:val="18"/>
          <w:szCs w:val="18"/>
          <w:color w:val="auto"/>
        </w:rPr>
        <w:t>Under the MP Mask joint venture operating agreement, in order to maintain its 49.99% interest, the Company may be required to make additional capital contributions to the joint venture up to the maximum amount defined in the operating agreement. However, should the Board of Managers determine that further additional funding is required, the joint venture shall pursue its own financing. If the joint venture is unable to obtain its own financing, it may request additional capital contributions from the Company. Should the Company choose not to make a requested contribution to the joint venture, its ownership interest may be reduced. Cumulatively, through August 1, 2010, the Company has contributed $6.1 million to the joint venture, and has received distributions from the joint venture totaling $10.0 million, including a $5.0 million distribution received duri ng the nine month period ended August 2, 2009. During the nine month period ended August 1, 2010, there were no contributions made to the joint venture by the Company, and no distributions were received by the Company from the joint venture.</w:t>
      </w:r>
    </w:p>
    <w:p>
      <w:pPr>
        <w:spacing w:after="0" w:line="253"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 On May 19, 2009, the Company and Micron Technologies, Inc. entered into a new lease agreement for the U.S. nanoFab building and cancelled its prior lease agreement. The new lease, among other changes discussed in Note 9 to the condensed consolidated financial statements, extends the lease term from December 31, 2012 to December 31, 2014. The Company will continue to account for the lease as a capital lease for the remainder of its original term and account for it as an operating lease for the period of the lease extension. Rental payments due during the lease extension period total $13.9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85" w:lineRule="exact"/>
        <w:rPr>
          <w:sz w:val="20"/>
          <w:szCs w:val="20"/>
          <w:color w:val="auto"/>
        </w:rPr>
      </w:pPr>
    </w:p>
    <w:p>
      <w:pPr>
        <w:ind w:right="20" w:firstLine="270"/>
        <w:spacing w:after="0" w:line="298" w:lineRule="auto"/>
        <w:rPr>
          <w:sz w:val="20"/>
          <w:szCs w:val="20"/>
          <w:color w:val="auto"/>
        </w:rPr>
      </w:pPr>
      <w:r>
        <w:rPr>
          <w:rFonts w:ascii="Arial" w:cs="Arial" w:eastAsia="Arial" w:hAnsi="Arial"/>
          <w:sz w:val="16"/>
          <w:szCs w:val="16"/>
          <w:color w:val="auto"/>
        </w:rPr>
        <w:t>A majority of the Company's revenue growth is expected to come from the Asian region, as customers increase their use of manufacturing foundries located outside of North America and Europe. Additional revenue growth is also anticipated in North America as the Company benefits from advanced technology it may utilize under its technology license with Micron Technologies, Inc. The Company's Korean and Taiwanese operations are non-wholly owned subsidiaries and, therefore, a portion of earnings generated at each of these locations is allocated to noncontrolling interests.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27" w:name="page28"/>
    <w:bookmarkEnd w:id="27"/>
    <w:p>
      <w:pPr>
        <w:ind w:right="560" w:firstLine="270"/>
        <w:spacing w:after="0" w:line="335" w:lineRule="auto"/>
        <w:rPr>
          <w:sz w:val="20"/>
          <w:szCs w:val="20"/>
          <w:color w:val="auto"/>
        </w:rPr>
      </w:pPr>
      <w:r>
        <w:rPr>
          <w:rFonts w:ascii="Arial" w:cs="Arial" w:eastAsia="Arial" w:hAnsi="Arial"/>
          <w:sz w:val="15"/>
          <w:szCs w:val="15"/>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85" w:lineRule="exact"/>
        <w:rPr>
          <w:sz w:val="20"/>
          <w:szCs w:val="20"/>
          <w:color w:val="auto"/>
        </w:rPr>
      </w:pPr>
    </w:p>
    <w:p>
      <w:pPr>
        <w:ind w:right="100" w:firstLine="270"/>
        <w:spacing w:after="0" w:line="268" w:lineRule="auto"/>
        <w:rPr>
          <w:sz w:val="20"/>
          <w:szCs w:val="20"/>
          <w:color w:val="auto"/>
        </w:rPr>
      </w:pPr>
      <w:r>
        <w:rPr>
          <w:rFonts w:ascii="Arial" w:cs="Arial" w:eastAsia="Arial" w:hAnsi="Arial"/>
          <w:sz w:val="18"/>
          <w:szCs w:val="18"/>
          <w:color w:val="auto"/>
        </w:rPr>
        <w:t>See Note 14 of the condensed consolidated financial statements for a summary of recent accounting pronouncements that may affect the Company's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5" w:lineRule="exact"/>
        <w:rPr>
          <w:sz w:val="20"/>
          <w:szCs w:val="20"/>
          <w:color w:val="auto"/>
        </w:rPr>
      </w:pPr>
    </w:p>
    <w:p>
      <w:pPr>
        <w:ind w:right="80" w:firstLine="270"/>
        <w:spacing w:after="0" w:line="289" w:lineRule="auto"/>
        <w:rPr>
          <w:sz w:val="20"/>
          <w:szCs w:val="20"/>
          <w:color w:val="auto"/>
        </w:rPr>
      </w:pPr>
      <w:r>
        <w:rPr>
          <w:rFonts w:ascii="Arial" w:cs="Arial" w:eastAsia="Arial" w:hAnsi="Arial"/>
          <w:sz w:val="16"/>
          <w:szCs w:val="16"/>
          <w:color w:val="auto"/>
        </w:rPr>
        <w:t>The Company records derivatives on the balance sheet as assets or liabilities, measured at fair value. The Company does not engage in derivative instruments for speculative purposes. Gains or losses resulting from changes in the values of those derivatives are reported in the condensed consolidated statement of operations, or as accumulated other comprehensive income, a separate component of equity, depending on the use of the derivatives and whether they qualify for hedge accounting. In order to qualify for hedge accounting, among other criteria, the derivative must be a hedge for an interest rate, price, foreign currency exchange rate, or credit risk, that is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relating to the variability of future cash flows caused by movements in foreign currency exchange and interest rates. The Company documents its risk management strategy and hedge effectiveness at the inception of, and during the term of each hedge.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85" w:lineRule="exact"/>
        <w:rPr>
          <w:sz w:val="20"/>
          <w:szCs w:val="20"/>
          <w:color w:val="auto"/>
        </w:rPr>
      </w:pPr>
    </w:p>
    <w:p>
      <w:pPr>
        <w:ind w:right="220" w:firstLine="270"/>
        <w:spacing w:after="0" w:line="298" w:lineRule="auto"/>
        <w:rPr>
          <w:sz w:val="20"/>
          <w:szCs w:val="20"/>
          <w:color w:val="auto"/>
        </w:rPr>
      </w:pPr>
      <w:r>
        <w:rPr>
          <w:rFonts w:ascii="Arial" w:cs="Arial" w:eastAsia="Arial" w:hAnsi="Arial"/>
          <w:sz w:val="16"/>
          <w:szCs w:val="16"/>
          <w:color w:val="auto"/>
        </w:rPr>
        <w:t>The Company conducts business in several major international currencies through its worldwide operations and is subject to changes in foreign exchange rates of such currencies. Changes in exchange rates can positively or negatively affect the Company's reported sales, operating margins, assets, liabilities, and retained earnings. The functional currencies of the Company's Asian subsidiaries are the Korean won, New Taiwan dollar, and Singapore dollar. The functional currencies of the Company's European subsidiaries are the British pound and the euro.</w:t>
      </w:r>
    </w:p>
    <w:p>
      <w:pPr>
        <w:spacing w:after="0" w:line="221"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currencies against the U.S. dollar. In certain recent years the Company has, periodically, experienced significant foreign exchange losses on these transactions.</w:t>
      </w:r>
    </w:p>
    <w:p>
      <w:pPr>
        <w:spacing w:after="0" w:line="224"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color w:val="auto"/>
        </w:rPr>
        <w:t>The Company's primary net foreign currency exposures as of August 1, 2010 included the Korean won, the Japanese yen, the Singapore dollar, the New Taiwan dollar, the British pound, and the euro. As of August 1, 2010, a 10% adverse movement in the value of these currencies against the U.S. dollar would have resulted in a net unrealized pre-tax loss of $3.3 million. The Company does not believe that a 10% change in the exchange rates of other non-U.S. dollar currencies would have a material effect on its consolidated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85" w:lineRule="exact"/>
        <w:rPr>
          <w:sz w:val="20"/>
          <w:szCs w:val="20"/>
          <w:color w:val="auto"/>
        </w:rPr>
      </w:pPr>
    </w:p>
    <w:p>
      <w:pPr>
        <w:ind w:right="280" w:firstLine="270"/>
        <w:spacing w:after="0" w:line="268" w:lineRule="auto"/>
        <w:rPr>
          <w:sz w:val="20"/>
          <w:szCs w:val="20"/>
          <w:color w:val="auto"/>
        </w:rPr>
      </w:pPr>
      <w:r>
        <w:rPr>
          <w:rFonts w:ascii="Arial" w:cs="Arial" w:eastAsia="Arial" w:hAnsi="Arial"/>
          <w:sz w:val="18"/>
          <w:szCs w:val="18"/>
          <w:color w:val="auto"/>
        </w:rPr>
        <w:t>At August 1, 2010, the Company did not have any variable rate borrowings. Accordingly, a change in interest rates would not have a material effect on the Company's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Common Stock Market Price Risk</w:t>
      </w:r>
    </w:p>
    <w:p>
      <w:pPr>
        <w:spacing w:after="0" w:line="285" w:lineRule="exact"/>
        <w:rPr>
          <w:sz w:val="20"/>
          <w:szCs w:val="20"/>
          <w:color w:val="auto"/>
        </w:rPr>
      </w:pPr>
    </w:p>
    <w:p>
      <w:pPr>
        <w:ind w:right="20" w:firstLine="270"/>
        <w:spacing w:after="0" w:line="287" w:lineRule="auto"/>
        <w:rPr>
          <w:sz w:val="20"/>
          <w:szCs w:val="20"/>
          <w:color w:val="auto"/>
        </w:rPr>
      </w:pPr>
      <w:r>
        <w:rPr>
          <w:rFonts w:ascii="Arial" w:cs="Arial" w:eastAsia="Arial" w:hAnsi="Arial"/>
          <w:sz w:val="16"/>
          <w:szCs w:val="16"/>
          <w:color w:val="auto"/>
        </w:rPr>
        <w:t>In May 2009, the Company amended its then existing revolving credit facility and entered into a warrant agreement with its lenders for 2.1 million shares of its common stock. The warrants, approximately 0.4 million of which remained outstanding at August 1, 2010, are exercisable for one share of the Company’s common stock, at an exercise price of $0.01 per share. Due to the warrants' exercise price of $0.01 per share, their fair value will approximate the market price of the Company's common stock. A ten percent change in the August 1, 2010, market price of the Company's common stock would increase or decrease the Company's net income by approximately $0.2 million and, increase or decrease its other liabilities by the same amount. The Company's cash flows would not be affected by such a change in the market price of its common stock. However, the Company's stock may fluctuate more than ten percent. Any change in the fair value of the warrants resulting from changes in the market price of the Company's common stock would result in a non-cash charge or credit to the Company's operating results. No warrants were exercised during the three month period ended August 1, 2010 and approximately 0.3 million warrants were exercised during the nine month period ended August 1, 2010. Changes in the fair value of the warrants during the three and nine month periods ended August 1, 2010, resulted in a non-cash credit of $0.4 million and a non-cash charge of $0.4 million, respectively, which are included in other income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5" w:lineRule="exact"/>
        <w:rPr>
          <w:sz w:val="20"/>
          <w:szCs w:val="20"/>
          <w:color w:val="auto"/>
        </w:rPr>
      </w:pPr>
    </w:p>
    <w:p>
      <w:pPr>
        <w:ind w:right="80" w:firstLine="270"/>
        <w:spacing w:after="0" w:line="290" w:lineRule="auto"/>
        <w:rPr>
          <w:sz w:val="20"/>
          <w:szCs w:val="20"/>
          <w:color w:val="auto"/>
        </w:rPr>
      </w:pPr>
      <w:r>
        <w:rPr>
          <w:rFonts w:ascii="Arial" w:cs="Arial" w:eastAsia="Arial" w:hAnsi="Arial"/>
          <w:sz w:val="16"/>
          <w:szCs w:val="16"/>
          <w:color w:val="auto"/>
        </w:rPr>
        <w:t>The Company has established and currently maintains disclosure controls and procedures designed to ensure that information required to be disclosed in its reports filed under the Securities Exchange Act of 1934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26"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of the end of the period covered by this report, were designed and are functioning effectively to provide reasonable assurance that the information required to be disclosed by the Company in reports filed under the Securities Exchange Act of 1934 is (i) recorded, processed, summarized and reported within the time periods specified in the SEC's rules and forms, and (ii) accumulated and communicated to management, including the chief executive officer and chief fina ncial officer, as appropriate to allow timely decisions regarding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5"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during the Company's third quarter of fiscal 2010 that has materially affected, or is reasonably likely to materially affect, the Company's internal control over financial reporting.</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5" w:lineRule="exact"/>
        <w:rPr>
          <w:sz w:val="20"/>
          <w:szCs w:val="20"/>
          <w:color w:val="auto"/>
        </w:rPr>
      </w:pPr>
    </w:p>
    <w:p>
      <w:pPr>
        <w:ind w:firstLine="311"/>
        <w:spacing w:after="0" w:line="268" w:lineRule="auto"/>
        <w:rPr>
          <w:sz w:val="20"/>
          <w:szCs w:val="20"/>
          <w:color w:val="auto"/>
        </w:rPr>
      </w:pPr>
      <w:r>
        <w:rPr>
          <w:rFonts w:ascii="Arial" w:cs="Arial" w:eastAsia="Arial" w:hAnsi="Arial"/>
          <w:sz w:val="18"/>
          <w:szCs w:val="18"/>
          <w:color w:val="auto"/>
        </w:rPr>
        <w:t>There have been no material changes to risks relating to the Company's business as disclosed in Part 1, Item 1A of the Company's Form 10-K for the year ended November 1, 2009</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Exhibits</w:t>
      </w:r>
    </w:p>
    <w:p>
      <w:pPr>
        <w:spacing w:after="0" w:line="26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Exhibit</w:t>
      </w:r>
    </w:p>
    <w:p>
      <w:pPr>
        <w:spacing w:after="0" w:line="3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23495</wp:posOffset>
            </wp:positionV>
            <wp:extent cx="676656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66560" cy="163195"/>
                    </a:xfrm>
                    <a:prstGeom prst="rect">
                      <a:avLst/>
                    </a:prstGeom>
                    <a:noFill/>
                  </pic:spPr>
                </pic:pic>
              </a:graphicData>
            </a:graphic>
          </wp:anchor>
        </w:drawing>
      </w:r>
    </w:p>
    <w:p>
      <w:pPr>
        <w:spacing w:after="0" w:line="3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173990</wp:posOffset>
            </wp:positionV>
            <wp:extent cx="676656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66560" cy="154305"/>
                    </a:xfrm>
                    <a:prstGeom prst="rect">
                      <a:avLst/>
                    </a:prstGeom>
                    <a:noFill/>
                  </pic:spPr>
                </pic:pic>
              </a:graphicData>
            </a:graphic>
          </wp:anchor>
        </w:drawing>
      </w:r>
    </w:p>
    <w:p>
      <w:pPr>
        <w:spacing w:after="0" w:line="259"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173990</wp:posOffset>
            </wp:positionV>
            <wp:extent cx="676656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66560" cy="154305"/>
                    </a:xfrm>
                    <a:prstGeom prst="rect">
                      <a:avLst/>
                    </a:prstGeom>
                    <a:noFill/>
                  </pic:spPr>
                </pic:pic>
              </a:graphicData>
            </a:graphic>
          </wp:anchor>
        </w:drawing>
      </w:r>
    </w:p>
    <w:p>
      <w:pPr>
        <w:spacing w:after="0" w:line="259"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173990</wp:posOffset>
            </wp:positionV>
            <wp:extent cx="676656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66560" cy="154305"/>
                    </a:xfrm>
                    <a:prstGeom prst="rect">
                      <a:avLst/>
                    </a:prstGeom>
                    <a:noFill/>
                  </pic:spPr>
                </pic:pic>
              </a:graphicData>
            </a:graphic>
          </wp:anchor>
        </w:drawing>
      </w:r>
    </w:p>
    <w:p>
      <w:pPr>
        <w:spacing w:after="0" w:line="259"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85" w:lineRule="exact"/>
        <w:rPr>
          <w:sz w:val="20"/>
          <w:szCs w:val="20"/>
          <w:color w:val="auto"/>
        </w:rPr>
      </w:pPr>
    </w:p>
    <w:p>
      <w:pPr>
        <w:ind w:firstLine="28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Photronics, Inc.</w:t>
            </w:r>
          </w:p>
        </w:tc>
      </w:tr>
      <w:tr>
        <w:trPr>
          <w:trHeight w:val="243"/>
        </w:trPr>
        <w:tc>
          <w:tcPr>
            <w:tcW w:w="320" w:type="dxa"/>
            <w:vAlign w:val="bottom"/>
          </w:tcPr>
          <w:p>
            <w:pPr>
              <w:spacing w:after="0"/>
              <w:rPr>
                <w:sz w:val="21"/>
                <w:szCs w:val="21"/>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(Registrant)</w:t>
            </w:r>
          </w:p>
        </w:tc>
      </w:tr>
      <w:tr>
        <w:trPr>
          <w:trHeight w:val="495"/>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SEAN T. SMITH</w:t>
            </w:r>
          </w:p>
        </w:tc>
      </w:tr>
      <w:tr>
        <w:trPr>
          <w:trHeight w:val="228"/>
        </w:trPr>
        <w:tc>
          <w:tcPr>
            <w:tcW w:w="32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5"/>
              </w:rPr>
              <w:t>Sean T. Smith</w:t>
            </w:r>
          </w:p>
        </w:tc>
      </w:tr>
      <w:tr>
        <w:trPr>
          <w:trHeight w:val="243"/>
        </w:trPr>
        <w:tc>
          <w:tcPr>
            <w:tcW w:w="320" w:type="dxa"/>
            <w:vAlign w:val="bottom"/>
          </w:tcPr>
          <w:p>
            <w:pPr>
              <w:spacing w:after="0"/>
              <w:rPr>
                <w:sz w:val="21"/>
                <w:szCs w:val="21"/>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Senior Vice President</w:t>
            </w:r>
          </w:p>
        </w:tc>
      </w:tr>
      <w:tr>
        <w:trPr>
          <w:trHeight w:val="243"/>
        </w:trPr>
        <w:tc>
          <w:tcPr>
            <w:tcW w:w="320" w:type="dxa"/>
            <w:vAlign w:val="bottom"/>
          </w:tcPr>
          <w:p>
            <w:pPr>
              <w:spacing w:after="0"/>
              <w:rPr>
                <w:sz w:val="21"/>
                <w:szCs w:val="21"/>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Chief Financial Officer</w:t>
            </w:r>
          </w:p>
        </w:tc>
      </w:tr>
      <w:tr>
        <w:trPr>
          <w:trHeight w:val="243"/>
        </w:trPr>
        <w:tc>
          <w:tcPr>
            <w:tcW w:w="320" w:type="dxa"/>
            <w:vAlign w:val="bottom"/>
          </w:tcPr>
          <w:p>
            <w:pPr>
              <w:spacing w:after="0"/>
              <w:rPr>
                <w:sz w:val="21"/>
                <w:szCs w:val="21"/>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(Duly Authorized Officer and</w:t>
            </w:r>
          </w:p>
        </w:tc>
      </w:tr>
      <w:tr>
        <w:trPr>
          <w:trHeight w:val="243"/>
        </w:trPr>
        <w:tc>
          <w:tcPr>
            <w:tcW w:w="320" w:type="dxa"/>
            <w:vAlign w:val="bottom"/>
          </w:tcPr>
          <w:p>
            <w:pPr>
              <w:spacing w:after="0"/>
              <w:rPr>
                <w:sz w:val="21"/>
                <w:szCs w:val="21"/>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Principal Financial Officer)</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2010</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31.1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 Constantine S. Macricostas, certify that:</w:t>
      </w:r>
    </w:p>
    <w:p>
      <w:pPr>
        <w:spacing w:after="0" w:line="252"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79"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right="100" w:hanging="412"/>
        <w:spacing w:after="0" w:line="268"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420" w:right="260" w:hanging="412"/>
        <w:spacing w:after="0" w:line="259"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840" w:right="160" w:hanging="427"/>
        <w:spacing w:after="0" w:line="259"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840" w:right="160" w:hanging="427"/>
        <w:spacing w:after="0" w:line="259"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40" w:right="420" w:hanging="427"/>
        <w:spacing w:after="0" w:line="370" w:lineRule="auto"/>
        <w:tabs>
          <w:tab w:leader="none" w:pos="840" w:val="left"/>
        </w:tabs>
        <w:numPr>
          <w:ilvl w:val="1"/>
          <w:numId w:val="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43" w:lineRule="exact"/>
        <w:rPr>
          <w:rFonts w:ascii="Arial" w:cs="Arial" w:eastAsia="Arial" w:hAnsi="Arial"/>
          <w:sz w:val="15"/>
          <w:szCs w:val="15"/>
          <w:color w:val="auto"/>
        </w:rPr>
      </w:pPr>
    </w:p>
    <w:p>
      <w:pPr>
        <w:ind w:left="840" w:right="40" w:hanging="427"/>
        <w:spacing w:after="0" w:line="259"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right="700" w:hanging="412"/>
        <w:spacing w:after="0" w:line="332"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40" w:right="140" w:hanging="427"/>
        <w:spacing w:after="0" w:line="268"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40" w:right="200" w:hanging="427"/>
        <w:spacing w:after="0" w:line="268"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351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31.2</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52"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79"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right="100" w:hanging="412"/>
        <w:spacing w:after="0" w:line="268"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420" w:right="260" w:hanging="412"/>
        <w:spacing w:after="0" w:line="259"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840" w:right="160" w:hanging="427"/>
        <w:spacing w:after="0" w:line="259" w:lineRule="auto"/>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840" w:right="160" w:hanging="427"/>
        <w:spacing w:after="0" w:line="259" w:lineRule="auto"/>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40" w:right="420" w:hanging="427"/>
        <w:spacing w:after="0" w:line="370" w:lineRule="auto"/>
        <w:tabs>
          <w:tab w:leader="none" w:pos="840" w:val="left"/>
        </w:tabs>
        <w:numPr>
          <w:ilvl w:val="1"/>
          <w:numId w:val="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43" w:lineRule="exact"/>
        <w:rPr>
          <w:rFonts w:ascii="Arial" w:cs="Arial" w:eastAsia="Arial" w:hAnsi="Arial"/>
          <w:sz w:val="15"/>
          <w:szCs w:val="15"/>
          <w:color w:val="auto"/>
        </w:rPr>
      </w:pPr>
    </w:p>
    <w:p>
      <w:pPr>
        <w:ind w:left="840" w:right="40" w:hanging="427"/>
        <w:spacing w:after="0" w:line="259" w:lineRule="auto"/>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right="700" w:hanging="412"/>
        <w:spacing w:after="0" w:line="332"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40" w:right="140" w:hanging="427"/>
        <w:spacing w:after="0" w:line="268" w:lineRule="auto"/>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40" w:right="200" w:hanging="427"/>
        <w:spacing w:after="0" w:line="268" w:lineRule="auto"/>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4490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 Constantine S. Macricostas, Chief Executive Officer of Photronics, Inc. (the "Company"), certify, pursuant to Section 906 of the Sarbanes-Oxley Act of 2002, 18 U.S.C. Section 1350, that:</w:t>
      </w:r>
    </w:p>
    <w:p>
      <w:pPr>
        <w:spacing w:after="0" w:line="213" w:lineRule="exact"/>
        <w:rPr>
          <w:sz w:val="20"/>
          <w:szCs w:val="20"/>
          <w:color w:val="auto"/>
        </w:rPr>
      </w:pPr>
    </w:p>
    <w:p>
      <w:pPr>
        <w:ind w:left="500" w:right="180" w:hanging="492"/>
        <w:spacing w:after="0" w:line="26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August 1, 2010 (the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351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I, Sean T. Smith, Chief Financial Officer of Photronics, Inc. (the "Company"), certify, pursuant to Section 906 of the Sarbanes-Oxley Act of 2002, 18 U.S.C.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1350, that:</w:t>
      </w:r>
    </w:p>
    <w:p>
      <w:pPr>
        <w:spacing w:after="0" w:line="246" w:lineRule="exact"/>
        <w:rPr>
          <w:sz w:val="20"/>
          <w:szCs w:val="20"/>
          <w:color w:val="auto"/>
        </w:rPr>
      </w:pPr>
    </w:p>
    <w:p>
      <w:pPr>
        <w:ind w:left="500" w:right="180" w:hanging="492"/>
        <w:spacing w:after="0" w:line="268"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August 1, 2010 (the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4490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decimal"/>
      <w:start w:val="9"/>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2019-12-10T06:37:54Z</dcterms:created>
  <dcterms:modified xsi:type="dcterms:W3CDTF">2019-12-10T06:37:54Z</dcterms:modified>
</cp:coreProperties>
</file>