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60" w:right="1620" w:hanging="3752"/>
        <w:spacing w:after="0" w:line="266" w:lineRule="auto"/>
        <w:tabs>
          <w:tab w:leader="none" w:pos="47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February 1, 2026</w:t>
      </w:r>
    </w:p>
    <w:p>
      <w:pPr>
        <w:spacing w:after="0" w:line="172" w:lineRule="exact"/>
        <w:rPr>
          <w:sz w:val="24"/>
          <w:szCs w:val="24"/>
          <w:color w:val="auto"/>
        </w:rPr>
      </w:pPr>
    </w:p>
    <w:p>
      <w:pPr>
        <w:ind w:left="4040" w:right="1620" w:hanging="4032"/>
        <w:spacing w:after="0" w:line="500" w:lineRule="auto"/>
        <w:tabs>
          <w:tab w:leader="none" w:pos="4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 to ___</w:t>
      </w:r>
    </w:p>
    <w:p>
      <w:pPr>
        <w:spacing w:after="0" w:line="1" w:lineRule="exact"/>
        <w:rPr>
          <w:rFonts w:ascii="MS PGothic" w:cs="MS PGothic" w:eastAsia="MS PGothic" w:hAnsi="MS PGothic"/>
          <w:sz w:val="18"/>
          <w:szCs w:val="18"/>
          <w:color w:val="auto"/>
          <w:highlight w:val="black"/>
        </w:rPr>
      </w:pPr>
    </w:p>
    <w:p>
      <w:pPr>
        <w:ind w:left="43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156845</wp:posOffset>
            </wp:positionV>
            <wp:extent cx="55753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7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2000" w:type="dxa"/>
            <w:vAlign w:val="bottom"/>
          </w:tcPr>
          <w:p>
            <w:pPr>
              <w:spacing w:after="0"/>
              <w:rPr>
                <w:sz w:val="19"/>
                <w:szCs w:val="19"/>
                <w:color w:val="auto"/>
              </w:rPr>
            </w:pPr>
          </w:p>
        </w:tc>
        <w:tc>
          <w:tcPr>
            <w:tcW w:w="452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6720" w:type="dxa"/>
            <w:vAlign w:val="bottom"/>
            <w:gridSpan w:val="3"/>
          </w:tcPr>
          <w:p>
            <w:pPr>
              <w:jc w:val="center"/>
              <w:ind w:right="10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5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4"/>
        </w:trPr>
        <w:tc>
          <w:tcPr>
            <w:tcW w:w="47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2000" w:type="dxa"/>
            <w:vAlign w:val="bottom"/>
          </w:tcPr>
          <w:p>
            <w:pPr>
              <w:spacing w:after="0"/>
              <w:rPr>
                <w:sz w:val="24"/>
                <w:szCs w:val="24"/>
                <w:color w:val="auto"/>
              </w:rPr>
            </w:pPr>
          </w:p>
        </w:tc>
        <w:tc>
          <w:tcPr>
            <w:tcW w:w="4520" w:type="dxa"/>
            <w:vAlign w:val="bottom"/>
            <w:gridSpan w:val="2"/>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7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9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72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000" w:type="dxa"/>
            <w:vAlign w:val="bottom"/>
          </w:tcPr>
          <w:p>
            <w:pPr>
              <w:spacing w:after="0"/>
              <w:rPr>
                <w:sz w:val="24"/>
                <w:szCs w:val="24"/>
                <w:color w:val="auto"/>
              </w:rPr>
            </w:pPr>
          </w:p>
        </w:tc>
        <w:tc>
          <w:tcPr>
            <w:tcW w:w="4520" w:type="dxa"/>
            <w:vAlign w:val="bottom"/>
            <w:gridSpan w:val="2"/>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Securities registered pursuant to Section 12(b) of the Act:</w:t>
            </w:r>
          </w:p>
        </w:tc>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r>
      <w:tr>
        <w:trPr>
          <w:trHeight w:val="223"/>
        </w:trPr>
        <w:tc>
          <w:tcPr>
            <w:tcW w:w="3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231F20"/>
                <w:w w:val="99"/>
              </w:rPr>
              <w:t>Trading Symbol(s)</w:t>
            </w:r>
          </w:p>
        </w:tc>
        <w:tc>
          <w:tcPr>
            <w:tcW w:w="580" w:type="dxa"/>
            <w:vAlign w:val="bottom"/>
            <w:tcBorders>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color w:val="231F20"/>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9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color w:val="auto"/>
                <w:w w:val="99"/>
              </w:rPr>
              <w:t>PLAB</w:t>
            </w:r>
          </w:p>
        </w:tc>
        <w:tc>
          <w:tcPr>
            <w:tcW w:w="580" w:type="dxa"/>
            <w:vAlign w:val="bottom"/>
            <w:tcBorders>
              <w:bottom w:val="single" w:sz="8" w:color="auto"/>
              <w:right w:val="single" w:sz="8" w:color="auto"/>
            </w:tcBorders>
          </w:tcPr>
          <w:p>
            <w:pPr>
              <w:spacing w:after="0"/>
              <w:rPr>
                <w:sz w:val="19"/>
                <w:szCs w:val="19"/>
                <w:color w:val="auto"/>
              </w:rPr>
            </w:pPr>
          </w:p>
        </w:tc>
        <w:tc>
          <w:tcPr>
            <w:tcW w:w="394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77"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7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Large Accelerated</w:t>
            </w:r>
          </w:p>
        </w:tc>
        <w:tc>
          <w:tcPr>
            <w:tcW w:w="19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6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8"/>
              </w:rPr>
              <w:t>Emerging</w:t>
            </w:r>
          </w:p>
        </w:tc>
      </w:tr>
      <w:tr>
        <w:trPr>
          <w:trHeight w:val="180"/>
        </w:trPr>
        <w:tc>
          <w:tcPr>
            <w:tcW w:w="1600" w:type="dxa"/>
            <w:vAlign w:val="bottom"/>
          </w:tcPr>
          <w:p>
            <w:pPr>
              <w:jc w:val="center"/>
              <w:ind w:right="170"/>
              <w:spacing w:after="0" w:line="181" w:lineRule="exact"/>
              <w:rPr>
                <w:sz w:val="20"/>
                <w:szCs w:val="20"/>
                <w:color w:val="auto"/>
              </w:rPr>
            </w:pPr>
            <w:r>
              <w:rPr>
                <w:rFonts w:ascii="Times New Roman" w:cs="Times New Roman" w:eastAsia="Times New Roman" w:hAnsi="Times New Roman"/>
                <w:sz w:val="18"/>
                <w:szCs w:val="18"/>
                <w:color w:val="auto"/>
                <w:w w:val="99"/>
              </w:rPr>
              <w:t>Filer</w:t>
            </w:r>
          </w:p>
        </w:tc>
        <w:tc>
          <w:tcPr>
            <w:tcW w:w="196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jc w:val="center"/>
              <w:ind w:left="10"/>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620" w:type="dxa"/>
            <w:vAlign w:val="bottom"/>
          </w:tcPr>
          <w:p>
            <w:pPr>
              <w:jc w:val="center"/>
              <w:ind w:left="230"/>
              <w:spacing w:after="0" w:line="181" w:lineRule="exact"/>
              <w:rPr>
                <w:sz w:val="20"/>
                <w:szCs w:val="20"/>
                <w:color w:val="auto"/>
              </w:rPr>
            </w:pPr>
            <w:r>
              <w:rPr>
                <w:rFonts w:ascii="Times New Roman" w:cs="Times New Roman" w:eastAsia="Times New Roman" w:hAnsi="Times New Roman"/>
                <w:sz w:val="18"/>
                <w:szCs w:val="18"/>
                <w:color w:val="auto"/>
              </w:rPr>
              <w:t>Growth Company</w:t>
            </w:r>
          </w:p>
        </w:tc>
      </w:tr>
      <w:tr>
        <w:trPr>
          <w:trHeight w:val="303"/>
        </w:trPr>
        <w:tc>
          <w:tcPr>
            <w:tcW w:w="1600" w:type="dxa"/>
            <w:vAlign w:val="bottom"/>
          </w:tcPr>
          <w:p>
            <w:pPr>
              <w:ind w:left="620"/>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62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58,966,394 shares of common stock outstanding as of March 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 2026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26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700" w:type="dxa"/>
            <w:vAlign w:val="bottom"/>
            <w:tcBorders>
              <w:top w:val="single" w:sz="8" w:color="0000EE"/>
            </w:tcBorders>
            <w:gridSpan w:val="2"/>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926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6"/>
        </w:trPr>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80" w:type="dxa"/>
            <w:vAlign w:val="bottom"/>
            <w:shd w:val="clear" w:color="auto" w:fill="CCEEFF"/>
          </w:tcPr>
          <w:p>
            <w:pPr>
              <w:spacing w:after="0"/>
              <w:rPr>
                <w:sz w:val="17"/>
                <w:szCs w:val="17"/>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rPr>
                <w:sz w:val="17"/>
                <w:szCs w:val="17"/>
                <w:color w:val="auto"/>
              </w:rPr>
            </w:pP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10</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24</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33</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80" w:type="dxa"/>
            <w:vAlign w:val="bottom"/>
            <w:shd w:val="clear" w:color="auto" w:fill="CCEEFF"/>
          </w:tcPr>
          <w:p>
            <w:pPr>
              <w:spacing w:after="0"/>
              <w:rPr>
                <w:sz w:val="17"/>
                <w:szCs w:val="17"/>
                <w:color w:val="auto"/>
              </w:rPr>
            </w:pP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34</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35</w:t>
            </w:r>
          </w:p>
        </w:tc>
      </w:tr>
      <w:tr>
        <w:trPr>
          <w:trHeight w:val="216"/>
        </w:trPr>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r>
      <w:tr>
        <w:trPr>
          <w:trHeight w:val="196"/>
        </w:trPr>
        <w:tc>
          <w:tcPr>
            <w:tcW w:w="12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gridSpan w:val="21"/>
            <w:shd w:val="clear" w:color="auto" w:fill="CCEEFF"/>
          </w:tcPr>
          <w:p>
            <w:pPr>
              <w:ind w:left="50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80" w:type="dxa"/>
            <w:vAlign w:val="bottom"/>
            <w:shd w:val="clear" w:color="auto" w:fill="CCEEFF"/>
          </w:tcPr>
          <w:p>
            <w:pPr>
              <w:ind w:left="1080"/>
              <w:spacing w:after="0" w:line="176" w:lineRule="exact"/>
              <w:rPr>
                <w:sz w:val="20"/>
                <w:szCs w:val="20"/>
                <w:color w:val="auto"/>
              </w:rPr>
            </w:pPr>
            <w:r>
              <w:rPr>
                <w:rFonts w:ascii="Times New Roman" w:cs="Times New Roman" w:eastAsia="Times New Roman" w:hAnsi="Times New Roman"/>
                <w:sz w:val="18"/>
                <w:szCs w:val="18"/>
                <w:color w:val="auto"/>
              </w:rPr>
              <w:t>36</w:t>
            </w:r>
          </w:p>
        </w:tc>
      </w:tr>
      <w:tr>
        <w:trPr>
          <w:trHeight w:val="557"/>
        </w:trPr>
        <w:tc>
          <w:tcPr>
            <w:tcW w:w="120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380" w:type="dxa"/>
            <w:vAlign w:val="bottom"/>
            <w:tcBorders>
              <w:top w:val="single" w:sz="8" w:color="CCEEFF"/>
            </w:tcBorders>
            <w:gridSpan w:val="14"/>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3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1100" w:type="dxa"/>
            <w:vAlign w:val="bottom"/>
            <w:tcBorders>
              <w:top w:val="single" w:sz="8" w:color="CCEEFF"/>
            </w:tcBorders>
          </w:tcPr>
          <w:p>
            <w:pPr>
              <w:spacing w:after="0"/>
              <w:rPr>
                <w:sz w:val="24"/>
                <w:szCs w:val="24"/>
                <w:color w:val="auto"/>
              </w:rPr>
            </w:pPr>
          </w:p>
        </w:tc>
        <w:tc>
          <w:tcPr>
            <w:tcW w:w="1980" w:type="dxa"/>
            <w:vAlign w:val="bottom"/>
            <w:tcBorders>
              <w:top w:val="single" w:sz="8" w:color="CCEEFF"/>
            </w:tcBorders>
          </w:tcPr>
          <w:p>
            <w:pPr>
              <w:spacing w:after="0"/>
              <w:rPr>
                <w:sz w:val="24"/>
                <w:szCs w:val="24"/>
                <w:color w:val="auto"/>
              </w:rPr>
            </w:pPr>
          </w:p>
        </w:tc>
      </w:tr>
      <w:tr>
        <w:trPr>
          <w:trHeight w:val="44"/>
        </w:trPr>
        <w:tc>
          <w:tcPr>
            <w:tcW w:w="12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882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420" w:type="dxa"/>
            <w:vAlign w:val="bottom"/>
          </w:tcPr>
          <w:p>
            <w:pPr>
              <w:spacing w:after="0"/>
              <w:rPr>
                <w:sz w:val="18"/>
                <w:szCs w:val="18"/>
                <w:color w:val="auto"/>
              </w:rPr>
            </w:pPr>
          </w:p>
        </w:tc>
        <w:tc>
          <w:tcPr>
            <w:tcW w:w="882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Artificial Intelligence</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CNY</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Chinese Yuan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82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w:t>
            </w:r>
          </w:p>
        </w:tc>
      </w:tr>
      <w:tr>
        <w:trPr>
          <w:trHeight w:val="216"/>
        </w:trPr>
        <w:tc>
          <w:tcPr>
            <w:tcW w:w="2420" w:type="dxa"/>
            <w:vAlign w:val="bottom"/>
            <w:shd w:val="clear" w:color="auto" w:fill="CCEEFF"/>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photomasks function by selectively reflecting or blocking light, in contrast to conventional photomasks which</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function by selectively transmitting or blocking light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FPD</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FY</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Fiscal Year</w:t>
            </w: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820" w:type="dxa"/>
            <w:vAlign w:val="bottom"/>
          </w:tcPr>
          <w:p>
            <w:pPr>
              <w:ind w:left="400"/>
              <w:spacing w:after="0" w:line="198" w:lineRule="exact"/>
              <w:rPr>
                <w:sz w:val="20"/>
                <w:szCs w:val="20"/>
                <w:color w:val="auto"/>
              </w:rPr>
            </w:pPr>
            <w:r>
              <w:rPr>
                <w:rFonts w:ascii="Times New Roman" w:cs="Times New Roman" w:eastAsia="Times New Roman" w:hAnsi="Times New Roman"/>
                <w:sz w:val="18"/>
                <w:szCs w:val="18"/>
                <w:color w:val="auto"/>
              </w:rPr>
              <w:t>In reference to flat panel displays, it refers to the size range of the underlying substrate to which a photomask is</w:t>
            </w:r>
          </w:p>
        </w:tc>
      </w:tr>
      <w:tr>
        <w:trPr>
          <w:trHeight w:val="234"/>
        </w:trPr>
        <w:tc>
          <w:tcPr>
            <w:tcW w:w="2420" w:type="dxa"/>
            <w:vAlign w:val="bottom"/>
          </w:tcPr>
          <w:p>
            <w:pPr>
              <w:spacing w:after="0"/>
              <w:rPr>
                <w:sz w:val="20"/>
                <w:szCs w:val="20"/>
                <w:color w:val="auto"/>
              </w:rPr>
            </w:pP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82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420" w:type="dxa"/>
            <w:vAlign w:val="bottom"/>
            <w:shd w:val="clear" w:color="auto" w:fill="CCEEFF"/>
          </w:tcPr>
          <w:p>
            <w:pPr>
              <w:spacing w:after="0"/>
              <w:rPr>
                <w:sz w:val="18"/>
                <w:szCs w:val="18"/>
                <w:color w:val="auto"/>
              </w:rPr>
            </w:pP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Mainstream (photomasks)</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For IC, photomasks that service IC nodes greater than 28nm; for FPD, G8 and smaller photomasks</w:t>
            </w:r>
          </w:p>
        </w:tc>
      </w:tr>
      <w:tr>
        <w:trPr>
          <w:trHeight w:val="194"/>
        </w:trPr>
        <w:tc>
          <w:tcPr>
            <w:tcW w:w="24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Optical proximity</w:t>
            </w:r>
          </w:p>
        </w:tc>
        <w:tc>
          <w:tcPr>
            <w:tcW w:w="8820" w:type="dxa"/>
            <w:vAlign w:val="bottom"/>
            <w:shd w:val="clear" w:color="auto" w:fill="CCEEFF"/>
          </w:tcPr>
          <w:p>
            <w:pPr>
              <w:ind w:left="400"/>
              <w:spacing w:after="0" w:line="194"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 edge</w:t>
            </w:r>
          </w:p>
        </w:tc>
      </w:tr>
      <w:tr>
        <w:trPr>
          <w:trHeight w:val="238"/>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correction</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placement integrity of an original design, imaged onto a silicon wafer, for further processing to an etched pattern.</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w:t>
            </w:r>
          </w:p>
        </w:tc>
        <w:tc>
          <w:tcPr>
            <w:tcW w:w="88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820" w:type="dxa"/>
            <w:vAlign w:val="bottom"/>
            <w:shd w:val="clear" w:color="auto" w:fill="CCEEFF"/>
          </w:tcPr>
          <w:p>
            <w:pPr>
              <w:ind w:left="4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w:t>
            </w:r>
          </w:p>
        </w:tc>
      </w:tr>
      <w:tr>
        <w:trPr>
          <w:trHeight w:val="234"/>
        </w:trPr>
        <w:tc>
          <w:tcPr>
            <w:tcW w:w="2420" w:type="dxa"/>
            <w:vAlign w:val="bottom"/>
            <w:shd w:val="clear" w:color="auto" w:fill="CCEEFF"/>
          </w:tcPr>
          <w:p>
            <w:pPr>
              <w:spacing w:after="0"/>
              <w:rPr>
                <w:sz w:val="20"/>
                <w:szCs w:val="20"/>
                <w:color w:val="auto"/>
              </w:rPr>
            </w:pPr>
          </w:p>
        </w:tc>
        <w:tc>
          <w:tcPr>
            <w:tcW w:w="88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as the substrate for microelectronic devices built in and upon the wafer</w:t>
            </w:r>
          </w:p>
        </w:tc>
      </w:tr>
      <w:tr>
        <w:trPr>
          <w:trHeight w:val="571"/>
        </w:trPr>
        <w:tc>
          <w:tcPr>
            <w:tcW w:w="242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420" w:type="dxa"/>
            <w:vAlign w:val="bottom"/>
            <w:tcBorders>
              <w:bottom w:val="single" w:sz="8" w:color="auto"/>
            </w:tcBorders>
          </w:tcPr>
          <w:p>
            <w:pPr>
              <w:spacing w:after="0"/>
              <w:rPr>
                <w:sz w:val="3"/>
                <w:szCs w:val="3"/>
                <w:color w:val="auto"/>
              </w:rPr>
            </w:pPr>
          </w:p>
        </w:tc>
        <w:tc>
          <w:tcPr>
            <w:tcW w:w="88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160" w:firstLine="324"/>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 have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contained in Form 10-K for the year ended October 31, 2025, filed with the SEC on December 17, 2025, as well as any additional risk factors we may provide in Part II, Item 1A in this Quarterly Report on Form 10-Q.</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9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0" w:type="dxa"/>
            <w:vAlign w:val="bottom"/>
          </w:tcPr>
          <w:p>
            <w:pPr>
              <w:spacing w:after="0"/>
              <w:rPr>
                <w:sz w:val="24"/>
                <w:szCs w:val="24"/>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940" w:type="dxa"/>
            <w:vAlign w:val="bottom"/>
          </w:tcPr>
          <w:p>
            <w:pPr>
              <w:jc w:val="center"/>
              <w:ind w:left="175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p>
        </w:tc>
        <w:tc>
          <w:tcPr>
            <w:tcW w:w="7940" w:type="dxa"/>
            <w:vAlign w:val="bottom"/>
          </w:tcPr>
          <w:p>
            <w:pPr>
              <w:jc w:val="center"/>
              <w:ind w:left="173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4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740" w:type="dxa"/>
            <w:vAlign w:val="bottom"/>
          </w:tcPr>
          <w:p>
            <w:pPr>
              <w:spacing w:after="0"/>
              <w:rPr>
                <w:sz w:val="21"/>
                <w:szCs w:val="21"/>
                <w:color w:val="auto"/>
              </w:rPr>
            </w:pPr>
          </w:p>
        </w:tc>
        <w:tc>
          <w:tcPr>
            <w:tcW w:w="7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98"/>
        </w:trPr>
        <w:tc>
          <w:tcPr>
            <w:tcW w:w="7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7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492,256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92,738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95,909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$1,153 in 2026 and $1,166 in 2025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195,921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44,199</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946,249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890,052</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854,436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40,207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19,839</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84,209</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94,987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81,653</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206,649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44,839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41,341</w:t>
            </w:r>
          </w:p>
        </w:tc>
      </w:tr>
      <w:tr>
        <w:trPr>
          <w:trHeight w:val="216"/>
        </w:trPr>
        <w:tc>
          <w:tcPr>
            <w:tcW w:w="8680" w:type="dxa"/>
            <w:vAlign w:val="bottom"/>
            <w:tcBorders>
              <w:top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251,498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207,227</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shd w:val="clear" w:color="auto" w:fill="CCEEFF"/>
          </w:tcPr>
          <w:p>
            <w:pPr>
              <w:spacing w:after="0"/>
              <w:rPr>
                <w:sz w:val="18"/>
                <w:szCs w:val="18"/>
                <w:color w:val="auto"/>
              </w:rPr>
            </w:pPr>
          </w:p>
        </w:tc>
        <w:tc>
          <w:tcPr>
            <w:tcW w:w="7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7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2"/>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58,108 shares issued and outstanding as of February</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 2026, and 57,633 shares issued and outstanding as of October 31, 2025</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486,934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814,323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772,199</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(92,320)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(86,120)</w:t>
            </w:r>
          </w:p>
        </w:tc>
      </w:tr>
      <w:tr>
        <w:trPr>
          <w:trHeight w:val="216"/>
        </w:trPr>
        <w:tc>
          <w:tcPr>
            <w:tcW w:w="86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1,211,390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1,173,589</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438,531</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423,718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1,649,921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1,597,307</w:t>
            </w:r>
          </w:p>
        </w:tc>
      </w:tr>
      <w:tr>
        <w:trPr>
          <w:trHeight w:val="223"/>
        </w:trPr>
        <w:tc>
          <w:tcPr>
            <w:tcW w:w="868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1,804,534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146,364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136,603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19,101</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23,358</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operating income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18,443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6,585</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77,158</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18,901</w:t>
            </w: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42,851</w:t>
            </w:r>
          </w:p>
        </w:tc>
      </w:tr>
      <w:tr>
        <w:trPr>
          <w:trHeight w:val="209"/>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 attributable to Photronics, Inc. shareholders: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62,093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(8,667)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(42,917)</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(42,847)</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36,739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8,844</w:t>
            </w:r>
          </w:p>
        </w:tc>
        <w:tc>
          <w:tcPr>
            <w:tcW w:w="100" w:type="dxa"/>
            <w:vAlign w:val="bottom"/>
          </w:tcPr>
          <w:p>
            <w:pPr>
              <w:spacing w:after="0"/>
              <w:rPr>
                <w:sz w:val="19"/>
                <w:szCs w:val="19"/>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20" w:type="dxa"/>
            <w:vAlign w:val="bottom"/>
            <w:gridSpan w:val="4"/>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0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February 1, 2026</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Accumulated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4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2025</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57,633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486,934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772,199</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(86,120)</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423,718</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42,939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17,238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60,177</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(6,200)</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2,851</w:t>
            </w:r>
          </w:p>
        </w:tc>
        <w:tc>
          <w:tcPr>
            <w:tcW w:w="1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changes in equity</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1, 2026</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58,108</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488,806</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814,323</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(92,320)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438,531</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1,649,921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February 2, 2025</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Photronics, Inc. Shareholders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2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140" w:type="dxa"/>
            <w:vAlign w:val="bottom"/>
            <w:gridSpan w:val="4"/>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80" w:type="dxa"/>
            <w:vAlign w:val="bottom"/>
          </w:tcPr>
          <w:p>
            <w:pPr>
              <w:spacing w:after="0"/>
              <w:rPr>
                <w:sz w:val="19"/>
                <w:szCs w:val="19"/>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0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40" w:type="dxa"/>
            <w:vAlign w:val="bottom"/>
            <w:gridSpan w:val="4"/>
            <w:vMerge w:val="continue"/>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40" w:type="dxa"/>
            <w:vAlign w:val="bottom"/>
          </w:tcPr>
          <w:p>
            <w:pPr>
              <w:spacing w:after="0"/>
              <w:rPr>
                <w:sz w:val="20"/>
                <w:szCs w:val="20"/>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20"/>
                <w:szCs w:val="20"/>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2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40" w:type="dxa"/>
            <w:vAlign w:val="bottom"/>
          </w:tcPr>
          <w:p>
            <w:pPr>
              <w:spacing w:after="0"/>
              <w:rPr>
                <w:sz w:val="19"/>
                <w:szCs w:val="19"/>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34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6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60" w:type="dxa"/>
            <w:vAlign w:val="bottom"/>
          </w:tcPr>
          <w:p>
            <w:pPr>
              <w:spacing w:after="0"/>
              <w:rPr>
                <w:sz w:val="19"/>
                <w:szCs w:val="19"/>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October 31, 2024</w:t>
            </w:r>
          </w:p>
        </w:tc>
        <w:tc>
          <w:tcPr>
            <w:tcW w:w="10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61,949</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619</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514,757</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691,807</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(86,319)</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359,895</w:t>
            </w:r>
          </w:p>
        </w:tc>
        <w:tc>
          <w:tcPr>
            <w:tcW w:w="2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1,480,759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42,851</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15,406</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58,257</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(34,006)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(42,847)</w:t>
            </w: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equity plans</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3,334</w:t>
            </w:r>
          </w:p>
        </w:tc>
        <w:tc>
          <w:tcPr>
            <w:tcW w:w="14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198"/>
        </w:trPr>
        <w:tc>
          <w:tcPr>
            <w:tcW w:w="2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and retirement of</w:t>
            </w: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through</w:t>
            </w: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program</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(1,622)</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3"/>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February 2, 2025</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62,303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515,742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731,709</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(120,325)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366,460</w:t>
            </w:r>
          </w:p>
        </w:tc>
        <w:tc>
          <w:tcPr>
            <w:tcW w:w="2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1,494,209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24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60,177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58,257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20,792</w:t>
            </w: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7,869</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(8,731)</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(47,635)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41,482</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(40,276)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6,845</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(4,573)</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(1,995)</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(20,478)</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(5,915)</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(21,202)</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51,812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43,631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495,113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601,243</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546,925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2,674</w:t>
            </w: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544,133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Accruals for property, plant and equipment purchased not yet paid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20,359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10,911</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7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The Company currently has eleven manufacturing facilities, located in Taiwan (3), China (2), South Korea (1), the United States (3), and Europe (2).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 to make estimates and assumptions that affect amounts reported in them. The Company’s estimates are based on historical experience and on various assumptions that are believed to be reasonable based on the facts and circumstances available at the time they are made. Subsequent actual results may differ from such estimates. The Company reviews these estimates periodically and reflects any effects of revisions in the period in which they are determined.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reporting information, and with the instructions to Form 10-Q and Article 10 of Regulation S-X. Accordingly, they do not include all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the Company’s Form 10-K for the fiscal year ended October 31, 2025, which provides additional information about the Company’s accounting policies and the methods and assumptions used in the Company’s estimates.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is typically impacted during the first quarter of the Company’s fiscal year by the North American, European, and Asian holiday periods, as some customers may change their development and buying activities during this period. Operating results for the interim periods are not necessarily indicative of the results that may be expected for the fiscal year ending October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20" w:firstLine="369"/>
        <w:spacing w:after="0" w:line="258" w:lineRule="auto"/>
        <w:rPr>
          <w:sz w:val="20"/>
          <w:szCs w:val="20"/>
          <w:color w:val="auto"/>
        </w:rPr>
      </w:pPr>
      <w:r>
        <w:rPr>
          <w:rFonts w:ascii="Times New Roman" w:cs="Times New Roman" w:eastAsia="Times New Roman" w:hAnsi="Times New Roman"/>
          <w:sz w:val="18"/>
          <w:szCs w:val="18"/>
          <w:color w:val="auto"/>
        </w:rPr>
        <w:t>In December 2025, the Financial Accounting Standards Board (the “FASB”) issued Accounting Standards Update (“ASU”) No. 2025-11, “Interim Reporting (Topic 270): Narrow Scope Improvements”, which improves the navigability of the required interim disclosures and clarifies when that guidance is applicable. The guidance in this ASU will be effective for Photronics for interim reporting periods in its fiscal year 2028 Form 10Q. The amendments can be applied either (1) prospectively or (2) retrospectively to any or all prior periods presented in the financial statements. The Company does not expect adoption of this ASU to have a material effect on the Company’s consolidated financial statements and related disclosures.</w:t>
      </w:r>
    </w:p>
    <w:p>
      <w:pPr>
        <w:spacing w:after="0" w:line="183" w:lineRule="exact"/>
        <w:rPr>
          <w:sz w:val="20"/>
          <w:szCs w:val="20"/>
          <w:color w:val="auto"/>
        </w:rPr>
      </w:pPr>
    </w:p>
    <w:p>
      <w:pPr>
        <w:ind w:right="100" w:firstLine="369"/>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No. 2025-10, “Government Grants (Topic 832): Accounting for Government Grants Received by Business Entities”. This update establishes authoritative guidance on the accounting for government grants received by business entities. The guidance in this ASU will be effective for Photronics in its fiscal year 2030 Form 10-K, with early application of the amendments allowed. The standard may be applied using a modified prospective, modified retrospective or full retrospective transition approach. The Company is currently evaluating the timing and impact of this ASU on the Company’s consolidated financial statements and related disclosures.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00" w:firstLine="324"/>
        <w:spacing w:after="0" w:line="273" w:lineRule="auto"/>
        <w:rPr>
          <w:sz w:val="20"/>
          <w:szCs w:val="20"/>
          <w:color w:val="auto"/>
        </w:rPr>
      </w:pPr>
      <w:r>
        <w:rPr>
          <w:rFonts w:ascii="Times New Roman" w:cs="Times New Roman" w:eastAsia="Times New Roman" w:hAnsi="Times New Roman"/>
          <w:sz w:val="17"/>
          <w:szCs w:val="17"/>
          <w:color w:val="auto"/>
        </w:rPr>
        <w:t>In November 2024, the FASB issued ASU No. 2024-03, Income Statement - Reporting Comprehensive Income - Expense Disaggregation Disclosures (Subtopic 220-40): Disaggregation of Income Statement Expenses (“ASU 2024-03”) and in January 2025, the FASB issued ASU No. 2025-01, Income Statement - Reporting Comprehensive Income - Expense Disaggregation Disclosures (Subtopic 220-40): Clarifying the Effective Date, which clarified the effective date of ASU 2024-03. ASU 2024-03 will require the Company to disclose the amounts of purchases of inventory, employee compensation, depreciation and intangible asset amortization, as applicable, as well as qualitatively describe remaining amounts included in those captions. The guidance in this ASU will be effective for Photronics in its fiscal year 2028 Form 10-K, with early application of the amendments allowed. The Company is currently evaluating the impact the adoption of this ASU may have on the Company’s consolidated financial statements and related disclosures.</w:t>
      </w:r>
    </w:p>
    <w:p>
      <w:pPr>
        <w:spacing w:after="0" w:line="171"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ASU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ASU will be effective for Photronics in its fiscal year 2026 Form 10-K, with early application of the amendments allowed. The Company is currently evaluating the effect of this ASU adoption on its disclosures.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 – ACCOUNTS RECEIVABLE, NET</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 net</w:t>
            </w:r>
            <w:r>
              <w:rPr>
                <w:rFonts w:ascii="Times New Roman" w:cs="Times New Roman" w:eastAsia="Times New Roman" w:hAnsi="Times New Roman"/>
                <w:sz w:val="18"/>
                <w:szCs w:val="18"/>
                <w:color w:val="auto"/>
              </w:rPr>
              <w:t xml:space="preserve"> at the balance sheet dates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166,511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30,576</w:t>
            </w:r>
          </w:p>
        </w:tc>
      </w:tr>
      <w:tr>
        <w:trPr>
          <w:trHeight w:val="22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r>
      <w:tr>
        <w:trPr>
          <w:trHeight w:val="223"/>
        </w:trPr>
        <w:tc>
          <w:tcPr>
            <w:tcW w:w="868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199,490</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195,921</w:t>
            </w:r>
          </w:p>
        </w:tc>
        <w:tc>
          <w:tcPr>
            <w:tcW w:w="100" w:type="dxa"/>
            <w:vAlign w:val="bottom"/>
            <w:tcBorders>
              <w:top w:val="single" w:sz="8" w:color="CCEEFF"/>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CASH, CASH EQUIVALENTS AND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invests excess cash primarily in bank time deposits and money market funds. The Company’s classification of investments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shd w:val="clear" w:color="auto" w:fill="CCEEFF"/>
          </w:tcPr>
          <w:p>
            <w:pPr>
              <w:jc w:val="right"/>
              <w:ind w:right="2730"/>
              <w:spacing w:after="0"/>
              <w:rPr>
                <w:sz w:val="20"/>
                <w:szCs w:val="20"/>
                <w:color w:val="auto"/>
              </w:rPr>
            </w:pPr>
            <w:r>
              <w:rPr>
                <w:rFonts w:ascii="Times New Roman" w:cs="Times New Roman" w:eastAsia="Times New Roman" w:hAnsi="Times New Roman"/>
                <w:sz w:val="18"/>
                <w:szCs w:val="18"/>
                <w:color w:val="auto"/>
              </w:rPr>
              <w:t>Maturing within three months or less from the date of purchase</w:t>
            </w:r>
          </w:p>
        </w:tc>
        <w:tc>
          <w:tcPr>
            <w:tcW w:w="3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Cash and</w:t>
            </w:r>
          </w:p>
        </w:tc>
      </w:tr>
      <w:tr>
        <w:trPr>
          <w:trHeight w:val="216"/>
        </w:trPr>
        <w:tc>
          <w:tcPr>
            <w:tcW w:w="7440" w:type="dxa"/>
            <w:vAlign w:val="bottom"/>
            <w:shd w:val="clear" w:color="auto" w:fill="CCEEFF"/>
          </w:tcPr>
          <w:p>
            <w:pPr>
              <w:jc w:val="right"/>
              <w:ind w:right="7270"/>
              <w:spacing w:after="0"/>
              <w:rPr>
                <w:sz w:val="20"/>
                <w:szCs w:val="20"/>
                <w:color w:val="auto"/>
              </w:rPr>
            </w:pPr>
            <w:r>
              <w:rPr>
                <w:rFonts w:ascii="Times New Roman" w:cs="Times New Roman" w:eastAsia="Times New Roman" w:hAnsi="Times New Roman"/>
                <w:sz w:val="18"/>
                <w:szCs w:val="18"/>
                <w:color w:val="auto"/>
                <w:w w:val="99"/>
              </w:rPr>
              <w:t>-</w:t>
            </w:r>
          </w:p>
        </w:tc>
        <w:tc>
          <w:tcPr>
            <w:tcW w:w="3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cash</w:t>
            </w:r>
          </w:p>
        </w:tc>
      </w:tr>
      <w:tr>
        <w:trPr>
          <w:trHeight w:val="234"/>
        </w:trPr>
        <w:tc>
          <w:tcPr>
            <w:tcW w:w="7440" w:type="dxa"/>
            <w:vAlign w:val="bottom"/>
            <w:shd w:val="clear" w:color="auto" w:fill="CCEEFF"/>
          </w:tcPr>
          <w:p>
            <w:pPr>
              <w:spacing w:after="0"/>
              <w:rPr>
                <w:sz w:val="20"/>
                <w:szCs w:val="20"/>
                <w:color w:val="auto"/>
              </w:rPr>
            </w:pPr>
          </w:p>
        </w:tc>
        <w:tc>
          <w:tcPr>
            <w:tcW w:w="3800" w:type="dxa"/>
            <w:vAlign w:val="bottom"/>
            <w:shd w:val="clear" w:color="auto" w:fill="CCEEFF"/>
          </w:tcPr>
          <w:p>
            <w:pPr>
              <w:ind w:left="2820"/>
              <w:spacing w:after="0"/>
              <w:rPr>
                <w:sz w:val="20"/>
                <w:szCs w:val="20"/>
                <w:color w:val="auto"/>
              </w:rPr>
            </w:pPr>
            <w:r>
              <w:rPr>
                <w:rFonts w:ascii="Times New Roman" w:cs="Times New Roman" w:eastAsia="Times New Roman" w:hAnsi="Times New Roman"/>
                <w:sz w:val="18"/>
                <w:szCs w:val="18"/>
                <w:color w:val="auto"/>
              </w:rPr>
              <w:t>equivalents</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1240" w:type="dxa"/>
            <w:vAlign w:val="bottom"/>
            <w:gridSpan w:val="2"/>
          </w:tcPr>
          <w:p>
            <w:pPr>
              <w:ind w:left="20"/>
              <w:spacing w:after="0" w:line="217"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Maturing, as of the date of purchase, more than three months, but with remaining maturities of less than one year, from the balance sheet dateShort-term</w:t>
            </w:r>
          </w:p>
        </w:tc>
      </w:tr>
      <w:tr>
        <w:trPr>
          <w:trHeight w:val="214"/>
        </w:trPr>
        <w:tc>
          <w:tcPr>
            <w:tcW w:w="7140" w:type="dxa"/>
            <w:vAlign w:val="bottom"/>
          </w:tcPr>
          <w:p>
            <w:pPr>
              <w:spacing w:after="0"/>
              <w:rPr>
                <w:sz w:val="18"/>
                <w:szCs w:val="18"/>
                <w:color w:val="auto"/>
              </w:rPr>
            </w:pPr>
          </w:p>
        </w:tc>
        <w:tc>
          <w:tcPr>
            <w:tcW w:w="410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investments</w:t>
            </w:r>
          </w:p>
        </w:tc>
      </w:tr>
      <w:tr>
        <w:trPr>
          <w:trHeight w:val="198"/>
        </w:trPr>
        <w:tc>
          <w:tcPr>
            <w:tcW w:w="714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4100" w:type="dxa"/>
            <w:vAlign w:val="bottom"/>
            <w:shd w:val="clear" w:color="auto" w:fill="CCEEFF"/>
          </w:tcPr>
          <w:p>
            <w:pPr>
              <w:ind w:left="3120"/>
              <w:spacing w:after="0" w:line="198" w:lineRule="exact"/>
              <w:rPr>
                <w:sz w:val="20"/>
                <w:szCs w:val="20"/>
                <w:color w:val="auto"/>
              </w:rPr>
            </w:pPr>
            <w:r>
              <w:rPr>
                <w:rFonts w:ascii="Times New Roman" w:cs="Times New Roman" w:eastAsia="Times New Roman" w:hAnsi="Times New Roman"/>
                <w:sz w:val="18"/>
                <w:szCs w:val="18"/>
                <w:color w:val="auto"/>
              </w:rPr>
              <w:t>Long-term</w:t>
            </w:r>
          </w:p>
        </w:tc>
      </w:tr>
      <w:tr>
        <w:trPr>
          <w:trHeight w:val="216"/>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10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marketable</w:t>
            </w:r>
          </w:p>
        </w:tc>
      </w:tr>
      <w:tr>
        <w:trPr>
          <w:trHeight w:val="234"/>
        </w:trPr>
        <w:tc>
          <w:tcPr>
            <w:tcW w:w="7140" w:type="dxa"/>
            <w:vAlign w:val="bottom"/>
            <w:shd w:val="clear" w:color="auto" w:fill="CCEEFF"/>
          </w:tcPr>
          <w:p>
            <w:pPr>
              <w:spacing w:after="0"/>
              <w:rPr>
                <w:sz w:val="20"/>
                <w:szCs w:val="20"/>
                <w:color w:val="auto"/>
              </w:rPr>
            </w:pPr>
          </w:p>
        </w:tc>
        <w:tc>
          <w:tcPr>
            <w:tcW w:w="4100" w:type="dxa"/>
            <w:vAlign w:val="bottom"/>
            <w:shd w:val="clear" w:color="auto" w:fill="CCEEFF"/>
          </w:tcPr>
          <w:p>
            <w:pPr>
              <w:ind w:left="3120"/>
              <w:spacing w:after="0"/>
              <w:rPr>
                <w:sz w:val="20"/>
                <w:szCs w:val="20"/>
                <w:color w:val="auto"/>
              </w:rPr>
            </w:pPr>
            <w:r>
              <w:rPr>
                <w:rFonts w:ascii="Times New Roman" w:cs="Times New Roman" w:eastAsia="Times New Roman" w:hAnsi="Times New Roman"/>
                <w:sz w:val="18"/>
                <w:szCs w:val="18"/>
                <w:color w:val="auto"/>
              </w:rPr>
              <w:t>investments</w:t>
            </w: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76"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right="20" w:firstLine="13"/>
        <w:spacing w:after="0" w:line="282" w:lineRule="auto"/>
        <w:rPr>
          <w:sz w:val="20"/>
          <w:szCs w:val="20"/>
          <w:color w:val="auto"/>
        </w:rPr>
      </w:pPr>
      <w:r>
        <w:rPr>
          <w:rFonts w:ascii="Times New Roman" w:cs="Times New Roman" w:eastAsia="Times New Roman" w:hAnsi="Times New Roman"/>
          <w:sz w:val="18"/>
          <w:szCs w:val="18"/>
          <w:color w:val="auto"/>
        </w:rPr>
        <w:t>Level 2-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These are investments where values are derived from techniques in which one or more significant inputs are unobservable.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following are cash, cash equivalents and investments measured at fair value on a recurring basis using quoted prices in active markets for identical assets (Level 1), significant other observable inputs (Level 2) and significant unobservable inputs (Level 3):</w:t>
      </w:r>
    </w:p>
    <w:tbl>
      <w:tblPr>
        <w:tblLayout w:type="fixed"/>
        <w:tblInd w:w="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1, 2026</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October 31, 2025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3280" w:type="dxa"/>
            <w:vAlign w:val="bottom"/>
          </w:tcPr>
          <w:p>
            <w:pPr>
              <w:spacing w:after="0"/>
              <w:rPr>
                <w:sz w:val="16"/>
                <w:szCs w:val="16"/>
                <w:color w:val="auto"/>
              </w:rPr>
            </w:pPr>
          </w:p>
        </w:tc>
        <w:tc>
          <w:tcPr>
            <w:tcW w:w="12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center"/>
              <w:ind w:right="2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1000" w:type="dxa"/>
            <w:vAlign w:val="bottom"/>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Total Fair</w:t>
            </w:r>
          </w:p>
        </w:tc>
        <w:tc>
          <w:tcPr>
            <w:tcW w:w="220" w:type="dxa"/>
            <w:vAlign w:val="bottom"/>
          </w:tcPr>
          <w:p>
            <w:pPr>
              <w:spacing w:after="0"/>
              <w:rPr>
                <w:sz w:val="16"/>
                <w:szCs w:val="16"/>
                <w:color w:val="auto"/>
              </w:rPr>
            </w:pPr>
          </w:p>
        </w:tc>
        <w:tc>
          <w:tcPr>
            <w:tcW w:w="11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and cash</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1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Short-term</w:t>
            </w:r>
          </w:p>
        </w:tc>
        <w:tc>
          <w:tcPr>
            <w:tcW w:w="200" w:type="dxa"/>
            <w:vAlign w:val="bottom"/>
          </w:tcPr>
          <w:p>
            <w:pPr>
              <w:spacing w:after="0"/>
              <w:rPr>
                <w:sz w:val="16"/>
                <w:szCs w:val="16"/>
                <w:color w:val="auto"/>
              </w:rPr>
            </w:pPr>
          </w:p>
        </w:tc>
        <w:tc>
          <w:tcPr>
            <w:tcW w:w="980" w:type="dxa"/>
            <w:vAlign w:val="bottom"/>
          </w:tcPr>
          <w:p>
            <w:pPr>
              <w:jc w:val="center"/>
              <w:ind w:right="50"/>
              <w:spacing w:after="0" w:line="194" w:lineRule="exact"/>
              <w:rPr>
                <w:sz w:val="20"/>
                <w:szCs w:val="20"/>
                <w:color w:val="auto"/>
              </w:rPr>
            </w:pPr>
            <w:r>
              <w:rPr>
                <w:rFonts w:ascii="Times New Roman" w:cs="Times New Roman" w:eastAsia="Times New Roman" w:hAnsi="Times New Roman"/>
                <w:sz w:val="18"/>
                <w:szCs w:val="18"/>
                <w:b w:val="1"/>
                <w:bCs w:val="1"/>
                <w:color w:val="auto"/>
                <w:w w:val="96"/>
              </w:rPr>
              <w:t>Total Fair</w:t>
            </w:r>
          </w:p>
        </w:tc>
        <w:tc>
          <w:tcPr>
            <w:tcW w:w="100" w:type="dxa"/>
            <w:vAlign w:val="bottom"/>
          </w:tcPr>
          <w:p>
            <w:pPr>
              <w:spacing w:after="0"/>
              <w:rPr>
                <w:sz w:val="16"/>
                <w:szCs w:val="16"/>
                <w:color w:val="auto"/>
              </w:rPr>
            </w:pPr>
          </w:p>
        </w:tc>
      </w:t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equivalents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237,349</w:t>
            </w: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237,349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222,166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Level 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U.S. Government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19,127</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19,127</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25,157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28,946</w:t>
            </w: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Money market funds</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29,340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Commercial paper</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5,985</w:t>
            </w:r>
          </w:p>
        </w:tc>
        <w:tc>
          <w:tcPr>
            <w:tcW w:w="2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48,437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2,259</w:t>
            </w:r>
          </w:p>
        </w:tc>
        <w:tc>
          <w:tcPr>
            <w:tcW w:w="2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33,006</w:t>
            </w: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Time deposits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67,626</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302,618</w:t>
            </w: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68,493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292,888</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544,133</w:t>
            </w: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92,738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636,871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492,256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95,909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588,165</w:t>
            </w:r>
          </w:p>
        </w:tc>
      </w:tr>
      <w:tr>
        <w:trPr>
          <w:trHeight w:val="21"/>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Restricted Cash </w:t>
            </w:r>
            <w:r>
              <w:rPr>
                <w:rFonts w:ascii="Times New Roman" w:cs="Times New Roman" w:eastAsia="Times New Roman" w:hAnsi="Times New Roman"/>
                <w:sz w:val="24"/>
                <w:szCs w:val="24"/>
                <w:color w:val="auto"/>
                <w:vertAlign w:val="superscript"/>
              </w:rPr>
              <w:t>(1)</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495,113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490"/>
        <w:spacing w:after="0"/>
        <w:tabs>
          <w:tab w:leader="none" w:pos="66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Restricted cash is included in other assets and primarily relates to customs requirements and land lease agreements.</w:t>
      </w:r>
    </w:p>
    <w:p>
      <w:pPr>
        <w:spacing w:after="0" w:line="198"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Commercial paper and Money market funds are classified as available-for-sale. Available-for-sale investments are reported at fair value, with unrealized gains or losses (net of tax) reported in </w:t>
      </w:r>
      <w:r>
        <w:rPr>
          <w:rFonts w:ascii="Times New Roman" w:cs="Times New Roman" w:eastAsia="Times New Roman" w:hAnsi="Times New Roman"/>
          <w:sz w:val="17"/>
          <w:szCs w:val="17"/>
          <w:i w:val="1"/>
          <w:iCs w:val="1"/>
          <w:color w:val="auto"/>
        </w:rPr>
        <w:t>Accumulated other comprehensive income (loss)</w:t>
      </w:r>
      <w:r>
        <w:rPr>
          <w:rFonts w:ascii="Times New Roman" w:cs="Times New Roman" w:eastAsia="Times New Roman" w:hAnsi="Times New Roman"/>
          <w:sz w:val="17"/>
          <w:szCs w:val="17"/>
          <w:color w:val="auto"/>
        </w:rPr>
        <w:t xml:space="preserve">. In the event of a sale of these securities, the Company would determine the cost of the investment sold at the specific individual security level and would include any gain or loss in </w:t>
      </w:r>
      <w:r>
        <w:rPr>
          <w:rFonts w:ascii="Times New Roman" w:cs="Times New Roman" w:eastAsia="Times New Roman" w:hAnsi="Times New Roman"/>
          <w:sz w:val="17"/>
          <w:szCs w:val="17"/>
          <w:i w:val="1"/>
          <w:iCs w:val="1"/>
          <w:color w:val="auto"/>
        </w:rPr>
        <w:t>Interest income and 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income, net</w:t>
      </w:r>
      <w:r>
        <w:rPr>
          <w:rFonts w:ascii="Times New Roman" w:cs="Times New Roman" w:eastAsia="Times New Roman" w:hAnsi="Times New Roman"/>
          <w:sz w:val="17"/>
          <w:szCs w:val="17"/>
          <w:color w:val="auto"/>
        </w:rPr>
        <w:t>, where the Company also reports periodic interest earned and the amortization (accretion) of discounts (premiums) related to these investments.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the periods ended February 1, 2026, and October 31, 2025, the unrealized gains or losses related to short-term investments were immaterial.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0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1,616</w:t>
            </w: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3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3360" w:type="dxa"/>
            <w:vAlign w:val="bottom"/>
          </w:tcPr>
          <w:p>
            <w:pPr>
              <w:spacing w:after="0"/>
              <w:rPr>
                <w:sz w:val="19"/>
                <w:szCs w:val="19"/>
                <w:color w:val="auto"/>
              </w:rPr>
            </w:pP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62,653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61,767</w:t>
            </w:r>
          </w:p>
        </w:tc>
      </w:tr>
      <w:tr>
        <w:trPr>
          <w:trHeight w:val="571"/>
        </w:trPr>
        <w:tc>
          <w:tcPr>
            <w:tcW w:w="3360" w:type="dxa"/>
            <w:vAlign w:val="bottom"/>
          </w:tcPr>
          <w:p>
            <w:pPr>
              <w:spacing w:after="0"/>
              <w:rPr>
                <w:sz w:val="24"/>
                <w:szCs w:val="24"/>
                <w:color w:val="auto"/>
              </w:rPr>
            </w:pPr>
          </w:p>
        </w:tc>
        <w:tc>
          <w:tcPr>
            <w:tcW w:w="5320" w:type="dxa"/>
            <w:vAlign w:val="bottom"/>
          </w:tcPr>
          <w:p>
            <w:pPr>
              <w:jc w:val="right"/>
              <w:ind w:right="2899"/>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192,860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2,120,747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2,109,456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20,063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20,474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19,394</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167,882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134,880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2,539,004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2,489,309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(1,644,384)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(1,634,873)</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854,436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 During the first half of 2025, the Company exercised its early buy-out option for a high-end lithography tool and a high-end inspection tool.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86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January 2018, Photronics, Inc., through its wholly-owned Photronics Singapore PTE. LTD. subsidiary (hereinafter, within this Note “we”, “Photronics”, “us”, or “our”), and DNP, through its wholly owned subsidiary DNP Asia Pacific PTE, Ltd., entered into a joint venture under which DNP obtained a 49.99% interest in the Company’s IC business in Xiamen, China. The joint venture, which the Company refers to as “PDMCX”, was established to develop and manufacture photomasks for semiconductors. The Company entered into this joint venture to enable the Company to compete more effectively for the merchant photomask business in China, and to benefit from the additional resources and investment that DNP provides to enable the Company to offer advanced-process technology to the Company’s customers.</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Under the joint venture agreement, should either Photronics’ or DNP’s ownership interest fall below 20.0% for a period of more than six consecutive months, such party (an “exiting party”) has the option to sell to the other party, and the other party has the option to purchase from such exiting party, the exiting party’s remaining ownership interest. In either case, the sales of ownership interests would be at the exiting party’s ownership percentage of the joint venture’s net book value, with closing to take place within three business days of obtaining required approvals and clearance.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1002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income the Company recorded from the operations of PDMCX during the reporting periods.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ASC Topic 810 - “Consolidation”, the Company evaluated the Company’s involvement in PDMCX for the purpose of determining whether the Company should consolidate its results in the Company’s financial statements. The initial step of the Company’s evaluation was to determine whether PDMCX was a VIE. Due to its lack of sufficient equity at risk to finance its activities without additional subordinated financial support, the Company determined that it is a VIE. Having made this determination, the Company then assessed whether the Company was the primary beneficiary of the VIE and concluded that the Company was the primary beneficiary during the current and prior years reporting periods; thus, as required, the PDMCX financial results have been consolidated with Photronics. The Company’s conclusion was based on the fact that the Company held a controlling financial interest in PDMCX (which resulted from the Company’s having the power to direct the activities that most significantly impacted its economic performance) and had both the obligation to absorb losses and the right to receive benefits that could potentially be significant to PDMCX. The Company’s conclusion that the Company had the power to direct the activities that most significantly affected the economic performance of PDMCX during the current and prior year periods were based on the Company’s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the Company held during the current and prior year periods, the Company had the obligation to absorb losses, and the right to receive benefits, which could potentially be significant to PDMCX.</w:t>
      </w:r>
    </w:p>
    <w:p>
      <w:pPr>
        <w:spacing w:after="0" w:line="18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the Company’s condensed consolidated balance sheets. General creditors of PDMCX do not have recourse to the assets of Photronics (other than the net assets of PDMCX); therefore, the Company’s maximum exposure to loss from PDMCX is the Company’s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5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54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2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11"/>
                <w:szCs w:val="11"/>
                <w:color w:val="auto"/>
              </w:rPr>
            </w:pPr>
          </w:p>
        </w:tc>
        <w:tc>
          <w:tcPr>
            <w:tcW w:w="11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1"/>
                <w:szCs w:val="11"/>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0" w:type="dxa"/>
            <w:vAlign w:val="bottom"/>
          </w:tcPr>
          <w:p>
            <w:pPr>
              <w:spacing w:after="0"/>
              <w:rPr>
                <w:sz w:val="1"/>
                <w:szCs w:val="1"/>
                <w:color w:val="auto"/>
              </w:rPr>
            </w:pPr>
          </w:p>
        </w:tc>
      </w:tr>
      <w:tr>
        <w:trPr>
          <w:trHeight w:val="108"/>
        </w:trPr>
        <w:tc>
          <w:tcPr>
            <w:tcW w:w="35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104,165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90,163</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172,757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86,396</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166,756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83,395</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381,045</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190,561</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347,045</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39,355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19,681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23,193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11,599</w:t>
            </w:r>
          </w:p>
        </w:tc>
        <w:tc>
          <w:tcPr>
            <w:tcW w:w="0" w:type="dxa"/>
            <w:vAlign w:val="bottom"/>
          </w:tcPr>
          <w:p>
            <w:pPr>
              <w:spacing w:after="0"/>
              <w:rPr>
                <w:sz w:val="1"/>
                <w:szCs w:val="1"/>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26,163</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tcPr>
          <w:p>
            <w:pPr>
              <w:spacing w:after="0"/>
              <w:rPr>
                <w:sz w:val="19"/>
                <w:szCs w:val="19"/>
                <w:color w:val="auto"/>
              </w:rPr>
            </w:pPr>
          </w:p>
        </w:tc>
        <w:tc>
          <w:tcPr>
            <w:tcW w:w="2580" w:type="dxa"/>
            <w:vAlign w:val="bottom"/>
            <w:gridSpan w:val="2"/>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338,656</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169,363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320,882</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71"/>
        </w:trPr>
        <w:tc>
          <w:tcPr>
            <w:tcW w:w="3540" w:type="dxa"/>
            <w:vAlign w:val="bottom"/>
          </w:tcPr>
          <w:p>
            <w:pPr>
              <w:spacing w:after="0"/>
              <w:rPr>
                <w:sz w:val="24"/>
                <w:szCs w:val="24"/>
                <w:color w:val="auto"/>
              </w:rPr>
            </w:pPr>
          </w:p>
        </w:tc>
        <w:tc>
          <w:tcPr>
            <w:tcW w:w="2440" w:type="dxa"/>
            <w:vAlign w:val="bottom"/>
          </w:tcPr>
          <w:p>
            <w:pPr>
              <w:jc w:val="right"/>
              <w:ind w:right="199"/>
              <w:spacing w:after="0"/>
              <w:rPr>
                <w:sz w:val="20"/>
                <w:szCs w:val="20"/>
                <w:color w:val="auto"/>
              </w:rPr>
            </w:pPr>
            <w:r>
              <w:rPr>
                <w:rFonts w:ascii="Times New Roman" w:cs="Times New Roman" w:eastAsia="Times New Roman" w:hAnsi="Times New Roman"/>
                <w:sz w:val="14"/>
                <w:szCs w:val="14"/>
                <w:color w:val="auto"/>
              </w:rPr>
              <w:t>14</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control of a good or service transfers to a customer, in an amount that reflects the consideration to which the Company expects to be entitled in exchange for transferring those goods or services. The Company accounts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the Company’s revenue comes from the sales of photomasks. The Company typically contracts with its customers to sell sets of photomasks, which are comprised of multiple layers, the predominance of which the Company invoices as they ship to customers. As the photomasks are manufactured to customer specifications, they have no alternative use to the Company and, as the Company’s contracts generally provide it with the right to payment for work completed to date, the Company recognizes revenue as it performs, or “over time,” on most of its contracts. The Company measures its performance to date using an input method, which is based on the Company’s estimated costs to complete the various manufacturing phases of a photomask. At the end of a reporting period, there are a number of uncompleted revenue contracts on which the Company has performed; for any such contracts under which the Company is entitled to be compensated for its costs incurred plus a reasonable profit, the Company recognizes revenue and a corresponding contract asset for such performance. The Company accounts for shipping and handling activities that it performs after a customer obtains control of a good as being activities to fulfill the Company’s promise to transfer the good to the customer, rather than as promised services, or performance obligations, under the contract. The Company reports its revenue net of any sales or similar taxes the Company collects on behalf of governmental entities.</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the Company’s photomasks do not have standard or “list” prices. The transaction prices of the vast majority of the Company’s revenue contracts include only fixed amounts of consideration. In certain instances, such as when the Company offers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recognizes a contract asset when its performance under a contract precedes the Company’s receipt of consideration from a customer, or before payment is due, and the right to receive consideration is conditional upon factors other than the passage of time. Contract assets reflect the Company’s transfer of control to customers of photomasks that are in process or completed but not yet shipped to customers. A receivable is recognized when the Company has an unconditional right to payment, which generally occurs upon the shipment of the photomasks. The Company’s contract assets primarily consist of in-process production orders and fully manufactured photomasks which have not yet shipped, for which the Company has an enforceable right to consideration (including a reasonable profit) in the event the in-process orders are cancelled by customers. On an individual contract basis, the Company nets contract assets with contract liabilities for financial reporting purposes. The Company did not identify impairment indicators for any outstanding contract assets during the three month periods ended February 1, 2026, or February 2,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contract balances at the balance sheet dates.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175"/>
        </w:trPr>
        <w:tc>
          <w:tcPr>
            <w:tcW w:w="8680" w:type="dxa"/>
            <w:vAlign w:val="bottom"/>
            <w:gridSpan w:val="3"/>
          </w:tcPr>
          <w:p>
            <w:pPr>
              <w:ind w:left="60"/>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12,670</w:t>
            </w:r>
          </w:p>
        </w:tc>
      </w:tr>
      <w:tr>
        <w:trPr>
          <w:trHeight w:val="216"/>
        </w:trPr>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22,380</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9,491</w:t>
            </w:r>
          </w:p>
        </w:tc>
      </w:tr>
      <w:tr>
        <w:trPr>
          <w:trHeight w:val="223"/>
        </w:trPr>
        <w:tc>
          <w:tcPr>
            <w:tcW w:w="8680" w:type="dxa"/>
            <w:vAlign w:val="bottom"/>
            <w:tcBorders>
              <w:bottom w:val="single" w:sz="8" w:color="CCEEFF"/>
            </w:tcBorders>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26,889</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Company generally records accounts receivable at their billed amounts. All outstanding past due customer invoices are reviewed for collectability during, and at the end of, every reporting period. To the extent the Company believes a loss on the collection of a customer invoice is probable, the Company would record the loss and credit an allowance for credit losses. In the event that an amount is determined to be uncollectible, the Company charges the allowance for credit losses and derecognizes the related receivable. The Company did not incur any credit losses on the Company’s accounts receivable during the three month periods ended February 1, 2026, or February 2, 2025.</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Company’s invoice terms generally range from net thirty to ninety days, depending on both the geographic market in which the transaction occurs and the Company’s payment agreements with specific customers. In the event that the Company’s evaluation of a customer’s business prospects, and financial conditions indicate that the customer presents a collectability risk, the Company will modify terms of sale, which may require payment in advance of performance. At the time of adoption, the Company elected the practical expedient allowed under ASC Topic 606 “Revenue from Contracts with Customers” (“Topic 606”) that permits the Company not to adjust a contract’s promised amount of consideration to reflect a financing component when the period between when the Company transfers control of goods or services to customers and when the Company is paid is one year or less.</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the Company is paid in advance of the Company’s performance, the Company records a contract liability and, as allowed under the practical expedient in Topic 606, recognizes interest expense only if the period between when the Company receives payment from the customer and the date when the Company expects to be entitled to the payment is greater than one year. Historically, advance payments the Company has received from customers have generally not preceded the completion of the Company’s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360" w:firstLine="36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 for the three month periods ended February 1, 2026, and February 2, 2025,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21"/>
                <w:szCs w:val="21"/>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175"/>
        </w:trPr>
        <w:tc>
          <w:tcPr>
            <w:tcW w:w="856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60,105</w:t>
            </w:r>
          </w:p>
        </w:tc>
      </w:tr>
      <w:tr>
        <w:trPr>
          <w:trHeight w:val="223"/>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94,009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93,851</w:t>
            </w:r>
          </w:p>
        </w:tc>
      </w:tr>
      <w:tr>
        <w:trPr>
          <w:trHeight w:val="216"/>
        </w:trPr>
        <w:tc>
          <w:tcPr>
            <w:tcW w:w="180" w:type="dxa"/>
            <w:vAlign w:val="bottom"/>
            <w:shd w:val="clear" w:color="auto" w:fill="CCEEFF"/>
          </w:tcPr>
          <w:p>
            <w:pPr>
              <w:spacing w:after="0"/>
              <w:rPr>
                <w:sz w:val="18"/>
                <w:szCs w:val="18"/>
                <w:color w:val="auto"/>
              </w:rPr>
            </w:pPr>
          </w:p>
        </w:tc>
        <w:tc>
          <w:tcPr>
            <w:tcW w:w="8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165,291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153,956</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3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3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49,679</w:t>
            </w:r>
          </w:p>
        </w:tc>
      </w:tr>
      <w:tr>
        <w:trPr>
          <w:trHeight w:val="223"/>
        </w:trPr>
        <w:tc>
          <w:tcPr>
            <w:tcW w:w="8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8,503</w:t>
            </w:r>
          </w:p>
        </w:tc>
      </w:tr>
      <w:tr>
        <w:trPr>
          <w:trHeight w:val="216"/>
        </w:trPr>
        <w:tc>
          <w:tcPr>
            <w:tcW w:w="180" w:type="dxa"/>
            <w:vAlign w:val="bottom"/>
            <w:shd w:val="clear" w:color="auto" w:fill="CCEEFF"/>
          </w:tcPr>
          <w:p>
            <w:pPr>
              <w:spacing w:after="0"/>
              <w:rPr>
                <w:sz w:val="18"/>
                <w:szCs w:val="18"/>
                <w:color w:val="auto"/>
              </w:rPr>
            </w:pPr>
          </w:p>
        </w:tc>
        <w:tc>
          <w:tcPr>
            <w:tcW w:w="85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59,775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58,182</w:t>
            </w:r>
          </w:p>
        </w:tc>
        <w:tc>
          <w:tcPr>
            <w:tcW w:w="100" w:type="dxa"/>
            <w:vAlign w:val="bottom"/>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439"/>
        </w:trPr>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00" w:type="dxa"/>
            <w:vAlign w:val="bottom"/>
          </w:tcPr>
          <w:p>
            <w:pPr>
              <w:spacing w:after="0"/>
              <w:rPr>
                <w:sz w:val="21"/>
                <w:szCs w:val="21"/>
                <w:color w:val="auto"/>
              </w:rPr>
            </w:pPr>
          </w:p>
        </w:tc>
        <w:tc>
          <w:tcPr>
            <w:tcW w:w="10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73,035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53,558</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40,237</w:t>
            </w: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36,898</w:t>
            </w: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7,940</w:t>
            </w:r>
          </w:p>
        </w:tc>
      </w:tr>
      <w:tr>
        <w:trPr>
          <w:trHeight w:val="223"/>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86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218,197</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205,076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7,062</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75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Company pays commissions to third-party sales agents for certain sales they procure on the Company’s behalf. However, the bases of the commissions are the transaction prices of the sales, which are completed in less than one year; thus, no relationship is established with a customer that will result in future business. Therefore, the Company would not recognize any portion of these sales commissions as costs of obtaining a contract, nor does the Company currently foresee other circumstances under which the Company would recognize such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the Company is typically required to fulfill customer orders within a short time period, the Company’s backlog of orders is generally not in excess of one to two weeks for IC photomasks and two to three weeks for FPD photomasks. As allowed under ASC 606 </w:t>
      </w:r>
      <w:r>
        <w:rPr>
          <w:rFonts w:ascii="Times New Roman" w:cs="Times New Roman" w:eastAsia="Times New Roman" w:hAnsi="Times New Roman"/>
          <w:sz w:val="18"/>
          <w:szCs w:val="18"/>
          <w:i w:val="1"/>
          <w:iCs w:val="1"/>
          <w:color w:val="auto"/>
        </w:rPr>
        <w:t>– Revenue Contracts with Customers</w:t>
      </w:r>
      <w:r>
        <w:rPr>
          <w:rFonts w:ascii="Times New Roman" w:cs="Times New Roman" w:eastAsia="Times New Roman" w:hAnsi="Times New Roman"/>
          <w:sz w:val="18"/>
          <w:szCs w:val="18"/>
          <w:color w:val="auto"/>
        </w:rPr>
        <w:t>, the Company has elected not to disclose the Company’s remaining performance obligations, which represent the costs associated with the completion of the manufacturing process of in-process photomasks related to contracts that have an original duration of one year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Company’s photomasks are sold under warranties that generally range from one to twenty-four months. The Company warrants that the Company’s photomasks conform to customer specifications, and the Company will typically repair, replace, or issue a refund for any photomasks that fail to do so. The warranties do not represent separate performance obligations in the Company’s revenue contracts. Historically, customer claims under warranties have been immaterial.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 April 2, 2025, at its annual meeting of shareholders, the shareholders of Photronics, Inc., approved the Company’s 2025 Equity Incentive Compensation Plan (the “2025 Plan”) under which incentive stock options, non-qualified stock options, stock grants, stock-based awards, restricted stock, restricted stock units, stock appreciation rights, performance units, performance stock, and other stock or cash awards may be granted. The maximum number of shares of common stock that may be issued under the 2025 Plan is five million shares. Awards may be granted to officers, employees, directors, consultants, advisors, and independent contractors of Photronics or its subsidiaries. In the event of a change in control (as defined in the 2025 Plan), the vesting of awards may be accelerated. The 2025 Plan prohibits further awards from being issued under prior plans. The table below presents information on the Company’s share-based compensation expenses.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446</w:t>
            </w:r>
          </w:p>
        </w:tc>
      </w:tr>
    </w:tbl>
    <w:p>
      <w:pPr>
        <w:spacing w:after="0" w:line="17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research and development credit for the quarter ended February 1, 2026, was primarily attributable to the forfeiture of previously granted time-vesting restricted stock awards, following the departure of an executive.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periodically grants restricted stock awards, the restrictions on which typically lapse over a service period of one to four years. The fair values of the awards are determined on the date of grant, based on the closing stock price of the Company’s common stock. The table below presents information on the Company’s restricted stock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345,500</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18,078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25,786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855,124</w:t>
            </w: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1,256,697</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Commencing Q2 FY25, the Company began granting restricted stock units, the restrictions on which typically lapse over a service period of one to four years. The fair value of the awards is determined on the date of grant, based on the closing price of the Company’s common stock. The table below presents information on the Company’s restricted stock unit awards.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1,</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units granted in period</w:t>
            </w: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509,072</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33.21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costs not yet recognized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16,486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stock units outstanding at balance sheet date</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634,402</w:t>
            </w:r>
          </w:p>
        </w:tc>
        <w:tc>
          <w:tcPr>
            <w:tcW w:w="2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Stock 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the Company’s common stock on the dates of grant and are calculated using the Black-Scholes option pricing model. Expected volatility is based on the historical volatility of the Company’s common stock. The Company uses historical option exercise behavior and employee termination data to estimate expected term, which represents the period of time that options granted are expected to remain outstanding. The risk-free rate of return for the estimated term of an option is based on the U.S. Treasury yield curve in effect at the date of grant. The table below presents information on the Company’s stock options.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49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49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1"/>
                <w:szCs w:val="2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amortization period (in years)</w:t>
            </w:r>
          </w:p>
        </w:tc>
        <w:tc>
          <w:tcPr>
            <w:tcW w:w="2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Information regarding outstanding and exercisable option awards as of February 1, 2026, is presented below.</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9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9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3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February 1, 2026</w:t>
            </w:r>
          </w:p>
        </w:tc>
        <w:tc>
          <w:tcPr>
            <w:tcW w:w="2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56,750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calculates its provision for income taxes at the end of each interim reporting period on the basis of an estimated annual effective tax rate adjusted for tax items that are discrete to each period. The table below sets forth the primary reasons that the Company’s effective income tax rates differed from the U.S. statutory tax rates in effect during the periods ended February 1, 2026, and February 2, 2025.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Tax</w:t>
            </w: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45"/>
        </w:trPr>
        <w:tc>
          <w:tcPr>
            <w:tcW w:w="2700" w:type="dxa"/>
            <w:vAlign w:val="bottom"/>
            <w:tcBorders>
              <w:bottom w:val="single" w:sz="8" w:color="auto"/>
            </w:tcBorders>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Tax Rates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00" w:type="dxa"/>
            <w:vAlign w:val="bottom"/>
          </w:tcPr>
          <w:p>
            <w:pPr>
              <w:spacing w:after="0"/>
              <w:rPr>
                <w:sz w:val="21"/>
                <w:szCs w:val="21"/>
                <w:color w:val="auto"/>
              </w:rPr>
            </w:pPr>
          </w:p>
        </w:tc>
        <w:tc>
          <w:tcPr>
            <w:tcW w:w="37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2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February 1,</w:t>
            </w:r>
          </w:p>
        </w:tc>
        <w:tc>
          <w:tcPr>
            <w:tcW w:w="238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236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19.3%</w:t>
            </w:r>
          </w:p>
        </w:tc>
        <w:tc>
          <w:tcPr>
            <w:tcW w:w="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Non-U.S. pre-tax income being taxed at higher</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rates in the non-U.S. jurisdictions, and</w:t>
            </w:r>
          </w:p>
        </w:tc>
      </w:tr>
      <w:tr>
        <w:trPr>
          <w:trHeight w:val="216"/>
        </w:trPr>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uncertain tax positions in non-U.S.</w:t>
            </w:r>
          </w:p>
        </w:tc>
      </w:tr>
      <w:tr>
        <w:trPr>
          <w:trHeight w:val="216"/>
        </w:trPr>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more than offset by the impact of tax</w:t>
            </w:r>
          </w:p>
        </w:tc>
      </w:tr>
      <w:tr>
        <w:trPr>
          <w:trHeight w:val="234"/>
        </w:trPr>
        <w:tc>
          <w:tcPr>
            <w:tcW w:w="10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in a non-U.S. jurisdiction.</w:t>
            </w:r>
          </w:p>
        </w:tc>
      </w:tr>
      <w:tr>
        <w:trPr>
          <w:trHeight w:val="216"/>
        </w:trPr>
        <w:tc>
          <w:tcPr>
            <w:tcW w:w="10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380" w:type="dxa"/>
            <w:vAlign w:val="bottom"/>
            <w:gridSpan w:val="2"/>
          </w:tcPr>
          <w:p>
            <w:pPr>
              <w:spacing w:after="0"/>
              <w:rPr>
                <w:sz w:val="18"/>
                <w:szCs w:val="18"/>
                <w:color w:val="auto"/>
              </w:rPr>
            </w:pPr>
          </w:p>
        </w:tc>
        <w:tc>
          <w:tcPr>
            <w:tcW w:w="2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February 2,</w:t>
            </w:r>
          </w:p>
        </w:tc>
        <w:tc>
          <w:tcPr>
            <w:tcW w:w="2380" w:type="dxa"/>
            <w:vAlign w:val="bottom"/>
            <w:gridSpan w:val="2"/>
            <w:shd w:val="clear" w:color="auto" w:fill="CCEEFF"/>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8"/>
              </w:rPr>
              <w:t>21.0%</w:t>
            </w:r>
          </w:p>
        </w:tc>
        <w:tc>
          <w:tcPr>
            <w:tcW w:w="2360" w:type="dxa"/>
            <w:vAlign w:val="bottom"/>
            <w:gridSpan w:val="2"/>
            <w:shd w:val="clear" w:color="auto" w:fill="CCEEFF"/>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w w:val="98"/>
              </w:rPr>
              <w:t>24.5%</w:t>
            </w:r>
          </w:p>
        </w:tc>
        <w:tc>
          <w:tcPr>
            <w:tcW w:w="10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jurisdictions, have been offset by valuation</w:t>
            </w:r>
          </w:p>
        </w:tc>
      </w:tr>
      <w:tr>
        <w:trPr>
          <w:trHeight w:val="216"/>
        </w:trPr>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allowances, non-U.S. pre-tax income being taxed</w:t>
            </w:r>
          </w:p>
        </w:tc>
      </w:tr>
      <w:tr>
        <w:trPr>
          <w:trHeight w:val="216"/>
        </w:trPr>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higher statutory rates in the non-U.S.</w:t>
            </w:r>
          </w:p>
        </w:tc>
      </w:tr>
      <w:tr>
        <w:trPr>
          <w:trHeight w:val="216"/>
        </w:trPr>
        <w:tc>
          <w:tcPr>
            <w:tcW w:w="10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and the establishment of uncertain tax</w:t>
            </w:r>
          </w:p>
        </w:tc>
      </w:tr>
      <w:tr>
        <w:trPr>
          <w:trHeight w:val="234"/>
        </w:trPr>
        <w:tc>
          <w:tcPr>
            <w:tcW w:w="102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positions in non-U.S. jurisdictions.</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indeterminate at this time, the Company believes the resolution of these uncertainties in a manner inconsistent with our expectations could have a material impact on our results of operations and financial condition. Resolution of these uncertain tax positions may result from either or both the lapses of statutes of limitations and tax settlements. The Company is no longer subject to tax authority examinations in the U.S., major foreign, or state tax jurisdictions for years prior to fiscal year 2019. The table below presents information on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12,638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11,379</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Subsequent to the balance sheet date of February 1, 2026, one of the subsidiaries in a foreign jurisdiction received official notice of a FY24 income tax audit, which was settled. The impact is immaterial and will be recorded in Q2 FY26. In addition, another subsidiary in a foreign jurisdiction reached a settlement with the local tax authority for the FY23 and FY24 income tax audits. The impact of the settlement is also immaterial and will be recorded in Q2 FY26.</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February 2,</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(in thousands):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62,093</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 Diluted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shareholders -Basic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shareholders -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bl>
    <w:p>
      <w:pPr>
        <w:spacing w:after="0" w:line="198"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table below sets forth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1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 in shares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various claims that arise in the ordinary course of business. The Company believes that the potential liability under such claims, individually and in the aggregate, will not have a material effect on the Company’s condensed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CHANGES IN ACCUMULATED OTHER COMPREHENSIVE INCOME (LOSS) BY COMPONENT</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the Company’s accumulated other comprehensive income (loss) by component (net of tax) for the three month periods ended February 1, 2026, and February 2,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8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February 1, 2026</w:t>
            </w:r>
          </w:p>
        </w:tc>
      </w:tr>
      <w:tr>
        <w:trPr>
          <w:trHeight w:val="194"/>
        </w:trPr>
        <w:tc>
          <w:tcPr>
            <w:tcW w:w="5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4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2025</w:t>
            </w:r>
          </w:p>
        </w:tc>
        <w:tc>
          <w:tcPr>
            <w:tcW w:w="17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(85,513)</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(86,120)</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(8,667)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(8,625)</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w:t>
            </w:r>
          </w:p>
        </w:tc>
      </w:tr>
      <w:tr>
        <w:trPr>
          <w:trHeight w:val="223"/>
        </w:trPr>
        <w:tc>
          <w:tcPr>
            <w:tcW w:w="54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1, 2026</w:t>
            </w:r>
          </w:p>
        </w:tc>
        <w:tc>
          <w:tcPr>
            <w:tcW w:w="16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(91,729)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(92,320)</w:t>
            </w:r>
          </w:p>
        </w:tc>
      </w:tr>
      <w:tr>
        <w:trPr>
          <w:trHeight w:val="27"/>
        </w:trPr>
        <w:tc>
          <w:tcPr>
            <w:tcW w:w="5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1080" w:type="dxa"/>
            <w:vAlign w:val="bottom"/>
            <w:gridSpan w:val="2"/>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439"/>
        </w:trPr>
        <w:tc>
          <w:tcPr>
            <w:tcW w:w="54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9"/>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February 2, 2025</w:t>
            </w:r>
          </w:p>
        </w:tc>
      </w:tr>
      <w:tr>
        <w:trPr>
          <w:trHeight w:val="194"/>
        </w:trPr>
        <w:tc>
          <w:tcPr>
            <w:tcW w:w="54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4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548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2024</w:t>
            </w:r>
          </w:p>
        </w:tc>
        <w:tc>
          <w:tcPr>
            <w:tcW w:w="1780" w:type="dxa"/>
            <w:vAlign w:val="bottom"/>
            <w:gridSpan w:val="2"/>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(85,587)</w:t>
            </w: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(86,319)</w:t>
            </w: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(42,847)</w:t>
            </w: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8,841</w:t>
            </w:r>
          </w:p>
        </w:tc>
      </w:tr>
      <w:tr>
        <w:trPr>
          <w:trHeight w:val="223"/>
        </w:trPr>
        <w:tc>
          <w:tcPr>
            <w:tcW w:w="54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Balance at February 2, 2025</w:t>
            </w:r>
          </w:p>
        </w:tc>
        <w:tc>
          <w:tcPr>
            <w:tcW w:w="17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(119,629)</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(120,325)</w:t>
            </w:r>
          </w:p>
        </w:tc>
      </w:tr>
      <w:tr>
        <w:trPr>
          <w:trHeight w:val="432"/>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 SHARE REPURCHASE PROGRAM</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In fiscal year 2025, the Company repurchased 5.0 million shares at a cost of $97.4 million (an average of $19.52 per share). All shares repurchased under the program have been retired prior to the end of the fiscal quarter in which they were purchased. During the three month period ended February 1, 2026, the Company did not repurchase any additional shares. As of February 1, 2026, $27.6 million remained available under this authorization for the repurchase of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REPORTING</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operating and reportable segment based on the organizational structure of the Company and information reviewed by the Company’s Chief Executive Officer, who is also the chief operating decision maker (“CODM”). The CODM allocates capital resources across the Company’s entire asset base to maximize profitability without regard to geography, legal entity, or end market basis and evaluates the performance based on consolidated net income attributable to Photronics, Inc. shareholders.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periods ended February 1, 2026 and February 2,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4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February 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February 2,</w:t>
            </w:r>
          </w:p>
        </w:tc>
      </w:tr>
      <w:tr>
        <w:trPr>
          <w:trHeight w:val="245"/>
        </w:trPr>
        <w:tc>
          <w:tcPr>
            <w:tcW w:w="48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212,138</w:t>
            </w:r>
          </w:p>
        </w:tc>
        <w:tc>
          <w:tcPr>
            <w:tcW w:w="100" w:type="dxa"/>
            <w:vAlign w:val="bottom"/>
            <w:shd w:val="clear" w:color="auto" w:fill="CCEEFF"/>
          </w:tcPr>
          <w:p>
            <w:pPr>
              <w:spacing w:after="0"/>
              <w:rPr>
                <w:sz w:val="18"/>
                <w:szCs w:val="18"/>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(146,364)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(136,603)</w:t>
            </w:r>
          </w:p>
        </w:tc>
      </w:tr>
      <w:tr>
        <w:trPr>
          <w:trHeight w:val="216"/>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3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75,535</w:t>
            </w:r>
          </w:p>
        </w:tc>
        <w:tc>
          <w:tcPr>
            <w:tcW w:w="10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(19,101)</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(4,257)</w:t>
            </w:r>
          </w:p>
        </w:tc>
      </w:tr>
      <w:tr>
        <w:trPr>
          <w:trHeight w:val="223"/>
        </w:trPr>
        <w:tc>
          <w:tcPr>
            <w:tcW w:w="4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52,177</w:t>
            </w:r>
          </w:p>
        </w:tc>
      </w:tr>
      <w:tr>
        <w:trPr>
          <w:trHeight w:val="216"/>
        </w:trPr>
        <w:tc>
          <w:tcPr>
            <w:tcW w:w="48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24,981</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(18,901)</w:t>
            </w: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(17,238)</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(15,406)</w:t>
            </w:r>
          </w:p>
        </w:tc>
      </w:tr>
      <w:tr>
        <w:trPr>
          <w:trHeight w:val="25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3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4860" w:type="dxa"/>
            <w:vAlign w:val="bottom"/>
          </w:tcPr>
          <w:p>
            <w:pPr>
              <w:spacing w:after="0"/>
              <w:rPr>
                <w:sz w:val="24"/>
                <w:szCs w:val="24"/>
                <w:color w:val="auto"/>
              </w:rPr>
            </w:pPr>
          </w:p>
        </w:tc>
        <w:tc>
          <w:tcPr>
            <w:tcW w:w="3820" w:type="dxa"/>
            <w:vAlign w:val="bottom"/>
          </w:tcPr>
          <w:p>
            <w:pPr>
              <w:jc w:val="right"/>
              <w:ind w:right="29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4860" w:type="dxa"/>
            <w:vAlign w:val="bottom"/>
            <w:tcBorders>
              <w:bottom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2025), that may cause actual results to materially differ from these expectations. See “Cautionary Statement Regarding Forward-Looking Statements”.</w:t>
      </w:r>
    </w:p>
    <w:p>
      <w:pPr>
        <w:spacing w:after="0" w:line="183"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designers and manufacturers of IC and FPD electronic devices. Photomask technology is also being applied to the fabrication of other high-technology products including advanced packaging modules, micro-optical components for applications such as virtual reality/augmented reality and silicon photonics, micro-electronic mechanical systems (MEMS), and diverse nanotechnology applications. Our selling cycle is tightly interwoven with the development and release of new semiconductor and display designs and applications, particularly as they relate to the semiconductor industry’s migration to more advanced design nodes and fabrication processes. The demand for photomasks is primarily correlated with new product design activity and to a lesser extent scaling up of manufacturing of end products. Consequently, an increase in semiconductor or display sales does not always result in a corresponding increase in photomask sales. To the extent integrated circuit and flat panel display applications rely less on new design activity, it could result in a reduction in demand for photomasks. In addition, new design methodologies driving a reduction in complexity of photomasks could also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FPDs increases. More broadly, advances in semiconductor, display, and photomask design and production methods that shift the burden of achieving device performance away from lithography could also reduce the demand for photomasks. While there is no indication today that such diminishing of long-range photomask demand is occurring or will occur,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9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orders, typically one to two weeks of backlog for IC photomasks and two to three weeks of backlog for FPD photomasks. However, the demand for some IC photomasks can extend longer than the traditional time period; thus, for some products, our backlog can expand to as long as two to three months.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broad application in the global economy including but not limited to consumer-driven applications, data centers that support AI implementation, electric vehicles and national security.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18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are focused on improving our competitiveness by advancing our technology and reducing costs and, in connection therewith, have invested and plan to continue to invest in manufacturing equipment to serve both the high-end photomask and mainstream markets. As we face challenges that require us to make significant improvements in our competitiveness, we continue to implement programs to streamline, drive efficiency and reduce costs in our infrastructure.</w:t>
      </w:r>
    </w:p>
    <w:p>
      <w:pPr>
        <w:spacing w:after="0" w:line="180"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State-of-the-art production for semiconductor masks is considered to be 4 or 5 nanometer and smaller including EUV lithography for ICs and Generation 8.6 AMOLED display-based process technologies for FPDs. However, we define our high-end product category as 28nm and below for semiconductors and Generation 10.5 plus, Generation 6 and 8 AMOLED and LTPS for displays. This is consistent with current merchant mask industry definitions. Moreover, design nodes above 28nm and FPD processes for standard LCD displays below Generation 10 are considered mainstream or standard products.</w:t>
      </w:r>
    </w:p>
    <w:p>
      <w:pPr>
        <w:spacing w:after="0" w:line="3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At these geometries and various high-end nodes, we can produce full lines of photomasks, and there is no significant technology employed by our competitors that is not available to us. We expect advanced-generation designs to continue to move to production throughout fiscal 2026, and we believe we are well positioned to service an increasing volume of this business as a result of our investments in manufacturing processes and technology in the regions where our customers are located.</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photomask industry has been and is expected to continue to be characterized by technological change and evolving industry standards. In order to remain competitive, we will be required to continually anticipate, respond to, and utilize changing technologies. In particular, we believe that, as semiconductor geometries continue to become smaller and/or more complex, and display designs become larger or otherwise more advanced, we will be required to manufacture even more complex products, including photomasks with advanced optical proximity correction, insertion of curvilinear patterning and EUV photomasks. Additionally, demand for photomasks has been, and could in the future be, adversely affected by changes in high-performance electronics fabrication methods that affect the type or quantity of photomasks used, such as changes in semiconductor demand that favor programmable IC devices and other approaches that replace application-specific ICs, or the use of certain chip-stacking methodologies that lessen the emphasis on conventional lithography technology. Furthermore, increased market acceptance of alternative methods of transferring circuit designs onto semiconductor wafers could reduce or eliminate the need for photomasks in the production of semiconductors.</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revenues have benefited, and our costs, including depreciation, have been affected by the increased demand for high-end-technology photomasks that require more advanced manufacturing capabilities, but generally command higher ASPs. Our year-to-date capital expenditure payments were $47.6 million and $35.2 million in Q1 FY26 and Q1 FY25, respectively. Nonetheless, we intend to continue to make the required investments to support the technological and production requirements of our customers that we believe will continue to enable our growth. This includes investments to replace end-of-life mask-making equipment with higher-performing systems that better serve our customers. In support of this effort, we expect capital expenditure payments to be approximately $330 million in fiscal year 2026.</w:t>
      </w:r>
    </w:p>
    <w:p>
      <w:pPr>
        <w:spacing w:after="0" w:line="18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manufacture of photomasks for use in fabricating ICs, FPDs, and other related products built using comparable photomask-based process technologies has been, and continues to be, capital intensive. Our employees and our integrated global manufacturing network represent a significant portion of our fixed operating cost base. Should our revenue decrease as a result of a decrease in design releases from our customers, we may have excess or underutilized production capacity, which could significantly impact our operating margins, or result in write-offs from asset impairments.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All the following tabular comparisons, unless otherwise indicated, are for the three months ended February 1, 2026 (Q1 FY26), October 31, 2025 (Q4 FY25) and February 2, 2025 (Q1 FY25). The tables in this section may not foot due to rounding.</w:t>
      </w: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5" w:right="37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8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selected operating information expressed as a percentage of revenue.</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0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138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February 2,</w:t>
            </w:r>
          </w:p>
        </w:tc>
        <w:tc>
          <w:tcPr>
            <w:tcW w:w="16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1"/>
                <w:szCs w:val="21"/>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102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1020" w:type="dxa"/>
            <w:vAlign w:val="bottom"/>
            <w:shd w:val="clear" w:color="auto" w:fill="CCEEFF"/>
          </w:tcPr>
          <w:p>
            <w:pPr>
              <w:spacing w:after="0"/>
              <w:rPr>
                <w:sz w:val="18"/>
                <w:szCs w:val="18"/>
                <w:color w:val="auto"/>
              </w:rPr>
            </w:pPr>
          </w:p>
        </w:tc>
        <w:tc>
          <w:tcPr>
            <w:tcW w:w="6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6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r>
      <w:tr>
        <w:trPr>
          <w:trHeight w:val="27"/>
        </w:trPr>
        <w:tc>
          <w:tcPr>
            <w:tcW w:w="1020" w:type="dxa"/>
            <w:vAlign w:val="bottom"/>
            <w:shd w:val="clear" w:color="auto" w:fill="CCEEFF"/>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10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impacted during the first quarter of our fiscal year by the North American, European, and Asian holiday periods, as some of our customers may adjust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revenue disaggregated by product type and geographic origin, in Q1 FY26 from revenue in prior reporting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Product Type ($ in millions)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4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FY26 compared with Q4 FY25</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FY26 compared with Q1 FY25</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6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00" w:type="dxa"/>
            <w:vAlign w:val="bottom"/>
            <w:tcBorders>
              <w:top w:val="single" w:sz="8" w:color="auto"/>
            </w:tcBorders>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6"/>
        </w:trPr>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176"/>
        </w:trPr>
        <w:tc>
          <w:tcPr>
            <w:tcW w:w="4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44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4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33.9%</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 High-end photomasks typically have higher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Quarterly Changes in Revenue by Geographic Origin ($ in millions)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7"/>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FY26 compared with Q4 FY25</w:t>
            </w:r>
          </w:p>
        </w:tc>
        <w:tc>
          <w:tcPr>
            <w:tcW w:w="27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Q1 FY26 compared with Q1 FY25</w:t>
            </w:r>
          </w:p>
        </w:tc>
      </w:tr>
      <w:tr>
        <w:trPr>
          <w:trHeight w:val="194"/>
        </w:trPr>
        <w:tc>
          <w:tcPr>
            <w:tcW w:w="4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040" w:type="dxa"/>
            <w:vAlign w:val="bottom"/>
            <w:tcBorders>
              <w:top w:val="single" w:sz="8" w:color="auto"/>
            </w:tcBorders>
          </w:tcPr>
          <w:p>
            <w:pPr>
              <w:ind w:left="20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right"/>
              <w:ind w:right="5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140" w:type="dxa"/>
            <w:vAlign w:val="bottom"/>
            <w:tcBorders>
              <w:top w:val="single" w:sz="8" w:color="auto"/>
            </w:tcBorders>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60" w:type="dxa"/>
            <w:vAlign w:val="bottom"/>
          </w:tcPr>
          <w:p>
            <w:pPr>
              <w:spacing w:after="0"/>
              <w:rPr>
                <w:sz w:val="16"/>
                <w:szCs w:val="16"/>
                <w:color w:val="auto"/>
              </w:rPr>
            </w:pPr>
          </w:p>
        </w:tc>
      </w:tr>
      <w:tr>
        <w:trPr>
          <w:trHeight w:val="245"/>
        </w:trPr>
        <w:tc>
          <w:tcPr>
            <w:tcW w:w="44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62.7</w:t>
            </w:r>
          </w:p>
        </w:tc>
        <w:tc>
          <w:tcPr>
            <w:tcW w:w="1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Korea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0.8</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62.8%</w:t>
            </w: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700" w:firstLine="639"/>
        <w:spacing w:after="0" w:line="282" w:lineRule="auto"/>
        <w:rPr>
          <w:sz w:val="20"/>
          <w:szCs w:val="20"/>
          <w:color w:val="auto"/>
        </w:rPr>
      </w:pPr>
      <w:r>
        <w:rPr>
          <w:rFonts w:ascii="Times New Roman" w:cs="Times New Roman" w:eastAsia="Times New Roman" w:hAnsi="Times New Roman"/>
          <w:sz w:val="18"/>
          <w:szCs w:val="18"/>
          <w:color w:val="auto"/>
        </w:rPr>
        <w:t>Revenue in Q1 FY26 of $225.1 million represented an increase of 4.3% compared with Q4 FY25 and an increase of 6.1% from Q1 FY25 primarily due to year-over-year growth in more advanced geometries and overall semiconductor industry growth.</w:t>
      </w:r>
    </w:p>
    <w:p>
      <w:pPr>
        <w:spacing w:after="0" w:line="162"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IC revenue increased $7.9 million or 5.0% in Q1 FY26 from Q4 FY25 primarily due to an increase in high-end of $5.5 million or 8.3% as a result of the accelerated demand in Asia before Chinese New Year. Comparing Q1 FY26 to Q1 FY25, IC revenue increased $11.4 million or 7.4% mainly due to higher demand for high-end products in Asia.</w:t>
      </w:r>
    </w:p>
    <w:p>
      <w:pPr>
        <w:spacing w:after="0" w:line="176" w:lineRule="exact"/>
        <w:rPr>
          <w:sz w:val="20"/>
          <w:szCs w:val="20"/>
          <w:color w:val="auto"/>
        </w:rPr>
      </w:pPr>
    </w:p>
    <w:p>
      <w:pPr>
        <w:ind w:right="460" w:firstLine="324"/>
        <w:spacing w:after="0" w:line="282" w:lineRule="auto"/>
        <w:rPr>
          <w:sz w:val="20"/>
          <w:szCs w:val="20"/>
          <w:color w:val="auto"/>
        </w:rPr>
      </w:pPr>
      <w:r>
        <w:rPr>
          <w:rFonts w:ascii="Times New Roman" w:cs="Times New Roman" w:eastAsia="Times New Roman" w:hAnsi="Times New Roman"/>
          <w:sz w:val="18"/>
          <w:szCs w:val="18"/>
          <w:color w:val="auto"/>
        </w:rPr>
        <w:t>FPD revenue increased $1.4 million or 2.5% in Q1 FY26 from Q4 FY25 and $1.6 million or 2.7% from Q1 FY25 as a result of strong demand in mainstream from the China IT display market.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 ($ in millions)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8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6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c>
          <w:tcPr>
            <w:tcW w:w="1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78.7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75.5</w:t>
            </w: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3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75.5</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Pr>
          <w:p>
            <w:pPr>
              <w:spacing w:after="0"/>
              <w:rPr>
                <w:sz w:val="20"/>
                <w:szCs w:val="20"/>
                <w:color w:val="auto"/>
              </w:rPr>
            </w:pPr>
          </w:p>
        </w:tc>
        <w:tc>
          <w:tcPr>
            <w:tcW w:w="11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35.0%</w:t>
            </w:r>
          </w:p>
        </w:tc>
        <w:tc>
          <w:tcPr>
            <w:tcW w:w="200" w:type="dxa"/>
            <w:vAlign w:val="bottom"/>
          </w:tcPr>
          <w:p>
            <w:pPr>
              <w:spacing w:after="0"/>
              <w:rPr>
                <w:sz w:val="20"/>
                <w:szCs w:val="20"/>
                <w:color w:val="auto"/>
              </w:rPr>
            </w:pPr>
          </w:p>
        </w:tc>
        <w:tc>
          <w:tcPr>
            <w:tcW w:w="12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35.0%</w:t>
            </w: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35.6%</w:t>
            </w: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Gross margin remained unchanged in Q1 FY26 compared with Q4 FY25, as a favorable product mix was offset by higher labor and benefits costs.</w:t>
      </w:r>
    </w:p>
    <w:p>
      <w:pPr>
        <w:spacing w:after="0" w:line="225"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Gross margin decreased slightly to 35.0% in Q1 FY26 from 35.6% in Q1 FY25, primarily due to changes in product mix, which resulted in higher material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right="500" w:firstLine="324"/>
        <w:spacing w:after="0" w:line="312" w:lineRule="auto"/>
        <w:rPr>
          <w:sz w:val="20"/>
          <w:szCs w:val="20"/>
          <w:color w:val="auto"/>
        </w:rPr>
      </w:pPr>
      <w:r>
        <w:rPr>
          <w:rFonts w:ascii="Times New Roman" w:cs="Times New Roman" w:eastAsia="Times New Roman" w:hAnsi="Times New Roman"/>
          <w:sz w:val="17"/>
          <w:szCs w:val="17"/>
          <w:color w:val="auto"/>
        </w:rPr>
        <w:t>Selling, general and administrative expenses were $21.3 million in Q1 FY26, compared with $20.0 million in Q4 FY25, and $19.1 million in Q1 FY25. The $1.3 million increase from Q4 FY25 and $2.2 million increase from Q1 FY25 were primarily the result of higher labor and benefits costs.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decreased $0.6 million to $2.6 million in Q1 FY26 from Q4 FY25; the decrease was primarily caused by reduced labor and benefits costs. Research and development expenses in Q1 FY26 decreased by $1.7 million from Q1 FY25, as a result of less labor and benefits costs and less development activity in the U.S.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 ($ in millions)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160" w:type="dxa"/>
            <w:vAlign w:val="bottom"/>
          </w:tcPr>
          <w:p>
            <w:pPr>
              <w:spacing w:after="0"/>
              <w:rPr>
                <w:sz w:val="24"/>
                <w:szCs w:val="24"/>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63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7"/>
        </w:trPr>
        <w:tc>
          <w:tcPr>
            <w:tcW w:w="10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jc w:val="both"/>
        <w:ind w:right="120" w:firstLine="324"/>
        <w:spacing w:after="0" w:line="312" w:lineRule="auto"/>
        <w:rPr>
          <w:sz w:val="20"/>
          <w:szCs w:val="20"/>
          <w:color w:val="auto"/>
        </w:rPr>
      </w:pPr>
      <w:r>
        <w:rPr>
          <w:rFonts w:ascii="Times New Roman" w:cs="Times New Roman" w:eastAsia="Times New Roman" w:hAnsi="Times New Roman"/>
          <w:sz w:val="17"/>
          <w:szCs w:val="17"/>
          <w:color w:val="auto"/>
        </w:rPr>
        <w:t>Other Income decreased $4.2 million in Q1 FY26 from Q4 FY25 and $5.3 million from Q1 FY25, primarily due to foreign currency impacts. The foreign currency impacts were primarily driven by less favorable movements of the South Korean won and the New Taiwan dollar, against the U.S. dollar.</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 in millions)</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2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Q4 FY25</w:t>
            </w:r>
          </w:p>
        </w:tc>
        <w:tc>
          <w:tcPr>
            <w:tcW w:w="20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95"/>
              </w:rPr>
              <w:t>18.9</w:t>
            </w:r>
          </w:p>
        </w:tc>
        <w:tc>
          <w:tcPr>
            <w:tcW w:w="160" w:type="dxa"/>
            <w:vAlign w:val="bottom"/>
            <w:shd w:val="clear" w:color="auto" w:fill="CCEEFF"/>
          </w:tcPr>
          <w:p>
            <w:pPr>
              <w:spacing w:after="0"/>
              <w:rPr>
                <w:sz w:val="18"/>
                <w:szCs w:val="18"/>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6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20"/>
                <w:szCs w:val="20"/>
                <w:color w:val="auto"/>
              </w:rPr>
            </w:pPr>
          </w:p>
        </w:tc>
        <w:tc>
          <w:tcPr>
            <w:tcW w:w="12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24.5%</w:t>
            </w:r>
          </w:p>
        </w:tc>
      </w:tr>
    </w:tbl>
    <w:p>
      <w:pPr>
        <w:spacing w:after="0" w:line="17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The EU effective dates were January 1, 2024, and January 1, 2025, for different aspects of the directive. A significant number of other countries continue to implement similar legislation with varying effective dates. The Company is currently subject to Pillar Two, but we estimate that the financial impact is currently immaterial. We will continuously evaluate the potential impact of the Pillar Two Framework as future changes in legislation are enacted.</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changes to federal tax law and other regulatory provisions that may impact the Company. As the legislation enacted applies to tax years beginning after December 31, 2024, the impacts are effective starting in FY26. The Company has evaluated applicable provisions of the OBBBA for FY26 and has included the estimated impacts within the FY26 provision.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increased in Q1 FY26, compared with Q4 FY25, primarily due to the U.S. federal and state valuation allowance releases recorded in Q4 FY25.</w:t>
      </w:r>
    </w:p>
    <w:p>
      <w:pPr>
        <w:spacing w:after="0" w:line="121" w:lineRule="exact"/>
        <w:rPr>
          <w:sz w:val="20"/>
          <w:szCs w:val="20"/>
          <w:color w:val="auto"/>
        </w:rPr>
      </w:pPr>
    </w:p>
    <w:p>
      <w:pPr>
        <w:ind w:right="180" w:firstLine="324"/>
        <w:spacing w:after="0" w:line="245" w:lineRule="exact"/>
        <w:rPr>
          <w:sz w:val="20"/>
          <w:szCs w:val="20"/>
          <w:color w:val="auto"/>
        </w:rPr>
      </w:pPr>
      <w:r>
        <w:rPr>
          <w:rFonts w:ascii="Times New Roman" w:cs="Times New Roman" w:eastAsia="Times New Roman" w:hAnsi="Times New Roman"/>
          <w:sz w:val="18"/>
          <w:szCs w:val="18"/>
          <w:color w:val="auto"/>
        </w:rPr>
        <w:t>The effective income tax rate decreased in Q1 FY26, compared with Q1 FY25, primarily due to an investment tax credit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U.S. jurisdiction in FY26.</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was $17.2 million in Q1 FY26, compared with $16.8 million in Q4 FY25; the increase was the result of an increase in the net incomes of our joint venture operations. Net income attributable to noncontrolling interests increased by $1.8 million in Q1 FY26 from Q1 FY25, as a result of increased net income at the Company’s China-based IC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primary sources of liquidity are our cash on hand and cash we generate from operations. Cash and cash equivalents were $544.1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$492.3 million as of February 1, 2026, and October 31, 2025, respectively. As of February 1, 2026, total cash and cash equivalents included $472.2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 by foreign subsidiaries, including an aggregate of $391.5 million held by our joint ventures in Taiwan and China. In addition, we currently have CNY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or $25 million of borrowing capacity, at our discretion, in China to support local operations. This facility is subject to annual reviews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extensions with a current expiration date of July 31, 2026. As of February 1, 2026, PDMCX had no outstanding borrowings against the facility.</w:t>
      </w:r>
    </w:p>
    <w:p>
      <w:pPr>
        <w:spacing w:after="0" w:line="20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the cash we generate from operations and short-term investments, we plan to continue to invest in our business, with our investments targeted to align with the Company’s customers’ technology road maps. In addition, we stand ready to invest in mergers, acquisitions, or strategic partnerships, should a suitable opportunity arise.</w:t>
      </w:r>
    </w:p>
    <w:p>
      <w:pPr>
        <w:spacing w:after="0" w:line="19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estimate our capital expenditures for fiscal year 2026 will be approximately $330 million mainly in Asia and the U.S.; these investments will be targeted towards high-end and mainstream capacity that will increase the operating capability and efficiency, and enable us to support our customers’ near-term demands. As of February 1, 2026, we had outstanding capital commitments of approximately $190.6 million and accrued liabilities related to capital equipment purchases of approximately $29.3 million. Although payment timing could vary, primarily as a result of the timing of tool delivery, installation and testing, we currently estimate that we will fund $180.2 million of our total $219.9 million committed and recognized obligations for capital expenditures over the next twelve months.</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On August 28, 2024, the Board of Directors authorized an increase to the Company’s existing share repurchase program from the remaining $31.7 million to $100 million. In June 2025, the Board of Directors authorized an additional $25 million share repurchase. During the fiscal year ended October 31, 2025, the Company repurchased 5.0 million shares for $97.4 million. During the three month period ended February 1, 2026, the Company did not repurchase any shares. As a result, $27.6 million remained available under this authorization as of February 1, 2026. Depending on market conditions, we may utilize some or the entire remaining approved amount to reacquire additional shares.</w:t>
      </w:r>
    </w:p>
    <w:p>
      <w:pPr>
        <w:spacing w:after="0" w:line="181" w:lineRule="exact"/>
        <w:rPr>
          <w:sz w:val="20"/>
          <w:szCs w:val="20"/>
          <w:color w:val="auto"/>
        </w:rPr>
      </w:pPr>
    </w:p>
    <w:p>
      <w:pPr>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As discussed in Note 6 </w:t>
      </w:r>
      <w:r>
        <w:rPr>
          <w:rFonts w:ascii="Times New Roman" w:cs="Times New Roman" w:eastAsia="Times New Roman" w:hAnsi="Times New Roman"/>
          <w:sz w:val="18"/>
          <w:szCs w:val="18"/>
          <w:i w:val="1"/>
          <w:iCs w:val="1"/>
          <w:color w:val="auto"/>
        </w:rPr>
        <w:t>– PDMCX Joint Venture</w:t>
      </w:r>
      <w:r>
        <w:rPr>
          <w:rFonts w:ascii="Times New Roman" w:cs="Times New Roman" w:eastAsia="Times New Roman" w:hAnsi="Times New Roman"/>
          <w:sz w:val="18"/>
          <w:szCs w:val="18"/>
          <w:color w:val="auto"/>
        </w:rPr>
        <w:t xml:space="preserve"> of the Company’s condensed consolidated financial statements, DNP, the noncontrolling interest in the Company’s China-based joint venture has, under certain circumstances, the right to put its interest in the joint venture to Photronics, or to purchase the Company’s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February 1, 2026, Photronics and DNP each had net investments in this joint venture of approximately $169.4 million.</w:t>
      </w: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 in millions)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FY26</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Q1 FY25</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22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color w:val="auto"/>
        </w:rPr>
        <w:t>: Net cash from operating activities reflects net income adjusted for certain non-cash items, including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and the effects of changes in operating assets and liabilities. Net cash provided by operating activities increased by $18.8 million in the first quarter of FY26, compared with the same period of FY25, primarily due to changes in working capital.</w:t>
      </w:r>
    </w:p>
    <w:p>
      <w:pPr>
        <w:spacing w:after="0" w:line="173" w:lineRule="exact"/>
        <w:rPr>
          <w:sz w:val="20"/>
          <w:szCs w:val="20"/>
          <w:color w:val="auto"/>
        </w:rPr>
      </w:pPr>
    </w:p>
    <w:p>
      <w:pPr>
        <w:ind w:right="240"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color w:val="auto"/>
        </w:rPr>
        <w:t>: Net cash flows from investing activities decreased by $47.1 million in the first quarter of FY26, compared to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FY25, primarily driven by an increase in purchases of property, plant and equipment of $12.4 million and purchases in short-term investments of $36.6 million.</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color w:val="auto"/>
        </w:rPr>
        <w:t>: Net cash from financing activities increased by $21.2 million in the first quarter of FY26, compared to the same period in FY25.</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driven by a decrease in debt repayments of $15.3 million and common stock repurchases of $4.6 million.</w:t>
      </w:r>
    </w:p>
    <w:p>
      <w:pPr>
        <w:spacing w:after="0" w:line="207"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Company’s cash, cash equivalents, and restricted cash balances were negatively impacted by changes in foreign currency exchange rates during the first quarter of FY26 by $5.9 million.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and non-GAAP diluted earnings per share attributable to Photronics, Inc. shareholders are “non-GAAP financial measures” as such term is defined by Regulation G of the Securities and Exchange Commission and may differ from similarly named non-GAAP financial measures used by other companies. The financial tables below reconcile Photronics, Inc. financial results under U.S. GAAP to our non-GAAP financial information. We believe these non-GAAP financial measures that exclude certain items are useful for analysts and investors to evaluate the Company’s on-going performance because they enable a more meaningful comparison of historical results of the Company’s core business. These non-GAAP metrics are not a measure of consolidated operating results under U.S. GAAP and should not be considered as an alternative to Net income (loss), Net income (loss) per share, or any other measure of consolidated results under U.S. GAAP. The items excluded from these non-GAAP metrics but included in the calculation of their closest U.S. GAAP equivalent, are significant components of the condensed consolidated statement of income and must be considered in performing a comprehensive assessment of overall financial performance.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U.S. GAAP net income and diluted earnings per share attributable to Photronics, Inc. shareholders to the non-GAAP net income and diluted earnings per share attributable to Photronics, Inc. shareholders for the indicated periods. The columns may not foot due to rounding.</w:t>
      </w:r>
    </w:p>
    <w:p>
      <w:pPr>
        <w:spacing w:after="0" w:line="15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580"/>
              <w:spacing w:after="0" w:line="201" w:lineRule="exact"/>
              <w:rPr>
                <w:sz w:val="20"/>
                <w:szCs w:val="20"/>
                <w:color w:val="auto"/>
              </w:rPr>
            </w:pPr>
            <w:r>
              <w:rPr>
                <w:rFonts w:ascii="Times New Roman" w:cs="Times New Roman" w:eastAsia="Times New Roman" w:hAnsi="Times New Roman"/>
                <w:sz w:val="18"/>
                <w:szCs w:val="18"/>
                <w:b w:val="1"/>
                <w:bCs w:val="1"/>
                <w:color w:val="auto"/>
              </w:rPr>
              <w:t>Feb 1,</w:t>
            </w: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80"/>
              <w:spacing w:after="0" w:line="201" w:lineRule="exact"/>
              <w:rPr>
                <w:sz w:val="20"/>
                <w:szCs w:val="20"/>
                <w:color w:val="auto"/>
              </w:rPr>
            </w:pPr>
            <w:r>
              <w:rPr>
                <w:rFonts w:ascii="Times New Roman" w:cs="Times New Roman" w:eastAsia="Times New Roman" w:hAnsi="Times New Roman"/>
                <w:sz w:val="18"/>
                <w:szCs w:val="18"/>
                <w:b w:val="1"/>
                <w:bCs w:val="1"/>
                <w:color w:val="auto"/>
              </w:rPr>
              <w:t>Oct 31,</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30"/>
              <w:spacing w:after="0" w:line="201" w:lineRule="exact"/>
              <w:rPr>
                <w:sz w:val="20"/>
                <w:szCs w:val="20"/>
                <w:color w:val="auto"/>
              </w:rPr>
            </w:pPr>
            <w:r>
              <w:rPr>
                <w:rFonts w:ascii="Times New Roman" w:cs="Times New Roman" w:eastAsia="Times New Roman" w:hAnsi="Times New Roman"/>
                <w:sz w:val="18"/>
                <w:szCs w:val="18"/>
                <w:b w:val="1"/>
                <w:bCs w:val="1"/>
                <w:color w:val="auto"/>
              </w:rPr>
              <w:t>Feb 2,</w:t>
            </w:r>
          </w:p>
        </w:tc>
        <w:tc>
          <w:tcPr>
            <w:tcW w:w="100" w:type="dxa"/>
            <w:vAlign w:val="bottom"/>
          </w:tcPr>
          <w:p>
            <w:pPr>
              <w:spacing w:after="0"/>
              <w:rPr>
                <w:sz w:val="17"/>
                <w:szCs w:val="17"/>
                <w:color w:val="auto"/>
              </w:rPr>
            </w:pPr>
          </w:p>
        </w:tc>
      </w:tr>
      <w:tr>
        <w:trPr>
          <w:trHeight w:val="245"/>
        </w:trPr>
        <w:tc>
          <w:tcPr>
            <w:tcW w:w="73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net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GAAP net income attributable to Photronics, Inc. shareholders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61,801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42,851</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(12,865)</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(18,615)</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(18,443)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FX (gain)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Reversal of deferred tax valuation allowance</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net income attributable to Photronics, Inc.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34,557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32,383</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62,661</w:t>
            </w:r>
          </w:p>
        </w:tc>
      </w:tr>
      <w:tr>
        <w:trPr>
          <w:trHeight w:val="20"/>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U.S. GAAP to non-GAAP EPS: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U.S. GAAP diluted earnings per share attributable to Photronics, Inc.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0.68</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the non-GAAP adjustments above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(0.16)</w:t>
            </w:r>
          </w:p>
        </w:tc>
      </w:tr>
      <w:tr>
        <w:trPr>
          <w:trHeight w:val="27"/>
        </w:trPr>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 attributable to Photronics, Inc. shareholders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r>
      <w:tr>
        <w:trPr>
          <w:trHeight w:val="21"/>
        </w:trPr>
        <w:tc>
          <w:tcPr>
            <w:tcW w:w="7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current business outlook and guidance was provided in the Photronics Q1 FY26 earnings press release, earnings presentation, and financial results conference call, but is not incorporated herein. These can be accessed in the investor section of our website - </w:t>
      </w:r>
      <w:r>
        <w:rPr>
          <w:rFonts w:ascii="Times New Roman" w:cs="Times New Roman" w:eastAsia="Times New Roman" w:hAnsi="Times New Roman"/>
          <w:sz w:val="18"/>
          <w:szCs w:val="18"/>
          <w:u w:val="single" w:color="auto"/>
          <w:color w:val="auto"/>
        </w:rPr>
        <w:t>www.photronics.com</w:t>
      </w:r>
      <w:r>
        <w:rPr>
          <w:rFonts w:ascii="Times New Roman" w:cs="Times New Roman" w:eastAsia="Times New Roman" w:hAnsi="Times New Roman"/>
          <w:sz w:val="18"/>
          <w:szCs w:val="18"/>
          <w:color w:val="auto"/>
        </w:rPr>
        <w:t>. Information included on our website is not incorporated in this Form 10-Q.</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Q1 FY26 earnings press release, and the related financial results conference call and earnings presentation involve a number of risks and uncertainties, some of which were discussed in Part I, Item 1A of our 2025 Form 10-K. These factors and a number of other unforeseeable factors could cause actual results to differ materially from our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2025 Form 10-K for discussion of our critical accounting estimates. There have been no changes to our critical accounting estimates since the filing of our Form 10-K for the year ended October 31, 2025.</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Chinese yuan, and the Singapore dollar. The functional currencies of our European subsidiaries are the British pound sterling and the euro. In addition, we engage in transactions and have exposures to the Japanese yen.</w:t>
      </w:r>
    </w:p>
    <w:p>
      <w:pPr>
        <w:spacing w:after="0" w:line="183"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entity where it was produced, or purchase products in a currency that differs from the functional currency of the purchasing entity. We may also enter into derivative contracts to mitigate our exposure to foreign currency fluctuations when we have a significant purchase obligation or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Our primary net foreign currency exposures as of February 1, 2026, included the South Korean won, the Japanese yen, the New Taiwan dollar, the Chinese yuan, the Singapore dollar, the British pound sterling, and the euro. As of that date, a 10% adverse movement in the value of currencies different from the functional currencies of our subsidiaries would have resulted in a net unrealized pre-tax loss of $69.1 million, which represents a decrease of $1.0 million from our exposure as of October 31, 2025. Our most significant exposures at February 1, 2026, were exposures of the New Taiwan Dollar and the South Korean won against the U.S. dollar. We do not believe that a 10% change in the exchange rates of other non-U.S. dollar currencies, other than the aforementioned currencies, would have had a material effect on our February 1, 2026, condensed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320" w:firstLine="324"/>
        <w:spacing w:after="0" w:line="312" w:lineRule="auto"/>
        <w:rPr>
          <w:sz w:val="20"/>
          <w:szCs w:val="20"/>
          <w:color w:val="auto"/>
        </w:rPr>
      </w:pPr>
      <w:r>
        <w:rPr>
          <w:rFonts w:ascii="Times New Roman" w:cs="Times New Roman" w:eastAsia="Times New Roman" w:hAnsi="Times New Roman"/>
          <w:sz w:val="17"/>
          <w:szCs w:val="17"/>
          <w:color w:val="auto"/>
        </w:rPr>
        <w:t>A 10% adverse or favorable movement in the interest rates on our variable rate borrowings would not have had a material effect on the Company’s February 1, 2026, condensed consolidated financial statements, as there were no variable rate borrowings outstanding as of the balance sheet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Inflationary factors generally affect us by increasing our labor and overhead costs, as well as costs associated with certain risks identified above, which may adversely affect our results of operations and financial position. We have historically been able to recover the impacts of inflation through sales price increases; however, we cannot reasonably estimate our ability to successfully recover any impact of inflation through price increases in the future. Our inability to do so could harm our results of operations and financial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was required to apply its judgment in evaluating the cost-benefit relationship of possible controls and procedures.</w:t>
      </w: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100" w:right="100" w:firstLine="234"/>
        <w:spacing w:after="0" w:line="282" w:lineRule="auto"/>
        <w:rPr>
          <w:sz w:val="20"/>
          <w:szCs w:val="20"/>
          <w:color w:val="auto"/>
        </w:rPr>
      </w:pPr>
      <w:r>
        <w:rPr>
          <w:rFonts w:ascii="Times New Roman" w:cs="Times New Roman" w:eastAsia="Times New Roman" w:hAnsi="Times New Roman"/>
          <w:sz w:val="18"/>
          <w:szCs w:val="18"/>
          <w:color w:val="auto"/>
        </w:rPr>
        <w:t>There were no changes to our internal control over financial reporting during the fiscal quarter ended February 1, 2026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Please refer to Note 11 within Part I,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2025 Form 10-K.</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10b-18 of the Exchange Act. The repurchase authorization by the Board of Directors has no expiration date, does not obligate the Company to acquire any common stock, and is subject to market conditions. From September 2020 through October 2022, the Company repurchased 5.8 million shares at a cost of $68.3 million. In August 2024, the Board of Directors authorized an increase to the Company’s existing share repurchase program from the remaining $31.7 million up to $100 million. In June 2025, the Board of Directors authorized an additional $25 million share repurchase. In fiscal year 2025, the Company repurchased 5.0 million shares at a cost of $97.4 million (an average of $19.52 per share). All shares repurchased under the program have been retired prior to the end of the fiscal quarter in which they were purchased. During the three month period ended February 1, 2026, the Company did not repurchase any additional shares. As of February 1, 2026, $27.6 million remained available under this authorization for the repurchase of shares.</w:t>
      </w:r>
    </w:p>
    <w:p>
      <w:pPr>
        <w:spacing w:after="0" w:line="37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Our directors and officers (as defined in Rule 16a-1 under the Exchange Act) may from time to time enter into plans or other arrangements for the purchase or sale of our shares that are intended to satisfy the affirmative defense conditions of Rule 10b5–1(c) or may represent a non-Rule 10b5-1 trading arrangement under the Exchange Act.</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No such plans or arrangements were adopted or terminated, including by modification, by any director or officer (as defined in Rule 16a-1 under the Exchange Act) during the quarter ended February 1, 2026.</w:t>
      </w: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2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162"/>
        </w:trPr>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60" w:type="dxa"/>
            <w:vAlign w:val="bottom"/>
            <w:gridSpan w:val="2"/>
            <w:vMerge w:val="restart"/>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auto"/>
            </w:tcBorders>
            <w:gridSpan w:val="2"/>
            <w:vMerge w:val="continue"/>
          </w:tcPr>
          <w:p>
            <w:pPr>
              <w:spacing w:after="0"/>
              <w:rPr>
                <w:sz w:val="17"/>
                <w:szCs w:val="17"/>
                <w:color w:val="auto"/>
              </w:rPr>
            </w:pPr>
          </w:p>
        </w:tc>
        <w:tc>
          <w:tcPr>
            <w:tcW w:w="160" w:type="dxa"/>
            <w:vAlign w:val="bottom"/>
            <w:gridSpan w:val="2"/>
            <w:vMerge w:val="continue"/>
          </w:tcPr>
          <w:p>
            <w:pPr>
              <w:spacing w:after="0"/>
              <w:rPr>
                <w:sz w:val="17"/>
                <w:szCs w:val="17"/>
                <w:color w:val="auto"/>
              </w:rPr>
            </w:pPr>
          </w:p>
        </w:tc>
        <w:tc>
          <w:tcPr>
            <w:tcW w:w="6160" w:type="dxa"/>
            <w:vAlign w:val="bottom"/>
            <w:gridSpan w:val="3"/>
            <w:vMerge w:val="restart"/>
          </w:tcPr>
          <w:p>
            <w:pPr>
              <w:ind w:left="2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180" w:type="dxa"/>
            <w:vAlign w:val="bottom"/>
          </w:tcPr>
          <w:p>
            <w:pPr>
              <w:spacing w:after="0"/>
              <w:rPr>
                <w:sz w:val="17"/>
                <w:szCs w:val="17"/>
                <w:color w:val="auto"/>
              </w:rPr>
            </w:pPr>
          </w:p>
        </w:tc>
        <w:tc>
          <w:tcPr>
            <w:tcW w:w="8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Furnished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6"/>
          </w:tcPr>
          <w:p>
            <w:pPr>
              <w:jc w:val="center"/>
              <w:ind w:left="51"/>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160" w:type="dxa"/>
            <w:vAlign w:val="bottom"/>
            <w:gridSpan w:val="3"/>
            <w:vMerge w:val="continue"/>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800" w:type="dxa"/>
            <w:vAlign w:val="bottom"/>
            <w:gridSpan w:val="4"/>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6"/>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13a-14(a)/15d-14(a)</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13a-14(a)/15d-14(a)</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 Section 1350,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16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 1350,</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2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160" w:type="dxa"/>
            <w:vAlign w:val="bottom"/>
            <w:tcBorders>
              <w:top w:val="single" w:sz="8" w:color="CCEEFF"/>
            </w:tcBorders>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2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616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 appear in</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16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1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Exhibit 101)</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4"/>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70"/>
        </w:trPr>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160" w:type="dxa"/>
            <w:vAlign w:val="bottom"/>
            <w:gridSpan w:val="3"/>
          </w:tcPr>
          <w:p>
            <w:pPr>
              <w:ind w:left="4540"/>
              <w:spacing w:after="0"/>
              <w:rPr>
                <w:sz w:val="20"/>
                <w:szCs w:val="20"/>
                <w:color w:val="auto"/>
              </w:rPr>
            </w:pPr>
            <w:r>
              <w:rPr>
                <w:rFonts w:ascii="Times New Roman" w:cs="Times New Roman" w:eastAsia="Times New Roman" w:hAnsi="Times New Roman"/>
                <w:sz w:val="14"/>
                <w:szCs w:val="14"/>
                <w:color w:val="auto"/>
              </w:rPr>
              <w:t>37</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431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RUI (ELIE)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431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RUI (ELIE) ZHANG</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5"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certify that:</w:t>
      </w:r>
    </w:p>
    <w:p>
      <w:pPr>
        <w:spacing w:after="0" w:line="225"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4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40" w:hanging="492"/>
        <w:spacing w:after="0" w:line="266"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40" w:firstLine="494"/>
        <w:spacing w:after="0" w:line="266" w:lineRule="auto"/>
        <w:tabs>
          <w:tab w:leader="none" w:pos="10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494"/>
        <w:spacing w:after="0" w:line="266" w:lineRule="auto"/>
        <w:tabs>
          <w:tab w:leader="none" w:pos="10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40" w:firstLine="494"/>
        <w:spacing w:after="0" w:line="282" w:lineRule="auto"/>
        <w:tabs>
          <w:tab w:leader="none" w:pos="10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0" w:firstLine="494"/>
        <w:spacing w:after="0" w:line="266" w:lineRule="auto"/>
        <w:tabs>
          <w:tab w:leader="none" w:pos="10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680" w:firstLine="494"/>
        <w:spacing w:after="0" w:line="282" w:lineRule="auto"/>
        <w:tabs>
          <w:tab w:leader="none" w:pos="10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60" w:firstLine="494"/>
        <w:spacing w:after="0" w:line="282" w:lineRule="auto"/>
        <w:tabs>
          <w:tab w:leader="none" w:pos="10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4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0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4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140" w:firstLine="494"/>
        <w:spacing w:after="0" w:line="266" w:lineRule="auto"/>
        <w:tabs>
          <w:tab w:leader="none" w:pos="10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firstLine="494"/>
        <w:spacing w:after="0" w:line="266" w:lineRule="auto"/>
        <w:tabs>
          <w:tab w:leader="none" w:pos="10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440" w:firstLine="494"/>
        <w:spacing w:after="0" w:line="282" w:lineRule="auto"/>
        <w:tabs>
          <w:tab w:leader="none" w:pos="10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0" w:firstLine="494"/>
        <w:spacing w:after="0" w:line="266" w:lineRule="auto"/>
        <w:tabs>
          <w:tab w:leader="none" w:pos="10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2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680" w:firstLine="494"/>
        <w:spacing w:after="0" w:line="282" w:lineRule="auto"/>
        <w:tabs>
          <w:tab w:leader="none" w:pos="107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360" w:firstLine="494"/>
        <w:spacing w:after="0" w:line="282" w:lineRule="auto"/>
        <w:tabs>
          <w:tab w:leader="none" w:pos="108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George C. Macricostas, Chief Executive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500" w:right="82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1,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GEORGE C.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1431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George C. Macricostas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President and Chief Financial Officer of Photronics, Inc. (the “Company”), certify, to my knowledge,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18 U.S.C. Section 1350, that:</w:t>
      </w:r>
    </w:p>
    <w:p>
      <w:pPr>
        <w:spacing w:after="0" w:line="207" w:lineRule="exact"/>
        <w:rPr>
          <w:sz w:val="20"/>
          <w:szCs w:val="20"/>
          <w:color w:val="auto"/>
        </w:rPr>
      </w:pPr>
    </w:p>
    <w:p>
      <w:pPr>
        <w:ind w:left="500" w:right="82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February 1, 2026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21431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2026-03-11T11:39:46Z</dcterms:created>
  <dcterms:modified xsi:type="dcterms:W3CDTF">2026-03-11T11:39:46Z</dcterms:modified>
</cp:coreProperties>
</file>