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Rivera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SECOR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PHOTRONICS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8"/>
        <w:gridCol w:w="900"/>
        <w:gridCol w:w="771"/>
        <w:gridCol w:w="598"/>
        <w:gridCol w:w="345"/>
        <w:gridCol w:w="835"/>
        <w:gridCol w:w="446"/>
        <w:gridCol w:w="792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133,276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meet tax liabilities associated with Restricted Stock Awards.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/s/Brandon DeSocio, attorney-in-fact for Eric Rivera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6265" TargetMode="External"/><Relationship Id="rId5" Type="http://schemas.openxmlformats.org/officeDocument/2006/relationships/hyperlink" Target="http://www.sec.gov/cgi-bin/browse-edgar?action=getcompany&amp;CIK=00008101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3139</Characters>
  <CharactersWithSpaces>3645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