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4120" w:right="1980" w:hanging="4112"/>
        <w:spacing w:after="0" w:line="282" w:lineRule="auto"/>
        <w:tabs>
          <w:tab w:leader="none" w:pos="64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November 1, 2015</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40" w:right="1600" w:hanging="4232"/>
        <w:spacing w:after="0" w:line="532"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154940</wp:posOffset>
            </wp:positionV>
            <wp:extent cx="38608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60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0"/>
              </w:rPr>
              <w:t>Connecticut</w:t>
            </w:r>
          </w:p>
        </w:tc>
        <w:tc>
          <w:tcPr>
            <w:tcW w:w="522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06-0854886</w:t>
            </w:r>
          </w:p>
        </w:tc>
      </w:tr>
      <w:tr>
        <w:trPr>
          <w:trHeight w:val="212"/>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5220" w:type="dxa"/>
            <w:vAlign w:val="bottom"/>
          </w:tcPr>
          <w:p>
            <w:pPr>
              <w:jc w:val="center"/>
              <w:ind w:left="177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20"/>
        </w:trPr>
        <w:tc>
          <w:tcPr>
            <w:tcW w:w="96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0"/>
              </w:rPr>
              <w:t>15 Secor Road, Brookfield, Connecticut 06804</w:t>
            </w:r>
          </w:p>
        </w:tc>
      </w:tr>
      <w:tr>
        <w:trPr>
          <w:trHeight w:val="212"/>
        </w:trPr>
        <w:tc>
          <w:tcPr>
            <w:tcW w:w="9680" w:type="dxa"/>
            <w:vAlign w:val="bottom"/>
            <w:gridSpan w:val="2"/>
          </w:tcPr>
          <w:p>
            <w:pPr>
              <w:jc w:val="center"/>
              <w:ind w:left="430"/>
              <w:spacing w:after="0"/>
              <w:rPr>
                <w:sz w:val="20"/>
                <w:szCs w:val="20"/>
                <w:color w:val="auto"/>
              </w:rPr>
            </w:pPr>
            <w:r>
              <w:rPr>
                <w:rFonts w:ascii="Arial" w:cs="Arial" w:eastAsia="Arial" w:hAnsi="Arial"/>
                <w:sz w:val="18"/>
                <w:szCs w:val="18"/>
                <w:i w:val="1"/>
                <w:iCs w:val="1"/>
                <w:color w:val="auto"/>
                <w:w w:val="91"/>
              </w:rPr>
              <w:t>(Address of principal executive offices)(Zip Code)</w:t>
            </w:r>
          </w:p>
        </w:tc>
      </w:tr>
      <w:tr>
        <w:trPr>
          <w:trHeight w:val="220"/>
        </w:trPr>
        <w:tc>
          <w:tcPr>
            <w:tcW w:w="4460" w:type="dxa"/>
            <w:vAlign w:val="bottom"/>
          </w:tcPr>
          <w:p>
            <w:pPr>
              <w:spacing w:after="0"/>
              <w:rPr>
                <w:sz w:val="19"/>
                <w:szCs w:val="19"/>
                <w:color w:val="auto"/>
              </w:rPr>
            </w:pPr>
          </w:p>
        </w:tc>
        <w:tc>
          <w:tcPr>
            <w:tcW w:w="5220" w:type="dxa"/>
            <w:vAlign w:val="bottom"/>
          </w:tcPr>
          <w:p>
            <w:pPr>
              <w:jc w:val="center"/>
              <w:ind w:right="3850"/>
              <w:spacing w:after="0"/>
              <w:rPr>
                <w:sz w:val="20"/>
                <w:szCs w:val="20"/>
                <w:color w:val="auto"/>
              </w:rPr>
            </w:pPr>
            <w:r>
              <w:rPr>
                <w:rFonts w:ascii="Arial" w:cs="Arial" w:eastAsia="Arial" w:hAnsi="Arial"/>
                <w:sz w:val="18"/>
                <w:szCs w:val="18"/>
                <w:b w:val="1"/>
                <w:bCs w:val="1"/>
                <w:color w:val="auto"/>
                <w:w w:val="90"/>
              </w:rPr>
              <w:t>(203) 775-9000</w:t>
            </w:r>
          </w:p>
        </w:tc>
      </w:tr>
      <w:tr>
        <w:trPr>
          <w:trHeight w:val="230"/>
        </w:trPr>
        <w:tc>
          <w:tcPr>
            <w:tcW w:w="9680" w:type="dxa"/>
            <w:vAlign w:val="bottom"/>
            <w:gridSpan w:val="2"/>
          </w:tcPr>
          <w:p>
            <w:pPr>
              <w:jc w:val="center"/>
              <w:ind w:left="410"/>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441"/>
        </w:trPr>
        <w:tc>
          <w:tcPr>
            <w:tcW w:w="9680" w:type="dxa"/>
            <w:vAlign w:val="bottom"/>
            <w:gridSpan w:val="2"/>
          </w:tcPr>
          <w:p>
            <w:pPr>
              <w:jc w:val="center"/>
              <w:ind w:left="410"/>
              <w:spacing w:after="0"/>
              <w:rPr>
                <w:sz w:val="20"/>
                <w:szCs w:val="20"/>
                <w:color w:val="auto"/>
              </w:rPr>
            </w:pPr>
            <w:r>
              <w:rPr>
                <w:rFonts w:ascii="Arial" w:cs="Arial" w:eastAsia="Arial" w:hAnsi="Arial"/>
                <w:sz w:val="18"/>
                <w:szCs w:val="18"/>
                <w:i w:val="1"/>
                <w:iCs w:val="1"/>
                <w:color w:val="auto"/>
                <w:w w:val="90"/>
              </w:rPr>
              <w:t>Securities registered pursuant to Section 12(b) of the Act:</w:t>
            </w:r>
          </w:p>
        </w:tc>
      </w:t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220" w:type="dxa"/>
            <w:vAlign w:val="bottom"/>
          </w:tcPr>
          <w:p>
            <w:pPr>
              <w:jc w:val="center"/>
              <w:ind w:left="1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5220" w:type="dxa"/>
            <w:vAlign w:val="bottom"/>
          </w:tcPr>
          <w:p>
            <w:pPr>
              <w:jc w:val="center"/>
              <w:ind w:left="1790"/>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right="4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As of May 3, 2015, which was the last business day of the registrant's most recently completed second fiscal quarter, the aggregate market value of the shares of the registrant's common stock held by non-affiliates was approximately $509,665,233 (based upon the closing price of $8.87 per share as reported by the NASDAQ Global Select Market on that date).</w:t>
      </w:r>
    </w:p>
    <w:p>
      <w:pPr>
        <w:sectPr>
          <w:pgSz w:w="11900" w:h="16838" w:orient="portrait"/>
          <w:cols w:equalWidth="0" w:num="1">
            <w:col w:w="11420"/>
          </w:cols>
          <w:pgMar w:left="240" w:top="522"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As of December 29, 2015, 66,982,870 shares of the registrant's common stock were outstanding.</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000" w:type="dxa"/>
            <w:vAlign w:val="bottom"/>
            <w:vMerge w:val="restart"/>
          </w:tcPr>
          <w:p>
            <w:pPr>
              <w:spacing w:after="0"/>
              <w:rPr>
                <w:sz w:val="20"/>
                <w:szCs w:val="20"/>
                <w:color w:val="auto"/>
              </w:rPr>
            </w:pPr>
            <w:r>
              <w:rPr>
                <w:rFonts w:ascii="Arial" w:cs="Arial" w:eastAsia="Arial" w:hAnsi="Arial"/>
                <w:sz w:val="18"/>
                <w:szCs w:val="18"/>
                <w:color w:val="auto"/>
              </w:rPr>
              <w:t>Proxy Statement for the 2016</w:t>
            </w:r>
          </w:p>
        </w:tc>
        <w:tc>
          <w:tcPr>
            <w:tcW w:w="8420" w:type="dxa"/>
            <w:vAlign w:val="bottom"/>
          </w:tcPr>
          <w:p>
            <w:pPr>
              <w:jc w:val="right"/>
              <w:ind w:right="3550"/>
              <w:spacing w:after="0"/>
              <w:rPr>
                <w:sz w:val="20"/>
                <w:szCs w:val="20"/>
                <w:color w:val="auto"/>
              </w:rPr>
            </w:pPr>
            <w:r>
              <w:rPr>
                <w:rFonts w:ascii="Arial" w:cs="Arial" w:eastAsia="Arial" w:hAnsi="Arial"/>
                <w:sz w:val="18"/>
                <w:szCs w:val="18"/>
                <w:b w:val="1"/>
                <w:bCs w:val="1"/>
                <w:color w:val="auto"/>
              </w:rPr>
              <w:t>DOCUMENTS INCORPORATED BY REFERENCE</w:t>
            </w:r>
          </w:p>
        </w:tc>
        <w:tc>
          <w:tcPr>
            <w:tcW w:w="0" w:type="dxa"/>
            <w:vAlign w:val="bottom"/>
          </w:tcPr>
          <w:p>
            <w:pPr>
              <w:spacing w:after="0"/>
              <w:rPr>
                <w:sz w:val="1"/>
                <w:szCs w:val="1"/>
                <w:color w:val="auto"/>
              </w:rPr>
            </w:pPr>
          </w:p>
        </w:tc>
      </w:tr>
      <w:tr>
        <w:trPr>
          <w:trHeight w:val="202"/>
        </w:trPr>
        <w:tc>
          <w:tcPr>
            <w:tcW w:w="3000" w:type="dxa"/>
            <w:vAlign w:val="bottom"/>
            <w:vMerge w:val="continue"/>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 be held in March 2016</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9A9A9A"/>
            </w:tcBorders>
          </w:tcPr>
          <w:p>
            <w:pPr>
              <w:spacing w:after="0"/>
              <w:rPr>
                <w:sz w:val="17"/>
                <w:szCs w:val="17"/>
                <w:color w:val="auto"/>
              </w:rPr>
            </w:pPr>
          </w:p>
        </w:tc>
        <w:tc>
          <w:tcPr>
            <w:tcW w:w="8420" w:type="dxa"/>
            <w:vAlign w:val="bottom"/>
            <w:tcBorders>
              <w:right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259"/>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Photronics, Inc. (and its subsidiaries, collectively referred to herein as "Photronics" or the "Company" or “we”)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220"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Photronics is a Connecticut corporation, organized in 1969. Its principal executive offices are located at 15 Secor Road, Brookfield, Connecticut 06804, telephone (203) 775-9000. The Company's website is located at http://www.photronics.com. The Company makes available, free of charge through its website, its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the Company's website is not part of this or any other report the Company files with or furnishes to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256" w:lineRule="exact"/>
        <w:rPr>
          <w:sz w:val="20"/>
          <w:szCs w:val="20"/>
          <w:color w:val="auto"/>
        </w:rPr>
      </w:pPr>
    </w:p>
    <w:p>
      <w:pPr>
        <w:ind w:right="200" w:firstLine="259"/>
        <w:spacing w:after="0" w:line="290" w:lineRule="auto"/>
        <w:rPr>
          <w:sz w:val="20"/>
          <w:szCs w:val="20"/>
          <w:color w:val="auto"/>
        </w:rPr>
      </w:pPr>
      <w:r>
        <w:rPr>
          <w:rFonts w:ascii="Arial" w:cs="Arial" w:eastAsia="Arial" w:hAnsi="Arial"/>
          <w:sz w:val="16"/>
          <w:szCs w:val="16"/>
          <w:color w:val="auto"/>
        </w:rPr>
        <w:t>The Company manufactures photomasks, which are used as masters to transfer circuit patterns onto semiconductor wafers and flat panel substrates. Photomasks are manufactured in accordance with circuit designs provided on a confidential basis by the Company's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93"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The Company currently supports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electron beam technologies fabricate the large majority of higher cost critical layer photomasks, while photomasks produced using laser-based systems are less expensive and less precise. End markets served with IC photomasks include devices used for microprocessors, memory, telecommunications and related applications. The Company currently owns a number of high-end and mature electron beam and laser-based systems.</w:t>
      </w:r>
    </w:p>
    <w:p>
      <w:pPr>
        <w:spacing w:after="0" w:line="194"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efficient manufacturing methods, high production yield, available manufacturing capacity and high equipment reliability. The Company works to meet these requirements by making significant investments in research and development, capital equipment, manufacturing, and data processing systems, and by utilizing statistical process control methods to optimize the manufacturing process and reduce cycle times.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0" w:firstLine="259"/>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4"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The majority of IC photomasks produced for the semiconductor industry employ geometries of larger than 45 nanometers.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has access to technology and customer qualified manufacturing capability that allows it to compete in high-end markets, serving both IC and FPD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The market for photomasks primarily consists of domestic and international semiconductor and FPD manufacturers and designers. Photomasks are manufactured by independent merchant manufacturers like Photronics, and by semiconductor and FPD manufacturers that produce photomasks for their own use (captive manufacturers). In some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reach certain roadmap milestones, particularly in the foundry logic and memory spaces. Nevertheless, most captive manufacturers maintain business and technology relationships with independent photomask manufacturers for ongoing support.</w:t>
      </w:r>
    </w:p>
    <w:p>
      <w:pPr>
        <w:spacing w:after="0" w:line="209" w:lineRule="exact"/>
        <w:rPr>
          <w:sz w:val="20"/>
          <w:szCs w:val="20"/>
          <w:color w:val="auto"/>
        </w:rPr>
      </w:pPr>
    </w:p>
    <w:p>
      <w:pPr>
        <w:jc w:val="both"/>
        <w:ind w:right="220" w:firstLine="259"/>
        <w:spacing w:after="0" w:line="297" w:lineRule="auto"/>
        <w:rPr>
          <w:sz w:val="20"/>
          <w:szCs w:val="20"/>
          <w:color w:val="auto"/>
        </w:rPr>
      </w:pPr>
      <w:r>
        <w:rPr>
          <w:rFonts w:ascii="Arial" w:cs="Arial" w:eastAsia="Arial" w:hAnsi="Arial"/>
          <w:sz w:val="16"/>
          <w:szCs w:val="16"/>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 However, none of the Company's customers have entered into a significant long-term agreement with the Company requiring them to purchase the Company's products.</w:t>
      </w:r>
    </w:p>
    <w:p>
      <w:pPr>
        <w:spacing w:after="0" w:line="18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in the United States, Europe and Asia.</w:t>
      </w:r>
    </w:p>
    <w:p>
      <w:pPr>
        <w:spacing w:after="0" w:line="208"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The Company supports international customers through both its domestic and international facilities. The Company considers its presence in international markets to be an important factor in attracting new customers, as it provides global solutions to its customers, minimizes delivery time, and allows it to serve customers that utilize manufacturing foundries outside of the United States, principally in Asia. See Note 15 to the Company's consolidated financial statements for the amount of net sales and long-lived assets attributable to each of the Company's geographic areas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primarily sells its products to leading semiconductor and FPD manufacturers. The Company's largest customers (listed alphabetically)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November 1, 2015 ("fiscal 2015") included the following:</w:t>
      </w:r>
    </w:p>
    <w:p>
      <w:pPr>
        <w:sectPr>
          <w:pgSz w:w="11900" w:h="16838" w:orient="portrait"/>
          <w:cols w:equalWidth="0" w:num="1">
            <w:col w:w="11400"/>
          </w:cols>
          <w:pgMar w:left="240" w:top="121" w:right="2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Dongbu HiTek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Foundries,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Himax Display,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Innolux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LG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Macronix International Company,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Corporation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Semiconductor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Electronics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Semiconductor International Manufacturing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Shanghai Huahong Grace Semiconductor Manufacturing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 Microelectronics,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Microelectronics Corp.</w:t>
      </w:r>
    </w:p>
    <w:p>
      <w:pPr>
        <w:spacing w:after="0" w:line="200" w:lineRule="exact"/>
        <w:rPr>
          <w:sz w:val="20"/>
          <w:szCs w:val="20"/>
          <w:color w:val="auto"/>
        </w:rPr>
      </w:pPr>
    </w:p>
    <w:p>
      <w:pPr>
        <w:sectPr>
          <w:pgSz w:w="11900" w:h="16838" w:orient="portrait"/>
          <w:cols w:equalWidth="0" w:num="2">
            <w:col w:w="3860" w:space="720"/>
            <w:col w:w="6820"/>
          </w:cols>
          <w:pgMar w:left="240" w:top="121" w:right="259" w:bottom="1440" w:gutter="0" w:footer="0" w:header="0"/>
          <w:type w:val="continuous"/>
        </w:sectPr>
      </w:pPr>
    </w:p>
    <w:p>
      <w:pPr>
        <w:spacing w:after="0" w:line="38"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During fiscal 2015, the Company sold its products and services to approximately 600 customers. Sales to one customer accounted for approximately 18%, 16% and 18% of the Company’s total net sales in fiscal 2015, 2014 and 2013, respectively, and sales to another customer accounted for approximately 15% and 11% of the Company’s total net sales in fiscal 2015 and 2014, respectively. The Company's five largest customers, in the aggregate, accounted for approximately 52%, 44% and 43% of net sales in fiscal 2015, 2014 and 2013, respectively. A significant decrease in the amount of sales to any of these customers could have a material adverse effect on the financial performance and business prospects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The Company's quarterly revenues can be affected by the seasonal purchasing of its customers. The Company is typically impacted during its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259"/>
        <w:spacing w:after="0" w:line="286" w:lineRule="auto"/>
        <w:rPr>
          <w:sz w:val="20"/>
          <w:szCs w:val="20"/>
          <w:color w:val="auto"/>
        </w:rPr>
      </w:pPr>
      <w:r>
        <w:rPr>
          <w:rFonts w:ascii="Arial" w:cs="Arial" w:eastAsia="Arial" w:hAnsi="Arial"/>
          <w:sz w:val="16"/>
          <w:szCs w:val="16"/>
          <w:color w:val="auto"/>
        </w:rPr>
        <w:t>The Company conducts research and development activities for IC photomasks at its MP Mask Technology Center, LLC ("MP Mask"), a joint venture with Micron Technology, Inc. (“Micron”) and at its U.S. nanoFab, both of which are located in Boise, Idaho, as well as at PK, Ltd. (“PKL”), its subsidiary in Korea and Photronics DNP Mask Corporation (“PDMC”), one of its subsidiaries in Taiwan. Research and development for FPD photomasks is conducted at PKL. Additionally, the Company conducts site-specific research and development programs to support strategic customers. These research and development programs and activities are undertaken to advance the Company's competitiveness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for ICs are focused on 20 nanometer node and below and, for FPDs, on Generation 8 resolution enhancement, substrates larger than Generation 8 and more complex masks for AMOLED type displays. The Company believes these core competencies will continue to be a critical part of semiconductor and FPD manufacturing, as optical lithography continues to scale capabilities on high-end devices. The Company has incurred research and development expenses of $21.9 million in fiscal years 2015 and 2014 and $20.8 million in fiscal year 2013. The Company believes that it owns, controls, or licenses valuable proprietary information that is necessary for its business as it is presently conducted. This includes trade secrets as well as patents. The Company also believes that its intellectual property and trade secret know-how will continue to be important to its maintaining technical leadership in the field of photomasks.</w:t>
      </w:r>
    </w:p>
    <w:p>
      <w:pPr>
        <w:spacing w:after="0" w:line="202"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March 24, 2015, the Company announced that the MP Mask joint venture would not be renewed after May 5, 2016, and concurrently, the Company announced that it entered into supply and technology license agreements with Micron. This technology license agreement commenced in March 2015 and continues through the earlier of one year from the termination of the initial technology license agreement on May 5, 2016, or when Micron certifies that it has transferred certain defined technology to the Company. The Company forevermore has the rights to use the technology obtained under these technology license agreements.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Company has ownership interests in approximately 50 issued U.S. patents. The subject matter of these patents, which are registered in various countries, generally relates to the manufacture of IC photomasks or the use of photomasks to manufacture other products. The expiration dates of these patents range from 2018 to 2030. Additionally, pursuant to a technology license agreement with Micron, the Company has access to certain technologies of Micron and MP Mask. The Company also has a number of trademarks and trademark registrations in the United States and in other countries.</w:t>
      </w:r>
    </w:p>
    <w:p>
      <w:pPr>
        <w:spacing w:after="0" w:line="18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While the Company believes that its intellectual property is, and will continue to be, important to its technical leadership in the field of photomasks, its operations are not dependent on any one individual patent. The Company protects its intellectual property rights and proprietary processes by utilizing patents and non-disclosure agreements with employees, customers and vendors.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Raw materials used by the Company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The Company believes that its utilization of a select group of strategic suppliers enables it to access the most technologically advanced materials available. On an ongoing basis, the Company continues to consider additional supply sources.</w:t>
      </w:r>
    </w:p>
    <w:p>
      <w:pPr>
        <w:spacing w:after="0" w:line="215"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Sales from the Company’s international operations were approximately 75%, 77% and 70% of the Company's net sales in fiscal 2015, 2014 and 2013, respectively. The Company believes that its ability to serve international markets is enhanced by it having, among other things, a local presence in the markets that it serves. This requires a significant investment in financial, managerial, operational, and other resources.</w:t>
      </w:r>
    </w:p>
    <w:p>
      <w:pPr>
        <w:spacing w:after="0" w:line="208"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15 of the notes to the Company's consolidated financial statements presents net sales and long-lived assets by geographic area.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the Company believes are the principal factors considered by customers in selecting their photomask suppliers. The Company also believes that proximity to customers is an important factor in certain markets where cycle time from order to delivery is critical. Some competitors have greater financial, technical, sales, marketing or other resources than the Company. An inability to meet these requirements could adversely affect the Company's financial condition, results of operations and cash flows. The Company believes that it is able to compete effectively because of its dedication to customer service, investment in state-of-the-art photomask equipment and facilities, and experienced technical employees.</w:t>
      </w:r>
    </w:p>
    <w:p>
      <w:pPr>
        <w:spacing w:after="0" w:line="205"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The Company estimates that, for the types of photomasks it manufactures (IC and FPD), the size of the total market (captive and merchant) is approximately $3.9 billion. Its competitors include Compugraphics International, Ltd., DNP (outside of Taiwan), Hoya Corporation, SK-Electronics Co. Ltd., Taiwan Mask Corporation and Toppan Printing Co., Ltd.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coupled with the significant investment required in capital equipment to manufacture high-end photomasks, has contributed to the decrease in the number of independent manufacturers, and expects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November 1, 2015, the Company had approximately 1,550 employees. The Company believes it offers competitive compensation and other benefits and that its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dependency on the microelectronics industry, which as a whole is volatile, could have a negative material impact on its business.</w:t>
      </w:r>
    </w:p>
    <w:p>
      <w:pPr>
        <w:spacing w:after="0" w:line="279"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The Company sells substantially all of its photomasks to semiconductor or flat panel display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even if the demand for semiconductors and FPDs increases.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6"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Company's results may suffer if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future net losses.</w:t>
      </w:r>
    </w:p>
    <w:p>
      <w:pPr>
        <w:spacing w:after="0" w:line="256"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Although the Company has been profitable since fiscal 2010, it has, in the past, incurred net losses. The net losses experienced in prior years were due, in part, to macroeconomic factors, which resulted in the Company incurring significant charges for restructurings and impairments of long-lived assets. The Company cannot provide assurance that it will not incur net losses in the future.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6"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The Company operates in a high fixed cost environment and, should its revenues and asset utilization decrease, its operating margins could be negatively impacted.</w:t>
      </w:r>
    </w:p>
    <w:p>
      <w:pPr>
        <w:spacing w:after="0" w:line="193"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Company's customers generally order photomasks on an as-needed basis, and the Company's net sales in any quarter are dependent on orders received during that quarter. Since the Company operates with little backlog and the rate of new orders may vary significantly from quarter to quarter, the Company's capital expenditures and, to some extent, expense levels are based primarily on sales forecasts and technological advancements in photomask manufacturing equipment. Consequently, if anticipated sales in any quarter do not occur when expected, capital expenditures could be higher than needed, resulting in underutilized capacity; and expense levels could be disproportionately high, causing operating results to be adversely affected. Due to the foregoing factors, the Company believes that quarter-to-quarter comparisons of its operating results cannot be relied upon as indicators of future performance. In addition, in future quarters the Company's operating results could be below guidance provided by the Company and the expectations of public market analysts and investors which, in turn, could have a material adverse effect on the market price of the Company's common stock.</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193"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2015,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or FPD designs without the use of photomasks achieve market acceptance, and if the Company is unable to anticipate, respond to or utilize these or other technological changes, due to resource, technological or other constraints, its business and results of operations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6"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manufacture of photomasks requires substantial investments by the Company in high-end manufacturing capability. The Company expects that it will be required to continue to make substantial capital expenditures to meet the technological demands of its customers and to position itself for future growth. The Company's capital expenditure payments for fiscal 2016 are expected to be in the range of $50 million to $75 million, of which $26 million was included in accounts payable on its November 1, 2015, Consolidated Balance Sheet. The Company cannot provide assurance that it will be able to obtain the additional capital required to fund its operations on reasonable terms, if at all, or that any such inability will not have a material adverse effect on its business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200"/>
        <w:spacing w:after="0" w:line="266" w:lineRule="auto"/>
        <w:rPr>
          <w:sz w:val="20"/>
          <w:szCs w:val="20"/>
          <w:color w:val="auto"/>
        </w:rPr>
      </w:pPr>
      <w:r>
        <w:rPr>
          <w:rFonts w:ascii="Arial" w:cs="Arial" w:eastAsia="Arial" w:hAnsi="Arial"/>
          <w:sz w:val="18"/>
          <w:szCs w:val="18"/>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and cash flows.</w:t>
      </w:r>
    </w:p>
    <w:p>
      <w:pPr>
        <w:spacing w:after="0" w:line="20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In 2006 Photronics and Micron entered into a joint venture known as MP Mask. The joint venture, which will not be renewed after May 2016,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 million in exchange for a</w:t>
      </w:r>
    </w:p>
    <w:p>
      <w:pPr>
        <w:ind w:right="100"/>
        <w:spacing w:after="0" w:line="255" w:lineRule="auto"/>
        <w:rPr>
          <w:sz w:val="20"/>
          <w:szCs w:val="20"/>
          <w:color w:val="auto"/>
        </w:rPr>
      </w:pPr>
      <w:r>
        <w:rPr>
          <w:rFonts w:ascii="Arial" w:cs="Arial" w:eastAsia="Arial" w:hAnsi="Arial"/>
          <w:sz w:val="18"/>
          <w:szCs w:val="18"/>
          <w:color w:val="auto"/>
        </w:rPr>
        <w:t>49.99% interest in MP Mask, a license for photomask technology of Micron and certain supply agreements. Since the formation of the joint venture, the Company has, through November 1, 2015, made contributions to MP Mask of $38 million and received returns of investments of $10 million. On March 24, 2015, the Company announced that the MP Mask joint venture would not be renewed after May 5, 2016.</w:t>
      </w:r>
    </w:p>
    <w:p>
      <w:pPr>
        <w:spacing w:after="0" w:line="217"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would need to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20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termination of short-term supply agreements or the lack of performance under such arrangements or the loss of any of these customers or a significant reduction in orders from or delay in orders from these customers could have a material adverse effect on its sales and results of operations.</w:t>
      </w:r>
    </w:p>
    <w:p>
      <w:pPr>
        <w:spacing w:after="0" w:line="20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Historically, the Company has sold a significant proportion of photomasks to a limited number of IC and FPD manufacturers. During fiscal 2015, the Company’s two largest customers accounted for 18% and 15% of its net sales. The Company's five largest customers accounted for 52%, 44% and 43% of net sales in fiscal 2015, 2014 and 2013, respectively. Among these customers, is the Company’s joint venture partner, Micron, with whom the Company has an outsource supplier agreement to provide photomasks and related services, commencing on May 6, 2016 with a one-year term, subject to mutually agreeable renewals. None of the Company's customers have entered into significant long-term agreements with the Company requiring them to purchase the Company's products. The termination of short-term supply arrangements or the lack of performance under such arrangements or the loss of a significant customer or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could also have an adverse effect on the Company's financial performance and business prospects.</w:t>
      </w:r>
    </w:p>
    <w:p>
      <w:pPr>
        <w:spacing w:after="0" w:line="179"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The Company depends on a limited number of suppliers for equipment and raw materials and, if those suppliers do not deliver their products to the Company, it may be unable to fulfill orders from its customers, which could adversely affect its business and results of operations.</w:t>
      </w:r>
    </w:p>
    <w:p>
      <w:pPr>
        <w:spacing w:after="0" w:line="14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In addition, the manufacturing equipment necessary to produce advanced photomasks could become prohibitively expensive, which could similarly affect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ind w:right="40" w:firstLine="259"/>
        <w:spacing w:after="0" w:line="297" w:lineRule="auto"/>
        <w:rPr>
          <w:sz w:val="20"/>
          <w:szCs w:val="20"/>
          <w:color w:val="auto"/>
        </w:rPr>
      </w:pPr>
      <w:r>
        <w:rPr>
          <w:rFonts w:ascii="Arial" w:cs="Arial" w:eastAsia="Arial" w:hAnsi="Arial"/>
          <w:sz w:val="16"/>
          <w:szCs w:val="16"/>
          <w:color w:val="auto"/>
        </w:rPr>
        <w:t>The Company uses high precision quartz photomask blanks, pellicles, and electronic grade chemicals in its manufacturing processes. There are a limited number of suppliers of these raw materials and the Company has no long-term contracts with these suppliers. Any delays or quality problems in connection with significant raw materials, particularly photomask blanks, could cause delays in the shipments of photomasks, which could have a material adverse effect on the Company's business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The inability of the Company to effectively utilize such equipment and technologies and perform such processes could have a material adverse effect on its business and results of operations.</w:t>
      </w:r>
    </w:p>
    <w:p>
      <w:pPr>
        <w:spacing w:after="0" w:line="207"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under such circumstances,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6"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Financial covenants related to the Company’s credit facility, which was last amended in August 2014, include Total Leverage Ratio, a Minimum Interest Coverage Ratio,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business conditions, or other events. The Company cannot assure that, under such circumstances,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mergers or joint ventures by the Company may entail certain operational and financial risks.</w:t>
      </w:r>
    </w:p>
    <w:p>
      <w:pPr>
        <w:spacing w:after="0" w:line="256"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The Company has made significant acquisitions throughout its history and it may make other acquisitions or participate in other joint ventures or mergers in the future. On April 4, 2014, DNP Photomask Technology Taiwan Co., Ltd. (“DPTT”), a wholly owned subsidiary of Dai Nippon Printing Co., Ltd. (“DNP”), merged into Photronics Semiconductor Mask Corporation (“PSMC”), a wholly owned subsidiary of Photronics, to form PDMC. As a result of the acquisition of DPTT, Photronics and DNP own 50.01 percent and 49.99 percent of PDMC, respectively. After the completion of such an acquisition the Company may be subject to various risks which could adversely affect its future earnings and cash flows. These may include risks such as: the cost of combining the operations of the acquired company with the Company’s operations may exceed the Company’s estimates; goodwill, if any, or other intangible assets recognized may be subject to impairment charges; the lives of intangible assets acquired may be reduced; contingent liabilities are identified or change; the unanticipated loss of sales due to an overlap of customers served by the Company and the acquiree occurs; and that greater than anticipated charges to maintain duplicate pre-merger activities and eliminate duplicative activities are experienced. Furthermore, the Company may need to utilize its cash reserves and/or issue new securities to fund future acquisitions, which could have a dilutive effect on its earnings per share. Such transactions are subject to acquisition accounting, as prescribed in Accounting Standards Codification Topic No. 805 “Business Combinations”, under which identifiable assets acquired, liabilities assumed and any noncontrolling interests are generally recognized at their acquisition date fair values and separately from goodwill, if any, that may be required to be recognized. Goodwill, when recognizable, would be measured as the excess amount of any consideration transferred, which is generally measured at fair value, over the acquisition date fair values of the identifiable assets acquired and liabilities assumed. In cases of acquisitions that require the Company to estimate the fair values of assets acquired and liabilities assumed, such estimates, though based upon assumptions that the Company believes to be reasonable, are subject to uncertainty.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Company's cash flows from operations and current holdings of cash may not be adequate for its current and long-term needs.</w:t>
      </w:r>
    </w:p>
    <w:p>
      <w:pPr>
        <w:spacing w:after="0" w:line="256"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unforeseen charges related to possible future facility closures or restructurings.</w:t>
      </w:r>
    </w:p>
    <w:p>
      <w:pPr>
        <w:spacing w:after="0" w:line="256"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Company cannot provide assurance that there will not be facility closures or restructurings in the near or long-term, nor can it assure that it will not incur significant charges should there be any future facility closures or restructurings.</w:t>
      </w:r>
    </w:p>
    <w:p>
      <w:pPr>
        <w:spacing w:after="0" w:line="19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The Company operates in a highly competitive environment and, should it be unable to meet its customers’ requirements for product quality, timeliness of delivery or technical capabilities, its sales could be adversely affected.</w:t>
      </w:r>
    </w:p>
    <w:p>
      <w:pPr>
        <w:spacing w:after="0" w:line="193" w:lineRule="exact"/>
        <w:rPr>
          <w:sz w:val="20"/>
          <w:szCs w:val="20"/>
          <w:color w:val="auto"/>
        </w:rPr>
      </w:pPr>
    </w:p>
    <w:p>
      <w:pPr>
        <w:ind w:right="100" w:firstLine="259"/>
        <w:spacing w:after="0" w:line="269" w:lineRule="auto"/>
        <w:rPr>
          <w:sz w:val="20"/>
          <w:szCs w:val="20"/>
          <w:color w:val="auto"/>
        </w:rPr>
      </w:pPr>
      <w:r>
        <w:rPr>
          <w:rFonts w:ascii="Arial" w:cs="Arial" w:eastAsia="Arial" w:hAnsi="Arial"/>
          <w:sz w:val="17"/>
          <w:szCs w:val="17"/>
          <w:color w:val="auto"/>
        </w:rPr>
        <w:t>The photomask industry is highly competitive, and most of the Company's customers utilize more than one photomask supplier. The Company's competitors include Compugraphics International, Ltd., DNP (outside of Taiwan), Hoya Corporation, SK-Electronics Co., Ltd., Taiwan Mask Corporation and Toppan Printing Co., Ltd. The Company also competes with semiconductor manufacturers' captive photomask manufacturing operations, some of which market their photomask manufacturing services to outside customers. The Company expects to face continued competition from these and other suppliers in the future. Some of the Company's competitors have substantially greater financial, technical, sales, marketing or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competitive requirements could have a material adverse effect on its business and results of operations. In the past, competition led to pressure to reduce prices and the need to invest in advanced manufacturing technology which, the Company believes, contributed to the decrease in the number of independent photomask suppliers. These pressures may continue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6"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Sales from the Company’s international operations were approximately 75%, 77% and 70% of the Company's net sales in fiscal 2015, 2014 and 2013, respectively. The Company believes that maintaining significant international operations requires it to have, among other things, a local presence in the geographic markets that it supplies.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219"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19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the Company's results of operations, financial condition or cash flows.</w:t>
      </w:r>
    </w:p>
    <w:p>
      <w:pPr>
        <w:spacing w:after="0" w:line="193" w:lineRule="exact"/>
        <w:rPr>
          <w:sz w:val="20"/>
          <w:szCs w:val="20"/>
          <w:color w:val="auto"/>
        </w:rPr>
      </w:pPr>
    </w:p>
    <w:p>
      <w:pPr>
        <w:ind w:right="180" w:firstLine="259"/>
        <w:spacing w:after="0" w:line="273" w:lineRule="auto"/>
        <w:rPr>
          <w:sz w:val="20"/>
          <w:szCs w:val="20"/>
          <w:color w:val="auto"/>
        </w:rPr>
      </w:pPr>
      <w:r>
        <w:rPr>
          <w:rFonts w:ascii="Arial" w:cs="Arial" w:eastAsia="Arial" w:hAnsi="Arial"/>
          <w:sz w:val="17"/>
          <w:szCs w:val="17"/>
          <w:color w:val="auto"/>
        </w:rPr>
        <w:t>The Company's consolidated financial statements are prepared in accordance with accounting principles generally accepted in the United States of America (U.S. GAAP) and are reported in U.S. dollars. The Company's operations have transactions and balances denominated in currencies other than the U.S. dollar, primarily the Korean won, New Taiwan dollar, Japanese yen, Singapore dollar, euro, and the pound sterling. In fiscal 2015, the Company recorded a net gain from changes in foreign currency exchange rates of $2.5 million in its statement of income, while its net assets were decreased by $40.2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193"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The Company's success depends, in part, upon key managerial and technical personnel, as well as its ability to continue to attract and retain additional qualified personnel. The loss of certain key personnel could have a material adverse effect on the Company's business and results of operations. There can be no assurance that the Company can retain its key managerial, and technical employees, or that it can attract similar additional employees in the future.</w:t>
      </w:r>
    </w:p>
    <w:p>
      <w:pPr>
        <w:spacing w:after="0" w:line="17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4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252"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may be unprepared for changes to environmental laws and regulations and may incur liabilities arising from environmental matters.</w:t>
      </w:r>
    </w:p>
    <w:p>
      <w:pPr>
        <w:spacing w:after="0" w:line="27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214"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In addition, these laws and regulations may impose clean-up liabilities on current and former owners and operators of real property as well as parties who arrange for the disposal of hazardous substances at off-site locations owned or operated by others, without regard to fault, so that these liabilities may be joint and several with other parties. In the past, the Company has been involved in remediation activities related to its properties. The Company believes, based upon current information, that environmental liabilities relating to these activities or other matters are not material to its financial position or operations. However, there can be no assurances that the Company will not incur any material environmental liabilities in the future.</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193" w:lineRule="exact"/>
        <w:rPr>
          <w:sz w:val="20"/>
          <w:szCs w:val="20"/>
          <w:color w:val="auto"/>
        </w:rPr>
      </w:pPr>
    </w:p>
    <w:p>
      <w:pPr>
        <w:ind w:right="380" w:firstLine="259"/>
        <w:spacing w:after="0" w:line="302" w:lineRule="auto"/>
        <w:rPr>
          <w:sz w:val="20"/>
          <w:szCs w:val="20"/>
          <w:color w:val="auto"/>
        </w:rPr>
      </w:pPr>
      <w:r>
        <w:rPr>
          <w:rFonts w:ascii="Arial" w:cs="Arial" w:eastAsia="Arial" w:hAnsi="Arial"/>
          <w:sz w:val="16"/>
          <w:szCs w:val="16"/>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the Company's products and the loss of sales and customers, which could have a material adverse effect on the Company's financial position, results of operations, and cash flows. The Company's facilities in Taiwan are located in a seismically active area.</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193"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the Company or its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the Company's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6"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6"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markets,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and availability of raw materials, results of operations, cash flows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56"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Information technology systems of the Company may be vulnerable to a variety of interruptions due to events beyond its control including, but not limited to, natural disasters, terrorist attacks, telecommunications failures, computer viruses, hackers, and other security issues. The Company has technology and information security processes and disaster recovery plans in place to mitigate its risk to these vulnerabilities. However, these measures may not be adequate to ensure that its operations will not be disrupted, should such an event occur.</w:t>
      </w:r>
    </w:p>
    <w:p>
      <w:pPr>
        <w:spacing w:after="0" w:line="2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flows from its operations to pay its indebtedness.</w:t>
      </w:r>
    </w:p>
    <w:p>
      <w:pPr>
        <w:spacing w:after="0" w:line="193"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flows from operations in the future to both service its debt and make necessary capital expenditures. If the Company is unable to generate such cash flows, it may be required to adopt one or more alternatives, such as selling assets, restructuring debt or obtaining additional equity capital on terms that may be onerous or highly dilutive. The Company's ability to refinance its indebtedness would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2"/>
                <w:szCs w:val="22"/>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Interest</w:t>
            </w:r>
          </w:p>
        </w:tc>
        <w:tc>
          <w:tcPr>
            <w:tcW w:w="420" w:type="dxa"/>
            <w:vAlign w:val="bottom"/>
          </w:tcPr>
          <w:p>
            <w:pPr>
              <w:spacing w:after="0"/>
              <w:rPr>
                <w:sz w:val="22"/>
                <w:szCs w:val="22"/>
                <w:color w:val="auto"/>
              </w:rPr>
            </w:pPr>
          </w:p>
        </w:tc>
      </w:tr>
      <w:tr>
        <w:trPr>
          <w:trHeight w:val="418"/>
        </w:trPr>
        <w:tc>
          <w:tcPr>
            <w:tcW w:w="3300" w:type="dxa"/>
            <w:vAlign w:val="bottom"/>
            <w:gridSpan w:val="2"/>
          </w:tcPr>
          <w:p>
            <w:pPr>
              <w:spacing w:after="0"/>
              <w:rPr>
                <w:sz w:val="20"/>
                <w:szCs w:val="20"/>
                <w:color w:val="auto"/>
              </w:rPr>
            </w:pPr>
            <w:r>
              <w:rPr>
                <w:rFonts w:ascii="Arial" w:cs="Arial" w:eastAsia="Arial" w:hAnsi="Arial"/>
                <w:sz w:val="18"/>
                <w:szCs w:val="18"/>
                <w:color w:val="auto"/>
              </w:rPr>
              <w:t>Allen, Texas</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24"/>
                <w:szCs w:val="24"/>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Boise, Idaho</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Brookfield, Connecticut</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Bridgend, Wales</w:t>
            </w:r>
          </w:p>
        </w:tc>
        <w:tc>
          <w:tcPr>
            <w:tcW w:w="164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Cheonan, Korea</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Dresden, Germany</w:t>
            </w:r>
          </w:p>
        </w:tc>
        <w:tc>
          <w:tcPr>
            <w:tcW w:w="164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64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Taichung, Taiwan</w:t>
            </w:r>
          </w:p>
        </w:tc>
        <w:tc>
          <w:tcPr>
            <w:tcW w:w="164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 Company owns its manufacturing facility in Taichung and one of its manufacturing facilities in Hsinchu however, it leases the related land.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right="120" w:firstLine="259"/>
        <w:spacing w:after="0" w:line="277"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the business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ind w:right="100" w:firstLine="259"/>
        <w:spacing w:after="0" w:line="308" w:lineRule="auto"/>
        <w:rPr>
          <w:sz w:val="20"/>
          <w:szCs w:val="20"/>
          <w:color w:val="auto"/>
        </w:rPr>
      </w:pPr>
      <w:r>
        <w:rPr>
          <w:rFonts w:ascii="Arial" w:cs="Arial" w:eastAsia="Arial" w:hAnsi="Arial"/>
          <w:sz w:val="17"/>
          <w:szCs w:val="17"/>
          <w:color w:val="auto"/>
        </w:rPr>
        <w:t>The Common Stock of the Company is traded on the NASDAQ Global Select Market ("NASDAQ") under the symbol PLAB. The table below shows the range of high and low sale prices per share of each quarter for fiscal years 2015 and 2014, as reported by the NASDAQ Global Select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November 1, 2015:</w:t>
            </w:r>
          </w:p>
        </w:tc>
        <w:tc>
          <w:tcPr>
            <w:tcW w:w="2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Quarter Ended February 1, 2015</w:t>
            </w:r>
          </w:p>
        </w:tc>
        <w:tc>
          <w:tcPr>
            <w:tcW w:w="3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Quarter Ended May 3, 2015</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Quarter Ended August 2, 2015</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Quarter Ended November 1, 2015</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Fiscal Year Ended November 2, 2014:</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Quarter Ended February 2, 2014</w:t>
            </w:r>
          </w:p>
        </w:tc>
        <w:tc>
          <w:tcPr>
            <w:tcW w:w="3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Quarter Ended May 4, 2014</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Quarter Ended August 3, 2014</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Quarter Ended November 2, 2014</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20" w:firstLine="259"/>
        <w:spacing w:after="0" w:line="277" w:lineRule="auto"/>
        <w:rPr>
          <w:sz w:val="20"/>
          <w:szCs w:val="20"/>
          <w:color w:val="auto"/>
        </w:rPr>
      </w:pPr>
      <w:r>
        <w:rPr>
          <w:rFonts w:ascii="Arial" w:cs="Arial" w:eastAsia="Arial" w:hAnsi="Arial"/>
          <w:sz w:val="18"/>
          <w:szCs w:val="18"/>
          <w:color w:val="auto"/>
        </w:rPr>
        <w:t>On December 29, 2015, the closing sale price of the Common Stock per the NASDAQ Global Select Market was $12.92. Based on information available to the Company, the Company believes it has approximately 9,000 shareholders.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540" w:firstLine="259"/>
        <w:spacing w:after="0" w:line="277"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credit facility precludes it from paying cash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2016 definitive Proxy Statement into Item 12 of Part III of this report. The 2016 Proxy Statement will be filed within 120 days after the Company’s fiscal year ended November 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Annual Report on Form 10-K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80" w:type="dxa"/>
            <w:vAlign w:val="bottom"/>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92"/>
              </w:rPr>
              <w:t>November 1,</w:t>
            </w:r>
          </w:p>
        </w:tc>
        <w:tc>
          <w:tcPr>
            <w:tcW w:w="1600" w:type="dxa"/>
            <w:vAlign w:val="bottom"/>
            <w:gridSpan w:val="3"/>
          </w:tcPr>
          <w:p>
            <w:pPr>
              <w:jc w:val="right"/>
              <w:ind w:right="560"/>
              <w:spacing w:after="0" w:line="198" w:lineRule="exact"/>
              <w:rPr>
                <w:sz w:val="20"/>
                <w:szCs w:val="20"/>
                <w:color w:val="auto"/>
              </w:rPr>
            </w:pPr>
            <w:r>
              <w:rPr>
                <w:rFonts w:ascii="Arial" w:cs="Arial" w:eastAsia="Arial" w:hAnsi="Arial"/>
                <w:sz w:val="18"/>
                <w:szCs w:val="18"/>
                <w:b w:val="1"/>
                <w:bCs w:val="1"/>
                <w:color w:val="auto"/>
                <w:w w:val="94"/>
              </w:rPr>
              <w:t>November 2,</w:t>
            </w:r>
          </w:p>
        </w:tc>
        <w:tc>
          <w:tcPr>
            <w:tcW w:w="146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560" w:type="dxa"/>
            <w:vAlign w:val="bottom"/>
            <w:gridSpan w:val="3"/>
          </w:tcPr>
          <w:p>
            <w:pPr>
              <w:jc w:val="center"/>
              <w:ind w:right="50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October 30,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524,206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455,527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422,180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450,439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(381,070)</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(355,181)</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(322,540)</w:t>
            </w: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(338,519)</w:t>
            </w: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(375,806)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(48,983)</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(49,638)(b)</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(48,213)(d)</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(46,706)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(21,920)</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(21,913)</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(20,758)</w:t>
            </w: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(19,371)</w:t>
            </w: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Consolidation, restructuring and related charges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(1,428)(e)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28,795</w:t>
            </w: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30,669</w:t>
            </w:r>
          </w:p>
        </w:tc>
        <w:tc>
          <w:tcPr>
            <w:tcW w:w="2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44,415</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75,467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acquisition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16,372(c)</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(4,990)</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(7,756)</w:t>
            </w: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(7,488)</w:t>
            </w: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2,797(a)</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3,721(f)</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2,949(g)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Debt extinguishment loss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(35,259)(h)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70,040</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41,330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26,805</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40,648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(13,181)</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(9,295)</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(7,229)</w:t>
            </w: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(10,793)</w:t>
            </w: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56,859(a)</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32,035(b)(c)</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19,576(d)</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29,855(e)(f)</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20,208(g)(h)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w w:val="95"/>
              </w:rPr>
              <w:t>Net income attributable to noncontrolling interests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(12,234)</w:t>
            </w:r>
          </w:p>
        </w:tc>
        <w:tc>
          <w:tcPr>
            <w:tcW w:w="22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(1,610)</w:t>
            </w:r>
          </w:p>
        </w:tc>
        <w:tc>
          <w:tcPr>
            <w:tcW w:w="22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(1,987)</w:t>
            </w:r>
          </w:p>
        </w:tc>
        <w:tc>
          <w:tcPr>
            <w:tcW w:w="2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Photronics, Inc. shareholders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44,625(a)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25,996(b)(c)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17,966(d)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27,868(e)(f)</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16,229(g)(h)</w:t>
            </w:r>
          </w:p>
        </w:tc>
        <w:tc>
          <w:tcPr>
            <w:tcW w:w="0" w:type="dxa"/>
            <w:vAlign w:val="bottom"/>
          </w:tcPr>
          <w:p>
            <w:pPr>
              <w:spacing w:after="0"/>
              <w:rPr>
                <w:sz w:val="1"/>
                <w:szCs w:val="1"/>
                <w:color w:val="auto"/>
              </w:rPr>
            </w:pPr>
          </w:p>
        </w:tc>
      </w:tr>
      <w:tr>
        <w:trPr>
          <w:trHeight w:val="21"/>
        </w:trPr>
        <w:tc>
          <w:tcPr>
            <w:tcW w:w="39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0.67(a)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0.42(b)(c)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0.30(d)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0.46(e)(f)</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0.28(g)(h)</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0.41(b)(c)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0.44(e)(f)</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0.28(g)(h)</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66,331</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61,779</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60,644</w:t>
            </w:r>
          </w:p>
        </w:tc>
        <w:tc>
          <w:tcPr>
            <w:tcW w:w="22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60,055</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66,679</w:t>
            </w: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61,599</w:t>
            </w:r>
          </w:p>
        </w:tc>
        <w:tc>
          <w:tcPr>
            <w:tcW w:w="2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76,464</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58,458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34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3,</w:t>
            </w: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547,284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550,069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422,740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380,808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368,680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1,045,555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1,029,183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885,929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849,234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817,854</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67,120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131,805</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182,203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168,956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152,577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646,555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628,050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585,314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551,386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511,047</w:t>
            </w:r>
          </w:p>
        </w:tc>
      </w:tr>
    </w:tbl>
    <w:p>
      <w:pPr>
        <w:spacing w:after="0" w:line="2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$0.9 million of financing expenses related to the exchange of $57.5 million of 3.25% convertible senior notes.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$2.5 million, net of tax, of expenses related to the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gain of $16.4 million, net of tax, on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$0.8 million, net of tax, of expenses related to the acquisition of DPTT.</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$1.4 million in connection with the discontinuance of manufacturing operations at the Company's Singapore facility.</w:t>
      </w:r>
    </w:p>
    <w:p>
      <w:pPr>
        <w:ind w:left="340" w:right="1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gain of $0.1 million in connection with subsequent measurement at fair value of warrants issued to purchase the Company’s common stock.</w:t>
      </w:r>
    </w:p>
    <w:p>
      <w:pPr>
        <w:ind w:left="340" w:right="6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non-cash charge of $0.4 million in connection with subsequent measurement at fair value of warrants issued to purchase the Company’s common stock.</w:t>
      </w:r>
    </w:p>
    <w:p>
      <w:pPr>
        <w:ind w:left="340" w:right="2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losses recorded in connection with the acquisition of $35.4 million face amount of the Company’s 5.5% convertible senior notes, in exchange for 5.2 million shares of its common stock and cash of $22.9 million.</w:t>
      </w:r>
    </w:p>
    <w:p>
      <w:pPr>
        <w:spacing w:after="0" w:line="207" w:lineRule="exact"/>
        <w:rPr>
          <w:sz w:val="20"/>
          <w:szCs w:val="20"/>
          <w:color w:val="auto"/>
        </w:rPr>
      </w:pPr>
    </w:p>
    <w:p>
      <w:pPr>
        <w:ind w:right="1360"/>
        <w:spacing w:after="0" w:line="65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November 1, 2015, November 2, 2014 and November 3, 2013 Overview</w:t>
      </w:r>
    </w:p>
    <w:p>
      <w:pPr>
        <w:spacing w:after="0" w:line="259"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they relate to the semiconductor industry's migration to more advanced product innovation,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ind w:right="320" w:firstLine="259"/>
        <w:spacing w:after="0" w:line="308" w:lineRule="auto"/>
        <w:rPr>
          <w:sz w:val="20"/>
          <w:szCs w:val="20"/>
          <w:color w:val="auto"/>
        </w:rPr>
      </w:pPr>
      <w:r>
        <w:rPr>
          <w:rFonts w:ascii="Arial" w:cs="Arial" w:eastAsia="Arial" w:hAnsi="Arial"/>
          <w:sz w:val="17"/>
          <w:szCs w:val="17"/>
          <w:color w:val="auto"/>
        </w:rPr>
        <w:t>The Company is typically required to fulfill its customer orders within a short period of time, sometimes within 24 hours. This results in the Company having a minimal level of backlog orders, typically one to two weeks for IC photomasks and two to three weeks for FPD photomasks.</w:t>
      </w:r>
    </w:p>
    <w:p>
      <w:pPr>
        <w:spacing w:after="0" w:line="174" w:lineRule="exact"/>
        <w:rPr>
          <w:sz w:val="20"/>
          <w:szCs w:val="20"/>
          <w:color w:val="auto"/>
        </w:rPr>
      </w:pPr>
    </w:p>
    <w:p>
      <w:pPr>
        <w:ind w:right="740" w:firstLine="259"/>
        <w:spacing w:after="0" w:line="308" w:lineRule="auto"/>
        <w:rPr>
          <w:sz w:val="20"/>
          <w:szCs w:val="20"/>
          <w:color w:val="auto"/>
        </w:rPr>
      </w:pPr>
      <w:r>
        <w:rPr>
          <w:rFonts w:ascii="Arial" w:cs="Arial" w:eastAsia="Arial" w:hAnsi="Arial"/>
          <w:sz w:val="17"/>
          <w:szCs w:val="17"/>
          <w:color w:val="auto"/>
        </w:rPr>
        <w:t>The global semiconductor industry, including mobile display devices, is driven by end markets which have been closely tied to consumer driven applications of high performance semiconductor devices including, but not limited to, mobile communications and computing solutions.</w:t>
      </w:r>
    </w:p>
    <w:p>
      <w:pPr>
        <w:spacing w:after="0" w:line="17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its achieving its goals of being a service and technology leader and efficient solutions supplier, which it believes should enable it to continually reinvest in its global infrastructure.</w:t>
      </w:r>
    </w:p>
    <w:p>
      <w:pPr>
        <w:spacing w:after="0" w:line="215"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The Company is focused on improving its competitiveness by advancing its technology and reducing costs and, in connection therewith, has invested and plans to continue to invest in manufacturing equipment to serve the high-end market. As the Company continues to face challenges in the current and near term that require it to continue to make significant improvements in its competitiveness, it continues to evaluate further cost reduction initiatives.</w:t>
      </w:r>
    </w:p>
    <w:p>
      <w:pPr>
        <w:spacing w:after="0" w:line="174"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As of December 2015 state-of-the-art production for semiconductor masks is considered to be 45 nanometer and lower for ICs and Generation 8 and above and AMOLED display based process technologies for FPDs. However, 65 nanometer and above geometries for semiconductors and Generation 7 and below, excluding AMOLED, process technologies for FPDs constitute the majority of designs currently being fabricated in volume. At these geometries, the Company can produce full lines of photomasks and there is no significant technology employed by the Company's competitors that is not available to the Company. The Company expects 45 nanometer and below designs to continue to move to wafer fabrication throughout fiscal 2016, and believes it is well positioned to service an increasing volume of this business as a result of its investments in manufacturing processes and technology in the global regions where its customers are located.</w:t>
      </w:r>
    </w:p>
    <w:p>
      <w:pPr>
        <w:spacing w:after="0" w:line="216"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or the use of certain chip 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2015, one alternative method, direct-write lithography, has not been proven to be a commercially viable alternative to photomasks, as it is considered too slow for high volume semiconductor wafer production, and the Company has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the Company does not anticipate, respond to, or utilize these or other changing technologies due to resource, technological or other constraints, its business and results of operations could be materially adversely affected.</w:t>
      </w:r>
    </w:p>
    <w:p>
      <w:pPr>
        <w:spacing w:after="0" w:line="212"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Both revenues and costs have been affected by the increased demand for high-end technology photomasks that require more advanced manufacturing capabilities, but generally command higher average selling prices ("ASPs"). The Company's capital expenditure payments aggregated approximately $259 million for the three fiscal years ended November 1, 2015, which has significantly contributed to the Company’s operating expenses. The Company intends to continue to make the required investments to support the technological demands of its customers and position itself for future growth, and expects capital expenditure payments to be between $50 million and $75 million in fiscal 2016.</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160" w:firstLine="259"/>
        <w:spacing w:after="0" w:line="257"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nine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215" w:lineRule="exact"/>
        <w:rPr>
          <w:sz w:val="20"/>
          <w:szCs w:val="20"/>
          <w:color w:val="auto"/>
        </w:rPr>
      </w:pPr>
    </w:p>
    <w:p>
      <w:pPr>
        <w:jc w:val="both"/>
        <w:ind w:firstLine="259"/>
        <w:spacing w:after="0" w:line="270" w:lineRule="auto"/>
        <w:rPr>
          <w:sz w:val="20"/>
          <w:szCs w:val="20"/>
          <w:color w:val="auto"/>
        </w:rPr>
      </w:pPr>
      <w:r>
        <w:rPr>
          <w:rFonts w:ascii="Arial" w:cs="Arial" w:eastAsia="Arial" w:hAnsi="Arial"/>
          <w:sz w:val="17"/>
          <w:szCs w:val="17"/>
          <w:color w:val="auto"/>
        </w:rPr>
        <w:t>In the second quarter of fiscal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September 3, 2015,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The technology license agreement commenced in March 2015 and continues through the earlier of one year from the termination of the initial technology license agreement, which will occur on May 5, 2016, or when Micron certifies that it has transferred certain defined technology to the Company. The Company forevermore has the rights to use the technology obtained under these technology license agreements.</w:t>
      </w:r>
    </w:p>
    <w:p>
      <w:pPr>
        <w:spacing w:after="0" w:line="209"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In the first quarter of fiscal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2"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In the second quarter of fiscal 2014 the Company acquired DPTT in a non-cash transaction that resulted in the Company owning 50.01% and DNP owning 49.99% of PDMC, whose financial results are included in the Company’s consolidated financial statements. PDMC has generated sufficient cash flows to fund its operating and capital requirements. See Note 2 of the consolidated financial statements for more information.</w:t>
      </w:r>
    </w:p>
    <w:p>
      <w:pPr>
        <w:spacing w:after="0" w:line="166"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In the fourth quarter of fiscal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November 1, 2015. The Company had no outstanding borrowings against the credit facility at November 1, 2015, and $50 million was available for borrowing. The interest rate on the credit facility (1.44% at November 1, 2015) is based on the Company’s total leverage ratio at LIBOR plus a spread, as defined in the credit facility.</w:t>
      </w:r>
    </w:p>
    <w:p>
      <w:pPr>
        <w:spacing w:after="0" w:line="205" w:lineRule="exact"/>
        <w:rPr>
          <w:sz w:val="20"/>
          <w:szCs w:val="20"/>
          <w:color w:val="auto"/>
        </w:rPr>
      </w:pPr>
    </w:p>
    <w:p>
      <w:pPr>
        <w:ind w:right="300" w:firstLine="259"/>
        <w:spacing w:after="0" w:line="276" w:lineRule="auto"/>
        <w:rPr>
          <w:sz w:val="20"/>
          <w:szCs w:val="20"/>
          <w:color w:val="auto"/>
        </w:rPr>
      </w:pPr>
      <w:r>
        <w:rPr>
          <w:rFonts w:ascii="Arial" w:cs="Arial" w:eastAsia="Arial" w:hAnsi="Arial"/>
          <w:sz w:val="17"/>
          <w:szCs w:val="17"/>
          <w:color w:val="auto"/>
        </w:rPr>
        <w:t>In the fourth quarter of fiscal 2013 a $26.4 million principal amount, five year capital lease commenced to fund the purchase of a high-end lithography tool.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1, 2015, the total amount payable through the end of the lease term was $16.0 million, of which $15.3 million represents principal and $0.7 million represents interest.</w:t>
      </w:r>
    </w:p>
    <w:p>
      <w:pPr>
        <w:spacing w:after="0" w:line="20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 the third quarter of fiscal 2013 the Company completed a tender offer for shares of PSMC. A total of 50.3 million shares were tendered at the offering price of 16.30 NTD (equivalent to a total of $27.4 million), which increased the Company’s ownership interest in PSMC from 75.11% to 98.13%. In the fourth quarter of fiscal 2013 the Company further increased its ownership interest in PSMC to 98.63% with the purchase of an additional 1.1 million shares of PSMC for $0.7 million, and in the first quarter of fiscal 2014 the Company acquired all of the 3.0 million shares that were then held by noncontrolling interests at a cost of $1.7 million. In April 2014 PSMC merged with DPTT to form PDMC.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380" w:firstLine="259"/>
        <w:spacing w:after="0" w:line="264" w:lineRule="auto"/>
        <w:rPr>
          <w:sz w:val="20"/>
          <w:szCs w:val="20"/>
          <w:color w:val="auto"/>
        </w:rPr>
      </w:pPr>
      <w:r>
        <w:rPr>
          <w:rFonts w:ascii="Arial" w:cs="Arial" w:eastAsia="Arial" w:hAnsi="Arial"/>
          <w:sz w:val="18"/>
          <w:szCs w:val="18"/>
          <w:color w:val="auto"/>
        </w:rPr>
        <w:t>In the first quarter of fiscal 2013 PSMC completed a stock repurchase plan that had been authorized by its board of directors in fiscal 2012. The completion of this repurchase plan resulted in the Company acquiring an additional 9.2 million shares at a cost $4.2 million, and increasing its ownership percentage in PSMC from 72.09% at October 28, 2012 to 75.11% as of January 27,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4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November 1,</w:t>
            </w: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(78.0)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November 1, 2015 (2015), November 2, 2014 (2014) and November 3, 2013 (2013),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2014 to 2015</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2013 to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259"/>
        <w:spacing w:after="0" w:line="285" w:lineRule="auto"/>
        <w:rPr>
          <w:sz w:val="20"/>
          <w:szCs w:val="20"/>
          <w:color w:val="auto"/>
        </w:rPr>
      </w:pPr>
      <w:r>
        <w:rPr>
          <w:rFonts w:ascii="Arial" w:cs="Arial" w:eastAsia="Arial" w:hAnsi="Arial"/>
          <w:sz w:val="16"/>
          <w:szCs w:val="16"/>
          <w:color w:val="auto"/>
        </w:rPr>
        <w:t>Net sales for 2015 increased 15.1% as compared with 2014. The increase was primarily a result of a full year impact of the acquisition of DPTT and increased high-end IC sales. High-end IC sales increased by $62.9 million to $166.9 million in 2015 as a result of increased high-end memory and logic demand, and high-end FPD sales increased by $4.5 million to $70.9 million in 2015. High-end photomasks, which typically have higher ASPs, include photomask sets for IC products using 45 nanometer and below technologies, and for FPD products using Generation 8 and above and AMOLED technologies. By geographic area, net sales in 2015 as compared with 2014 increased (decreased) by $38.1 million or 22.8% in Taiwan, by $7.5 million or</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5.4% in Korea, by $26.1 million or 24.4% in the United States and by $(2.9) million or (7.6)% in Europe. As a percent of total sales in 2015, sales were 39% in Taiwan, 28% in Korea, 25% in the United States, 7% in Europe, and 1% at other international locations.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40" w:firstLine="259"/>
        <w:spacing w:after="0" w:line="271" w:lineRule="auto"/>
        <w:rPr>
          <w:sz w:val="20"/>
          <w:szCs w:val="20"/>
          <w:color w:val="auto"/>
        </w:rPr>
      </w:pPr>
      <w:r>
        <w:rPr>
          <w:rFonts w:ascii="Arial" w:cs="Arial" w:eastAsia="Arial" w:hAnsi="Arial"/>
          <w:sz w:val="17"/>
          <w:szCs w:val="17"/>
          <w:color w:val="auto"/>
        </w:rPr>
        <w:t>Net sales for 2014 increased 7.9% to $455.5 million as compared with $422.2 million for 2013. The increase of $33.3 million was primarily related to increased IC sales of $32.1 million, principally associated with the acquisition of DPTT in Taiwan, as discussed in Note 2 to the consolidated financial statements. High-end IC sales increased $24.1 million to $104 million, principally related to increased units from Asian foundry business in Taiwan and Korea. Total IC sales increased by $32.1 million or 10.0% in 2014 as compared with 2013, primarily due to the increased sales in Taiwan. Total FPD sales increased by $1.2 million or 1.2% in 2014 as compared with 2013, primarily due to increased sales of mature units. By geographic area, net sales in 2014 as compared with 2013 increased (decreased) by $6.1 million or 4.5% in Korea, by $(20.3) million or (16.0)% in the United States, by $49.7 million or 42.4% in Taiwan, by $(2.4) million or (5.8)% in Europe and by $0.2 million at other international locations. As a percent of total sales in 2014, sales were 31% in Korea, 23% in the United States, 37% in Taiwan, 8% in Europe, and 1% at other international locations.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2014 to 2015</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2013 to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99.6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Gross margin %</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Gross profit and gross margin increased in 2015 compared with 2014, primarily due to increased high-end IC sales and reduced manufacturing costs. Gross margin decreased in 2014 compared with 2013 primarily due to increased equipment costs, including depreciation expense associated with additional high-end equipment. The Company operates in a high fixed cost environment and, to the extent that the Company's revenues and utilization increase or decrease, gross margin will generally be positively or negatively impacted.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2014 to 2015</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2013 to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49.0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48.2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of net sales</w:t>
            </w:r>
          </w:p>
        </w:tc>
        <w:tc>
          <w:tcPr>
            <w:tcW w:w="7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w w:val="97"/>
              </w:rPr>
              <w:t>10.9%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11.4%</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Selling, general and administrative expenses decreased by $0.6 million in 2015, as compared with 2014, primarily due to expenses incurred in 2014 related to the acquisition of DPTT, offset in part by increased compensation and benefits expenses. Selling, general and administrative expenses increased by $1.4 million in 2014, as compared with 2013, primarily as a result of increased expenses related to the acquisition of DPTT.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3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2014 to 2015</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2013 to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20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21.9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 of net sales</w:t>
            </w: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Research and development expenses were $21.9 million in 2015 and 2014, and increased $1.1 million in 2014 from $20.8 million in 2013, primarily due to increased activities at advanced technology nodes for IC photomask applications.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Interest expense decreased in 2015 as compared with 2014, primarily as a result of reduced average outstanding borrowings during the year. Interest and other income (expense), net decreased in 2015 as compared with 2014, primarily as a result of financing expenses incurred related to the exchange of convertible notes and reduced interest income, which were offset in part by increased foreign currency gains.</w:t>
      </w:r>
    </w:p>
    <w:p>
      <w:pPr>
        <w:spacing w:after="0" w:line="193"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April 2014 DNP Photomask Technology Taiwan Co., Ltd., a wholly owned subsidiary of DNP, merged into PSMC and operates under the name of Photronics DNP Mask Corporation. The acquisition resulted in the Company recording a gain of $16.4 million in the second quarter of fiscal 2014. See Note 2 of the consolidated financial statements for more information.</w:t>
      </w:r>
    </w:p>
    <w:p>
      <w:pPr>
        <w:spacing w:after="0" w:line="208"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Interest expense decreased in 2014 as compared with 2013, primarily as a result of reduced outstanding borrowing balances. Interest and other income (expense), net decreased in 2014 as compared with 2013, primarily as a result of reduced interest income, offset in part by increased foreign currency exchange gains.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effective tax rate differs from the U.S. statutory rate of 35% in fiscal years 2015, 2014 and 2013 primarily due to earnings, including the fiscal year 2014 DPTT Acquisition gain, being taxed at lower statutory rates in foreign jurisdictions, the benefit of various investment credits claimed in a foreign jurisdiction as well as valuation allowances in jurisdictions with historic and continuing losses.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60" w:firstLine="259"/>
        <w:spacing w:after="0" w:line="272" w:lineRule="auto"/>
        <w:rPr>
          <w:sz w:val="20"/>
          <w:szCs w:val="20"/>
          <w:color w:val="auto"/>
        </w:rPr>
      </w:pPr>
      <w:r>
        <w:rPr>
          <w:rFonts w:ascii="Arial" w:cs="Arial" w:eastAsia="Arial" w:hAnsi="Arial"/>
          <w:sz w:val="17"/>
          <w:szCs w:val="17"/>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it reduces its deferred tax assets by a valuation allowance. As a result of these considerations, including any changes in its deferred tax liability, the valuation allowance was increased (decreased) by ($10.8 million), ($7.1 million) and $1.1 million as of the end of the fiscal years 2015, 2014 and 2013, respectively. During fiscal year 2015, the Company determined that sufficient positive evidence existed in two foreign jurisdictions that it was more likely than not that additional deferred taxes of $2.4 million were realizable and, accordingly, reduced their related valuation allowances. The Company also regularly assesses the potential outcomes of ongoing and future tax examinations and, accordingly, has recorded accruals for such contingencies.</w:t>
      </w:r>
    </w:p>
    <w:p>
      <w:pPr>
        <w:spacing w:after="0" w:line="205" w:lineRule="exact"/>
        <w:rPr>
          <w:sz w:val="20"/>
          <w:szCs w:val="20"/>
          <w:color w:val="auto"/>
        </w:rPr>
      </w:pPr>
    </w:p>
    <w:p>
      <w:pPr>
        <w:ind w:right="240" w:firstLine="259"/>
        <w:spacing w:after="0" w:line="259" w:lineRule="auto"/>
        <w:rPr>
          <w:sz w:val="20"/>
          <w:szCs w:val="20"/>
          <w:color w:val="auto"/>
        </w:rPr>
      </w:pPr>
      <w:r>
        <w:rPr>
          <w:rFonts w:ascii="Arial" w:cs="Arial" w:eastAsia="Arial" w:hAnsi="Arial"/>
          <w:sz w:val="18"/>
          <w:szCs w:val="18"/>
          <w:color w:val="auto"/>
        </w:rPr>
        <w:t>PKLT, the Company's FPD manufacturing facility in Taiwan, has been accorded a tax holiday which commenced in 2012 and expires in 2017. The availability of this tax holiday did not have a significant impact on the Company's decision to increase its Asian presence, which was in response to fundamental changes that took place in the semiconductor industry that the Company serves. This tax holiday had no dollar or per share effect on the 2015, 2014 and 2013 fiscal years.</w:t>
      </w:r>
    </w:p>
    <w:p>
      <w:pPr>
        <w:spacing w:after="0" w:line="214"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PDMC acquired an IC manufacturing facility in Taiwan as a result of the DPTT Acquisition that has been accorded a tax holiday, which commenced in 2015 and expires in 2019. The availability of this tax holiday did not have a significant impact on the Company's decision to enter into the DPTT Acquisition and increase its Asian presence. The Company realized a $0.2 million tax benefit from the PDMC tax holiday in 2015. The tax holiday had no per share effect in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right="120" w:firstLine="259"/>
        <w:spacing w:after="0" w:line="302" w:lineRule="auto"/>
        <w:rPr>
          <w:sz w:val="20"/>
          <w:szCs w:val="20"/>
          <w:color w:val="auto"/>
        </w:rPr>
      </w:pPr>
      <w:r>
        <w:rPr>
          <w:rFonts w:ascii="Arial" w:cs="Arial" w:eastAsia="Arial" w:hAnsi="Arial"/>
          <w:sz w:val="16"/>
          <w:szCs w:val="16"/>
          <w:color w:val="auto"/>
        </w:rPr>
        <w:t>Net income attributable to noncontrolling interests increased $6.2 million to $12.2 million in 2015, as compared with $6.0 million in 2014, and increased $4.4 million to $6.0 million in 2014, as compared with $1.6 million in 2013, primarily as a result of changes in the ownership structure of the Company’s IC manufacturing facility located in Taiwan and increased net income at that facility. During 2014, the Company exchanged a 49.99% noncontrolling interest in this subsidiary in return for the net assets of an acquiree. See Notes 2 and 13 of the consolidated financial statements for further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November 1,</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6"/>
              </w:rPr>
              <w:t>(in millions)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November 1, 2015, the Company had cash and cash equivalents of $205.9 million compared with $192.9 million as of November 2, 2014.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working capital decreased $26.0 million to $171.4 million at November 1, 2015, as compared with $197.4 million at November 2, 2014.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cash in 2015 was primarily related to increased cash generated from operating activities, while the decrease in working capital was the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$57.5 million 3.25% convertible senior notes due in April 2016 classified as a current liability at November 1, 2015, and as a long-term liability at November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2014. The Company may use its cash available on hand for operations, capital expenditures, debt repayments, strategic opportunities, stock repurchases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uses, any of which may be material.</w:t>
      </w:r>
    </w:p>
    <w:p>
      <w:pPr>
        <w:spacing w:after="0" w:line="238"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As of November 2, 2014, the Company had cash and cash equivalents of $192.9 million compared with $215.6 million as of November 3, 2013. The Company's working capital decreased $16.5 million to $197.4 million at November 2, 2014, as compared with $213.9 million at November 3, 2013. The decrease in cash and working capital in 2014 was primarily related to the repayment of a term loan outstanding balance of $21.3 million in December 2013.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firstLine="259"/>
        <w:spacing w:after="0" w:line="257" w:lineRule="auto"/>
        <w:rPr>
          <w:sz w:val="20"/>
          <w:szCs w:val="20"/>
          <w:color w:val="auto"/>
        </w:rPr>
      </w:pPr>
      <w:r>
        <w:rPr>
          <w:rFonts w:ascii="Arial" w:cs="Arial" w:eastAsia="Arial" w:hAnsi="Arial"/>
          <w:sz w:val="18"/>
          <w:szCs w:val="18"/>
          <w:color w:val="auto"/>
        </w:rPr>
        <w:t>As of November 1, 2015 and November 2, 2014, the Company’s total cash and cash equivalents include $102.9 million and $105.9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Net cash provided by operating activities increased to $133.2 million in fiscal 2015, as compared with $96.4 million in fiscal 2014, primarily due to increased net income in 2015, excluding the 2014 noncash gain on the acquisition of DPTT. Net cash provided by operating activities decreased to $96.4 million in fiscal 2014, as compared with $99.4 million in fiscal 2013, primarily due to reduced net income in 2014, less a noncash gain on the acquisition of DPTT discussed in Note 2 to the consolidated financial statements. Net cash provided by operating activities decreased to $99.4 million in fiscal 2013, as compared with $132.5 million in fiscal 2012, primarily due to reduced year-over-year net income and depreciation and amortization, and less cash generated from accounts receivable in 2013 than in 2012.</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cash used in investing activities in fiscal 2015 increased to $104.3 million, as compared with $87.5 million in 2014, and in fiscal 2014 increased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$87.5 million, as compared with $66.2 million in 2013, primarily due to increased capital expenditure payments. Net cash used in investing activities in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decreased to $66.2 million, as compared with $111.9 million in 2012, primarily due to less capital expenditure payments in 2013, and also due to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investments being made in the MP Mask joint venture in 2013, whereas $13.4 million was invested in 2012. Capital expenditure payments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2014, and 2013 fiscal years were $104.0 million, $91.1 million and $63.8 million, respectively. The Company expects capital expenditure payments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2016 to range between $50 million and $75 million, primarily related to investment in high-end IC manufacturing capability.</w:t>
      </w:r>
    </w:p>
    <w:p>
      <w:pPr>
        <w:spacing w:after="0" w:line="23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Net cash used in financing activities was $7.1 million in fiscal 2015, which was primarily comprised of repayments of borrowings offset, in part, by proceeds from share-based arrangements. Net cash used in financing activities was $29.5 million in fiscal 2014, primarily comprised of repayments of borrowings, and was $39.8 million in fiscal 2013 primarily comprised of payments to purchase common stock of a subsidiary and repayments of borrowings. In fiscal 2014 the Company repaid a term loan with an outstanding balance of $21.3 million.</w:t>
      </w:r>
    </w:p>
    <w:p>
      <w:pPr>
        <w:spacing w:after="0" w:line="214" w:lineRule="exact"/>
        <w:rPr>
          <w:sz w:val="20"/>
          <w:szCs w:val="20"/>
          <w:color w:val="auto"/>
        </w:rPr>
      </w:pPr>
    </w:p>
    <w:p>
      <w:pPr>
        <w:ind w:right="80" w:firstLine="259"/>
        <w:spacing w:after="0" w:line="270" w:lineRule="auto"/>
        <w:rPr>
          <w:sz w:val="20"/>
          <w:szCs w:val="20"/>
          <w:color w:val="auto"/>
        </w:rPr>
      </w:pPr>
      <w:r>
        <w:rPr>
          <w:rFonts w:ascii="Arial" w:cs="Arial" w:eastAsia="Arial" w:hAnsi="Arial"/>
          <w:sz w:val="17"/>
          <w:szCs w:val="17"/>
          <w:color w:val="auto"/>
        </w:rPr>
        <w:t>In March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September 3, 2015,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The technology license agreement commenced in March 2015 and continues through the earlier of one year from the termination of the initial technology license agreement, which will occur on May 5, 2016, or when Micron certifies that it has transferred certain defined technology to the Company. The Company forevermore has the rights to use the technology obtained under these technology license agreements.</w:t>
      </w:r>
    </w:p>
    <w:p>
      <w:pPr>
        <w:spacing w:after="0" w:line="209"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right="360" w:firstLine="259"/>
        <w:spacing w:after="0" w:line="277" w:lineRule="auto"/>
        <w:rPr>
          <w:sz w:val="20"/>
          <w:szCs w:val="20"/>
          <w:color w:val="auto"/>
        </w:rPr>
      </w:pPr>
      <w:r>
        <w:rPr>
          <w:rFonts w:ascii="Arial" w:cs="Arial" w:eastAsia="Arial" w:hAnsi="Arial"/>
          <w:sz w:val="18"/>
          <w:szCs w:val="18"/>
          <w:color w:val="auto"/>
        </w:rPr>
        <w:t>In October 2014, in a non-cash transaction, the Company issued 4.3 million shares of its common stock in exchange for the fully matured, remaining outstanding $22.1 million principal amount 5.5% convertible senior notes, which were issued in September 2009.</w:t>
      </w:r>
    </w:p>
    <w:p>
      <w:pPr>
        <w:spacing w:after="0" w:line="197"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April 2014 the Company acquired DPTT in a non-cash transaction that resulted in the Company owning 50.01% and DNP owning 49.99% of PDMC, whose financial results are included in the Company’s consolidated financial statements. PDMC has generated sufficient cash flows to fund its operating and capital requirements. See Note 2 of the consolidated financial statements for more information.</w:t>
      </w:r>
    </w:p>
    <w:p>
      <w:pPr>
        <w:spacing w:after="0" w:line="208"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In August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minimum interest coverage, total leverage ratio and minimum unrestricted cash balance financial covenants, all of which the Company was in compliance with at November 1, 2015. The Company had no outstanding borrowings against the credit facility at November 1, 2015, and $50 million was available for borrowing. The interest rate on the credit facility (1.44% at November 1, 2015) is based on the Company’s total leverage ratio at LIBOR plus a spread, as defined in the credit facility.</w:t>
      </w:r>
    </w:p>
    <w:p>
      <w:pPr>
        <w:spacing w:after="0" w:line="205" w:lineRule="exact"/>
        <w:rPr>
          <w:sz w:val="20"/>
          <w:szCs w:val="20"/>
          <w:color w:val="auto"/>
        </w:rPr>
      </w:pPr>
    </w:p>
    <w:p>
      <w:pPr>
        <w:ind w:right="420" w:firstLine="259"/>
        <w:spacing w:after="0" w:line="286" w:lineRule="auto"/>
        <w:rPr>
          <w:sz w:val="20"/>
          <w:szCs w:val="20"/>
          <w:color w:val="auto"/>
        </w:rPr>
      </w:pPr>
      <w:r>
        <w:rPr>
          <w:rFonts w:ascii="Arial" w:cs="Arial" w:eastAsia="Arial" w:hAnsi="Arial"/>
          <w:sz w:val="17"/>
          <w:szCs w:val="17"/>
          <w:color w:val="auto"/>
        </w:rPr>
        <w:t>In December 2013 the Company repaid the $21.3 million outstanding balance of a term loan that it entered into in February 2012 to partially fund its purchase from Micron of the US nanoFab facility in Boise, Idaho, which it previously held under an operating lease. As a result of this purchase, the Company’s operating lease commitments were reduced by a combined total of $15 million in fiscal years 2013 and 2014.</w:t>
      </w:r>
    </w:p>
    <w:p>
      <w:pPr>
        <w:spacing w:after="0" w:line="193"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 June 2013 the Company completed a tender offer for shares of PSMC, a former subsidiary of the Company. A total of 50.3 million shares were tendered at the offering price of 16.30 NTD, equivalent to a total of $27.4 million. In September 2013 the Company purchased an additional 1.1 million shares of PSMC for $0.7 million, and in January 2014 the Company acquired all of the 3.0 million shares that were then held by noncontrolling interests at a cost of $1.7 million. In April 2014 PSMC merged with DPTT to form PDMC.</w:t>
      </w:r>
    </w:p>
    <w:p>
      <w:pPr>
        <w:spacing w:after="0" w:line="214"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20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1, 2015, the total amount payable through the end of the lease term was $16.0 million, of which $15.3 million represents principal and $0.7 million represents interest.</w:t>
      </w:r>
    </w:p>
    <w:p>
      <w:pPr>
        <w:spacing w:after="0" w:line="215" w:lineRule="exact"/>
        <w:rPr>
          <w:sz w:val="20"/>
          <w:szCs w:val="20"/>
          <w:color w:val="auto"/>
        </w:rPr>
      </w:pPr>
    </w:p>
    <w:p>
      <w:pPr>
        <w:ind w:right="160" w:firstLine="259"/>
        <w:spacing w:after="0" w:line="254" w:lineRule="auto"/>
        <w:rPr>
          <w:sz w:val="20"/>
          <w:szCs w:val="20"/>
          <w:color w:val="auto"/>
        </w:rPr>
      </w:pPr>
      <w:r>
        <w:rPr>
          <w:rFonts w:ascii="Arial" w:cs="Arial" w:eastAsia="Arial" w:hAnsi="Arial"/>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right="320" w:firstLine="259"/>
        <w:spacing w:after="0" w:line="264" w:lineRule="auto"/>
        <w:rPr>
          <w:sz w:val="20"/>
          <w:szCs w:val="20"/>
          <w:color w:val="auto"/>
        </w:rPr>
      </w:pPr>
      <w:r>
        <w:rPr>
          <w:rFonts w:ascii="Arial" w:cs="Arial" w:eastAsia="Arial" w:hAnsi="Arial"/>
          <w:sz w:val="18"/>
          <w:szCs w:val="18"/>
          <w:color w:val="auto"/>
        </w:rPr>
        <w:t>At November 1, 2015, the Company had outstanding purchase commitments of $14 million, which included $3 million related to capital expenditures, primarily for investment in high-end IC photomask manufacturing capability. The Company intends to finance its capital expenditures with its working capital, cash generated from operations, and, if necessary, with additional borrowings.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The Company's cash requirements in fiscal 2016 will be primarily to fund its operations, including capital spending, and to service its debt.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Company's contractual obligations as of November 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 due by period</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Less Than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1 – 3 Years</w:t>
            </w: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1"/>
              </w:rPr>
              <w:t>3 – 5 Years</w:t>
            </w: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177,079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ind w:right="80" w:firstLine="259"/>
        <w:spacing w:after="0" w:line="277" w:lineRule="auto"/>
        <w:rPr>
          <w:sz w:val="20"/>
          <w:szCs w:val="20"/>
          <w:color w:val="auto"/>
        </w:rPr>
      </w:pPr>
      <w:r>
        <w:rPr>
          <w:rFonts w:ascii="Arial" w:cs="Arial" w:eastAsia="Arial" w:hAnsi="Arial"/>
          <w:sz w:val="18"/>
          <w:szCs w:val="18"/>
          <w:color w:val="auto"/>
        </w:rPr>
        <w:t>As of November 1, 2015, the Company had recorded accruals for uncertain tax positions of $4.1 million which was not included in the above table due to the high degree of uncertainty regarding the timing of future payments related to such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November 1, 2015, the Company has contributed $32.5 million to the joint venture, and has received distributions from the joint venture totaling $10.0 million. The Company did not make any contributions and received no distributions from MP Mask during fiscal 2015. On March 24, 2015, the Company announced that the MP Mask joint venture would not be renewed after May 5, 2016. See Note 5 to the consolidated financial statements for further discussion.</w:t>
      </w:r>
    </w:p>
    <w:p>
      <w:pPr>
        <w:spacing w:after="0" w:line="200"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Under the PDMC joint venture operating agreement the shareholders of PDMC may be requested to make additional contributions to PDMC. In the event that PDMC requests additional capital from its shareholders, the Company may be required to make additional capital contributions to the joint venture in order to maintain its 50.01% ownership. The PDMC operating agreement limits the amount of contributions that may be requested during both PDMC’s first four years and during any individual year within those first four years. As of November 1, 2015, the Company had not been requested to and did not make any additional capital contributions to PDMC.</w:t>
      </w:r>
    </w:p>
    <w:p>
      <w:pPr>
        <w:spacing w:after="0" w:line="215"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8 to the consolidated financial statements for additional information on these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The Company continues to assess its global manufacturing strategy and monitor its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The fair value of the Company's 3.25% convertible senior notes is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4" w:lineRule="exact"/>
        <w:rPr>
          <w:sz w:val="20"/>
          <w:szCs w:val="20"/>
          <w:color w:val="auto"/>
        </w:rPr>
      </w:pPr>
    </w:p>
    <w:p>
      <w:pPr>
        <w:ind w:right="320" w:firstLine="259"/>
        <w:spacing w:after="0" w:line="293"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81"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Accounting for such transactions requires the Company’s management to make significant assumptions and estimates. These include, among others, any estimates or assumptions that may be made for the amounts of future cash flows that will result from any identified intangible assets, the useful lives of such intangible assets, the amount of any contingent liabilities to record at the time of the acquisition, the extent of any restructuring charges expected to be incurred as a result of the business combination, and the fair values of any tangible assets acquired. Although the Company believes any estimates and assumptions it makes to be reasonable and appropriate at the time they are made, unanticipated events and circumstances may arise that affect their accuracy, causing actual results to differ from those estimated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52"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 the case of any investment in a joint venture that gave rise to goodwill, such goodwill would be tested for impairment annually or when an event occurred or circumstances changed that would more likely than not have reduced the fair value of the joint venture below its carry value. Goodwill would be tested for impairment using a two-step process. The Company might, at its option, assess qualitative factors to determine whether it was necessary to perform the two-step impairment test. If it was determined that the two-step test was necessary, the Company would use the test to identify potential goodwill impairment and to measure the amount of a goodwill impairment loss to be recognized (if any).</w:t>
      </w:r>
    </w:p>
    <w:p>
      <w:pPr>
        <w:spacing w:after="0" w:line="192"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15"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it has a controlling financial interest in any investments it has in these certain legal entities.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20" w:firstLine="259"/>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percent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200"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allowances. Significant management estimates and judgment are required in determining any valuation allowances recorded against net deferred tax assets.</w:t>
      </w:r>
    </w:p>
    <w:p>
      <w:pPr>
        <w:spacing w:after="0" w:line="192"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sales incentives, both of which are accrued when the related revenue is recognized.</w:t>
      </w:r>
    </w:p>
    <w:p>
      <w:pPr>
        <w:spacing w:after="0" w:line="200" w:lineRule="exact"/>
        <w:rPr>
          <w:sz w:val="20"/>
          <w:szCs w:val="20"/>
          <w:color w:val="auto"/>
        </w:rPr>
      </w:pPr>
    </w:p>
    <w:p>
      <w:pPr>
        <w:ind w:right="280" w:firstLine="259"/>
        <w:spacing w:after="0" w:line="257"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The Company’s specific return policies include accepting returns of products with defects, or products that have not been produced to precise customer specifications.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right="40" w:firstLine="259"/>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220" w:firstLine="259"/>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21 – Recent Accounting Pronouncements” for recent accounting pronouncements that may affect the Company’s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that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 In addition, the Company has transactions and balances in Japanese yen.</w:t>
      </w:r>
    </w:p>
    <w:p>
      <w:pPr>
        <w:spacing w:after="0" w:line="215"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However, in some instances, the Company sells products in a currency other than the functional currency of the country where it was produced or purchases products in a currency that differs from the functional currency of the purchasing manufacturing facility. There can be no assurance that this approach will continue to be successful, especially in the event of a significant adverse movement in the value of any foreign currency against the U.S. dollar, the New Taiwan dollar or the Korean won.</w:t>
      </w:r>
    </w:p>
    <w:p>
      <w:pPr>
        <w:spacing w:after="0" w:line="185"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Company's primary net foreign currency exposures as of November 1, 2015, included the Korean won, the Japanese yen, the New Taiwan dollar, the Singapore dollar, the British pound, and the euro. As of November 1, 2015, a 10% adverse movement in the value of these currencies against the U.S. dollar would have resulted in a net unrealized pre-tax loss of $4.8 million. The Company does not believe that a 10% change in the exchange rates of other non-U.S. dollar currencies would have a material effect on its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At November 1, 2015, the Company did not have any variable rate borrowings. A 10% change in interest rates would not have had a material effect on the Company's consolidated financial position, results of operations, or cash flows in the year ended November 1, 2015.</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80" w:type="dxa"/>
            <w:vAlign w:val="bottom"/>
            <w:gridSpan w:val="10"/>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November 1, 2015 and November 2, 2014</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Income for the years ended November 1, 2015, November 2, 2014 and November 3,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Consolidated Statements of Comprehensive Income for the years ended November 1, 2015, November 2, 2014 and November 3,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Equity for the years ended November 1, 2015, November 2, 2014 and November 3,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November 1, 2015,November 2, 2014 and November 3,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712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6"/>
        </w:trPr>
        <w:tc>
          <w:tcPr>
            <w:tcW w:w="8500" w:type="dxa"/>
            <w:vAlign w:val="bottom"/>
            <w:gridSpan w:val="6"/>
          </w:tcPr>
          <w:p>
            <w:pPr>
              <w:jc w:val="right"/>
              <w:ind w:right="272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8"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We have audited the accompanying consolidated balance sheets of Photronics, Inc. and subsidiaries (the "Company") as of November 1, 2015 and November 2, 2014, and the related consolidated statements of income, consolidated statements of comprehensive income, consolidated statements of equity, and consolidated statements of cash flows for each of the three fiscal years ended November 1, 2015, November 2, 2014 and November 3, 2013. We also have audited the Company's internal control over financial reporting as of November 1, 2015, based on criteria established in Internal Control — Integrated Framework (2013)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these financial statements and an opinion on the Company's internal control over financial reporting based on our audits.</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4"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Photronics, Inc. and subsidiaries as of November 1, 2015 and November 2, 2014, and the results of their operations and their cash flows for each of the three fiscal years ended November 1, 2015, November 2, 2014 and November 3, 2013, in conformity with accounting principles generally accepted in the United States of America. Also, in our opinion, the Company maintained, in all material respects, effective internal control over financial reporting as of November 1, 2015, based on the criteria established in Internal Control — Integrated Framework (2013) issued by the Committee of Sponsoring Organizations of the Treadway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7, 2016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November 1,</w:t>
            </w:r>
          </w:p>
        </w:tc>
        <w:tc>
          <w:tcPr>
            <w:tcW w:w="8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receivable, net of allowance of $3,301 in 2015 and $3,078 in 2014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110,056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364,114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joint venture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1,045,555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Current portion of long-term borrowings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65,495</w:t>
            </w: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Payables – related parties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192,692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Common stock, $0.01 par value, 150,000 shares authorized, 66,602 shares issued and outstanding at November 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2015, and 65,930 shares issued and outstanding at November 2, 2014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(10,573)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115,511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1,045,555</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1,029,183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(381,070)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(355,181)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(21,920)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32,035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2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61,779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61,599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32,035</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 net of tax of $0: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Amortization of cash flow hedge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other comprehensive income (loss), net of tax</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(40,407)</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1, 2015, November 2, 2014 and November 3,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20"/>
                <w:szCs w:val="20"/>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at October 28,</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493,411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10,740</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vestings and expense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compensation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Common stock warrants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 subsidiary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3,</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61,083</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498,861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26,403</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vestings and expense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w w:val="97"/>
              </w:rPr>
              <w:t>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2,774</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DPTT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Conversion of debt to</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4,338</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22,011</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 subsidiary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2,</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65,930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520,182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21,774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(32,347)</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stock option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vestings and expense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w w:val="97"/>
              </w:rPr>
              <w:t>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2,623</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 subsidiary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1,</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130,060</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0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99"/>
              </w:rPr>
              <w:t>PHOTRONICS, INC. AND SUBSIDIARIES</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i w:val="1"/>
                <w:iCs w:val="1"/>
                <w:color w:val="auto"/>
                <w:w w:val="91"/>
              </w:rPr>
              <w:t>(in thousands)</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32,035</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75,684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Amortization of deferred financing costs and intangible assets</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acquisition</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ind w:left="80"/>
              <w:spacing w:after="0"/>
              <w:rPr>
                <w:sz w:val="20"/>
                <w:szCs w:val="20"/>
                <w:color w:val="auto"/>
              </w:rPr>
            </w:pPr>
            <w:r>
              <w:rPr>
                <w:rFonts w:ascii="Arial" w:cs="Arial" w:eastAsia="Arial" w:hAnsi="Arial"/>
                <w:sz w:val="18"/>
                <w:szCs w:val="18"/>
                <w:color w:val="auto"/>
              </w:rPr>
              <w:t>Accounts payable, accrued liabilities and other</w:t>
            </w: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133,195</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Cash from acquisition</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(104,305)</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Repayments of long-term borrowings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Purchase of common stock of subsidiary</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share-based arrangements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Payments of deferred financing fees</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(29,541)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(22,686)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215,615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2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215,615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Accrual for property, plant and equipment purchased during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28,672</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Noncash net assets from acquisition</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Conversion of debt to common stock</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Capital lease obligation for purchases of property, plant and equipment</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26,356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November 1, 2015, November 2, 2014 and November 3,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and its majority-owned subsidiaries that the Company controls.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amounts reported in them. Estimates are based on historical experience and on various assumptions that are believed to be reasonable under the circumstances. The Company's estimates are based on the facts and circumstances available at the time they are made. Actual results reported by the Company may differ from such estimates. The Company reviews these estimates periodically and reflects the effect of revisions in the period in which they are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6"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6"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2015 and 2014 each included 52 weeks, while fiscal year 2013 included 53 weeks.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Inventories are primarily comprised of raw materials and are stated at the lower of cost, determined under the first-in, first-out ("FIFO") method, or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4" w:lineRule="exact"/>
        <w:rPr>
          <w:sz w:val="20"/>
          <w:szCs w:val="20"/>
          <w:color w:val="auto"/>
        </w:rPr>
      </w:pPr>
    </w:p>
    <w:p>
      <w:pPr>
        <w:ind w:right="320" w:firstLine="259"/>
        <w:spacing w:after="0" w:line="293"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81"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Accounting for such transactions requires the Company’s management to make significant assumptions and estimates and, although the Company believes any estimates and assumptions it makes to be reasonable and appropriate at the time they are made, unanticipated events and circumstances may arise that affect their accuracy, causing actual results to differ from those estimated by the Company. When required, the Company will adjust the values of the assets acquired and liabilities assumed against the acquisition gain or goodwill, as initially recorded, for a period of up to one year after the transaction.</w:t>
      </w:r>
    </w:p>
    <w:p>
      <w:pPr>
        <w:spacing w:after="0" w:line="181" w:lineRule="exact"/>
        <w:rPr>
          <w:sz w:val="20"/>
          <w:szCs w:val="20"/>
          <w:color w:val="auto"/>
        </w:rPr>
      </w:pPr>
    </w:p>
    <w:p>
      <w:pPr>
        <w:ind w:right="720" w:firstLine="259"/>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Investments in joint ventures over which the Company has the ability to exercise significant influence and that, in general, are at least 20 percent owned are accounted for under the equity method.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15"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when the Company has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it has a controlling financial interest in any investments it has in these certain legal entities.</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percent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 of earnings in the tax jurisdictions in which it operates.</w:t>
      </w:r>
    </w:p>
    <w:p>
      <w:pPr>
        <w:spacing w:after="0" w:line="200"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 Significant management estimates and judgment are required in determining any valuation allowances recorded against net deferred tax assets.</w:t>
      </w:r>
    </w:p>
    <w:p>
      <w:pPr>
        <w:spacing w:after="0" w:line="192"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Technology, Inc. (“Micron”). Under this technology license agreement, the Company has access to certain photomask technology developed by Micron.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and other income (expense), net were a net gain of $2.5 million, $1.4 million and $0.5 million in fiscal years 2015, 2014 and 2013,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Noncontrolling interests represents the minority shareholders' proportionate share in the equity of the Company's two majority-owned subsidiaries, Photronics DNP Mask Corporation ("PDMC") in Taiwan, of which noncontrolling interests owned 49.99% as of November 1, 2015 and November 2, 2014 and PK Ltd. ("PKL") in Korea of which noncontrolling shareholders owned approximately 0.2% and 0.3% as of November 1, 2015 and November 2, 2014, respectively. The effect on its equity of the change in the Company’s ownership interest in these subsidiaries is presented in Note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sales incentives, both of which are accrued when the related revenue is recognized.</w:t>
      </w:r>
    </w:p>
    <w:p>
      <w:pPr>
        <w:spacing w:after="0" w:line="200" w:lineRule="exact"/>
        <w:rPr>
          <w:sz w:val="20"/>
          <w:szCs w:val="20"/>
          <w:color w:val="auto"/>
        </w:rPr>
      </w:pPr>
    </w:p>
    <w:p>
      <w:pPr>
        <w:ind w:right="280" w:firstLine="259"/>
        <w:spacing w:after="0" w:line="257"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The Company’s specific return policies include accepting returns of products with defects, or products that have not been produced to precise customer specifications.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reports its revenues net of any sales taxes billed to its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 OF DNP PHOTOMASK TECHNOLOGY TAIWAN CO., LTD.</w:t>
      </w:r>
    </w:p>
    <w:p>
      <w:pPr>
        <w:spacing w:after="0" w:line="256"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$98.3 million. The Company owns 50.01 percent of PDMC and includes its financial results in its consolidated financial statements, while DNP owns the remaining 49.99 percent of PDMC. The Company also has the ability to appoint the majority of the directors of PDMC, including the chairman of its board of directors, select its management responsible for implementing its policies and procedures, and establish its operating and capital decisions and policies. Photronics determined it has control of PDMC by virtue of its tie-breaking voting rights within PDMC’s Board of Directors, thereby giving it the power to direct the activities of PDMC that most significantly impact its economic performance, including its decision making authority in the ordinary course of business. The DPTT Acquisition was the result of the Company’s desire to combine the strengths in logic and memory photomask technologies of PSMC and DPTT in order to enhance its capability with customers in the region.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pacing w:after="0" w:line="205"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The following table summarizes the fair values of assets acquired and liabilities assumed of DPTT, the fair value of the noncontrolling interests and consideration for DPTT at the acquisition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receivable (gross amount of $28,560, of which $500 is estimated  to be uncollectable)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assets acquired</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114,719</w:t>
            </w:r>
          </w:p>
        </w:tc>
        <w:tc>
          <w:tcPr>
            <w:tcW w:w="12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 retained by DNP</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 49.99% of fair value of PSMC</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Gain on acquisition</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In addition to recording the fair values of the net assets acquired, the Company also recorded a gain on acquisition of $16.4 million in the three month period ended May 4, 2014,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16"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The fair value of the first component of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 The fair value of the total consideration transferred as of the acquisition date was $98.3 million, comprised of the 49.99% noncontrolling interest in DPTT of $57.3 million, and 49.99% of the fair value of PSMC of $41.0 million (112.9 million shares, or 49.99% of the outstanding common stock of PSMC).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We estimated the $114.7 million fair value of DPTT as of the acquisition date by applying an income approach as our valuation technique. Our income approach followed a discounted cash flow method, which applied our best estimates of future cash flows and an estimated terminal value discounted to present value at a rate of return taking into account the relative risk of the cash flows. To confirm the reasonableness of the value derived from the income approach, we also analyzed the values of comparable companies which are publicly traded. The acquisition date fair value of the property, plant and equipment of DPTT was $95.4 million, which was determined by utilizing the cost and, to a lesser extent, the market approach, based on an in-use premise of value. Inputs utilized by the Company to determine fair values of DPTT’s property, plant and equipment included a cost approach, which was adjusted for depreciation and condition for equipment, and adjusted for depreciation and local market conditions for real property. The noncontrolling interest of DPTT was calculated using the 49.99% of its total fair value of $114.7 million. The Company also used a market approach to corroborate the enterprise value of DPTT.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20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are amortized over a twelve year estimated useful life. The acquisition date fair value of the remainder of the identifiable assets acquired and liabilities assumed were equivalent to, or did not materially differ from, their carrying values.</w:t>
      </w:r>
    </w:p>
    <w:p>
      <w:pPr>
        <w:spacing w:after="0" w:line="19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Acquisition costs related to the merger were $2.5 million and $0.8 million in fiscal year 2014 and fiscal year 2013, respectively, and are included in selling, general and administrative expense in the consolidated statements of income. The Company did not incur any acquisition related costs in fiscal year 2015.</w:t>
      </w:r>
    </w:p>
    <w:p>
      <w:pPr>
        <w:spacing w:after="0" w:line="208"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Revenues and net income of PDMC included in the Company’s financial results from the April 4, 2014 acquisition date through November 2, 2014, were $101.8 million and $6.0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Financial Information</w:t>
      </w:r>
    </w:p>
    <w:p>
      <w:pPr>
        <w:spacing w:after="0" w:line="252"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The following unaudited pro forma financial information presents financial information as if the DPTT acquisition had occurred as of the beginning of fiscal year 2013. The pro forma earnings for fiscal years 2014 and 2013 were adjusted to exclude the above mentioned $2.5 million and $0.8 million non-recurring acquisition related costs and the gain on acquisition of $16.4 million. Other material non-recurring pro forma adjustments made to arrive at the below earnings amounts included the add back of additional depreciation recorded against DPTT long-lived assets of $6.6 million and $12.9 million for fiscal years 2014 and 2013, respectively. The pro forma information presented does not purport to represent results that would have been achieved had the merger occurred as of the beginning of the earliest period presented, or to be indicative of the Company’s future financial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40" w:type="dxa"/>
            <w:vAlign w:val="bottom"/>
            <w:gridSpan w:val="3"/>
          </w:tcPr>
          <w:p>
            <w:pPr>
              <w:jc w:val="right"/>
              <w:ind w:right="18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499,968</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514,265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20" w:type="dxa"/>
            <w:vAlign w:val="bottom"/>
          </w:tcPr>
          <w:p>
            <w:pPr>
              <w:jc w:val="right"/>
              <w:ind w:right="1794"/>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1,458,623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1,626,480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1,064,609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550,069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w w:val="99"/>
              </w:rPr>
              <w:t>Property under capital leases are included in above property, plant and equipment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56"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Intangible assets include assets related to the investment to form the MP Mask joint venture and other finite lived intangible assets. Amortization expense of intangible assets was $6.0 million, $5.8 million and $5.5 million in fiscal years 2015, 2014 and 2013,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Intangible assets consist of:</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November 1, 2015</w:t>
            </w: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0"/>
              </w:rPr>
              <w:t>Net Amount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940" w:type="dxa"/>
            <w:vAlign w:val="bottom"/>
            <w:gridSpan w:val="2"/>
            <w:vMerge w:val="continue"/>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Technology license agreement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59,616</w:t>
            </w:r>
          </w:p>
        </w:tc>
        <w:tc>
          <w:tcPr>
            <w:tcW w:w="48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22,190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Software and other</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As of November 2, 2014</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59,616</w:t>
            </w:r>
          </w:p>
        </w:tc>
        <w:tc>
          <w:tcPr>
            <w:tcW w:w="48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26,165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Supply agreements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81,514</w:t>
            </w:r>
          </w:p>
        </w:tc>
        <w:tc>
          <w:tcPr>
            <w:tcW w:w="48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51,220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30,294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60" w:type="dxa"/>
            <w:vAlign w:val="bottom"/>
            <w:vMerge w:val="restart"/>
          </w:tcPr>
          <w:p>
            <w:pPr>
              <w:jc w:val="right"/>
              <w:ind w:right="436"/>
              <w:spacing w:after="0"/>
              <w:rPr>
                <w:sz w:val="20"/>
                <w:szCs w:val="20"/>
                <w:color w:val="auto"/>
              </w:rPr>
            </w:pPr>
            <w:r>
              <w:rPr>
                <w:rFonts w:ascii="Arial" w:cs="Arial" w:eastAsia="Arial" w:hAnsi="Arial"/>
                <w:sz w:val="14"/>
                <w:szCs w:val="14"/>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weighted-average amortization period for intangible assets acquired in fiscal year 2015 is three years, which is comprised of software and other intangible assets that have weighted-average amortization periods of three years. The weighted-average amortization period for intangible assets acquired in fiscal year 2014 is nine years, which is comprised of customer relationships and software and other intangible assets that have weighted-average amortization periods of twelve years and three years,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Intangible asset amortization over the next five years is estimated to be as follows:</w:t>
            </w: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2017</w:t>
            </w:r>
          </w:p>
        </w:tc>
        <w:tc>
          <w:tcPr>
            <w:tcW w:w="1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2019</w:t>
            </w:r>
          </w:p>
        </w:tc>
        <w:tc>
          <w:tcPr>
            <w:tcW w:w="1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an agreement to license photomask technology developed by Micron and certain supply agreements.</w:t>
      </w:r>
    </w:p>
    <w:p>
      <w:pPr>
        <w:spacing w:after="0" w:line="20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reassessments in fiscal year 2015,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and charges separately for any research and development activities it engages in at the requests of its owners.</w:t>
      </w:r>
    </w:p>
    <w:p>
      <w:pPr>
        <w:spacing w:after="0" w:line="208"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MP Mask did not request, and the Company did not make, any contributions to MP Mask in fiscal years 2015 or 2014 and it did not receive any distributions from MP Mask during those fiscal years.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The Company's investment in the VIE, which represents its maximum exposure to loss, was $93.0 million at November 1, 2015 and $93.1 million at November 2, 2014. These amounts are reported in the Company's consolidated balance sheets as Investment in joint venture. The Company recorded a loss from its investment in MP Mask of $0.1 million in fiscal years 2015 and 2013 and recorded no income or loss from the investment in fiscal year 2014. Income (loss) from MP Mask is included in Interest and other income, net, in the consolidated statements of income.</w:t>
      </w:r>
    </w:p>
    <w:p>
      <w:pPr>
        <w:spacing w:after="0" w:line="198"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As of November 1, 2015, the Company owed MP Mask $4.3 million and had a receivable from Micron of $6.4 million, both primarily related to the aforementioned supply agreements. The Company, in 2015, recorded $0.8 million of commission revenue earned under the supply agreements it has with Micron and MP Mask, and amortization of $0.2 million of the related supply agreement intangible asset. In 2015 the Company also recorded cost of sales in the amount of $4.8 million for photomasks produced by MP Mask for the Company's customers, and incurred expenses of $3.1 million for research and development activities and other goods and services purchased from MP Mask by the Company.</w:t>
      </w:r>
    </w:p>
    <w:p>
      <w:pPr>
        <w:spacing w:after="0" w:line="200"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As of November 2, 2014, the Company owed MP Mask $4.2 million and had a receivable from Micron of $6.8 million, both primarily related to the aforementioned supply agreements. The Company, in 2014, recorded $1.2 million of commission revenue earned under the supply agreements it has with Micron and MP Mask, and amortization of $0.2 million of the related supply agreement intangible asset. In 2014 the Company also recorded cost of sales in the amount of $3.2 million for photomasks produced by MP Mask for the Company's customers, and incurred expenses of $1.6 million for research and development activities and other goods and services purchased from MP Mask by the Company. In 2014 the Company purchased equipment from MP Mask for $1.3 million.</w:t>
      </w:r>
    </w:p>
    <w:p>
      <w:pPr>
        <w:spacing w:after="0" w:line="220"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As of November 3, 2013, the Company owed MP Mask $4.5 million and had a receivable from Micron of $4.9 million, both primarily related to the aforementioned supply agreements. The Company, in 2013, recorded $0.9 million of commission revenue earned under the supply agreements it has with Micron and MP Mask, and amortization of $0.3 million of the related supply agreement intangible asset. In 2013 the Company also recorded cost of sales in the amount of $8.7 million for photomasks produced by MP Mask for the Company's customers, and incurred expenses of $1.6 million for research and development activities and other goods and services purchased from MP Mask by the Company. In 2013 the Company purchased equipment from MP Mask for $6.1 million.</w:t>
      </w:r>
    </w:p>
    <w:p>
      <w:pPr>
        <w:spacing w:after="0" w:line="220"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On March 24,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September 3, 2015,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if any. The technology license agreement commenced in March 2015 and continues through the earlier of one year from the termination of the initial technology license agreement, which will occur on May 5, 2016, or when Micron certifies that it has transferred certain defined technology to the Company. The Company forevermore has the rights to use the technology obtained under these technology license agreements.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Summarized financial information of MP Mask is presented below.</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66"/>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As of Fiscal Year End</w:t>
            </w:r>
          </w:p>
        </w:tc>
        <w:tc>
          <w:tcPr>
            <w:tcW w:w="3440" w:type="dxa"/>
            <w:vAlign w:val="bottom"/>
          </w:tcPr>
          <w:p>
            <w:pPr>
              <w:spacing w:after="0"/>
              <w:rPr>
                <w:sz w:val="24"/>
                <w:szCs w:val="24"/>
                <w:color w:val="auto"/>
              </w:rPr>
            </w:pPr>
          </w:p>
        </w:tc>
      </w:tr>
      <w:tr>
        <w:trPr>
          <w:trHeight w:val="223"/>
        </w:trPr>
        <w:tc>
          <w:tcPr>
            <w:tcW w:w="5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30,567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31,696</w:t>
            </w:r>
          </w:p>
        </w:tc>
        <w:tc>
          <w:tcPr>
            <w:tcW w:w="3440" w:type="dxa"/>
            <w:vAlign w:val="bottom"/>
          </w:tcPr>
          <w:p>
            <w:pPr>
              <w:spacing w:after="0"/>
              <w:rPr>
                <w:sz w:val="18"/>
                <w:szCs w:val="18"/>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173,840</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205,457</w:t>
            </w:r>
          </w:p>
        </w:tc>
        <w:tc>
          <w:tcPr>
            <w:tcW w:w="3440" w:type="dxa"/>
            <w:vAlign w:val="bottom"/>
          </w:tcPr>
          <w:p>
            <w:pPr>
              <w:spacing w:after="0"/>
              <w:rPr>
                <w:sz w:val="18"/>
                <w:szCs w:val="18"/>
                <w:color w:val="auto"/>
              </w:rPr>
            </w:pPr>
          </w:p>
        </w:tc>
      </w:tr>
      <w:tr>
        <w:trPr>
          <w:trHeight w:val="216"/>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44,024</w:t>
            </w:r>
          </w:p>
        </w:tc>
        <w:tc>
          <w:tcPr>
            <w:tcW w:w="3440" w:type="dxa"/>
            <w:vAlign w:val="bottom"/>
          </w:tcPr>
          <w:p>
            <w:pPr>
              <w:spacing w:after="0"/>
              <w:rPr>
                <w:sz w:val="18"/>
                <w:szCs w:val="18"/>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6,804</w:t>
            </w:r>
          </w:p>
        </w:tc>
        <w:tc>
          <w:tcPr>
            <w:tcW w:w="3440" w:type="dxa"/>
            <w:vAlign w:val="bottom"/>
          </w:tcPr>
          <w:p>
            <w:pPr>
              <w:spacing w:after="0"/>
              <w:rPr>
                <w:sz w:val="20"/>
                <w:szCs w:val="20"/>
                <w:color w:val="auto"/>
              </w:rPr>
            </w:pPr>
          </w:p>
        </w:tc>
      </w:tr>
      <w:tr>
        <w:trPr>
          <w:trHeight w:val="581"/>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633"/>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6"/>
        </w:trPr>
        <w:tc>
          <w:tcPr>
            <w:tcW w:w="5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Fiscal Year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81,399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77,900</w:t>
            </w:r>
          </w:p>
        </w:tc>
      </w:tr>
      <w:tr>
        <w:trPr>
          <w:trHeight w:val="216"/>
        </w:trPr>
        <w:tc>
          <w:tcPr>
            <w:tcW w:w="33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4,663</w:t>
            </w:r>
          </w:p>
        </w:tc>
      </w:tr>
      <w:tr>
        <w:trPr>
          <w:trHeight w:val="216"/>
        </w:trPr>
        <w:tc>
          <w:tcPr>
            <w:tcW w:w="3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LIABILITIES</w:t>
      </w:r>
    </w:p>
    <w:p>
      <w:pPr>
        <w:spacing w:after="0" w:line="256" w:lineRule="exact"/>
        <w:rPr>
          <w:sz w:val="20"/>
          <w:szCs w:val="20"/>
          <w:color w:val="auto"/>
        </w:rPr>
      </w:pPr>
    </w:p>
    <w:p>
      <w:pPr>
        <w:ind w:right="760" w:firstLine="259"/>
        <w:spacing w:after="0" w:line="308" w:lineRule="auto"/>
        <w:rPr>
          <w:sz w:val="20"/>
          <w:szCs w:val="20"/>
          <w:color w:val="auto"/>
        </w:rPr>
      </w:pPr>
      <w:r>
        <w:rPr>
          <w:rFonts w:ascii="Arial" w:cs="Arial" w:eastAsia="Arial" w:hAnsi="Arial"/>
          <w:sz w:val="17"/>
          <w:szCs w:val="17"/>
          <w:color w:val="auto"/>
        </w:rPr>
        <w:t>Accrued liabilities include salaries, wages and related benefits of $14.3 million and $10.4 million at November 1, 2015 and November 2, 2014, respectively, and an acquisition liability of $7.1 million and $7.2 million at November 1, 2015 and November 2, 2014,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BORROWINGS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Long-term borrowings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November 1,</w:t>
            </w:r>
          </w:p>
        </w:tc>
        <w:tc>
          <w:tcPr>
            <w:tcW w:w="2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259"/>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November 1, 2015. The Company had no outstanding borrowings against the credit facility at November 1, 2015, and $50 million was available for borrowing. The interest rate on the credit facility (1.44% at November 1, 2015) is based on the Company’s total leverage ratio at LIBOR plus a spread, as defined in the credit facility.</w:t>
      </w:r>
    </w:p>
    <w:p>
      <w:pPr>
        <w:spacing w:after="0" w:line="205"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November 1, 2015, the total amount payable through the end of the lease term was $16.0 million, of which $15.3 million represented principal and $0.7 million represented interest.</w:t>
      </w:r>
    </w:p>
    <w:p>
      <w:pPr>
        <w:spacing w:after="0" w:line="215"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November 1, 2015, the total amount payable through the end of the lease term, substantially all of which represented principal was $2.3 million.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November 1, 2015, minimum lease payments under the Company's capital lease obligations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minimum lease payments under capital leases</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net minimum lease payments</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Long-term portion of minimum lease payments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Interest payments were $4.4 million in fiscal 2015, and $6.3 million in fiscal 2014 and 2013, including deferred financing cost payments of $0.3 million in fiscal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OPERATING LEASES</w:t>
      </w:r>
    </w:p>
    <w:p>
      <w:pPr>
        <w:spacing w:after="0" w:line="256"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Company leases various real estate and equipment under non-cancelable operating leases, for which rental expense was $2.8 million, $2.8 million and $2.7 million in fiscal years 2015, 2014 and 2013,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November 1, 2015, future minimum lease payments under non-cancelable operating leases with initial terms in excess of one year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r>
      <w:tr>
        <w:trPr>
          <w:trHeight w:val="257"/>
        </w:trPr>
        <w:tc>
          <w:tcPr>
            <w:tcW w:w="5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ind w:right="120" w:firstLine="259"/>
        <w:spacing w:after="0" w:line="270" w:lineRule="auto"/>
        <w:rPr>
          <w:sz w:val="20"/>
          <w:szCs w:val="20"/>
          <w:color w:val="auto"/>
        </w:rPr>
      </w:pPr>
      <w:r>
        <w:rPr>
          <w:rFonts w:ascii="Arial" w:cs="Arial" w:eastAsia="Arial" w:hAnsi="Arial"/>
          <w:sz w:val="17"/>
          <w:szCs w:val="17"/>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to nine million shares during fiscal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$3.7 million, $4.1 million and $4.0 million in fiscal years 2015, 2014 and 2013, respectively. No share-based compensation cost was capitalized as part of an asset and no related income tax benefits were recorded during the fiscal years presented.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options issued during fiscal years 2015, 2014 and 2013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4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1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8"/>
              </w:rPr>
              <w:t>November 3,</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8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2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 – 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 – 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8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 years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 years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tcPr>
          <w:p>
            <w:pPr>
              <w:jc w:val="right"/>
              <w:ind w:right="316"/>
              <w:spacing w:after="0"/>
              <w:rPr>
                <w:sz w:val="20"/>
                <w:szCs w:val="20"/>
                <w:color w:val="auto"/>
              </w:rPr>
            </w:pPr>
            <w:r>
              <w:rPr>
                <w:rFonts w:ascii="Arial" w:cs="Arial" w:eastAsia="Arial" w:hAnsi="Arial"/>
                <w:sz w:val="14"/>
                <w:szCs w:val="14"/>
                <w:color w:val="auto"/>
              </w:rPr>
              <w:t>51</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7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040" w:type="dxa"/>
            <w:vAlign w:val="bottom"/>
            <w:gridSpan w:val="9"/>
          </w:tcPr>
          <w:p>
            <w:pPr>
              <w:ind w:left="240"/>
              <w:spacing w:after="0"/>
              <w:rPr>
                <w:sz w:val="20"/>
                <w:szCs w:val="20"/>
                <w:color w:val="auto"/>
              </w:rPr>
            </w:pPr>
            <w:r>
              <w:rPr>
                <w:rFonts w:ascii="Arial" w:cs="Arial" w:eastAsia="Arial" w:hAnsi="Arial"/>
                <w:sz w:val="18"/>
                <w:szCs w:val="18"/>
                <w:color w:val="auto"/>
                <w:w w:val="91"/>
              </w:rPr>
              <w:t>A summary of option activity under the Plan as of November 1, 2015, and changes during the year then ended is presented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November 2, 2014</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4,076,781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679,800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(459,188)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Cancelled and forfeited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(494,225)</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November 1, 2015</w:t>
            </w:r>
          </w:p>
        </w:tc>
        <w:tc>
          <w:tcPr>
            <w:tcW w:w="120" w:type="dxa"/>
            <w:vAlign w:val="bottom"/>
            <w:shd w:val="clear" w:color="auto" w:fill="CCEEFF"/>
          </w:tcPr>
          <w:p>
            <w:pPr>
              <w:spacing w:after="0"/>
              <w:rPr>
                <w:sz w:val="20"/>
                <w:szCs w:val="20"/>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3,803,168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6.0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Exercisable at November 1, 2015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2,299,693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120" w:type="dxa"/>
            <w:vAlign w:val="bottom"/>
          </w:tcPr>
          <w:p>
            <w:pPr>
              <w:ind w:left="480"/>
              <w:spacing w:after="0"/>
              <w:rPr>
                <w:sz w:val="20"/>
                <w:szCs w:val="20"/>
                <w:color w:val="auto"/>
              </w:rPr>
            </w:pPr>
            <w:r>
              <w:rPr>
                <w:rFonts w:ascii="Arial" w:cs="Arial" w:eastAsia="Arial" w:hAnsi="Arial"/>
                <w:sz w:val="18"/>
                <w:szCs w:val="18"/>
                <w:color w:val="auto"/>
                <w:w w:val="83"/>
              </w:rPr>
              <w:t>4.5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as of November 1, 2015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3,705,186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5.9 years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The weighted-average grant date fair value of options granted during fiscal years 2015, 2014 and 2013 were $3.81, $4.44 and $4.00, respectively. The total intrinsic value of options exercised during fiscal years 2015, 2014 and 2013 was $2.0 million, $1.4 million and $1.6 million, respectively.</w:t>
      </w:r>
    </w:p>
    <w:p>
      <w:pPr>
        <w:spacing w:after="0" w:line="15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Company received cash from option exercises of $2.2 million, $1.1 million and $0.5 million in fiscal years 2015, 2014 and 2013, respectively. As of November 1, 2015, the total unrecognized compensation cost of unvested option awards was approximately $3.9 million. That cost is expected to be recognized over a weighted-average amortization period of 2.4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periodically grants restricted stock awards. The restrictions on these awards typically lapse over a service period of one to four years. The weighted-average grant date fair values of restricted stock awards issued during fiscal years 2015, 2014 and 2013 were $8.28, $8.86 and $5.48, respectively. The total fair value of awards for which restrictions lapsed was $1.4 million, $1.5 million and $1.3 million during fiscal years 2015, 2014 and 2013, respectively. As of November 1, 2015, the total compensation cost for restricted stock awards not yet recognized was approximately $0.8 million. That cost is expected to be recognized over a weighted-average amortization period of 2.2 years.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status of the Company's outstanding restricted stock awards as of November 1, 2015,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Fair Value at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Restricted Stock</w:t>
            </w:r>
          </w:p>
        </w:tc>
        <w:tc>
          <w:tcPr>
            <w:tcW w:w="2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Grant Date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37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2, 2014</w:t>
            </w: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235,481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Granted</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121,334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(159,039)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Cancelled</w:t>
            </w:r>
          </w:p>
        </w:tc>
        <w:tc>
          <w:tcPr>
            <w:tcW w:w="3900" w:type="dxa"/>
            <w:vAlign w:val="bottom"/>
            <w:gridSpan w:val="4"/>
          </w:tcPr>
          <w:p>
            <w:pPr>
              <w:jc w:val="right"/>
              <w:ind w:right="80"/>
              <w:spacing w:after="0"/>
              <w:rPr>
                <w:sz w:val="20"/>
                <w:szCs w:val="20"/>
                <w:color w:val="auto"/>
              </w:rPr>
            </w:pPr>
            <w:r>
              <w:rPr>
                <w:rFonts w:ascii="Arial" w:cs="Arial" w:eastAsia="Arial" w:hAnsi="Arial"/>
                <w:sz w:val="18"/>
                <w:szCs w:val="18"/>
                <w:color w:val="auto"/>
              </w:rPr>
              <w:t>(8,188)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1, 2015</w:t>
            </w:r>
          </w:p>
        </w:tc>
        <w:tc>
          <w:tcPr>
            <w:tcW w:w="2620" w:type="dxa"/>
            <w:vAlign w:val="bottom"/>
            <w:gridSpan w:val="2"/>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189,588</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Vested and expected to vest as of November 1, 2015</w:t>
            </w:r>
          </w:p>
        </w:tc>
        <w:tc>
          <w:tcPr>
            <w:tcW w:w="262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179,471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40" w:type="dxa"/>
            <w:vAlign w:val="bottom"/>
            <w:vMerge w:val="restart"/>
          </w:tcPr>
          <w:p>
            <w:pPr>
              <w:jc w:val="right"/>
              <w:ind w:right="1714"/>
              <w:spacing w:after="0"/>
              <w:rPr>
                <w:sz w:val="20"/>
                <w:szCs w:val="20"/>
                <w:color w:val="auto"/>
              </w:rPr>
            </w:pPr>
            <w:r>
              <w:rPr>
                <w:rFonts w:ascii="Arial" w:cs="Arial" w:eastAsia="Arial" w:hAnsi="Arial"/>
                <w:sz w:val="14"/>
                <w:szCs w:val="14"/>
                <w:color w:val="auto"/>
              </w:rPr>
              <w:t>52</w:t>
            </w: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Company's Employee Stock Purchase Plan ("ESPP") permits employees to purchase shares at 85% of the lower of the closing market price at the commencement or ending date of the Plan year (approximately one year). The Company recognizes the ESPP expense during that same period. As of November 1, 2015, the maximum number of shares of common stock approved by the Company's shareholders to be purchased under the ESPP was 1.5 million shares. Under the ESPP, approximately 1.3 million shares had been issued through November 1, 2015, and approximately 50,000 shares are subject to outstanding subscriptions. As of November 1, 2015, the total compensation cost related to the ESPP not yet recognized was $0.1 million, which is expected to be recognized in fiscal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RETIREMENT PLANS</w:t>
      </w:r>
    </w:p>
    <w:p>
      <w:pPr>
        <w:spacing w:after="0" w:line="256"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The Company maintains a 401(k) Savings and Profit Sharing Plan ("401(k) Plan") which covers all full and part 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Annual employer contributions for all the Company’s defined contribution plans were $0.7 million in fiscal years 2015 and 2014 and $0.6 million in fiscal year 2013.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ind w:left="60"/>
              <w:spacing w:after="0"/>
              <w:rPr>
                <w:sz w:val="20"/>
                <w:szCs w:val="20"/>
                <w:color w:val="auto"/>
              </w:rPr>
            </w:pPr>
            <w:r>
              <w:rPr>
                <w:rFonts w:ascii="Arial" w:cs="Arial" w:eastAsia="Arial" w:hAnsi="Arial"/>
                <w:sz w:val="18"/>
                <w:szCs w:val="18"/>
                <w:b w:val="1"/>
                <w:bCs w:val="1"/>
                <w:color w:val="auto"/>
              </w:rPr>
              <w:t>NOTE 11 - INCOME TAXES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w w:val="98"/>
              </w:rPr>
              <w:t>Income before the income tax provisions consist of the following:</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(23,083)</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64,413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40,969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The income tax provisions consist of the following:</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80" w:type="dxa"/>
            <w:vAlign w:val="bottom"/>
          </w:tcPr>
          <w:p>
            <w:pPr>
              <w:jc w:val="right"/>
              <w:ind w:right="436"/>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1,</w:t>
            </w: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(7,575)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(2,847)</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(3,967)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including reserves, settlements and resolutions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1,471</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Gain on acquisition of DPTT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(5,748)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Intercompany gain elimination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Tax on foreign subsidiary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r>
      <w:tr>
        <w:trPr>
          <w:trHeight w:val="257"/>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40" w:firstLine="259"/>
        <w:spacing w:after="0" w:line="312" w:lineRule="auto"/>
        <w:rPr>
          <w:sz w:val="20"/>
          <w:szCs w:val="20"/>
          <w:color w:val="auto"/>
        </w:rPr>
      </w:pPr>
      <w:r>
        <w:rPr>
          <w:rFonts w:ascii="Arial" w:cs="Arial" w:eastAsia="Arial" w:hAnsi="Arial"/>
          <w:sz w:val="16"/>
          <w:szCs w:val="16"/>
          <w:color w:val="auto"/>
        </w:rPr>
        <w:t>The effective tax rate differs from the U.S. statutory rate of 35% in fiscal years 2015, 2014 and 2013 primarily due to earnings, including the fiscal year 2014 gain on acquisition of DPTT, being taxed at lower statutory rates in foreign jurisdictions, combined with the benefit of various investment credits in a foreign jurisdiction. Valuation allowances in jurisdictions with historic and continuing losses eliminate the effective rate impact of these jurisdictions.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The net deferred income tax assets consist of the following:</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As of</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4"/>
              </w:rPr>
              <w:t>November 1,</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operating losses</w:t>
            </w: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Reserves not currently deductible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 minimum tax credits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Tax credit carryforwards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8,368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84,739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35,191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Undistributed earnings of foreign subsidiaries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(5,953)</w:t>
            </w:r>
          </w:p>
        </w:tc>
        <w:tc>
          <w:tcPr>
            <w:tcW w:w="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(5,366)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(17,874)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(4,596)</w:t>
            </w:r>
          </w:p>
        </w:tc>
        <w:tc>
          <w:tcPr>
            <w:tcW w:w="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(28,975)</w:t>
            </w: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(19,977)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assets</w:t>
            </w:r>
          </w:p>
        </w:tc>
        <w:tc>
          <w:tcPr>
            <w:tcW w:w="1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Reported as: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deferred tax assets</w:t>
            </w:r>
          </w:p>
        </w:tc>
        <w:tc>
          <w:tcPr>
            <w:tcW w:w="16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Noncurrent deferred tax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11,036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deferred tax liabilities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6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10,874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15,214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vMerge w:val="restart"/>
          </w:tcPr>
          <w:p>
            <w:pPr>
              <w:jc w:val="right"/>
              <w:ind w:right="674"/>
              <w:spacing w:after="0"/>
              <w:rPr>
                <w:sz w:val="20"/>
                <w:szCs w:val="20"/>
                <w:color w:val="auto"/>
              </w:rPr>
            </w:pPr>
            <w:r>
              <w:rPr>
                <w:rFonts w:ascii="Arial" w:cs="Arial" w:eastAsia="Arial" w:hAnsi="Arial"/>
                <w:sz w:val="14"/>
                <w:szCs w:val="14"/>
                <w:color w:val="auto"/>
              </w:rPr>
              <w:t>54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4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November 1,</w:t>
            </w: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8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4,029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59"/>
        <w:spacing w:after="0" w:line="286" w:lineRule="auto"/>
        <w:rPr>
          <w:sz w:val="20"/>
          <w:szCs w:val="20"/>
          <w:color w:val="auto"/>
        </w:rPr>
      </w:pPr>
      <w:r>
        <w:rPr>
          <w:rFonts w:ascii="Arial" w:cs="Arial" w:eastAsia="Arial" w:hAnsi="Arial"/>
          <w:sz w:val="16"/>
          <w:szCs w:val="16"/>
          <w:color w:val="auto"/>
        </w:rPr>
        <w:t>Unrecognized tax benefits associated with uncertain tax positions were $4.1 million at November 1, 2015, which is recorded in other liabilities in the consolidated balance sheet and were $5.1 million at November 2, 2014, of which $5.0 million is recorded in other liabilities in the consolidated balance sheet, and $0.1 million is recorded as a reduction to deferred tax assets. If recognized, $4.1 million of the benefits would favorably impact the Company's effective tax rate in future periods. Included in these amounts in fiscal years 2015 and 2014 were $0.1 million of interest and penalties. The Company includes any applicable interest and penalties related to uncertain tax positions in its income tax provision. The above table includes the fiscal year 2015 settlement of two foreign audits and the recognition of previously unrecognized tax benefits resulting from the lapse of their assessment periods. Included within fiscal year 2014 is the settlement of an Internal Revenue Service (“IRS”) income tax examination of the Company’s 2011 and 2012 federal income tax returns, as well as the recognition of previously unrecognized tax benefits resulting from the lapse of the assessment periods, which were offset in part by uncertain tax positions related to the acquisition of DPTT (as discussed in Note 2). The IRS income tax settlement had limited impact on fiscal year 2014 income tax expense, as the changes that resulted from the examination were offset by loss carryforwards, for which the related deferred tax assets were subject to valuation allowances. Shortly after the close of the 2013 fiscal year, the Company reached a settlement with the relevant tax authorities regarding one of its non-US subsidiary’s 2010 tax year, as reflected in the fiscal 2013 table above. As of November 1, 2015, the Company does not believe it is reasonably possible that the total amounts of unrecognized tax benefits will significantly increase or decrease in the next twelve months. The Company is no longer subject to examination by the U.S. for years prior to and including fiscal year 2012. With respect to major foreign and state tax jurisdictions, the Company is no longer subject to tax authority examinations for years prior to and including fiscal year 2011.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tables present the Company’s available operating loss and credit carryforwards at November 1, 2015, and the related expiration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Operating Loss Carryforwards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120,263</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2023-2035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214,591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Tax Credit Carryforwards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Federal alternative minimum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State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Included in the above foreign operating loss carryforward amount is $3.5 million of the $58.6 million operating loss carryforward amount acquired in the DPTT acquisition.</w:t>
      </w:r>
    </w:p>
    <w:p>
      <w:pPr>
        <w:spacing w:after="0" w:line="19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will expire prior to utilization. The valuation allowance increased (decreased) by $(10.8 million), $(7.1 million) and $1.1 million in fiscal years 2015, 2014 and 2013, respectively. During fiscal year 2015, the Company determined that sufficient positive evidence existed in two foreign jurisdictions that it was more likely than not that additional deferred taxes of $2.4 million were realizable and, therefore, reduced the valuation allowance accordingly.</w:t>
      </w:r>
    </w:p>
    <w:p>
      <w:pPr>
        <w:spacing w:after="0" w:line="215"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As of November 1, 2015, the undistributed earnings of foreign subsidiaries included in consolidated retained earnings amounted to $161.4 million, of which $17.0 million is not considered to be permanently invested. No provision has been made for future U.S. taxes payable on the remaining undistributed earnings of $144.4 million, as they are expected to be indefinitely invested in foreign jurisdictions and, therefore, are not anticipated to be subject to U.S. tax. The amount of undistributed earnings is calculated taking into account the net amount of earnings of the Company’s foreign subsidiaries, considering its multitier subsidiary structure, and translating those earnings into U.S. dollars using exchange rates in effect as of the balance sheet date. During fiscal year 2015, the Company determined that the historic and future accumulated earnings of a foreign subsidiary were not required for future investment due to changes in the operational structure of the subsidiary. Accordingly, a deferred tax liability of $5.7 million has been established on $16.4 million of earnings previously considered indefinitely invested. Prior to the fiscal 2014 acquisition of DPTT, PDMC (formerly PSMC), in accordance with the ownership provisions in the DPTT acquisition agreements, made a onetime remittance of $35 million of earnings that had been previously considered to be indefinitely invested. The Company has not changed its assertion on the balance of PDMC earnings which remain indefinitely invested. Should the Company elect in the future to repatriate the foreign earnings so invested, it may incur additional income tax expense on those foreign earnings, the amount of which is not practicable to compute.</w:t>
      </w:r>
    </w:p>
    <w:p>
      <w:pPr>
        <w:spacing w:after="0" w:line="20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PKLT, the Company's FPD manufacturing facility in Taiwan, has been accorded a tax holiday, which started in 2012 and expires in 2017. This tax holiday had no dollar or per share effect in the fiscal years ended November 1, 2015, November 2, 2014 and November 3, 2013. PDMC, which acquired an IC manufacturing facility in Taiwan as a result of the DPTT Acquisition, has been accorded a tax holiday that commenced in 2015 and expires in 2019. The Company realized $0.2 million in tax benefits from the PDMC tax holiday in the year ended November 1, 2015. The tax holiday had no per share effect on the Company’s financial results in the year ended November 1, 2015. In Korea, various investment tax credits have been earned to reduce the Company's effective income tax rate.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Income tax payments were $4.9 million, $5.2 million and $10.7 million in fiscal 2015, 2014 and 2013, respectively. Cash received for refunds of income taxes paid in prior years amounted to $0.1 million, $1.4 million and $0.3 million in fiscal years 2015, 2014 and 2013,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NOTE 12 - EARNINGS PER SHARE</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The calculation of basic and diluted earnings per share is presented as follows: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November 1,</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on convertible notes, net of related tax effects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48,988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27,422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Weighted-average common shares used for basic earnings per share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Convertible notes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payment awards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Common stock warrants</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common shares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66,679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61,599</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November 1,</w:t>
            </w: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Convertible notes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3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40" w:type="dxa"/>
            <w:vAlign w:val="bottom"/>
          </w:tcPr>
          <w:p>
            <w:pPr>
              <w:jc w:val="right"/>
              <w:ind w:right="1576"/>
              <w:spacing w:after="0"/>
              <w:rPr>
                <w:sz w:val="20"/>
                <w:szCs w:val="20"/>
                <w:color w:val="auto"/>
              </w:rPr>
            </w:pPr>
            <w:r>
              <w:rPr>
                <w:rFonts w:ascii="Arial" w:cs="Arial" w:eastAsia="Arial" w:hAnsi="Arial"/>
                <w:sz w:val="14"/>
                <w:szCs w:val="14"/>
                <w:color w:val="auto"/>
              </w:rPr>
              <w:t>57</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the first quarter of fiscal year 2016, the Company awarded approximately 0.7 million shared-based payment awards to its employees and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SHARE REPURCHASES AND TENDER OFFER</w:t>
      </w:r>
    </w:p>
    <w:p>
      <w:pPr>
        <w:spacing w:after="0" w:line="256"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In June 2015 the Company increased its ownership interest in PKL, a subsidiary of the Company based in Korea, to 99.77% from 99.75%, by purchasing shares of its common stock from noncontrolling interests at a cost of $0.1 million.</w:t>
      </w:r>
    </w:p>
    <w:p>
      <w:pPr>
        <w:spacing w:after="0" w:line="197"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Since the second quarter of fiscal 2011, the board of directors of PSMC (in 2014 PSMC’s name was changed to PDMC, see Note 2), a subsidiary of the Company based in Taiwan, authorized several share repurchase programs for PSMC to purchase for retirement shares of its outstanding common stock. The last of these repurchase programs concluded in the first fiscal quarter of 2013 in which PSMC purchased shares at a cost of $4.2 million. These repurchase programs increased the Company's ownership in PSMC from 72.09% at October 28, 2012, to 75.11% at January 27, 2013. During fiscal 2013 the Company increased its ownership interest in PSMC, primarily through a tender offer, to 98.63% by purchasing shares at a cost of $28.1 million. In January 2014 the Company increased its ownership percentage in PSMC to 100% at a cost of $1.7 million by purchasing the remaining shares that were not owned by the Company.</w:t>
      </w:r>
    </w:p>
    <w:p>
      <w:pPr>
        <w:spacing w:after="0" w:line="216"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The table below presents the effect of the change in the Company’s ownership interest in PSMC and PKL on the Company's equity for fiscal years 2015, 2014 and 2013 (in 2015 shares of PKL common stock were purchased, in 2014 shares of PSMC common stock were issued in connection with the DPTT Acquisition and shares were acquired from the former noncontrolling interests, and in 2013 shares of PSMC common stock were purchased).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November 1,</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2,</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25,996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accumulated other comprehensive income</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4"/>
              </w:rPr>
              <w:t>Change from net income attributable to Photronics, Inc. shareholders due to issuance of shares of</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PDMC and transfers to or from noncontrolling interests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44,653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20,212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8"/>
          <w:szCs w:val="18"/>
          <w:color w:val="auto"/>
        </w:rPr>
        <w:t>At November 1, 2015, the Company had outstanding purchase commitments of $14 million, which included $3 million related to capital expenditures, and had recorded liabilities for the purchase of equipment of $26 million. See Note 8 for operating lease commitments.</w:t>
      </w:r>
    </w:p>
    <w:p>
      <w:pPr>
        <w:spacing w:after="0" w:line="197"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15 - GEOGRAPHIC AND SIGNIFICANT CUSTOMER INFORMATION</w:t>
      </w:r>
    </w:p>
    <w:p>
      <w:pPr>
        <w:spacing w:after="0" w:line="256"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2015, 2014 and 2013 net sales by geographic area and of ICs and FPDs, and long-lived assets by geographic area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4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1,</w:t>
            </w: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8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117,364</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147,921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140,386</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134,300</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106,740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127,054</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38,726</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41,126</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 Asia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524,206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455,527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422,180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420,833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352,679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320,579</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FPD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101,601</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524,206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455,527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422,180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 of</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34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1,</w:t>
            </w:r>
          </w:p>
        </w:tc>
        <w:tc>
          <w:tcPr>
            <w:tcW w:w="13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2,</w:t>
            </w:r>
          </w:p>
        </w:tc>
        <w:tc>
          <w:tcPr>
            <w:tcW w:w="8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66,836</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167,618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176,141</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153,878</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158,325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191,518</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8,259</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10,471</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 Asia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547,284</w:t>
            </w:r>
          </w:p>
        </w:tc>
        <w:tc>
          <w:tcPr>
            <w:tcW w:w="2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550,069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422,740</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One customer accounted for 18%, 16% and 18% of the Company's net sales in fiscal years 2015, 2014 and 2013, respectively, and another customer accounted for 15% and 11% of the Company’s net sales in fiscal 2015 and 2014, respectively.</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CHANGES IN ACCUMULATED OTHER COMPREHENSIVE INCOME BY COMPONENT</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set forth the changes in the Company's accumulated other comprehensive income by component (net of tax of $0)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 and November 2,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Year Ended November 1, 2015</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November 1, 2015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1"/>
              </w:rPr>
              <w:t>Year Ended November 2, 2014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5"/>
              </w:rPr>
              <w:t>Other accumulated comprehensive income allocated to noncontrolling interests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common stock of subsidiary</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November 2, 2014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22,651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the cash flow hedge is included in Cost of sales in the consolidated statements of income for all periods presented.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CONCENTRATIONS OF CREDIT RISK</w:t>
      </w:r>
    </w:p>
    <w:p>
      <w:pPr>
        <w:spacing w:after="0" w:line="256"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200"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RELATED PARTY TRANSACTIONS</w:t>
      </w:r>
    </w:p>
    <w:p>
      <w:pPr>
        <w:spacing w:after="0" w:line="256"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The executive chairman of the board of the Company is also a director of a company that provides secure managed information technology services to Photronics. Another director of the Company is also a shareholder, chief executive officer and chairman of the board of this company. Since 2002, the Company has entered into various service contracts with this company to provide services to all of the Company's worldwide facilities. The Company incurred expenses for services provided by this company of $1.0 million, $1.2 million, and $1.7 million in fiscal years 2015, 2014 and 2013, respectively, and had an outstanding balance of less than $0.1 million due to this company as of November 1, 2015 and $0.1 million as of November 2, 2014. As of November 1, 2015, the Company had contracted with this company for various services through June 2016 at a cost of $0.2 million.</w:t>
      </w:r>
    </w:p>
    <w:p>
      <w:pPr>
        <w:spacing w:after="0" w:line="205"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$20.2 million, $20.1 million and $20.0 million of photomask blanks from this company in 2015, 2014 and 2013, respectively, for which the amount owed to this company was $4.5 million at November 1, 2015, and $4.4 million at November 2, 2014.</w:t>
      </w:r>
    </w:p>
    <w:p>
      <w:pPr>
        <w:spacing w:after="0" w:line="20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The Company believes that the terms of its transactions with the related parties described above were negotiated at arm's length and were no less favorable to the Company than terms it could have obtained from unrelated third parties. See Note 5 for other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56"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Company did not have any assets or liabilities measured at fair value, on a recurring or a nonrecurring basis, at November 1, 2015, or November 2, 2014. During the three month period ended May 4, 2014, the Company measured and recorded the net assets it acquired in its subsidiary’s acquisition of DPTT at fair value. See Note 2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jc w:val="both"/>
        <w:ind w:right="400" w:firstLine="259"/>
        <w:spacing w:after="0" w:line="264"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table below presents the fair and carrying values of the Company's convertible senior notes at November 1, 2015, and November 2, 2014.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7"/>
          </w:tcPr>
          <w:p>
            <w:pPr>
              <w:ind w:left="420"/>
              <w:spacing w:after="0"/>
              <w:rPr>
                <w:sz w:val="20"/>
                <w:szCs w:val="20"/>
                <w:color w:val="auto"/>
              </w:rPr>
            </w:pPr>
            <w:r>
              <w:rPr>
                <w:rFonts w:ascii="Arial" w:cs="Arial" w:eastAsia="Arial" w:hAnsi="Arial"/>
                <w:sz w:val="18"/>
                <w:szCs w:val="18"/>
                <w:b w:val="1"/>
                <w:bCs w:val="1"/>
                <w:color w:val="auto"/>
              </w:rPr>
              <w:t>November 1, 2015</w:t>
            </w:r>
          </w:p>
        </w:tc>
        <w:tc>
          <w:tcPr>
            <w:tcW w:w="140" w:type="dxa"/>
            <w:vAlign w:val="bottom"/>
          </w:tcPr>
          <w:p>
            <w:pPr>
              <w:spacing w:after="0"/>
              <w:rPr>
                <w:sz w:val="20"/>
                <w:szCs w:val="20"/>
                <w:color w:val="auto"/>
              </w:rPr>
            </w:pPr>
          </w:p>
        </w:tc>
        <w:tc>
          <w:tcPr>
            <w:tcW w:w="2460" w:type="dxa"/>
            <w:vAlign w:val="bottom"/>
            <w:gridSpan w:val="6"/>
          </w:tcPr>
          <w:p>
            <w:pPr>
              <w:ind w:left="420"/>
              <w:spacing w:after="0"/>
              <w:rPr>
                <w:sz w:val="20"/>
                <w:szCs w:val="20"/>
                <w:color w:val="auto"/>
              </w:rPr>
            </w:pPr>
            <w:r>
              <w:rPr>
                <w:rFonts w:ascii="Arial" w:cs="Arial" w:eastAsia="Arial" w:hAnsi="Arial"/>
                <w:sz w:val="18"/>
                <w:szCs w:val="18"/>
                <w:b w:val="1"/>
                <w:bCs w:val="1"/>
                <w:color w:val="auto"/>
              </w:rPr>
              <w:t>November 2, 2014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60,375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3.25% convertible senior notes due 2019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64,550</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5980" w:type="dxa"/>
            <w:vAlign w:val="bottom"/>
            <w:gridSpan w:val="6"/>
          </w:tcPr>
          <w:p>
            <w:pPr>
              <w:spacing w:after="0"/>
              <w:rPr>
                <w:sz w:val="20"/>
                <w:szCs w:val="20"/>
                <w:color w:val="auto"/>
              </w:rPr>
            </w:pPr>
            <w:r>
              <w:rPr>
                <w:rFonts w:ascii="Arial" w:cs="Arial" w:eastAsia="Arial" w:hAnsi="Arial"/>
                <w:sz w:val="18"/>
                <w:szCs w:val="18"/>
                <w:b w:val="1"/>
                <w:bCs w:val="1"/>
                <w:color w:val="auto"/>
              </w:rPr>
              <w:t>NOTE 20 - QUARTERLY RESULTS OF OPERATIONS (UNAUDITED)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gridSpan w:val="5"/>
          </w:tcPr>
          <w:p>
            <w:pPr>
              <w:jc w:val="right"/>
              <w:ind w:right="520"/>
              <w:spacing w:after="0"/>
              <w:rPr>
                <w:sz w:val="20"/>
                <w:szCs w:val="20"/>
                <w:color w:val="auto"/>
              </w:rPr>
            </w:pPr>
            <w:r>
              <w:rPr>
                <w:rFonts w:ascii="Arial" w:cs="Arial" w:eastAsia="Arial" w:hAnsi="Arial"/>
                <w:sz w:val="18"/>
                <w:szCs w:val="18"/>
                <w:color w:val="auto"/>
                <w:w w:val="96"/>
              </w:rPr>
              <w:t>The following table sets forth certain unaudited quarterly financial data:</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Second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Third</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123,505</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127,309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28,184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37,243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12,106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0.14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Fiscal 2014: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(c)(d)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0"/>
              </w:rPr>
              <w:t>(c)(e)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101,542</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104,882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124,852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124,251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$0.9 million of financing expenses related to the exchange of $57.5 million 3.25% convertible senior notes.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$0.5 million, net of tax, related to the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$16.4 million, net of tax, related to the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$2.0 million, net of tax, related to the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$2.5 million, net of tax, related to the acquisition of DPTT.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RECENT ACCOUNTING PRONOUNCEMENTS</w:t>
      </w:r>
    </w:p>
    <w:p>
      <w:pPr>
        <w:spacing w:after="0" w:line="256"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In November 2015 the Financial Accounting Standards Board (“FASB”) issued Accounting Standards Update (“ASU”) 2015-17 “Balance Sheet Classification of Deferred Taxes”, which requires that deferred tax liabilities and assets be classified as noncurrent in a classified statement of financial position. This ASU is effective for the Company in its first quarter of fiscal 2017, with early application permitted and, upon adoption, may be applied either prospectively or retrospectively. The Company is currently evaluating the effect this ASU will have on its consolidated financial statements.</w:t>
      </w:r>
    </w:p>
    <w:p>
      <w:pPr>
        <w:spacing w:after="0" w:line="198"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related to recognized debt liability to be presented in the balance sheet as a direct deduction from that debt liability, consistent with the presentation of a debt discount. This ASU is effective for the Company in its first quarter of fiscal 2017 and, upon adoption, should be applied retrospectively. Early adoption is permitted. The Company is currently evaluating the effect this ASU will have on its consolidated financial statements.</w:t>
      </w:r>
    </w:p>
    <w:p>
      <w:pPr>
        <w:spacing w:after="0" w:line="198"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In May 2014, the FASB issued ASU 2014-09 –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2019. ASU 2014-09 allows for either full retrospective or modified retrospective adoption. The Company is evaluating the transition method that will be elected and the potential effects of the adoption of ASU 2014-09 on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w:t>
      </w:r>
    </w:p>
    <w:p>
      <w:pPr>
        <w:spacing w:after="0" w:line="256"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Company had a minority interest in a foreign entity. In December 2015 the Company sold its investment in the foreign entity for $8.8 million and expects to recognize a net gain of approximately $8.5 million in the Company’s quarter ending January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760" w:firstLine="259"/>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100" w:firstLine="259"/>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November 1, 2015, based on the criteria set forth by the Committee of Sponsoring Organizations of the Treadway Commission in its "Internal Control - Integrated Framework" (2013). Management, under the supervision and with the participation of the Company's chief executive officer and chief financial officer, concluded that the Company's internal control over financial reporting was effective as of November 1, 2015.</w:t>
      </w:r>
    </w:p>
    <w:p>
      <w:pPr>
        <w:spacing w:after="0" w:line="214"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November 1, 2015, as stated in their attestation report on page 33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7,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2016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the Company's 2016 definitive Proxy Statement under the caption "EXECUTIVE OFFICERS" and is incorporated in this report by reference.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160" w:firstLine="259"/>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2016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21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The information required by Item 201(d) of Regulation S-K is set forth in the Company’s 2016 definitive Proxy Statement under the caption “EQUITY COMPENSATION PLAN INFORMATION”, and is incorporated in this report by reference. The information required by Item 403 of Regulation S-K is set forth in the Company's 2016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2016 definitive Proxy Statement under the captions "MEETINGS AND COMMITTEES OF THE BOARD" and "CERTAIN RELATIONSHIPS AND RELATED TRANSACTIONS", respectively, and is incorporated in this report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400" w:firstLine="259"/>
        <w:spacing w:after="0" w:line="264" w:lineRule="auto"/>
        <w:rPr>
          <w:sz w:val="20"/>
          <w:szCs w:val="20"/>
          <w:color w:val="auto"/>
        </w:rPr>
      </w:pPr>
      <w:r>
        <w:rPr>
          <w:rFonts w:ascii="Arial" w:cs="Arial" w:eastAsia="Arial" w:hAnsi="Arial"/>
          <w:sz w:val="18"/>
          <w:szCs w:val="18"/>
          <w:color w:val="auto"/>
        </w:rPr>
        <w:t>The information required by Item 9(e) of Rule 14a-101 of the Exchange Act is set forth in the Company's 2016 definitive Proxy Statement under the captions "Fees Paid to the Independent Registered Public Accounting Firm" and "AUDIT COMMITTEE REPORT," and is incorporated in this report by reference.</w:t>
      </w:r>
    </w:p>
    <w:p>
      <w:pPr>
        <w:spacing w:after="0" w:line="200" w:lineRule="exact"/>
        <w:rPr>
          <w:sz w:val="20"/>
          <w:szCs w:val="20"/>
          <w:color w:val="auto"/>
        </w:rPr>
      </w:pPr>
    </w:p>
    <w:p>
      <w:pPr>
        <w:spacing w:after="0" w:line="2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18"/>
          <w:szCs w:val="18"/>
          <w:b w:val="1"/>
          <w:bCs w:val="1"/>
          <w:color w:val="auto"/>
        </w:rPr>
        <w:t>Page No.</w:t>
      </w:r>
    </w:p>
    <w:p>
      <w:pPr>
        <w:spacing w:after="0" w:line="27" w:lineRule="exact"/>
        <w:rPr>
          <w:sz w:val="20"/>
          <w:szCs w:val="20"/>
          <w:color w:val="auto"/>
        </w:rPr>
      </w:pPr>
    </w:p>
    <w:p>
      <w:pPr>
        <w:spacing w:after="0"/>
        <w:tabs>
          <w:tab w:leader="none" w:pos="900" w:val="left"/>
          <w:tab w:leader="none" w:pos="11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Financial Statements: See "INDEX TO CONSOLIDATED FINANCIAL STATEMENTS" in Part II, Item 8 of this Form 10-K.</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Report of Independent Registered Public Accounting Firm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7"/>
              </w:rPr>
              <w:t>Schedule II - Valuation and Qualifying Accounts for the years ended November 1, 2015, November 2, 2014 and November 3,</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All other schedules are omitted because they are not applicable.</w:t>
            </w: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70"/>
              </w:rPr>
              <w:t>3.</w:t>
            </w:r>
          </w:p>
        </w:tc>
        <w:tc>
          <w:tcPr>
            <w:tcW w:w="10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Exhibits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60" w:type="dxa"/>
            <w:vAlign w:val="bottom"/>
          </w:tcPr>
          <w:p>
            <w:pPr>
              <w:ind w:left="5100"/>
              <w:spacing w:after="0"/>
              <w:rPr>
                <w:sz w:val="20"/>
                <w:szCs w:val="20"/>
                <w:color w:val="auto"/>
              </w:rPr>
            </w:pPr>
            <w:r>
              <w:rPr>
                <w:rFonts w:ascii="Arial" w:cs="Arial" w:eastAsia="Arial" w:hAnsi="Arial"/>
                <w:sz w:val="14"/>
                <w:szCs w:val="14"/>
                <w:color w:val="auto"/>
              </w:rPr>
              <w:t>65</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We have audited the consolidated financial statements of Photronics, Inc. and subsidiaries (the "Company") as of November 1, 2015 and November 2, 2014, and for each of the three fiscal years ended November 1, 2015, November 2, 2014 and November 3, 2013, and the Company's internal control over financial reporting as of November 1, 2015, and have issued our report thereon dated January 7, 2016;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7, 2016</w:t>
      </w: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 the Years Ended November 1, 2015, November 2, 2014</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and November 3, 2013</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Charged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Beginning of</w:t>
            </w:r>
          </w:p>
        </w:tc>
        <w:tc>
          <w:tcPr>
            <w:tcW w:w="10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Expenses</w:t>
            </w:r>
          </w:p>
        </w:tc>
        <w:tc>
          <w:tcPr>
            <w:tcW w:w="12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Year ended November 2, 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277(a)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3,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(8,421)(c)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Year ended November 2, 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56,661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(7,113)(c)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3,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Uncollectible accounts written off, net, and impact of foreign currency translation.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 reversal of valuation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deferred tax liability and utilization of net operating losses.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160" w:type="dxa"/>
            <w:vAlign w:val="bottom"/>
            <w:gridSpan w:val="6"/>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88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ind w:left="29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19"/>
        </w:trPr>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9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Certificate of Incorporation as amended July 9, 1986, April 9, 1990, March 16, 1995, November 13, 1997, April 15, 2002 and June 20, 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3.1 to the Company’s Annual Report on Form 10-K filed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By-laws of the Company as restated August 28,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Indenture dated March 28, 2011, between the Company and Wells Fargo (as successor trustee to the Bank of Nova Scotia Trust Company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(incorporated by reference to Exhibit 4.1 to the Company’s Current Report on Form 8-K filed on March 29,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First Supplement to Indenture dated April 27, 2011 (incorporated by reference to Exhibit 4.6 of the Company’s Quarterly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 filed June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Indenture dated January 22, 2015, by and between the Company and the Bank of New York Mellon Trust Company, N.A., as trustee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4.2 to the Company’s Current Report on Form 8-K filed on January 28,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79"/>
              </w:rPr>
              <w:t>10.1</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Master Service Agreement dated January 11, 2002 between the Company and RagingWire Telecommunications, Inc.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to Exhibit 10.1 of the Company’s Annual Report on Form 10-K filed January 6,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79"/>
              </w:rPr>
              <w:t>10.2</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 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Form S-8, File Number 33-47446 which was filed April 24, 1994).</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79"/>
              </w:rPr>
              <w:t>10.3</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1"/>
              </w:rPr>
              <w:t>Amendment to the Employee Stock Purchase Plan as of March 24, 2004 (incorporated by reference to Exhibit 10.7 to the Company’s Annual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Report on Form 10-K for the fiscal year ended October 31, 2010 filed January 14, 2011).</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Amendment to the Employee Stock Purchase Plan as of April 8, 2010.*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79"/>
              </w:rPr>
              <w:t>10.5</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6"/>
              </w:rPr>
              <w:t>Amendment to the Employee Stock Purchase Plan as of March 28, 2012 (incorporated by reference to Exhibit 10.9 to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Quarterly Report on Form 10-Q filed September 5, 2012).</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ind w:left="44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The Company’s 2007 Long-Term Equity Incentive Plan (incorporated by reference to the Company’s Proxy filed on March 3, 2014).</w:t>
            </w:r>
            <w:r>
              <w:rPr>
                <w:rFonts w:ascii="Arial" w:cs="Arial" w:eastAsia="Arial" w:hAnsi="Arial"/>
                <w:sz w:val="30"/>
                <w:szCs w:val="30"/>
                <w:color w:val="auto"/>
                <w:w w:val="97"/>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3"/>
                <w:szCs w:val="13"/>
                <w:color w:val="auto"/>
              </w:rPr>
              <w:t xml:space="preserve">Amendment to the 2007 Long Term Equity Incentive Plan as of April 8, 2010.*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10.8</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Amendment to the 2007 Long Term Equity Incentive Plan as of April 11, 2014 (incorporated by reference to Exhibit 10.8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Annual Report on Form 10-K filed January 6,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10.9</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2"/>
              </w:rPr>
              <w:t>2011 Executive Incentive Compensation Plan effective as of November 1, 2010 (incorporated by reference to Exhibit 10.9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Annual Report on Form 10-K filed January 6,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4"/>
              </w:rPr>
              <w:t>Executive Employment Agreement between the Company and Constantine Macricostas dated May 4, 2015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Exhibit 10.31 to the Company’s Quarterly Report on Form 10-Q filed on September 9, 2015).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10.11</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2"/>
              </w:rPr>
              <w:t>Executive Employment Agreement between the Company and Sean T. Smith dated February 20, 2003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10.12 of the Company’s Annual Report on Form 10-K filed January 6,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10.12</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Limited Liability Company Operating Agreement of MP Mask Technology Center, LLC ("MP Mask") between Micron Technology, Inc.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("Micron") and Photronics, Inc. ("Photronics") dated May 5, 2006 (incorporated by reference to Exhibit 10.14 to the Company’s Annual</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Report on Form 10-K for the fiscal year ended October 30,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10.13</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4"/>
              </w:rPr>
              <w:t>Contribution and Units Purchase Agreement between Micron, Photronics and MP Mask dated May 5, 2006 (incorporated by reference to</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Exhibit 10.15 to 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10.14</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2"/>
              </w:rPr>
              <w:t>Technology License Agreement among Micron, Photronics and MP Mask dated May 5, 2006 (incorporated by reference to Exhibit 10.16 to</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10.15</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Photronics to Micron Supply Agreement between Micron and Photronics dated May 5, 2006 (incorporated by reference to Exhibit 10.17 to</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10.16</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1"/>
              </w:rPr>
              <w:t>MP Mask to Photronics Supply Agreement between MP Mask and Photronics dated May 5, 2006 (incorporated by reference to Exhibit 10.18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to the Company’s Annual Report on Form 10-K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10.17</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0"/>
              </w:rPr>
              <w:t>Special Warranty Deed dated as of February 29, 2012 (incorporated by reference to Exhibit 99.2 to the Company’s Current Report on Form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 filed on March 6,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10.18</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5"/>
              </w:rPr>
              <w:t>Outsource Supply Agreement between Micron and Photronics dated March 24, 2015 (incorporated by reference to Exhibit 10.18 to the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10.19</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8"/>
              </w:rPr>
              <w:t>Bridge License Agreement between Micron and Photronics dated March 24, 2015 (incorporated by reference to Exhibit 10.16 to the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10.20</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Joint Venture Framework Agreement dated November 20, 2013 between the Company and Dai Nippon Printing Co., Ltd (incorporated by</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reference to Exhibit 10.19 of the Company’s Annual Report on Form 10-K/A filed July 8,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10.21</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4"/>
              </w:rPr>
              <w:t>Joint Venture Operating Agreement dated November 20, 2013 between the Company and Dai Nippon Printing Co., Ltd. (incorporated by</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reference to Exhibit 10.20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10.22</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1"/>
              </w:rPr>
              <w:t>Outsourcing Agreement dated November 20, 2013 between the Company, Dai Nippon Printing Co., Ltd and Photronics Semiconductor Mask</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Corporation (incorporated by reference to Exhibit 10.21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10.23</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4"/>
              </w:rPr>
              <w:t>License Agreement dated November 20, 2013 between the Company and Photronics Semiconductor Mask Corporation (incorporated by</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reference to Exhibit 10.22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10.24</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License Agreement dated November 20, 2013 between Dai Nippon Printing Co., Ltd and Photronics Semiconductor Mask Corporation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(incorporated by reference to Exhibit 10.23 of the Company’s Annual Report on Form 10-K/A filed July 8,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10.25</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5"/>
              </w:rPr>
              <w:t>Margin Agreement dated November 20, 2013 between the Company, Dai Nippon Printing Co., Ltd and Photronics Semiconductor Mask</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Corporation (incorporated by reference to Exhibit 10.24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10.26</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1"/>
              </w:rPr>
              <w:t>Merger Agreement dated January 16, 2014 between Photronics Semiconductor Mask Corporation and DNP Photomask Technology Taiwan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Co. Ltd. (incorporated by reference to Exhibit 10.25 of the Company’s Annual Report on Form 10-K/A filed July 8,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10.27</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Executive Employment Agreement between the Company and Soo Hong Jeong dated May 31, 2011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10.40 to the Company’s Quarterly Report on Form 10-Q filed on June 8,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10.28</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6"/>
              </w:rPr>
              <w:t>Executive Employment Agreement between the Company and Christopher J. Progler, Vice President, Chief Technology Officer 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w w:val="97"/>
              </w:rPr>
              <w:t>September 10, 2007 (incorporated by reference to Exhibit 10.22 to the Company’s Annual Report on Form 10-K filed on January 9, 2013).</w:t>
            </w:r>
            <w:r>
              <w:rPr>
                <w:rFonts w:ascii="Arial" w:cs="Arial" w:eastAsia="Arial" w:hAnsi="Arial"/>
                <w:sz w:val="27"/>
                <w:szCs w:val="27"/>
                <w:color w:val="auto"/>
                <w:w w:val="97"/>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10.29</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2"/>
              </w:rPr>
              <w:t>Executive Employment Agreement between the Company and Peter S. Kirlin dated May 4, 2015 (incorporated by reference to Exhibit 10.28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of the Company's Quarterly Report on Form 10-Q filed on September 9,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jc w:val="right"/>
              <w:ind w:right="360"/>
              <w:spacing w:after="0" w:line="176" w:lineRule="exact"/>
              <w:rPr>
                <w:rFonts w:ascii="Arial" w:cs="Arial" w:eastAsia="Arial" w:hAnsi="Arial"/>
                <w:sz w:val="18"/>
                <w:szCs w:val="18"/>
                <w:color w:val="0000EE"/>
                <w:w w:val="84"/>
              </w:rPr>
            </w:pPr>
            <w:hyperlink w:anchor="page11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30</w:t>
              </w:r>
            </w:hyperlink>
          </w:p>
        </w:tc>
        <w:tc>
          <w:tcPr>
            <w:tcW w:w="106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Executive Employment Agreement between the Company and Richelle E. Burr dated May 21,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10.31</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9"/>
              </w:rPr>
              <w:t>Form of Amendment to Executive Employment Agreement dated March 16, 2012 (incorporated by reference to Exhibit 10.1 to the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Company’s Current Report on Form 8-K filed on March 16,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84"/>
              </w:rPr>
              <w:t>10.32</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1"/>
              </w:rPr>
              <w:t>Third Amended and Restated Credit Agreement dated as of December 5, 2013 (incorporated by reference to Exhibit 10.24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Annual Report on Form 10-K filed on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84"/>
              </w:rPr>
              <w:t>10.33</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Amendment No. 1 dated as of August 22, 2014 to the Third Amended and Restated Credit Agreement dated as of December 5,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to Exhibit 10.32 of the Company’s Annual Report on Form 10-K filed January 6,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84"/>
              </w:rPr>
              <w:t>10.34</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3"/>
              </w:rPr>
              <w:t>Second Amended and Restated Security Agreement (incorporated by reference to Exhibit 10.33 of the Company’s Annual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10-K filed January 6, 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gridSpan w:val="2"/>
            <w:shd w:val="clear" w:color="auto" w:fill="CCEEFF"/>
          </w:tcPr>
          <w:p>
            <w:pPr>
              <w:jc w:val="right"/>
              <w:ind w:right="4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2"/>
            <w:shd w:val="clear" w:color="auto" w:fill="CCEEFF"/>
          </w:tcPr>
          <w:p>
            <w:pPr>
              <w:jc w:val="right"/>
              <w:ind w:right="420"/>
              <w:spacing w:after="0" w:line="176" w:lineRule="exact"/>
              <w:rPr>
                <w:rFonts w:ascii="Arial" w:cs="Arial" w:eastAsia="Arial" w:hAnsi="Arial"/>
                <w:sz w:val="18"/>
                <w:szCs w:val="18"/>
                <w:color w:val="0000EE"/>
                <w:w w:val="79"/>
              </w:rPr>
            </w:pPr>
            <w:hyperlink w:anchor="page13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2"/>
            <w:shd w:val="clear" w:color="auto" w:fill="CCEEFF"/>
          </w:tcPr>
          <w:p>
            <w:pPr>
              <w:jc w:val="right"/>
              <w:ind w:right="420"/>
              <w:spacing w:after="0" w:line="176" w:lineRule="exact"/>
              <w:rPr>
                <w:rFonts w:ascii="Arial" w:cs="Arial" w:eastAsia="Arial" w:hAnsi="Arial"/>
                <w:sz w:val="18"/>
                <w:szCs w:val="18"/>
                <w:color w:val="0000EE"/>
                <w:w w:val="79"/>
              </w:rPr>
            </w:pPr>
            <w:hyperlink w:anchor="page138">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 w:type="dxa"/>
            <w:vAlign w:val="bottom"/>
            <w:gridSpan w:val="2"/>
            <w:shd w:val="clear" w:color="auto" w:fill="CCEEFF"/>
          </w:tcPr>
          <w:p>
            <w:pPr>
              <w:jc w:val="right"/>
              <w:ind w:right="420"/>
              <w:spacing w:after="0" w:line="176" w:lineRule="exact"/>
              <w:rPr>
                <w:rFonts w:ascii="Arial" w:cs="Arial" w:eastAsia="Arial" w:hAnsi="Arial"/>
                <w:sz w:val="18"/>
                <w:szCs w:val="18"/>
                <w:color w:val="0000EE"/>
                <w:w w:val="79"/>
              </w:rPr>
            </w:pPr>
            <w:hyperlink w:anchor="page139">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60" w:hanging="1006"/>
        <w:spacing w:after="0"/>
        <w:tabs>
          <w:tab w:leader="none" w:pos="11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Represents a management contract or compensatory plan or arrangement.</w:t>
      </w:r>
    </w:p>
    <w:p>
      <w:pPr>
        <w:spacing w:after="0" w:line="202" w:lineRule="exact"/>
        <w:rPr>
          <w:sz w:val="20"/>
          <w:szCs w:val="20"/>
          <w:color w:val="auto"/>
        </w:rPr>
      </w:pPr>
    </w:p>
    <w:p>
      <w:pPr>
        <w:ind w:left="1160" w:hanging="1006"/>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w:t>
      </w:r>
    </w:p>
    <w:p>
      <w:pPr>
        <w:spacing w:after="0" w:line="248" w:lineRule="exact"/>
        <w:rPr>
          <w:sz w:val="20"/>
          <w:szCs w:val="20"/>
          <w:color w:val="auto"/>
        </w:rPr>
      </w:pPr>
    </w:p>
    <w:p>
      <w:pPr>
        <w:ind w:left="1160" w:hanging="1006"/>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25" w:lineRule="exact"/>
        <w:rPr>
          <w:rFonts w:ascii="Arial" w:cs="Arial" w:eastAsia="Arial" w:hAnsi="Arial"/>
          <w:sz w:val="18"/>
          <w:szCs w:val="18"/>
          <w:color w:val="auto"/>
        </w:rPr>
      </w:pPr>
    </w:p>
    <w:p>
      <w:pPr>
        <w:ind w:left="1160" w:right="240"/>
        <w:spacing w:after="0" w:line="308"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340" w:val="left"/>
          <w:tab w:leader="none" w:pos="5140" w:val="left"/>
        </w:tabs>
        <w:rPr>
          <w:sz w:val="20"/>
          <w:szCs w:val="20"/>
          <w:color w:val="auto"/>
        </w:rPr>
      </w:pPr>
      <w:r>
        <w:rPr>
          <w:rFonts w:ascii="Arial" w:cs="Arial" w:eastAsia="Arial" w:hAnsi="Arial"/>
          <w:sz w:val="18"/>
          <w:szCs w:val="18"/>
          <w:color w:val="auto"/>
        </w:rPr>
        <w:t>By</w:t>
        <w:tab/>
        <w:t>/s/ SEAN T. SMITH</w:t>
      </w:r>
      <w:r>
        <w:rPr>
          <w:sz w:val="20"/>
          <w:szCs w:val="20"/>
          <w:color w:val="auto"/>
        </w:rPr>
        <w:tab/>
      </w:r>
      <w:r>
        <w:rPr>
          <w:rFonts w:ascii="Arial" w:cs="Arial" w:eastAsia="Arial" w:hAnsi="Arial"/>
          <w:sz w:val="15"/>
          <w:szCs w:val="15"/>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7616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KIRLIN</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Peter S. Kirlin</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Sean T. Smith</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Senior Vice President</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 Chairman of the Board</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6720" w:type="dxa"/>
            <w:vAlign w:val="bottom"/>
            <w:gridSpan w:val="2"/>
          </w:tcPr>
          <w:p>
            <w:pPr>
              <w:jc w:val="center"/>
              <w:ind w:right="4660"/>
              <w:spacing w:after="0"/>
              <w:rPr>
                <w:sz w:val="20"/>
                <w:szCs w:val="20"/>
                <w:color w:val="auto"/>
              </w:rPr>
            </w:pPr>
            <w:r>
              <w:rPr>
                <w:rFonts w:ascii="Arial" w:cs="Arial" w:eastAsia="Arial" w:hAnsi="Arial"/>
                <w:sz w:val="18"/>
                <w:szCs w:val="18"/>
                <w:color w:val="auto"/>
                <w:w w:val="88"/>
              </w:rPr>
              <w:t>January 7, 2016</w:t>
            </w: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5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700" w:type="dxa"/>
            <w:vAlign w:val="bottom"/>
          </w:tcPr>
          <w:p>
            <w:pPr>
              <w:jc w:val="center"/>
              <w:ind w:right="4592"/>
              <w:spacing w:after="0"/>
              <w:rPr>
                <w:sz w:val="20"/>
                <w:szCs w:val="20"/>
                <w:color w:val="auto"/>
              </w:rPr>
            </w:pPr>
            <w:r>
              <w:rPr>
                <w:rFonts w:ascii="Arial" w:cs="Arial" w:eastAsia="Arial" w:hAnsi="Arial"/>
                <w:sz w:val="14"/>
                <w:szCs w:val="14"/>
                <w:color w:val="auto"/>
                <w:w w:val="89"/>
              </w:rPr>
              <w:t>71</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340" w:type="dxa"/>
            <w:vAlign w:val="bottom"/>
            <w:tcBorders>
              <w:top w:val="single" w:sz="8" w:color="auto"/>
            </w:tcBorders>
            <w:shd w:val="clear" w:color="auto" w:fill="808080"/>
          </w:tcPr>
          <w:p>
            <w:pPr>
              <w:spacing w:after="0" w:line="20" w:lineRule="exact"/>
              <w:rPr>
                <w:sz w:val="1"/>
                <w:szCs w:val="1"/>
                <w:color w:val="auto"/>
              </w:rPr>
            </w:pPr>
          </w:p>
        </w:tc>
        <w:tc>
          <w:tcPr>
            <w:tcW w:w="4340" w:type="dxa"/>
            <w:vAlign w:val="bottom"/>
            <w:tcBorders>
              <w:top w:val="single" w:sz="8" w:color="auto"/>
            </w:tcBorders>
            <w:shd w:val="clear" w:color="auto" w:fill="808080"/>
          </w:tcPr>
          <w:p>
            <w:pPr>
              <w:spacing w:after="0" w:line="20" w:lineRule="exact"/>
              <w:rPr>
                <w:sz w:val="1"/>
                <w:szCs w:val="1"/>
                <w:color w:val="auto"/>
              </w:rPr>
            </w:pPr>
          </w:p>
        </w:tc>
        <w:tc>
          <w:tcPr>
            <w:tcW w:w="67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2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PHOTRONICS, INC.</w:t>
      </w:r>
    </w:p>
    <w:p>
      <w:pPr>
        <w:spacing w:after="0" w:line="252" w:lineRule="exact"/>
        <w:rPr>
          <w:sz w:val="20"/>
          <w:szCs w:val="20"/>
          <w:color w:val="auto"/>
        </w:rPr>
      </w:pPr>
    </w:p>
    <w:p>
      <w:pPr>
        <w:ind w:left="4400"/>
        <w:spacing w:after="0"/>
        <w:tabs>
          <w:tab w:leader="none" w:pos="560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7"/>
          <w:szCs w:val="17"/>
          <w:color w:val="auto"/>
        </w:rPr>
        <w:t>IDENTIFICATION</w:t>
      </w:r>
    </w:p>
    <w:p>
      <w:pPr>
        <w:spacing w:after="0" w:line="252"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Name. The name of the Corporation is Photronics, Inc.</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Section 2. Seal. Upon the seal of the Corporation shall appear the name of the Corporation and the state and year of incorporation, and the words "Corporate Seal."</w:t>
      </w:r>
    </w:p>
    <w:p>
      <w:pPr>
        <w:spacing w:after="0" w:line="197" w:lineRule="exact"/>
        <w:rPr>
          <w:sz w:val="20"/>
          <w:szCs w:val="20"/>
          <w:color w:val="auto"/>
        </w:rPr>
      </w:pPr>
    </w:p>
    <w:p>
      <w:pPr>
        <w:jc w:val="both"/>
        <w:ind w:right="40" w:firstLine="486"/>
        <w:spacing w:after="0" w:line="342" w:lineRule="auto"/>
        <w:rPr>
          <w:sz w:val="20"/>
          <w:szCs w:val="20"/>
          <w:color w:val="auto"/>
        </w:rPr>
      </w:pPr>
      <w:r>
        <w:rPr>
          <w:rFonts w:ascii="Arial" w:cs="Arial" w:eastAsia="Arial" w:hAnsi="Arial"/>
          <w:sz w:val="16"/>
          <w:szCs w:val="16"/>
          <w:color w:val="auto"/>
        </w:rPr>
        <w:t>Section 3. Offices. The principal office of the Corporation shall be located in Brookfield Center, Connecticut. The Corporation may also have other offices at such other places, either within or without the State of Connecticut, as the Board may determine or as the activities of the Corporation may require.</w:t>
      </w:r>
    </w:p>
    <w:p>
      <w:pPr>
        <w:spacing w:after="0" w:line="151"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7"/>
          <w:szCs w:val="17"/>
          <w:color w:val="auto"/>
        </w:rPr>
        <w:t>MEETINGS OF SHAREHOLDERS</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Section 1. Place of Meetings. Meetings of the shareholders of the Corporation shall be held at the principal office of the Corporation, or at such other place, either within or without the State of Connecticut, as may be fixed </w:t>
      </w:r>
      <w:r>
        <w:rPr>
          <w:rFonts w:ascii="Arial" w:cs="Arial" w:eastAsia="Arial" w:hAnsi="Arial"/>
          <w:sz w:val="21"/>
          <w:szCs w:val="21"/>
          <w:color w:val="auto"/>
        </w:rPr>
        <w:t>by the Board of Directors and stated in the notice of meeting or in</w:t>
      </w:r>
      <w:r>
        <w:rPr>
          <w:rFonts w:ascii="Arial" w:cs="Arial" w:eastAsia="Arial" w:hAnsi="Arial"/>
          <w:sz w:val="18"/>
          <w:szCs w:val="18"/>
          <w:color w:val="auto"/>
        </w:rPr>
        <w:t xml:space="preserve"> </w:t>
      </w:r>
      <w:r>
        <w:rPr>
          <w:rFonts w:ascii="Arial" w:cs="Arial" w:eastAsia="Arial" w:hAnsi="Arial"/>
          <w:sz w:val="21"/>
          <w:szCs w:val="21"/>
          <w:color w:val="auto"/>
        </w:rPr>
        <w:t>a duly executed waiver of notice thereof.</w:t>
      </w:r>
    </w:p>
    <w:p>
      <w:pPr>
        <w:spacing w:after="0" w:line="20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Section 2. Annual Meeting. An annual meeting of the shareholders for the election of directors and the transaction of such other business as may properly come before the meeting, shall be held each year on such date in the first six months of the Corporation's fiscal year as shall be designated by the,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73" w:name="page74"/>
    <w:bookmarkEnd w:id="73"/>
    <w:p>
      <w:pPr>
        <w:ind w:left="10700"/>
        <w:spacing w:after="0"/>
        <w:rPr>
          <w:sz w:val="20"/>
          <w:szCs w:val="20"/>
          <w:color w:val="auto"/>
        </w:rPr>
      </w:pPr>
      <w:r>
        <w:rPr>
          <w:rFonts w:ascii="Arial" w:cs="Arial" w:eastAsia="Arial" w:hAnsi="Arial"/>
          <w:sz w:val="12"/>
          <w:szCs w:val="12"/>
          <w:color w:val="auto"/>
        </w:rPr>
        <w:t>Page 2 of 19</w:t>
      </w:r>
    </w:p>
    <w:p>
      <w:pPr>
        <w:spacing w:after="0" w:line="190"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Section 3. Special Meetings. Special meetings of the shareholders may be called at anytime by the Chairman of the Board or by a majority of the Board of Directors, or shall be called by the Secretary at the request in writing of the holders of not less than one-tenth of the voting power of all shares entitled to vote at the meeting.</w:t>
      </w:r>
    </w:p>
    <w:p>
      <w:pPr>
        <w:spacing w:after="0" w:line="208"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Section 4. Notice. Written or printed notice of each meeting of shareholders, stating the place, day and hour of the meeting and, in the case of a special meeting, the purpose or purposes for which the meeting is called, shall be given not less than ten days nor more than sixty days prior to each meeting, to each shareholder of record entitled to vote at such meeting by leaving such notice with him personally or by depositing such notice in the mails in postage prepaid envelope addressed to him at his post office address as it appears on the corporate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ind w:left="10700"/>
        <w:spacing w:after="0"/>
        <w:rPr>
          <w:sz w:val="20"/>
          <w:szCs w:val="20"/>
          <w:color w:val="auto"/>
        </w:rPr>
      </w:pPr>
      <w:r>
        <w:rPr>
          <w:rFonts w:ascii="Arial" w:cs="Arial" w:eastAsia="Arial" w:hAnsi="Arial"/>
          <w:sz w:val="12"/>
          <w:szCs w:val="12"/>
          <w:color w:val="auto"/>
        </w:rPr>
        <w:t>Page 3 of 19</w:t>
      </w:r>
    </w:p>
    <w:p>
      <w:pPr>
        <w:spacing w:after="0" w:line="190" w:lineRule="exact"/>
        <w:rPr>
          <w:sz w:val="20"/>
          <w:szCs w:val="20"/>
          <w:color w:val="auto"/>
        </w:rPr>
      </w:pPr>
    </w:p>
    <w:p>
      <w:pPr>
        <w:ind w:right="420" w:firstLine="486"/>
        <w:spacing w:after="0" w:line="286" w:lineRule="auto"/>
        <w:rPr>
          <w:sz w:val="20"/>
          <w:szCs w:val="20"/>
          <w:color w:val="auto"/>
        </w:rPr>
      </w:pPr>
      <w:r>
        <w:rPr>
          <w:rFonts w:ascii="Arial" w:cs="Arial" w:eastAsia="Arial" w:hAnsi="Arial"/>
          <w:sz w:val="17"/>
          <w:szCs w:val="17"/>
          <w:color w:val="auto"/>
        </w:rPr>
        <w:t>Section 5. Waiver of Notice. Notice of any shareholders meeting may be waived, in writing, by any shareholder, either before or after the time stated therein and, if any shareholder entitled to vote is present at a shareholders meeting and does not protest, prior to or at the commencement of the meeting, the lack of receipt of proper notice, such shareholder shall be deemed to have waived notice of such meeting.</w:t>
      </w:r>
    </w:p>
    <w:p>
      <w:pPr>
        <w:spacing w:after="0" w:line="19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Section 6. Voting List. For the purpose of determining shareholders entitled to notice of, or to vote at, any meeting of shareholders or any adjournment thereof, or shareholders entitled to receive payment of dividends, or for any other proper purpose, the Board of Directors may set a record date which shall not be a date earlier than the date on which such act ion is taken by the Board of Directors, nor more than sixty, nor less than ten days before the particular event requiring such determination of shareholders. The Secretary of the Corporation shall make, or cause to be made, at least two days after the meeting notice is given and continuing until the date of the meeting, a list or other record of the shareholders entitled to vote at such meeting, with the address of, and the number and class of shares held by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ind w:left="10700"/>
        <w:spacing w:after="0"/>
        <w:rPr>
          <w:sz w:val="20"/>
          <w:szCs w:val="20"/>
          <w:color w:val="auto"/>
        </w:rPr>
      </w:pPr>
      <w:r>
        <w:rPr>
          <w:rFonts w:ascii="Arial" w:cs="Arial" w:eastAsia="Arial" w:hAnsi="Arial"/>
          <w:sz w:val="12"/>
          <w:szCs w:val="12"/>
          <w:color w:val="auto"/>
        </w:rPr>
        <w:t>Page 4 of 19</w:t>
      </w:r>
    </w:p>
    <w:p>
      <w:pPr>
        <w:spacing w:after="0" w:line="19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Section 7. Quorum and Required Vote. The holders of a majority of the stock entitled to vote, represented in person or by proxy, shall constitute a quorum at a meeting of shareholders except as otherwise specifically provided by the By-Laws, by the Certificate of Incorporation or by law. The affirmative vote, at a meeting of shareholders duly held and at which a quorum is present, of a majority of the voting power of the shares represented at such meeting which are entitled to vote on the subject matter shall be the act of the shareholders, except as is otherwise specially provided by a By-Law, by the Certificate of Incorporation or law. The holders of a majority of the voting power of the shares entitled to vote represented at a meeting may adjourn such meeting from time to time.</w:t>
      </w:r>
    </w:p>
    <w:p>
      <w:pPr>
        <w:spacing w:after="0" w:line="22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Section 8. Voting. Each holder of voting stock shall be entitled to vote in person or by proxy at each meeting, and he shall have one vote for each share of voting stock registered in his name. However, a proxy shall not be valid after eleven months from its date of execution, unless it specifies the length of time for which it shall continue in force or limits its use to a particular meeting not yet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ind w:left="10700"/>
        <w:spacing w:after="0"/>
        <w:rPr>
          <w:sz w:val="20"/>
          <w:szCs w:val="20"/>
          <w:color w:val="auto"/>
        </w:rPr>
      </w:pPr>
      <w:r>
        <w:rPr>
          <w:rFonts w:ascii="Arial" w:cs="Arial" w:eastAsia="Arial" w:hAnsi="Arial"/>
          <w:sz w:val="12"/>
          <w:szCs w:val="12"/>
          <w:color w:val="auto"/>
        </w:rPr>
        <w:t>Page 5 of 19</w:t>
      </w:r>
    </w:p>
    <w:p>
      <w:pPr>
        <w:spacing w:after="0" w:line="19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Section 9. [Action Without a Meeting. Any action which may be taken at a meeting of shareholders may be taken without a meeting, if consent in writing, setting forth such action, is signed by all of the persons who would be entitled to vote upon such act ion at a meeting, or by their duly authorized attorneys.]</w:t>
      </w:r>
    </w:p>
    <w:p>
      <w:pPr>
        <w:spacing w:after="0" w:line="208" w:lineRule="exact"/>
        <w:rPr>
          <w:sz w:val="20"/>
          <w:szCs w:val="20"/>
          <w:color w:val="auto"/>
        </w:rPr>
      </w:pPr>
    </w:p>
    <w:p>
      <w:pPr>
        <w:ind w:left="4040"/>
        <w:spacing w:after="0"/>
        <w:tabs>
          <w:tab w:leader="none" w:pos="5420" w:val="left"/>
        </w:tabs>
        <w:rPr>
          <w:sz w:val="20"/>
          <w:szCs w:val="20"/>
          <w:color w:val="auto"/>
        </w:rPr>
      </w:pPr>
      <w:r>
        <w:rPr>
          <w:rFonts w:ascii="Arial" w:cs="Arial" w:eastAsia="Arial" w:hAnsi="Arial"/>
          <w:sz w:val="18"/>
          <w:szCs w:val="18"/>
          <w:color w:val="auto"/>
        </w:rPr>
        <w:t>ARTICLE III:</w:t>
      </w:r>
      <w:r>
        <w:rPr>
          <w:sz w:val="20"/>
          <w:szCs w:val="20"/>
          <w:color w:val="auto"/>
        </w:rPr>
        <w:tab/>
      </w:r>
      <w:r>
        <w:rPr>
          <w:rFonts w:ascii="Arial" w:cs="Arial" w:eastAsia="Arial" w:hAnsi="Arial"/>
          <w:sz w:val="17"/>
          <w:szCs w:val="17"/>
          <w:color w:val="auto"/>
        </w:rPr>
        <w:t>BOARD OF DIRECTORS</w:t>
      </w:r>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Section 1. Number. The number of directors who will constitute the entire Board of Directors shall be not less than three nor more than fifteen. The number of directorships at any time shall be that number most recently fixed by resolution of the Board of Directors or the shareholders or, absent such action, shall be that number of directors elected at the preceding annual meeting or substitute annual meeting of shareholders, plus the number elected since such meeting, if any, to fill a vacancy created by an increase in the size of the Board, provided, however, that at such times as the Corporation has less than three shareholders, the number of directors may not be less than the number of shareholders and at such times as the Corporation has three or more shareholders, the number of directors must at least be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left="10700"/>
        <w:spacing w:after="0"/>
        <w:rPr>
          <w:sz w:val="20"/>
          <w:szCs w:val="20"/>
          <w:color w:val="auto"/>
        </w:rPr>
      </w:pPr>
      <w:r>
        <w:rPr>
          <w:rFonts w:ascii="Arial" w:cs="Arial" w:eastAsia="Arial" w:hAnsi="Arial"/>
          <w:sz w:val="12"/>
          <w:szCs w:val="12"/>
          <w:color w:val="auto"/>
        </w:rPr>
        <w:t>Page 6 of 19</w:t>
      </w:r>
    </w:p>
    <w:p>
      <w:pPr>
        <w:spacing w:after="0" w:line="19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Section 2. Election. Members of the initial Board of Directors as elected at the organization meeting shall hold office until the first annual meeting of shareholders and until their respective successors shall have been duly elected and qualified. At each annual meeting of shareholders, directors shall be elected to hold office until the next succeeding annual meeting and until their respective successors have been duly elected and qualified.</w:t>
      </w:r>
    </w:p>
    <w:p>
      <w:pPr>
        <w:spacing w:after="0" w:line="14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Section 3. Regular Meetings. Regular meetings of the Board of Directors may be held with or without notice at such time and place as the Board may from time to time determine.</w:t>
      </w:r>
    </w:p>
    <w:p>
      <w:pPr>
        <w:spacing w:after="0" w:line="17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Section 4. Special Meetings. Special meetings of the Board may be called by any director, the Chairman of the Board on at least two days' notice to each director given either by mail, n or orally, in person or by telephone or e-mail. Said notice may be waived by a written waiver signed by all of the directors who receive no such notice of meeting. Attendance by a director at a meeting, without protesting, prior to or at the commencement of the meeting, the lack of proper notice, shall be deemed to be a waiver by such director of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10700"/>
        <w:spacing w:after="0"/>
        <w:rPr>
          <w:sz w:val="20"/>
          <w:szCs w:val="20"/>
          <w:color w:val="auto"/>
        </w:rPr>
      </w:pPr>
      <w:r>
        <w:rPr>
          <w:rFonts w:ascii="Arial" w:cs="Arial" w:eastAsia="Arial" w:hAnsi="Arial"/>
          <w:sz w:val="12"/>
          <w:szCs w:val="12"/>
          <w:color w:val="auto"/>
        </w:rPr>
        <w:t>Page 7 of 19</w:t>
      </w:r>
    </w:p>
    <w:p>
      <w:pPr>
        <w:spacing w:after="0" w:line="19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Section 5. Quorum. At all meetings of the Board of Directors, a majority of directors shall constitute a quorum for the transaction of business. The act of a majority of the directors present at a meeting at which a quorum is present shall be the act of the Board of Directors unless a greater number is specially required by the By-Laws, by the Certificate of Incorporation or by law. A meeting may be adjourned by less than a quorum if a quorum is not present at the meeting. A director may participate at a meeting of the Board of Directors by means of a conference telephone or similar communications equipment, provided such equipment enables all directors at a meeting to hear one another.</w:t>
      </w:r>
    </w:p>
    <w:p>
      <w:pPr>
        <w:spacing w:after="0" w:line="215"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 The Board of Directors, by resolution adopt q by a majority of the entire Board, designate two or more directors to constitute an executive committee or other committee and may appoint or provide for the appointment of one or more directors as alternate members of any such committee, who may replace any absent or disqualified member at any meeting of the committee. Any such committee shall have and may exercise the powers of the Board of Directors in the management of the business, property and affairs of the Corporation, as shall be provided in these By-Laws or in the resolution of the Board constituting the committee. All committees shall keep records of their acts and proceedings and report the same to the Board of Directors as and when required. Any director may be removed from a committee with or without cause by the affirmative vote of a majority of the entire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left="10700"/>
        <w:spacing w:after="0"/>
        <w:rPr>
          <w:sz w:val="20"/>
          <w:szCs w:val="20"/>
          <w:color w:val="auto"/>
        </w:rPr>
      </w:pPr>
      <w:r>
        <w:rPr>
          <w:rFonts w:ascii="Arial" w:cs="Arial" w:eastAsia="Arial" w:hAnsi="Arial"/>
          <w:sz w:val="12"/>
          <w:szCs w:val="12"/>
          <w:color w:val="auto"/>
        </w:rPr>
        <w:t>Page 8 of 19</w:t>
      </w:r>
    </w:p>
    <w:p>
      <w:pPr>
        <w:spacing w:after="0" w:line="19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Section 7. Action Without a Meeting. If all of the directors or all members of a committee of the Board of Directors, as the case may be, severally or collectively, consent in writing to any action taken or to be taken by the Corporation, and the number of such directors or members constitutes a quorum for such action, such action shall be as valid corporate action as though it had been authorized at a meeting of the Board of Directors or committee, as the case may be.</w:t>
      </w:r>
    </w:p>
    <w:p>
      <w:pPr>
        <w:spacing w:after="0" w:line="21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Section 8. Resignation and Removal. Unless otherwise provided in any contract with the Corporation, any director may resign or be removed at any time. A director who intends to resign shall give written notice to the president or to the secretary. Removal of a director, with or without cause, may be effected by the affirmative vote of the holders of a majority of the stock entitled to vote.</w:t>
      </w:r>
    </w:p>
    <w:p>
      <w:pPr>
        <w:spacing w:after="0" w:line="208"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Section 9. Vacancies. Any vacancy occurring on the Board of Directors, including a vacancy resulting from an increase in the number of directors, may be filled by the affirmative vote of a majority of the remaining directors though less than a quorum of the Board. A director elected to fill a vacancy shall be elected for the unexpired term of his predecessor and until his successor is duly chosen.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ind w:left="10700"/>
        <w:spacing w:after="0"/>
        <w:rPr>
          <w:sz w:val="20"/>
          <w:szCs w:val="20"/>
          <w:color w:val="auto"/>
        </w:rPr>
      </w:pPr>
      <w:r>
        <w:rPr>
          <w:rFonts w:ascii="Arial" w:cs="Arial" w:eastAsia="Arial" w:hAnsi="Arial"/>
          <w:sz w:val="12"/>
          <w:szCs w:val="12"/>
          <w:color w:val="auto"/>
        </w:rPr>
        <w:t>Page 9 of 19</w:t>
      </w:r>
    </w:p>
    <w:p>
      <w:pPr>
        <w:spacing w:after="0" w:line="19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Section 10. Compensation of Directors. The directors may be reimbursed for any expenses incurred by them in attendance at any meeting of the Board of Directors or of any of its committees. Every director may be paid a stated salary as director and/or a fixed sum for attendance at each meeting which he attends. No payments or reimbursements described herein shall preclude any director from serving the Corporation in any other capacity and receiving compensation therefor.</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Nomination of Directors.</w:t>
      </w:r>
    </w:p>
    <w:p>
      <w:pPr>
        <w:spacing w:after="0" w:line="233" w:lineRule="exact"/>
        <w:rPr>
          <w:sz w:val="20"/>
          <w:szCs w:val="20"/>
          <w:color w:val="auto"/>
        </w:rPr>
      </w:pPr>
    </w:p>
    <w:p>
      <w:pPr>
        <w:ind w:left="340" w:firstLine="640"/>
        <w:spacing w:after="0" w:line="248" w:lineRule="auto"/>
        <w:tabs>
          <w:tab w:leader="none" w:pos="1282"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Only persons who are nominated in accordance with the following procedures shall be eligible for election as directors at any annual or special meeting of stockholders. Nominations of persons for election as directors may be made only by or at the direction of the Board of Directors, or by a qualifying stockholder at any annual meeting of stockholders or at any special meeting for which the election of directors is a purpose specified in the notice of meeting given by the person calling the special meeting. </w:t>
      </w:r>
      <w:r>
        <w:rPr>
          <w:rFonts w:ascii="Arial" w:cs="Arial" w:eastAsia="Arial" w:hAnsi="Arial"/>
          <w:sz w:val="17"/>
          <w:szCs w:val="17"/>
          <w:color w:val="auto"/>
        </w:rPr>
        <w:t>A</w:t>
      </w:r>
      <w:r>
        <w:rPr>
          <w:rFonts w:ascii="Arial" w:cs="Arial" w:eastAsia="Arial" w:hAnsi="Arial"/>
          <w:sz w:val="21"/>
          <w:szCs w:val="21"/>
          <w:color w:val="auto"/>
        </w:rPr>
        <w:t xml:space="preserve"> nomination by a qualifying stockholder may be made only pursuant to timely notice in proper written form to the Secretary. To be in proper form, such stockholder's notice shall set forth:</w:t>
      </w:r>
    </w:p>
    <w:p>
      <w:pPr>
        <w:spacing w:after="0" w:line="211" w:lineRule="exact"/>
        <w:rPr>
          <w:rFonts w:ascii="Arial" w:cs="Arial" w:eastAsia="Arial" w:hAnsi="Arial"/>
          <w:sz w:val="21"/>
          <w:szCs w:val="21"/>
          <w:color w:val="auto"/>
        </w:rPr>
      </w:pPr>
    </w:p>
    <w:p>
      <w:pPr>
        <w:ind w:left="2520" w:hanging="567"/>
        <w:spacing w:after="0"/>
        <w:tabs>
          <w:tab w:leader="none" w:pos="2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w:t>
      </w:r>
    </w:p>
    <w:p>
      <w:pPr>
        <w:spacing w:after="0" w:line="252" w:lineRule="exact"/>
        <w:rPr>
          <w:rFonts w:ascii="Arial" w:cs="Arial" w:eastAsia="Arial" w:hAnsi="Arial"/>
          <w:sz w:val="18"/>
          <w:szCs w:val="18"/>
          <w:color w:val="auto"/>
        </w:rPr>
      </w:pPr>
    </w:p>
    <w:p>
      <w:pPr>
        <w:ind w:left="3000" w:hanging="561"/>
        <w:spacing w:after="0"/>
        <w:tabs>
          <w:tab w:leader="none" w:pos="30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person,</w:t>
      </w:r>
    </w:p>
    <w:p>
      <w:pPr>
        <w:spacing w:after="0" w:line="252" w:lineRule="exact"/>
        <w:rPr>
          <w:rFonts w:ascii="Arial" w:cs="Arial" w:eastAsia="Arial" w:hAnsi="Arial"/>
          <w:sz w:val="18"/>
          <w:szCs w:val="18"/>
          <w:color w:val="auto"/>
        </w:rPr>
      </w:pPr>
    </w:p>
    <w:p>
      <w:pPr>
        <w:ind w:left="3040" w:hanging="601"/>
        <w:spacing w:after="0"/>
        <w:tabs>
          <w:tab w:leader="none" w:pos="30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principal occupation or employment of the person,</w:t>
      </w:r>
    </w:p>
    <w:p>
      <w:pPr>
        <w:spacing w:after="0" w:line="252" w:lineRule="exact"/>
        <w:rPr>
          <w:rFonts w:ascii="Arial" w:cs="Arial" w:eastAsia="Arial" w:hAnsi="Arial"/>
          <w:sz w:val="18"/>
          <w:szCs w:val="18"/>
          <w:color w:val="auto"/>
        </w:rPr>
      </w:pPr>
    </w:p>
    <w:p>
      <w:pPr>
        <w:ind w:left="980" w:right="20" w:firstLine="1459"/>
        <w:spacing w:after="0" w:line="277" w:lineRule="auto"/>
        <w:tabs>
          <w:tab w:leader="none" w:pos="30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corporation that are, directly or indirectly, owned, beneficially or of record, by the person and/or the person's affiliates and associates,</w:t>
      </w:r>
    </w:p>
    <w:p>
      <w:pPr>
        <w:spacing w:after="0" w:line="197" w:lineRule="exact"/>
        <w:rPr>
          <w:rFonts w:ascii="Arial" w:cs="Arial" w:eastAsia="Arial" w:hAnsi="Arial"/>
          <w:sz w:val="18"/>
          <w:szCs w:val="18"/>
          <w:color w:val="auto"/>
        </w:rPr>
      </w:pPr>
    </w:p>
    <w:p>
      <w:pPr>
        <w:ind w:left="980" w:right="220" w:firstLine="1459"/>
        <w:spacing w:after="0" w:line="290" w:lineRule="auto"/>
        <w:tabs>
          <w:tab w:leader="none" w:pos="3003" w:val="left"/>
        </w:tabs>
        <w:numPr>
          <w:ilvl w:val="2"/>
          <w:numId w:val="14"/>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(x) the nominating stockholder, each other beneficial owner of the corporation's capital stock, if any, on whose behalf the nomination is being made and the respective affiliates and associates of, or others acting in concert with, such stockholder and any such other such beneficial owner, on the one hand, and (y) each proposed nominee and his or her respective affiliates and associates, or others acting in concert with such nominee(s), on the other hand, including all information that would be required to be disclosed pursuant to Item 404 of Securities and Exchange Commission ("SEC") Regulation S-K if the nominating stockholder and any such beneficial owner or any affiliate or associate thereof or person acting in concert therewith were the "registrant" for purposes of such Item and the proposed nominee were a director of such registrant, and</w:t>
      </w:r>
    </w:p>
    <w:p>
      <w:pPr>
        <w:spacing w:after="0" w:line="193" w:lineRule="exact"/>
        <w:rPr>
          <w:rFonts w:ascii="Arial" w:cs="Arial" w:eastAsia="Arial" w:hAnsi="Arial"/>
          <w:sz w:val="16"/>
          <w:szCs w:val="16"/>
          <w:color w:val="auto"/>
        </w:rPr>
      </w:pPr>
    </w:p>
    <w:p>
      <w:pPr>
        <w:ind w:left="980" w:right="120" w:firstLine="1459"/>
        <w:spacing w:after="0" w:line="264" w:lineRule="auto"/>
        <w:tabs>
          <w:tab w:leader="none" w:pos="3028"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and his or her affiliates and associates that is required to be disclosed in solicitations for proxies for election of directors pursuant to Regulation l 4A under the Securities Exchange Act of 1934, as amended (the "Exchange Act"); and</w:t>
      </w:r>
    </w:p>
    <w:p>
      <w:pPr>
        <w:spacing w:after="0" w:line="208" w:lineRule="exact"/>
        <w:rPr>
          <w:rFonts w:ascii="Arial" w:cs="Arial" w:eastAsia="Arial" w:hAnsi="Arial"/>
          <w:sz w:val="18"/>
          <w:szCs w:val="18"/>
          <w:color w:val="auto"/>
        </w:rPr>
      </w:pPr>
    </w:p>
    <w:p>
      <w:pPr>
        <w:ind w:left="2540" w:hanging="587"/>
        <w:spacing w:after="0"/>
        <w:tabs>
          <w:tab w:leader="none" w:pos="25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as to the nominating stockholder and each beneficial owner, if any, on whose behalf the nomination is being made:</w:t>
      </w:r>
    </w:p>
    <w:p>
      <w:pPr>
        <w:spacing w:after="0" w:line="263" w:lineRule="exact"/>
        <w:rPr>
          <w:rFonts w:ascii="Arial" w:cs="Arial" w:eastAsia="Arial" w:hAnsi="Arial"/>
          <w:sz w:val="17"/>
          <w:szCs w:val="17"/>
          <w:color w:val="auto"/>
        </w:rPr>
      </w:pPr>
    </w:p>
    <w:p>
      <w:pPr>
        <w:ind w:left="2960" w:hanging="521"/>
        <w:spacing w:after="0"/>
        <w:tabs>
          <w:tab w:leader="none" w:pos="2960"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the name, address and principal occupation or business activity of such stockholder and each such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color w:val="auto"/>
        </w:rPr>
        <w:t>Page 10 of 19</w:t>
      </w:r>
    </w:p>
    <w:p>
      <w:pPr>
        <w:spacing w:after="0" w:line="167" w:lineRule="exact"/>
        <w:rPr>
          <w:sz w:val="20"/>
          <w:szCs w:val="20"/>
          <w:color w:val="auto"/>
        </w:rPr>
      </w:pPr>
    </w:p>
    <w:p>
      <w:pPr>
        <w:ind w:right="480" w:firstLine="1459"/>
        <w:spacing w:after="0" w:line="308" w:lineRule="auto"/>
        <w:tabs>
          <w:tab w:leader="none" w:pos="1984"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class, series, and number of shares of capital stock of the corporation that are, directly or indirectly, owned, beneficially or of record, by such stockholder and each such beneficial owner and their respective affiliates and associates,</w:t>
      </w:r>
    </w:p>
    <w:p>
      <w:pPr>
        <w:spacing w:after="0" w:line="173" w:lineRule="exact"/>
        <w:rPr>
          <w:rFonts w:ascii="Arial" w:cs="Arial" w:eastAsia="Arial" w:hAnsi="Arial"/>
          <w:sz w:val="17"/>
          <w:szCs w:val="17"/>
          <w:color w:val="auto"/>
        </w:rPr>
      </w:pPr>
    </w:p>
    <w:p>
      <w:pPr>
        <w:ind w:right="40" w:firstLine="1459"/>
        <w:spacing w:after="0" w:line="259" w:lineRule="auto"/>
        <w:tabs>
          <w:tab w:leader="none" w:pos="19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or among such stockholder and/or such beneficial owner and/or their respective affiliates and associates and each proposed nominee, the nominee's affiliates and associates and any other person or persons (including their names) pursuant to which the nomination(s) are being made or who may participate in the solicitation of proxies in favor of electing such nominee(s),</w:t>
      </w:r>
    </w:p>
    <w:p>
      <w:pPr>
        <w:spacing w:after="0" w:line="213" w:lineRule="exact"/>
        <w:rPr>
          <w:rFonts w:ascii="Arial" w:cs="Arial" w:eastAsia="Arial" w:hAnsi="Arial"/>
          <w:sz w:val="18"/>
          <w:szCs w:val="18"/>
          <w:color w:val="auto"/>
        </w:rPr>
      </w:pPr>
    </w:p>
    <w:p>
      <w:pPr>
        <w:ind w:right="20" w:firstLine="1459"/>
        <w:spacing w:after="0" w:line="255" w:lineRule="auto"/>
        <w:tabs>
          <w:tab w:leader="none" w:pos="1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any derivative or short positions, swaps, profits interests, options, warrants, convertible securities, stock appreciation or similar rights, hedging transactions, and borrowed or loaned shares) that has been entered into by, or on behalf of, such stockholder or any such beneficial owner, or any of their respective affiliates and associates, the effect or intent of which is to mitigate loss to, manage risk or benefit of share price changes for, or increase or decrease the voting power of, such stockholder or any such beneficial owner or any of their respective affiliates and associates with respect to shares of stock of the corporation,</w:t>
      </w:r>
    </w:p>
    <w:p>
      <w:pPr>
        <w:spacing w:after="0" w:line="220" w:lineRule="exact"/>
        <w:rPr>
          <w:rFonts w:ascii="Arial" w:cs="Arial" w:eastAsia="Arial" w:hAnsi="Arial"/>
          <w:sz w:val="18"/>
          <w:szCs w:val="18"/>
          <w:color w:val="auto"/>
        </w:rPr>
      </w:pPr>
    </w:p>
    <w:p>
      <w:pPr>
        <w:ind w:right="140" w:firstLine="1459"/>
        <w:spacing w:after="0" w:line="264" w:lineRule="auto"/>
        <w:tabs>
          <w:tab w:leader="none" w:pos="1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any material pending or threatened legal proceeding in which such stockholder or any such beneficial owner or any of their respective affiliates and associates is a party or material participant involving the corporation or any affiliate of the corporation,</w:t>
      </w:r>
    </w:p>
    <w:p>
      <w:pPr>
        <w:spacing w:after="0" w:line="208" w:lineRule="exact"/>
        <w:rPr>
          <w:rFonts w:ascii="Arial" w:cs="Arial" w:eastAsia="Arial" w:hAnsi="Arial"/>
          <w:sz w:val="18"/>
          <w:szCs w:val="18"/>
          <w:color w:val="auto"/>
        </w:rPr>
      </w:pPr>
    </w:p>
    <w:p>
      <w:pPr>
        <w:ind w:right="80" w:firstLine="1459"/>
        <w:spacing w:after="0" w:line="264" w:lineRule="auto"/>
        <w:tabs>
          <w:tab w:leader="none" w:pos="1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material relationship between such stockholder or any such beneficial owner or any of their respective affiliates and associates, on the one hand, and the corporation, any affiliate of the corporation, or any principal competitor of the corporation, on the other hand,</w:t>
      </w:r>
    </w:p>
    <w:p>
      <w:pPr>
        <w:spacing w:after="0" w:line="208" w:lineRule="exact"/>
        <w:rPr>
          <w:rFonts w:ascii="Arial" w:cs="Arial" w:eastAsia="Arial" w:hAnsi="Arial"/>
          <w:sz w:val="18"/>
          <w:szCs w:val="18"/>
          <w:color w:val="auto"/>
        </w:rPr>
      </w:pPr>
    </w:p>
    <w:p>
      <w:pPr>
        <w:ind w:right="20" w:firstLine="1459"/>
        <w:spacing w:after="0" w:line="312" w:lineRule="auto"/>
        <w:tabs>
          <w:tab w:leader="none" w:pos="199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direct or indirect material interest of such stockholder or any such beneficial owner or any of their respective affiliates and associates in any material contract or agreement with the corporation, any affiliate of the corporation or any principal competitor of the corporation (the information called for by clauses (0) through (G) is referred to hereinafter as the "Stockholder Information"),</w:t>
      </w:r>
    </w:p>
    <w:p>
      <w:pPr>
        <w:spacing w:after="0" w:line="173" w:lineRule="exact"/>
        <w:rPr>
          <w:rFonts w:ascii="Arial" w:cs="Arial" w:eastAsia="Arial" w:hAnsi="Arial"/>
          <w:sz w:val="16"/>
          <w:szCs w:val="16"/>
          <w:color w:val="auto"/>
        </w:rPr>
      </w:pPr>
    </w:p>
    <w:p>
      <w:pPr>
        <w:ind w:firstLine="1459"/>
        <w:spacing w:after="0" w:line="259" w:lineRule="auto"/>
        <w:tabs>
          <w:tab w:leader="none" w:pos="19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any such beneficial owner and their respective affiliates and associates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w:t>
      </w:r>
    </w:p>
    <w:p>
      <w:pPr>
        <w:spacing w:after="0" w:line="213" w:lineRule="exact"/>
        <w:rPr>
          <w:rFonts w:ascii="Arial" w:cs="Arial" w:eastAsia="Arial" w:hAnsi="Arial"/>
          <w:sz w:val="18"/>
          <w:szCs w:val="18"/>
          <w:color w:val="auto"/>
        </w:rPr>
      </w:pPr>
    </w:p>
    <w:p>
      <w:pPr>
        <w:ind w:right="300" w:firstLine="1459"/>
        <w:spacing w:after="0" w:line="277" w:lineRule="auto"/>
        <w:tabs>
          <w:tab w:leader="none" w:pos="20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representation that such stockholder is entitled to vote for the election of directors at the meeting and intends to appear in person or by proxy at the meeting to nominate the person(s) named in its notice, and</w:t>
      </w:r>
    </w:p>
    <w:p>
      <w:pPr>
        <w:spacing w:after="0" w:line="197" w:lineRule="exact"/>
        <w:rPr>
          <w:rFonts w:ascii="Arial" w:cs="Arial" w:eastAsia="Arial" w:hAnsi="Arial"/>
          <w:sz w:val="18"/>
          <w:szCs w:val="18"/>
          <w:color w:val="auto"/>
        </w:rPr>
      </w:pPr>
    </w:p>
    <w:p>
      <w:pPr>
        <w:ind w:left="2000" w:hanging="541"/>
        <w:spacing w:after="0"/>
        <w:tabs>
          <w:tab w:leader="none" w:pos="2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representation whether such stockholder and/or any such beneficial owner intends or is part of a group that intends</w:t>
      </w:r>
    </w:p>
    <w:p>
      <w:pPr>
        <w:spacing w:after="0" w:line="46" w:lineRule="exact"/>
        <w:rPr>
          <w:rFonts w:ascii="Arial" w:cs="Arial" w:eastAsia="Arial" w:hAnsi="Arial"/>
          <w:sz w:val="16"/>
          <w:szCs w:val="16"/>
          <w:color w:val="auto"/>
        </w:rPr>
      </w:pPr>
    </w:p>
    <w:p>
      <w:pPr>
        <w:ind w:right="20"/>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from stockholders in support of such nomination (and such representation shall be included in any such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266700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40"/>
          </w:cols>
          <w:pgMar w:left="1220" w:top="121" w:right="239" w:bottom="1440" w:gutter="0" w:footer="0" w:header="0"/>
        </w:sectPr>
      </w:pPr>
    </w:p>
    <w:bookmarkStart w:id="82" w:name="page83"/>
    <w:bookmarkEnd w:id="82"/>
    <w:p>
      <w:pPr>
        <w:ind w:left="10640"/>
        <w:spacing w:after="0"/>
        <w:rPr>
          <w:sz w:val="20"/>
          <w:szCs w:val="20"/>
          <w:color w:val="auto"/>
        </w:rPr>
      </w:pPr>
      <w:r>
        <w:rPr>
          <w:rFonts w:ascii="Arial" w:cs="Arial" w:eastAsia="Arial" w:hAnsi="Arial"/>
          <w:sz w:val="12"/>
          <w:szCs w:val="12"/>
          <w:color w:val="auto"/>
        </w:rPr>
        <w:t>Page 11 of 19</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foregoing notwithstanding, the Stockholder Information need not be provided with respect to the ordinary course business activities of any broker, dealer, bank, or other nominee who is a nominating stockholder solely as a result of being the stockholder directed to prepare and submit the notice required by these by-laws on behalf of a beneficial owner. A stockholder shall not have complied with this Section 1.6 if the stockholder (or any beneficial owner on whose behalf the nomination is made) solicits or does not solicit, as the case may be, proxies in support of such stockholder's nominee in contravention of the representations with respect thereto made pursuant to the foregoing clause (J).</w:t>
      </w:r>
    </w:p>
    <w:p>
      <w:pPr>
        <w:spacing w:after="0" w:line="215" w:lineRule="exact"/>
        <w:rPr>
          <w:sz w:val="20"/>
          <w:szCs w:val="20"/>
          <w:color w:val="auto"/>
        </w:rPr>
      </w:pPr>
    </w:p>
    <w:p>
      <w:pPr>
        <w:ind w:left="340" w:right="60" w:firstLine="640"/>
        <w:spacing w:after="0" w:line="278" w:lineRule="auto"/>
        <w:tabs>
          <w:tab w:leader="none" w:pos="12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To be eligible to be a nominee for election or reelection as a director of the corporation, a person must deliver timely notice to the Secretary of the corporation at the principal executive offices of the corporation his or her written consent to serve as a director if elected and a written questionnaire with respect to his or her background and qualification (which questionnaire shall be provided by the Secretary upon written request) and a written representation and agreement (in the </w:t>
      </w:r>
      <w:r>
        <w:rPr>
          <w:rFonts w:ascii="Arial" w:cs="Arial" w:eastAsia="Arial" w:hAnsi="Arial"/>
          <w:sz w:val="20"/>
          <w:szCs w:val="20"/>
          <w:color w:val="auto"/>
        </w:rPr>
        <w:t>form provided by the Secretary upon written request) that he or she</w:t>
      </w:r>
    </w:p>
    <w:p>
      <w:pPr>
        <w:spacing w:after="0" w:line="189" w:lineRule="exact"/>
        <w:rPr>
          <w:sz w:val="20"/>
          <w:szCs w:val="20"/>
          <w:color w:val="auto"/>
        </w:rPr>
      </w:pPr>
    </w:p>
    <w:p>
      <w:pPr>
        <w:ind w:left="1300" w:right="20" w:hanging="320"/>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 not and will not become a party to (A) any agreement, arrangement or understanding with, and has not given any commitment or assurance to, any person or entity as to how he or she, if elected as a director of the corporation, will act or vote on any issue or question (a "Voting Commitment") that has not been disclosed to the corporation or (B) any Voting Commitment that could limit or interfere with his or her ability to comply, if elected as a director of the corporation, with his or her fiduciary duties under applicable law,</w:t>
      </w:r>
    </w:p>
    <w:p>
      <w:pPr>
        <w:spacing w:after="0" w:line="198" w:lineRule="exact"/>
        <w:rPr>
          <w:rFonts w:ascii="Arial" w:cs="Arial" w:eastAsia="Arial" w:hAnsi="Arial"/>
          <w:sz w:val="17"/>
          <w:szCs w:val="17"/>
          <w:color w:val="auto"/>
        </w:rPr>
      </w:pPr>
    </w:p>
    <w:p>
      <w:pPr>
        <w:ind w:left="1300" w:right="2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w:t>
      </w:r>
    </w:p>
    <w:p>
      <w:pPr>
        <w:spacing w:after="0" w:line="208" w:lineRule="exact"/>
        <w:rPr>
          <w:rFonts w:ascii="Arial" w:cs="Arial" w:eastAsia="Arial" w:hAnsi="Arial"/>
          <w:sz w:val="18"/>
          <w:szCs w:val="18"/>
          <w:color w:val="auto"/>
        </w:rPr>
      </w:pPr>
    </w:p>
    <w:p>
      <w:pPr>
        <w:ind w:left="1300" w:right="120" w:hanging="320"/>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his or her individual capacity and on behalf of any person or entity on whose behalf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 and stock exchange listing standards and the corporation's publicly disclosed corporate governance guidelines.</w:t>
      </w:r>
    </w:p>
    <w:p>
      <w:pPr>
        <w:spacing w:after="0" w:line="208" w:lineRule="exact"/>
        <w:rPr>
          <w:sz w:val="20"/>
          <w:szCs w:val="20"/>
          <w:color w:val="auto"/>
        </w:rPr>
      </w:pPr>
    </w:p>
    <w:p>
      <w:pPr>
        <w:ind w:left="340" w:right="280" w:firstLine="640"/>
        <w:spacing w:after="0" w:line="280" w:lineRule="auto"/>
        <w:tabs>
          <w:tab w:leader="none" w:pos="12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 later than each of (i) five days after the record date for the meeting and (ii) eight days before the meeting, the nominating stockholder and the proposed nominee shall supplement the information required by Section l.6(a)(i), clauses </w:t>
      </w:r>
      <w:r>
        <w:rPr>
          <w:rFonts w:ascii="Arial" w:cs="Arial" w:eastAsia="Arial" w:hAnsi="Arial"/>
          <w:sz w:val="19"/>
          <w:szCs w:val="19"/>
          <w:color w:val="auto"/>
        </w:rPr>
        <w:t>(A)-(H) of Section l.6(a)(ii), and Section</w:t>
      </w:r>
    </w:p>
    <w:p>
      <w:pPr>
        <w:spacing w:after="0" w:line="1" w:lineRule="exact"/>
        <w:rPr>
          <w:sz w:val="20"/>
          <w:szCs w:val="20"/>
          <w:color w:val="auto"/>
        </w:rPr>
      </w:pPr>
    </w:p>
    <w:p>
      <w:pPr>
        <w:ind w:left="340" w:right="480"/>
        <w:spacing w:after="0" w:line="237" w:lineRule="auto"/>
        <w:rPr>
          <w:sz w:val="20"/>
          <w:szCs w:val="20"/>
          <w:color w:val="auto"/>
        </w:rPr>
      </w:pPr>
      <w:r>
        <w:rPr>
          <w:rFonts w:ascii="Arial" w:cs="Arial" w:eastAsia="Arial" w:hAnsi="Arial"/>
          <w:sz w:val="22"/>
          <w:szCs w:val="22"/>
          <w:color w:val="auto"/>
        </w:rPr>
        <w:t>l.6(b), as applicable, by providing to the Secretary at the principal executive offices of the corporation updated information current as of the record date and as of the tenth day before the meeting, respectively.</w:t>
      </w:r>
    </w:p>
    <w:p>
      <w:pPr>
        <w:spacing w:after="0" w:line="219" w:lineRule="exact"/>
        <w:rPr>
          <w:sz w:val="20"/>
          <w:szCs w:val="20"/>
          <w:color w:val="auto"/>
        </w:rPr>
      </w:pPr>
    </w:p>
    <w:p>
      <w:pPr>
        <w:ind w:left="340" w:right="140" w:firstLine="640"/>
        <w:spacing w:after="0" w:line="264" w:lineRule="auto"/>
        <w:tabs>
          <w:tab w:leader="none" w:pos="12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chairman of the meeting shall, if the facts warrant, determine and </w:t>
      </w:r>
      <w:r>
        <w:rPr>
          <w:rFonts w:ascii="Arial" w:cs="Arial" w:eastAsia="Arial" w:hAnsi="Arial"/>
          <w:sz w:val="18"/>
          <w:szCs w:val="18"/>
          <w:u w:val="single" w:color="auto"/>
          <w:color w:val="auto"/>
        </w:rPr>
        <w:t>declare</w:t>
      </w:r>
      <w:r>
        <w:rPr>
          <w:rFonts w:ascii="Arial" w:cs="Arial" w:eastAsia="Arial" w:hAnsi="Arial"/>
          <w:sz w:val="18"/>
          <w:szCs w:val="18"/>
          <w:color w:val="auto"/>
        </w:rPr>
        <w:t xml:space="preserve"> to the meeting that a nomination was not made in accordance with the foregoing procedure, and if the chairman should so determine, he or she shall so declare to the meeting ana the defeotive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Page 12 of 19</w:t>
      </w:r>
    </w:p>
    <w:p>
      <w:pPr>
        <w:spacing w:after="0" w:line="167"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ARTICLE IV:</w:t>
      </w:r>
      <w:r>
        <w:rPr>
          <w:sz w:val="20"/>
          <w:szCs w:val="20"/>
          <w:color w:val="auto"/>
        </w:rPr>
        <w:tab/>
      </w:r>
      <w:r>
        <w:rPr>
          <w:rFonts w:ascii="Arial" w:cs="Arial" w:eastAsia="Arial" w:hAnsi="Arial"/>
          <w:sz w:val="16"/>
          <w:szCs w:val="16"/>
          <w:color w:val="auto"/>
        </w:rPr>
        <w:t>OFFICERS</w:t>
      </w:r>
    </w:p>
    <w:p>
      <w:pPr>
        <w:spacing w:after="0" w:line="252"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color w:val="auto"/>
        </w:rPr>
        <w:t xml:space="preserve">Section 1. Election. A Chief Executive Officer, a secretary and when deemed necessary by the Board of Directors, a chairman of the Board, one or more vice presidents, a treasurer and such other officers and assistant officers shall be elected by the Board of Directors to hold office until their respective successors are duly elected and qualified. Any two or more offices may be held by the same person except the </w:t>
      </w:r>
      <w:r>
        <w:rPr>
          <w:rFonts w:ascii="Arial" w:cs="Arial" w:eastAsia="Arial" w:hAnsi="Arial"/>
          <w:sz w:val="21"/>
          <w:szCs w:val="21"/>
          <w:color w:val="auto"/>
        </w:rPr>
        <w:t>offices of Chief Executive Officer and</w:t>
      </w:r>
      <w:r>
        <w:rPr>
          <w:rFonts w:ascii="Arial" w:cs="Arial" w:eastAsia="Arial" w:hAnsi="Arial"/>
          <w:sz w:val="18"/>
          <w:szCs w:val="18"/>
          <w:color w:val="auto"/>
        </w:rPr>
        <w:t xml:space="preserve"> </w:t>
      </w:r>
      <w:r>
        <w:rPr>
          <w:rFonts w:ascii="Arial" w:cs="Arial" w:eastAsia="Arial" w:hAnsi="Arial"/>
          <w:sz w:val="21"/>
          <w:szCs w:val="21"/>
          <w:color w:val="auto"/>
        </w:rPr>
        <w:t>Secretary.</w:t>
      </w:r>
    </w:p>
    <w:p>
      <w:pPr>
        <w:spacing w:after="0" w:line="19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Section 2. Chairman of the Board. The Chairman of the Board (who may also be designated as Executive Chairman if serving as an employee of the Corporation), if such an officer be elected, shall preside at all meetings of the Board of Directors and of the shareholders of the Corporation. In the Chairman of the Board’s absence, such duties shall be attended to by any vice chairman of the Board of Directors, or if there is no vice chairman, or such vice chairman is absent, then by the Independent Lead Director. The Chairman of the Board shall act as liaison between the Board of Directors and the executive officers of the Corporation and shall be responsible for general oversight of such executive officers. The Chairman of the Board may also, but shall not be required to, hold the position of Chief Executive Officer of the Corporation, if so elected or appointed by the Board of Directors. The Chairman of the Board shall formulate and submit to the Board of Directors matters of general policy for the Corporation and shall perform such other duties as usually appertain to the office or as may be prescribed by the Board of Directors.</w:t>
      </w:r>
    </w:p>
    <w:p>
      <w:pPr>
        <w:spacing w:after="0" w:line="20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Section 3. Chief Executive Officer. The Chief Executive Officer shall have the general powers and duties of supervision and management usually vested in the office of Chief Executive Officer of 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color w:val="auto"/>
        </w:rPr>
        <w:t>Page 13 of 19</w:t>
      </w:r>
    </w:p>
    <w:p>
      <w:pPr>
        <w:spacing w:after="0" w:line="16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the absence or nonelection of a chairman, the independent lead director shall preside at all meetings of the Board of Directors and shareholders, discharging the duties incumbent upon a the independent lead director.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Chief Executive Officer shall have the direction of all other officers, agents and employees of the Corporation and shall see that all orders and resolutions of the Board are carried into effect. The Chief Executive Officer shall also perform such other duties and exercise such other powers as the By-Laws may provide or the Board of Directors may assign.</w:t>
      </w:r>
    </w:p>
    <w:p>
      <w:pPr>
        <w:spacing w:after="0" w:line="20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Section 4. Vice President. Vice presidents, when elected, shall have such powers and perform such duties as the Chief Executive Officer may from time to time assign and shall perform such other duties as may be prescribed by these By-Laws.</w:t>
      </w:r>
    </w:p>
    <w:p>
      <w:pPr>
        <w:spacing w:after="0" w:line="19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Section 5. Secretary. The secretary shall keep true and complete records of the proceedings of the meetings of the shareholders, the Board of Directors and any committees of directors and shall file any written consents of the shareholders, the Board of Directors and any committees of directors with these records. It shall be the duty of the secretary to be custodian of the records and of the seal of the Corporation. The Secretary shall also attend to the giving of all notices and shall perform such other duties as the By-Laws may provide or the Board of Directors may assign.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ind w:left="10620"/>
        <w:spacing w:after="0"/>
        <w:rPr>
          <w:sz w:val="20"/>
          <w:szCs w:val="20"/>
          <w:color w:val="auto"/>
        </w:rPr>
      </w:pPr>
      <w:r>
        <w:rPr>
          <w:rFonts w:ascii="Arial" w:cs="Arial" w:eastAsia="Arial" w:hAnsi="Arial"/>
          <w:sz w:val="12"/>
          <w:szCs w:val="12"/>
          <w:color w:val="auto"/>
        </w:rPr>
        <w:t>Page 14 of 19</w:t>
      </w:r>
    </w:p>
    <w:p>
      <w:pPr>
        <w:spacing w:after="0" w:line="190"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Section 6. Assistant Secretary. If one shall be elected, the assistant secretary shall have such powers and perform such duties as the president, secretary or the Board may from time to time assign and shall perform such other duties as may be prescribed by these By-Laws. At the request of the secretary, or in case of his absence or inability to act, the assistant secretary shall perform the duties of the secretary and, when so acting, shall have all the powers of, and be subject to all the restrictions upon, the secretary.</w:t>
      </w:r>
    </w:p>
    <w:p>
      <w:pPr>
        <w:spacing w:after="0" w:line="21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Section 7. Treasurer. If one shall be elected, the treasurer shall keep correct and complete records of account showing accurately at all times the financial condition of the Corporation. The treasurer shall also act as legal custodian of all moneys, notes, securities, and other valuables that may from time to time come into the possession of the Corporation, and shall promptly deposit all funds of the Corporation coming into his hands in the bank or other depository designated by the Board of Directors and shall keep this bank account in the name of the Corporation. Whenever requested by the Board of Directors, the treasurer shall furnish a statement of the financial condition of the Corporation and shall perform such other duties as the By-Law's may provide and the Board of Directors may assign.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ind w:left="10620"/>
        <w:spacing w:after="0"/>
        <w:rPr>
          <w:sz w:val="20"/>
          <w:szCs w:val="20"/>
          <w:color w:val="auto"/>
        </w:rPr>
      </w:pPr>
      <w:r>
        <w:rPr>
          <w:rFonts w:ascii="Arial" w:cs="Arial" w:eastAsia="Arial" w:hAnsi="Arial"/>
          <w:sz w:val="12"/>
          <w:szCs w:val="12"/>
          <w:color w:val="auto"/>
        </w:rPr>
        <w:t>Page 15 of 19</w:t>
      </w:r>
    </w:p>
    <w:p>
      <w:pPr>
        <w:spacing w:after="0" w:line="19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Section 8. Assistant Treasurer. If one shall be elected, the assistant treasurer shall have such powers and perform such duties as the president, treasurer or Board may from time to time assign and shall perform such other duties as may be prescribed by these By-Laws. At the request of the treasurer, or in case of his absence or inability to act, the assistant treasurer shall perform the duties of the treasurer and, when so acting, shall have all the powers of, and be subject to all the restrictions upon, the treasurer.</w:t>
      </w:r>
    </w:p>
    <w:p>
      <w:pPr>
        <w:spacing w:after="0" w:line="21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Section 9. Other Officers. Such other officers as are appointed shall exercise such duties and have such powers as the Board of Directors may assign.</w:t>
      </w:r>
    </w:p>
    <w:p>
      <w:pPr>
        <w:spacing w:after="0" w:line="197"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Transfer of Authority. In case of the absence of any officer of the Corporation or for any other reason that the Board of Directors may</w:t>
      </w:r>
    </w:p>
    <w:p>
      <w:pPr>
        <w:spacing w:after="0" w:line="20" w:lineRule="exact"/>
        <w:rPr>
          <w:sz w:val="20"/>
          <w:szCs w:val="20"/>
          <w:color w:val="auto"/>
        </w:rPr>
      </w:pPr>
    </w:p>
    <w:p>
      <w:pPr>
        <w:ind w:right="920"/>
        <w:spacing w:after="0" w:line="290" w:lineRule="auto"/>
        <w:rPr>
          <w:sz w:val="20"/>
          <w:szCs w:val="20"/>
          <w:color w:val="auto"/>
        </w:rPr>
      </w:pPr>
      <w:r>
        <w:rPr>
          <w:rFonts w:ascii="Arial" w:cs="Arial" w:eastAsia="Arial" w:hAnsi="Arial"/>
          <w:sz w:val="18"/>
          <w:szCs w:val="18"/>
          <w:color w:val="auto"/>
        </w:rPr>
        <w:t xml:space="preserve">deem sufficient, the Board of Directors may transfer the powers or duties of that officer to any other officer or to any director or employee </w:t>
      </w:r>
      <w:r>
        <w:rPr>
          <w:rFonts w:ascii="Arial" w:cs="Arial" w:eastAsia="Arial" w:hAnsi="Arial"/>
          <w:sz w:val="21"/>
          <w:szCs w:val="21"/>
          <w:color w:val="auto"/>
        </w:rPr>
        <w:t>of the</w:t>
      </w:r>
      <w:r>
        <w:rPr>
          <w:rFonts w:ascii="Arial" w:cs="Arial" w:eastAsia="Arial" w:hAnsi="Arial"/>
          <w:sz w:val="18"/>
          <w:szCs w:val="18"/>
          <w:color w:val="auto"/>
        </w:rPr>
        <w:t xml:space="preserve"> </w:t>
      </w:r>
      <w:r>
        <w:rPr>
          <w:rFonts w:ascii="Arial" w:cs="Arial" w:eastAsia="Arial" w:hAnsi="Arial"/>
          <w:sz w:val="21"/>
          <w:szCs w:val="21"/>
          <w:color w:val="auto"/>
        </w:rPr>
        <w:t>Corporation, provided that a majority of the entire Board of Directors approves.</w:t>
      </w:r>
    </w:p>
    <w:p>
      <w:pPr>
        <w:spacing w:after="0" w:line="177"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Section 11. Resignation and Removal. Unless otherwise provided in any contract with the Corporation, any officer may resign or be removed at any time. An officer who intends to resign shall give written notice to the Board of Directors in care of the Chief Executive Officer or the Secretary. Removal of an officer, with or without cause, may be effected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ind w:left="10620"/>
        <w:spacing w:after="0"/>
        <w:rPr>
          <w:sz w:val="20"/>
          <w:szCs w:val="20"/>
          <w:color w:val="auto"/>
        </w:rPr>
      </w:pPr>
      <w:r>
        <w:rPr>
          <w:rFonts w:ascii="Arial" w:cs="Arial" w:eastAsia="Arial" w:hAnsi="Arial"/>
          <w:sz w:val="12"/>
          <w:szCs w:val="12"/>
          <w:color w:val="auto"/>
        </w:rPr>
        <w:t>Page 16 of 19</w:t>
      </w:r>
    </w:p>
    <w:p>
      <w:pPr>
        <w:spacing w:after="0" w:line="190"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Vacancies. A vacancy occurring in any office may be filled for the unexpired portion of the term of office by the Board of Directors.</w:t>
      </w:r>
    </w:p>
    <w:p>
      <w:pPr>
        <w:spacing w:after="0" w:line="252" w:lineRule="exact"/>
        <w:rPr>
          <w:sz w:val="20"/>
          <w:szCs w:val="20"/>
          <w:color w:val="auto"/>
        </w:rPr>
      </w:pPr>
    </w:p>
    <w:p>
      <w:pPr>
        <w:ind w:left="4340"/>
        <w:spacing w:after="0"/>
        <w:tabs>
          <w:tab w:leader="none" w:pos="5680" w:val="left"/>
        </w:tabs>
        <w:rPr>
          <w:sz w:val="20"/>
          <w:szCs w:val="20"/>
          <w:color w:val="auto"/>
        </w:rPr>
      </w:pPr>
      <w:r>
        <w:rPr>
          <w:rFonts w:ascii="Arial" w:cs="Arial" w:eastAsia="Arial" w:hAnsi="Arial"/>
          <w:sz w:val="18"/>
          <w:szCs w:val="18"/>
          <w:color w:val="auto"/>
        </w:rPr>
        <w:t>ARTICLE V:</w:t>
      </w:r>
      <w:r>
        <w:rPr>
          <w:sz w:val="20"/>
          <w:szCs w:val="20"/>
          <w:color w:val="auto"/>
        </w:rPr>
        <w:tab/>
      </w:r>
      <w:r>
        <w:rPr>
          <w:rFonts w:ascii="Arial" w:cs="Arial" w:eastAsia="Arial" w:hAnsi="Arial"/>
          <w:sz w:val="17"/>
          <w:szCs w:val="17"/>
          <w:color w:val="auto"/>
        </w:rPr>
        <w:t>CAPITAL STOCK</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Section 1. Consideration and Payment. The capital stock may be issued for such consideration as may be fixed from time to time by the Board of Directors, provided, however, that the consideration may not be less than the par value of any of such stock having a par value. Payment of such consideration may be made, in whole or in part, in (a) cash, securities or other property of any description, or any interest therein, (b) labor or services rendered to or for the benefit of the Corporation, or (c) shares, securities or other obligations of the Corporation actually surrendered, cancelled or reduced. No certificate shall be issued for any shares until such shares are fully paid.</w:t>
      </w:r>
    </w:p>
    <w:p>
      <w:pPr>
        <w:spacing w:after="0" w:line="21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Section 2. Certificates Representing Shares. Shares of the Corporation stock may be certificated or uncertificated. Each holder of stock in the Corporation represented by certificates, any upon request of every holder of uncertificated shares, shall be entitled to have a certificate signed by or in the name of the Corporation by the Chairman of the Board and the Secretary certifying the number of shares owned by the shareholder and sealed with the seal or a facsimile of the seal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ind w:left="10620"/>
        <w:spacing w:after="0"/>
        <w:rPr>
          <w:sz w:val="20"/>
          <w:szCs w:val="20"/>
          <w:color w:val="auto"/>
        </w:rPr>
      </w:pPr>
      <w:r>
        <w:rPr>
          <w:rFonts w:ascii="Arial" w:cs="Arial" w:eastAsia="Arial" w:hAnsi="Arial"/>
          <w:sz w:val="12"/>
          <w:szCs w:val="12"/>
          <w:color w:val="auto"/>
        </w:rPr>
        <w:t>Page 17 of 19</w:t>
      </w:r>
    </w:p>
    <w:p>
      <w:pPr>
        <w:spacing w:after="0" w:line="19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Section 3. Lost Certificates. Whenever a person shall request the issuance of a certificate of stock to replace a certificate alleged to have been lost by theft, destruction or otherwise, the Board of Directors shall require that such person make an affidavit to the fact of such loss before the Board shall authorize the requested issuance. Before issuing a new certificate, the Board may also require a bond of indemnity against any claim that may be made against the Corporation with respect to the certificate alleged to have been lost.</w:t>
      </w:r>
    </w:p>
    <w:p>
      <w:pPr>
        <w:spacing w:after="0" w:line="21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Section 4. Transfer of Stock. The Corporation or its transfer agent shall register a transfer of a stock certificate, issue a new certificate and cancel the old certificate upon presentation for transfer of a stock certificate duly endorsed or accompanied by proper evidence of succession, assignment or authority to transfer if there has been compliance with any applicable tax law relating to the collection of taxes and after the Corporation or its agent has discharged any duty to inquire into any adverse claims of which the Corporation or agent has notice. Notwithstanding the foregoing, no such transfer shall be effected by the Corporation or its transfer agent if such transfer is prohibited by law, by the Certificate of Incorporation or a By-Law of the Corporation or by any contract or agreement to which the Corporation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10620"/>
        <w:spacing w:after="0"/>
        <w:rPr>
          <w:sz w:val="20"/>
          <w:szCs w:val="20"/>
          <w:color w:val="auto"/>
        </w:rPr>
      </w:pPr>
      <w:r>
        <w:rPr>
          <w:rFonts w:ascii="Arial" w:cs="Arial" w:eastAsia="Arial" w:hAnsi="Arial"/>
          <w:sz w:val="12"/>
          <w:szCs w:val="12"/>
          <w:color w:val="auto"/>
        </w:rPr>
        <w:t>Page 18 of 19</w:t>
      </w:r>
    </w:p>
    <w:p>
      <w:pPr>
        <w:spacing w:after="0" w:line="19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Section 5. Regulation. The Board of Directors shall make such regulations as it may deem expedient concerning the issue, transfer and registration of shares.</w:t>
      </w:r>
    </w:p>
    <w:p>
      <w:pPr>
        <w:spacing w:after="0" w:line="197" w:lineRule="exact"/>
        <w:rPr>
          <w:sz w:val="20"/>
          <w:szCs w:val="20"/>
          <w:color w:val="auto"/>
        </w:rPr>
      </w:pPr>
    </w:p>
    <w:p>
      <w:pPr>
        <w:ind w:left="3800"/>
        <w:spacing w:after="0"/>
        <w:tabs>
          <w:tab w:leader="none" w:pos="5260" w:val="left"/>
        </w:tabs>
        <w:rPr>
          <w:sz w:val="20"/>
          <w:szCs w:val="20"/>
          <w:color w:val="auto"/>
        </w:rPr>
      </w:pPr>
      <w:r>
        <w:rPr>
          <w:rFonts w:ascii="Arial" w:cs="Arial" w:eastAsia="Arial" w:hAnsi="Arial"/>
          <w:sz w:val="18"/>
          <w:szCs w:val="18"/>
          <w:color w:val="auto"/>
        </w:rPr>
        <w:t>ARTICLE VI:</w:t>
      </w:r>
      <w:r>
        <w:rPr>
          <w:sz w:val="20"/>
          <w:szCs w:val="20"/>
          <w:color w:val="auto"/>
        </w:rPr>
        <w:tab/>
      </w:r>
      <w:r>
        <w:rPr>
          <w:rFonts w:ascii="Arial" w:cs="Arial" w:eastAsia="Arial" w:hAnsi="Arial"/>
          <w:sz w:val="17"/>
          <w:szCs w:val="17"/>
          <w:color w:val="auto"/>
        </w:rPr>
        <w:t>DIVIDENDS AND RESERVES</w:t>
      </w:r>
    </w:p>
    <w:p>
      <w:pPr>
        <w:spacing w:after="0" w:line="252" w:lineRule="exact"/>
        <w:rPr>
          <w:sz w:val="20"/>
          <w:szCs w:val="20"/>
          <w:color w:val="auto"/>
        </w:rPr>
      </w:pPr>
    </w:p>
    <w:p>
      <w:pPr>
        <w:ind w:right="700" w:firstLine="486"/>
        <w:spacing w:after="0" w:line="308" w:lineRule="auto"/>
        <w:rPr>
          <w:sz w:val="20"/>
          <w:szCs w:val="20"/>
          <w:color w:val="auto"/>
        </w:rPr>
      </w:pPr>
      <w:r>
        <w:rPr>
          <w:rFonts w:ascii="Arial" w:cs="Arial" w:eastAsia="Arial" w:hAnsi="Arial"/>
          <w:sz w:val="17"/>
          <w:szCs w:val="17"/>
          <w:color w:val="auto"/>
        </w:rPr>
        <w:t>Section 1. Dividends. Subject to any limitations or conditions contained in the Certificate of Incorporation, dividends may be declared by a resolution duly adopted by the Board of Directors and may be paid in cash; property or in shares of the capital stock of the Corporation.</w:t>
      </w:r>
    </w:p>
    <w:p>
      <w:pPr>
        <w:spacing w:after="0" w:line="174"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Section 2. Reserves. Before payment of any dividend, the Board of Directors may set aside out of any funds available for dividends such sum or sums as the Board, in its absolute discretion, may determine as a reserve or reserves to meet contingencies, to equalize dividends, to repair or maintain property or to serve other purposes conducive to the interests of the Corporation.</w:t>
      </w:r>
    </w:p>
    <w:p>
      <w:pPr>
        <w:spacing w:after="0" w:line="208"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ARTICLE VII:</w:t>
      </w:r>
      <w:r>
        <w:rPr>
          <w:sz w:val="20"/>
          <w:szCs w:val="20"/>
          <w:color w:val="auto"/>
        </w:rPr>
        <w:tab/>
      </w:r>
      <w:r>
        <w:rPr>
          <w:rFonts w:ascii="Arial" w:cs="Arial" w:eastAsia="Arial" w:hAnsi="Arial"/>
          <w:sz w:val="16"/>
          <w:szCs w:val="16"/>
          <w:color w:val="auto"/>
        </w:rPr>
        <w:t>SPECIAL CORPORATE ACTS</w:t>
      </w:r>
    </w:p>
    <w:p>
      <w:pPr>
        <w:spacing w:after="0" w:line="252"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Section 1. All checks, drafts, notes, bonds, bills of exchange, and orders for the payment of money of the Corporation; all deeds, mortgages and other written contracts and agreements to which the Corporation shall be a party; and all assignments or endorsements of stock certificates, registered bonds or other securities owned by the Corporation shall be signed by the Chief Executive Officer, and, if required by law, attested by the secretary or an assistant secretary, unless otherwise directed by the Board of Directors or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color w:val="auto"/>
        </w:rPr>
        <w:t>Page 19 of 19</w:t>
      </w:r>
    </w:p>
    <w:p>
      <w:pPr>
        <w:spacing w:after="0" w:line="167"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ARTICLE VIII:</w:t>
      </w:r>
      <w:r>
        <w:rPr>
          <w:sz w:val="20"/>
          <w:szCs w:val="20"/>
          <w:color w:val="auto"/>
        </w:rPr>
        <w:tab/>
      </w:r>
      <w:r>
        <w:rPr>
          <w:rFonts w:ascii="Arial" w:cs="Arial" w:eastAsia="Arial" w:hAnsi="Arial"/>
          <w:sz w:val="17"/>
          <w:szCs w:val="17"/>
          <w:color w:val="auto"/>
        </w:rPr>
        <w:t>FISCAL YEAR</w:t>
      </w:r>
    </w:p>
    <w:p>
      <w:pPr>
        <w:spacing w:after="0" w:line="252"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fiscal year of the Corporation shall be determined by resolution of the Board of Directors.</w:t>
      </w:r>
    </w:p>
    <w:p>
      <w:pPr>
        <w:spacing w:after="0" w:line="252" w:lineRule="exact"/>
        <w:rPr>
          <w:sz w:val="20"/>
          <w:szCs w:val="20"/>
          <w:color w:val="auto"/>
        </w:rPr>
      </w:pPr>
    </w:p>
    <w:p>
      <w:pPr>
        <w:ind w:left="4240"/>
        <w:spacing w:after="0"/>
        <w:tabs>
          <w:tab w:leader="none" w:pos="5560" w:val="left"/>
        </w:tabs>
        <w:rPr>
          <w:sz w:val="20"/>
          <w:szCs w:val="20"/>
          <w:color w:val="auto"/>
        </w:rPr>
      </w:pPr>
      <w:r>
        <w:rPr>
          <w:rFonts w:ascii="Arial" w:cs="Arial" w:eastAsia="Arial" w:hAnsi="Arial"/>
          <w:sz w:val="18"/>
          <w:szCs w:val="18"/>
          <w:color w:val="auto"/>
        </w:rPr>
        <w:t>ARTICLE IX:</w:t>
      </w:r>
      <w:r>
        <w:rPr>
          <w:sz w:val="20"/>
          <w:szCs w:val="20"/>
          <w:color w:val="auto"/>
        </w:rPr>
        <w:tab/>
      </w:r>
      <w:r>
        <w:rPr>
          <w:rFonts w:ascii="Arial" w:cs="Arial" w:eastAsia="Arial" w:hAnsi="Arial"/>
          <w:sz w:val="17"/>
          <w:szCs w:val="17"/>
          <w:color w:val="auto"/>
        </w:rPr>
        <w:t>INDEMNIFICATION</w:t>
      </w:r>
    </w:p>
    <w:p>
      <w:pPr>
        <w:spacing w:after="0" w:line="252"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Corporation shall indemnify its directors, and officers.</w:t>
      </w:r>
    </w:p>
    <w:p>
      <w:pPr>
        <w:spacing w:after="0" w:line="252" w:lineRule="exact"/>
        <w:rPr>
          <w:sz w:val="20"/>
          <w:szCs w:val="20"/>
          <w:color w:val="auto"/>
        </w:rPr>
      </w:pPr>
    </w:p>
    <w:p>
      <w:pPr>
        <w:ind w:left="3900"/>
        <w:spacing w:after="0"/>
        <w:tabs>
          <w:tab w:leader="none" w:pos="5220" w:val="left"/>
        </w:tabs>
        <w:rPr>
          <w:sz w:val="20"/>
          <w:szCs w:val="20"/>
          <w:color w:val="auto"/>
        </w:rPr>
      </w:pPr>
      <w:r>
        <w:rPr>
          <w:rFonts w:ascii="Arial" w:cs="Arial" w:eastAsia="Arial" w:hAnsi="Arial"/>
          <w:sz w:val="18"/>
          <w:szCs w:val="18"/>
          <w:color w:val="auto"/>
        </w:rPr>
        <w:t>ARTICLE X:</w:t>
      </w:r>
      <w:r>
        <w:rPr>
          <w:sz w:val="20"/>
          <w:szCs w:val="20"/>
          <w:color w:val="auto"/>
        </w:rPr>
        <w:tab/>
      </w:r>
      <w:r>
        <w:rPr>
          <w:rFonts w:ascii="Arial" w:cs="Arial" w:eastAsia="Arial" w:hAnsi="Arial"/>
          <w:sz w:val="17"/>
          <w:szCs w:val="17"/>
          <w:color w:val="auto"/>
        </w:rPr>
        <w:t>AMENDMENT OF BY-LAWS</w:t>
      </w:r>
    </w:p>
    <w:p>
      <w:pPr>
        <w:spacing w:after="0" w:line="252"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Section 1. These By-Laws may be amended or repealed or new By-Laws may be adopted by the affirmative vote of the holders of a majority of the stock entitled to vote at any meeting of shareholders or by the affirmative vote of directors holding a majority of the directorships at any meeting of directors provided that notice of such amendment, repeal or adopt ion of new By-Laws be included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10.4</w:t>
      </w:r>
    </w:p>
    <w:p>
      <w:pPr>
        <w:spacing w:after="0" w:line="32" w:lineRule="exact"/>
        <w:rPr>
          <w:sz w:val="20"/>
          <w:szCs w:val="20"/>
          <w:color w:val="auto"/>
        </w:rPr>
      </w:pPr>
    </w:p>
    <w:p>
      <w:pPr>
        <w:jc w:val="center"/>
        <w:ind w:left="860"/>
        <w:spacing w:after="0"/>
        <w:rPr>
          <w:sz w:val="20"/>
          <w:szCs w:val="20"/>
          <w:color w:val="auto"/>
        </w:rPr>
      </w:pPr>
      <w:r>
        <w:rPr>
          <w:rFonts w:ascii="Arial" w:cs="Arial" w:eastAsia="Arial" w:hAnsi="Arial"/>
          <w:sz w:val="32"/>
          <w:szCs w:val="32"/>
          <w:b w:val="1"/>
          <w:b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557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2" w:lineRule="exact"/>
        <w:rPr>
          <w:sz w:val="20"/>
          <w:szCs w:val="20"/>
          <w:color w:val="auto"/>
        </w:rPr>
      </w:pPr>
    </w:p>
    <w:p>
      <w:pPr>
        <w:jc w:val="center"/>
        <w:ind w:left="860"/>
        <w:spacing w:after="0"/>
        <w:rPr>
          <w:sz w:val="20"/>
          <w:szCs w:val="20"/>
          <w:color w:val="auto"/>
        </w:rPr>
      </w:pPr>
      <w:r>
        <w:rPr>
          <w:rFonts w:ascii="Arial" w:cs="Arial" w:eastAsia="Arial" w:hAnsi="Arial"/>
          <w:sz w:val="17"/>
          <w:szCs w:val="17"/>
          <w:b w:val="1"/>
          <w:bCs w:val="1"/>
          <w:color w:val="auto"/>
        </w:rPr>
        <w:t>(Amended and Current as of April 8, 2010)</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I - </w:t>
      </w:r>
      <w:r>
        <w:rPr>
          <w:rFonts w:ascii="Arial" w:cs="Arial" w:eastAsia="Arial" w:hAnsi="Arial"/>
          <w:sz w:val="26"/>
          <w:szCs w:val="26"/>
          <w:b w:val="1"/>
          <w:bCs w:val="1"/>
          <w:i w:val="1"/>
          <w:iCs w:val="1"/>
          <w:color w:val="auto"/>
        </w:rPr>
        <w:t>General</w:t>
      </w:r>
    </w:p>
    <w:p>
      <w:pPr>
        <w:spacing w:after="0" w:line="253" w:lineRule="exact"/>
        <w:rPr>
          <w:sz w:val="20"/>
          <w:szCs w:val="20"/>
          <w:color w:val="auto"/>
        </w:rPr>
      </w:pPr>
    </w:p>
    <w:p>
      <w:pPr>
        <w:jc w:val="both"/>
        <w:ind w:left="500" w:hanging="485"/>
        <w:spacing w:after="0" w:line="258" w:lineRule="auto"/>
        <w:tabs>
          <w:tab w:leader="none" w:pos="4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213" w:lineRule="exact"/>
        <w:rPr>
          <w:sz w:val="20"/>
          <w:szCs w:val="20"/>
          <w:color w:val="auto"/>
        </w:rPr>
      </w:pPr>
    </w:p>
    <w:p>
      <w:pPr>
        <w:jc w:val="both"/>
        <w:ind w:left="500" w:hanging="485"/>
        <w:spacing w:after="0" w:line="263" w:lineRule="auto"/>
        <w:tabs>
          <w:tab w:leader="none" w:pos="4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08" w:lineRule="exact"/>
        <w:rPr>
          <w:sz w:val="20"/>
          <w:szCs w:val="20"/>
          <w:color w:val="auto"/>
        </w:rPr>
      </w:pPr>
    </w:p>
    <w:p>
      <w:pPr>
        <w:jc w:val="both"/>
        <w:ind w:left="500" w:hanging="485"/>
        <w:spacing w:after="0" w:line="263" w:lineRule="auto"/>
        <w:tabs>
          <w:tab w:leader="none" w:pos="4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II - </w:t>
      </w:r>
      <w:r>
        <w:rPr>
          <w:rFonts w:ascii="Arial" w:cs="Arial" w:eastAsia="Arial" w:hAnsi="Arial"/>
          <w:sz w:val="26"/>
          <w:szCs w:val="26"/>
          <w:b w:val="1"/>
          <w:bCs w:val="1"/>
          <w:i w:val="1"/>
          <w:iCs w:val="1"/>
          <w:color w:val="auto"/>
        </w:rPr>
        <w:t>Definitions</w:t>
      </w: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The following words and phrases, when used in the Plan, shall have the following respective meanings, unless the context clearly indicates otherwise: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Leave of Absence"</w:t>
      </w:r>
    </w:p>
    <w:p>
      <w:pPr>
        <w:spacing w:after="0" w:line="14" w:lineRule="exact"/>
        <w:rPr>
          <w:sz w:val="20"/>
          <w:szCs w:val="20"/>
          <w:color w:val="auto"/>
        </w:rPr>
      </w:pPr>
    </w:p>
    <w:p>
      <w:pPr>
        <w:jc w:val="both"/>
        <w:ind w:left="280"/>
        <w:spacing w:after="0" w:line="255" w:lineRule="auto"/>
        <w:rPr>
          <w:sz w:val="20"/>
          <w:szCs w:val="20"/>
          <w:color w:val="auto"/>
        </w:rPr>
      </w:pPr>
      <w:r>
        <w:rPr>
          <w:rFonts w:ascii="Arial" w:cs="Arial" w:eastAsia="Arial" w:hAnsi="Arial"/>
          <w:sz w:val="17"/>
          <w:szCs w:val="17"/>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of Directors of Photronics,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Internal Revenue Code of 1986, as amended from time to time, and applicable Treasury Department regulations issued thereunder.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"Common Stock"</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Common Stock, par value $0.01 per share, of the Company, or the securities adjusted or substituted therefor pursuant to Article XIV.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27" w:lineRule="exact"/>
        <w:rPr>
          <w:sz w:val="20"/>
          <w:szCs w:val="20"/>
          <w:color w:val="auto"/>
        </w:rPr>
      </w:pPr>
    </w:p>
    <w:p>
      <w:pPr>
        <w:jc w:val="both"/>
        <w:ind w:left="280"/>
        <w:spacing w:after="0" w:line="261" w:lineRule="auto"/>
        <w:rPr>
          <w:sz w:val="20"/>
          <w:szCs w:val="20"/>
          <w:color w:val="auto"/>
        </w:rPr>
      </w:pPr>
      <w:r>
        <w:rPr>
          <w:rFonts w:ascii="Arial" w:cs="Arial" w:eastAsia="Arial" w:hAnsi="Arial"/>
          <w:sz w:val="17"/>
          <w:szCs w:val="17"/>
          <w:color w:val="auto"/>
        </w:rPr>
        <w:t>Photronics, Inc., a Connecticut corporation, or its successor or successors or any present or future subsidiary of Photronics, Inc., which may be designated to participate in the Plan by the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w:t>
      </w:r>
    </w:p>
    <w:p>
      <w:pPr>
        <w:spacing w:after="0" w:line="14" w:lineRule="exact"/>
        <w:rPr>
          <w:sz w:val="20"/>
          <w:szCs w:val="20"/>
          <w:color w:val="auto"/>
        </w:rPr>
      </w:pPr>
    </w:p>
    <w:p>
      <w:pPr>
        <w:jc w:val="both"/>
        <w:ind w:left="280"/>
        <w:spacing w:after="0" w:line="278" w:lineRule="auto"/>
        <w:rPr>
          <w:sz w:val="20"/>
          <w:szCs w:val="20"/>
          <w:color w:val="auto"/>
        </w:rPr>
      </w:pPr>
      <w:r>
        <w:rPr>
          <w:rFonts w:ascii="Arial" w:cs="Arial" w:eastAsia="Arial" w:hAnsi="Arial"/>
          <w:sz w:val="16"/>
          <w:szCs w:val="16"/>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"Disability"</w:t>
      </w:r>
    </w:p>
    <w:p>
      <w:pPr>
        <w:spacing w:after="0" w:line="14" w:lineRule="exact"/>
        <w:rPr>
          <w:sz w:val="20"/>
          <w:szCs w:val="20"/>
          <w:color w:val="auto"/>
        </w:rPr>
      </w:pPr>
    </w:p>
    <w:p>
      <w:pPr>
        <w:jc w:val="both"/>
        <w:ind w:left="280"/>
        <w:spacing w:after="0" w:line="305" w:lineRule="auto"/>
        <w:rPr>
          <w:sz w:val="20"/>
          <w:szCs w:val="20"/>
          <w:color w:val="auto"/>
        </w:rPr>
      </w:pPr>
      <w:r>
        <w:rPr>
          <w:rFonts w:ascii="Arial" w:cs="Arial" w:eastAsia="Arial" w:hAnsi="Arial"/>
          <w:sz w:val="15"/>
          <w:szCs w:val="15"/>
          <w:color w:val="auto"/>
        </w:rPr>
        <w:t>Disability shall have the same meaning set forth in Section 22(e)(3)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"Effective Date of the Plan"</w:t>
      </w:r>
    </w:p>
    <w:p>
      <w:pPr>
        <w:spacing w:after="0" w:line="27" w:lineRule="exact"/>
        <w:rPr>
          <w:sz w:val="20"/>
          <w:szCs w:val="20"/>
          <w:color w:val="auto"/>
        </w:rPr>
      </w:pPr>
    </w:p>
    <w:p>
      <w:pPr>
        <w:jc w:val="both"/>
        <w:ind w:left="280"/>
        <w:spacing w:after="0" w:line="293" w:lineRule="auto"/>
        <w:rPr>
          <w:sz w:val="20"/>
          <w:szCs w:val="20"/>
          <w:color w:val="auto"/>
        </w:rPr>
      </w:pPr>
      <w:r>
        <w:rPr>
          <w:rFonts w:ascii="Arial" w:cs="Arial" w:eastAsia="Arial" w:hAnsi="Arial"/>
          <w:sz w:val="16"/>
          <w:szCs w:val="16"/>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"Eligible Employee"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 Employee who is eligible to participate in the Plan in accordance with provisions of Articles IV and 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w:t>
      </w:r>
    </w:p>
    <w:p>
      <w:pPr>
        <w:spacing w:after="0" w:line="14" w:lineRule="exact"/>
        <w:rPr>
          <w:sz w:val="20"/>
          <w:szCs w:val="20"/>
          <w:color w:val="auto"/>
        </w:rPr>
      </w:pPr>
    </w:p>
    <w:p>
      <w:pPr>
        <w:jc w:val="both"/>
        <w:ind w:left="280"/>
        <w:spacing w:after="0" w:line="251" w:lineRule="auto"/>
        <w:rPr>
          <w:sz w:val="20"/>
          <w:szCs w:val="20"/>
          <w:color w:val="auto"/>
        </w:rPr>
      </w:pPr>
      <w:r>
        <w:rPr>
          <w:rFonts w:ascii="Arial" w:cs="Arial" w:eastAsia="Arial" w:hAnsi="Arial"/>
          <w:sz w:val="17"/>
          <w:szCs w:val="17"/>
          <w:color w:val="auto"/>
        </w:rPr>
        <w:t>Any person who, on an Offering Date, is a common law employee of the Company and whose customary employment is for more than twenty (20) hours per week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 Offering in accordance with the provisions of Article V.</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"Offering Date"</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date of an Offering as established by the Plan Committee pursuant to Section 5.1 hereof.</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 Eligible Employee who subscribes for Shares pursuant to Article VI.</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Photronics, Inc. Employee Stock Purchase Plan set forth herein, as amended from time to time in accordance with the provisions of Article XV.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Committee"</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committee provided for in Article XII to administer the Plan.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Date"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Purchase Date as provided in Sections 8.1 or 10.3, as appropriate.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Shares of Common Stock offered under the Plan.</w:t>
      </w:r>
    </w:p>
    <w:p>
      <w:pPr>
        <w:spacing w:after="0" w:line="196" w:lineRule="exact"/>
        <w:rPr>
          <w:sz w:val="20"/>
          <w:szCs w:val="20"/>
          <w:color w:val="auto"/>
        </w:rPr>
      </w:pPr>
    </w:p>
    <w:p>
      <w:pPr>
        <w:ind w:right="540" w:firstLine="519"/>
        <w:spacing w:after="0" w:line="278" w:lineRule="auto"/>
        <w:rPr>
          <w:sz w:val="20"/>
          <w:szCs w:val="20"/>
          <w:color w:val="auto"/>
        </w:rPr>
      </w:pPr>
      <w:r>
        <w:rPr>
          <w:rFonts w:ascii="Arial" w:cs="Arial" w:eastAsia="Arial" w:hAnsi="Arial"/>
          <w:sz w:val="17"/>
          <w:szCs w:val="17"/>
          <w:color w:val="auto"/>
        </w:rPr>
        <w:t>The masculine gender, whenever used in the Plan, shall be deemed to include the feminine gender, and whenever the plural is used it shall include the singular, if the context so requires.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 xml:space="preserve">ARTICLE III - </w:t>
      </w:r>
      <w:r>
        <w:rPr>
          <w:rFonts w:ascii="Arial" w:cs="Arial" w:eastAsia="Arial" w:hAnsi="Arial"/>
          <w:sz w:val="26"/>
          <w:szCs w:val="26"/>
          <w:b w:val="1"/>
          <w:bCs w:val="1"/>
          <w:i w:val="1"/>
          <w:iCs w:val="1"/>
          <w:color w:val="auto"/>
        </w:rPr>
        <w:t>Shares Subject to the Plan</w:t>
      </w:r>
    </w:p>
    <w:p>
      <w:pPr>
        <w:spacing w:after="0" w:line="253" w:lineRule="exact"/>
        <w:rPr>
          <w:sz w:val="20"/>
          <w:szCs w:val="20"/>
          <w:color w:val="auto"/>
        </w:rPr>
      </w:pPr>
    </w:p>
    <w:p>
      <w:pPr>
        <w:jc w:val="both"/>
        <w:ind w:left="500" w:hanging="485"/>
        <w:spacing w:after="0" w:line="256" w:lineRule="auto"/>
        <w:tabs>
          <w:tab w:leader="none" w:pos="4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Subject to the provisions of Article XIV hereof, the aggregate number of shares of Common Stock which may be issued under the Plan shall not exceed 1,200,000.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 xml:space="preserve">ARTICLE IV - </w:t>
      </w:r>
      <w:r>
        <w:rPr>
          <w:rFonts w:ascii="Arial" w:cs="Arial" w:eastAsia="Arial" w:hAnsi="Arial"/>
          <w:sz w:val="26"/>
          <w:szCs w:val="26"/>
          <w:b w:val="1"/>
          <w:bCs w:val="1"/>
          <w:i w:val="1"/>
          <w:iCs w:val="1"/>
          <w:color w:val="auto"/>
        </w:rPr>
        <w:t>Eligibility</w:t>
      </w:r>
    </w:p>
    <w:p>
      <w:pPr>
        <w:spacing w:after="0" w:line="253" w:lineRule="exact"/>
        <w:rPr>
          <w:sz w:val="20"/>
          <w:szCs w:val="20"/>
          <w:color w:val="auto"/>
        </w:rPr>
      </w:pPr>
    </w:p>
    <w:p>
      <w:pPr>
        <w:jc w:val="both"/>
        <w:ind w:left="500" w:right="20" w:hanging="485"/>
        <w:spacing w:after="0" w:line="348" w:lineRule="auto"/>
        <w:tabs>
          <w:tab w:leader="none" w:pos="4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Each Employee who has been continuously employed by the Company for the one complete calendar month (or such longer period as may be determined by the Plan Committee) ending immediately prior to an Offering Date shall be eligible to participate in the Offering under the Plan made on such Offering Date.</w:t>
      </w:r>
    </w:p>
    <w:p>
      <w:pPr>
        <w:spacing w:after="0" w:line="148" w:lineRule="exact"/>
        <w:rPr>
          <w:sz w:val="20"/>
          <w:szCs w:val="20"/>
          <w:color w:val="auto"/>
        </w:rPr>
      </w:pPr>
    </w:p>
    <w:p>
      <w:pPr>
        <w:jc w:val="both"/>
        <w:ind w:left="500" w:hanging="485"/>
        <w:spacing w:after="0" w:line="276" w:lineRule="auto"/>
        <w:tabs>
          <w:tab w:leader="none" w:pos="4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color w:val="auto"/>
        </w:rPr>
        <w:t>Notwithstanding the provisions of Section 4.1, no Employee shall be offered Shares if, immediately after he would subscribe for such Shares, such Employee would own capital stock (including shares of Common Stock which may be purchased under such subscription and under any other outstanding subscriptions under the Plan or options to purchase shares of Common Stock of the Company held by such Employee, as computed in accordance with Section 423[b][3] of the Code or any successor provision thereto) possessing 5% or more of the total combined voting power or value of all classes of stock of the Company. For purposes of determining the stock ownership of any Employee, the provisions of Section 424[d] of the Code shall apply.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338"/>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80" w:type="dxa"/>
            <w:vAlign w:val="bottom"/>
          </w:tcPr>
          <w:p>
            <w:pPr>
              <w:ind w:left="2740"/>
              <w:spacing w:after="0"/>
              <w:rPr>
                <w:sz w:val="20"/>
                <w:szCs w:val="20"/>
                <w:color w:val="auto"/>
              </w:rPr>
            </w:pPr>
            <w:r>
              <w:rPr>
                <w:rFonts w:ascii="Arial" w:cs="Arial" w:eastAsia="Arial" w:hAnsi="Arial"/>
                <w:sz w:val="26"/>
                <w:szCs w:val="26"/>
                <w:b w:val="1"/>
                <w:bCs w:val="1"/>
                <w:color w:val="auto"/>
              </w:rPr>
              <w:t xml:space="preserve">ARTICLE V - </w:t>
            </w:r>
            <w:r>
              <w:rPr>
                <w:rFonts w:ascii="Arial" w:cs="Arial" w:eastAsia="Arial" w:hAnsi="Arial"/>
                <w:sz w:val="26"/>
                <w:szCs w:val="26"/>
                <w:b w:val="1"/>
                <w:bCs w:val="1"/>
                <w:i w:val="1"/>
                <w:iCs w:val="1"/>
                <w:color w:val="auto"/>
              </w:rPr>
              <w:t>Offering Under the Plan</w:t>
            </w:r>
          </w:p>
        </w:tc>
      </w:tr>
      <w:tr>
        <w:trPr>
          <w:trHeight w:val="416"/>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5.1</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3"/>
              </w:rPr>
              <w:t>Offerings under the Plan shall be made on such Offering Dates as shall be determined by the Plan Committee. Notwithstanding anything to the contrary, no</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2"/>
              </w:rPr>
              <w:t>Offering shall be made on any date prior to the date that a required registration statement with respect to such Offering filed under the Securities Act of 1933,</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rPr>
              <w:t>as amended, has become effective. Nothing contained herein shall be deemed to require that an Offering be made in any year.</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5.2</w:t>
            </w:r>
          </w:p>
        </w:tc>
        <w:tc>
          <w:tcPr>
            <w:tcW w:w="480" w:type="dxa"/>
            <w:vAlign w:val="bottom"/>
          </w:tcPr>
          <w:p>
            <w:pPr>
              <w:ind w:left="140"/>
              <w:spacing w:after="0"/>
              <w:rPr>
                <w:sz w:val="20"/>
                <w:szCs w:val="20"/>
                <w:color w:val="auto"/>
              </w:rPr>
            </w:pPr>
            <w:r>
              <w:rPr>
                <w:rFonts w:ascii="Arial" w:cs="Arial" w:eastAsia="Arial" w:hAnsi="Arial"/>
                <w:sz w:val="17"/>
                <w:szCs w:val="17"/>
                <w:color w:val="auto"/>
              </w:rPr>
              <w:t>[a]</w:t>
            </w:r>
          </w:p>
        </w:tc>
        <w:tc>
          <w:tcPr>
            <w:tcW w:w="10580" w:type="dxa"/>
            <w:vAlign w:val="bottom"/>
          </w:tcPr>
          <w:p>
            <w:pPr>
              <w:ind w:left="120"/>
              <w:spacing w:after="0"/>
              <w:rPr>
                <w:sz w:val="20"/>
                <w:szCs w:val="20"/>
                <w:color w:val="auto"/>
              </w:rPr>
            </w:pPr>
            <w:r>
              <w:rPr>
                <w:rFonts w:ascii="Arial" w:cs="Arial" w:eastAsia="Arial" w:hAnsi="Arial"/>
                <w:sz w:val="17"/>
                <w:szCs w:val="17"/>
                <w:color w:val="auto"/>
                <w:w w:val="94"/>
              </w:rPr>
              <w:t>Subject to the limitations set forth in Sections 5.2[b] and 6.3, and to the other terms and conditions of the Plan, in each offering under the Plan, each</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4"/>
              </w:rPr>
              <w:t>Eligible Employee on an Offering Date shall be offered the right during the Subscription Period as provided in Section 6.2, to subscribe to purchase</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2"/>
              </w:rPr>
              <w:t>such number of Shares as the percentage designated by the Plan Committee for such offering (not to exceed 5%) of his Compensation would buy, at a</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4"/>
              </w:rPr>
              <w:t>price equal to the product of (i) the fair market value of a Share on the Offering Date, multiplied by (ii) the Purchase Price percentage utilized under</w:t>
            </w: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rPr>
              <w:t>Section 5.3 hereof.</w:t>
            </w:r>
          </w:p>
        </w:tc>
      </w:tr>
      <w:tr>
        <w:trPr>
          <w:trHeight w:val="428"/>
        </w:trPr>
        <w:tc>
          <w:tcPr>
            <w:tcW w:w="3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[b]</w:t>
            </w:r>
          </w:p>
        </w:tc>
        <w:tc>
          <w:tcPr>
            <w:tcW w:w="10580" w:type="dxa"/>
            <w:vAlign w:val="bottom"/>
          </w:tcPr>
          <w:p>
            <w:pPr>
              <w:ind w:left="120"/>
              <w:spacing w:after="0"/>
              <w:rPr>
                <w:sz w:val="20"/>
                <w:szCs w:val="20"/>
                <w:color w:val="auto"/>
              </w:rPr>
            </w:pPr>
            <w:r>
              <w:rPr>
                <w:rFonts w:ascii="Arial" w:cs="Arial" w:eastAsia="Arial" w:hAnsi="Arial"/>
                <w:sz w:val="17"/>
                <w:szCs w:val="17"/>
                <w:color w:val="auto"/>
                <w:w w:val="97"/>
              </w:rPr>
              <w:t>Notwithstanding anything to the contrary contained in Sub-Section [a] of this Section 5.2, no Eligible Employee shall be eligible to subscribe for</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7"/>
              </w:rPr>
              <w:t>Shares in an Offering if, immediately after he would subscribe for such Shares, such subscription would permit his rights to purchase shares of</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1"/>
              </w:rPr>
              <w:t>Common Stock under all employee stock purchase plans of the Company to accrue at a rate which exceeds $25,000 (or such other maximum amounts</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as may be prescribed from time to time under the Code) of the fair market value of such shares (determined as of the Offering Date for such Offering)</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for each calendar year in which such subscription would be outstanding at any time. For purposes of this limitation the provisions of Section 423[b][8]</w:t>
            </w: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rPr>
              <w:t>of the Code shall be applicable.</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5.3</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2"/>
              </w:rPr>
              <w:t>The Purchase Price per share subscribed for all Shares in a particular Offering shall be an amount equal to such percentages, not greater than 100% nor less</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2"/>
              </w:rPr>
              <w:t>than 85%, as shall be determined by the Plan Committee on or prior to the Offering Date, of the fair market value of a share of Common Stock (determined in</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7"/>
              </w:rPr>
              <w:t>accordance with the provisions of Article XIII) on one of the following dates with respect to such Offering, with such date to be determined by the Plan</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5"/>
              </w:rPr>
              <w:t>Committee on or prior to the Offering Date: (i) the Offering Date, (ii) the Purchase Date, or (iii) the Offering Date or the Purchase Date (whichever would</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rPr>
              <w:t>result in a lower Purchase Price for the Common Stock).</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5.4</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4"/>
              </w:rPr>
              <w:t>In order to participate in any Offering, an Eligible Employee entitled to subscribe for Shares in such Offering shall comply with the subscription procedures</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rPr>
              <w:t>set forth in Article VI.</w:t>
            </w:r>
          </w:p>
        </w:tc>
      </w:tr>
      <w:tr>
        <w:trPr>
          <w:trHeight w:val="341"/>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Arial" w:cs="Arial" w:eastAsia="Arial" w:hAnsi="Arial"/>
                <w:sz w:val="14"/>
                <w:szCs w:val="14"/>
                <w:color w:val="auto"/>
              </w:rPr>
              <w:t>4</w:t>
            </w:r>
          </w:p>
        </w:tc>
      </w:tr>
      <w:tr>
        <w:trPr>
          <w:trHeight w:val="46"/>
        </w:trPr>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0"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80" w:type="dxa"/>
            <w:vAlign w:val="bottom"/>
          </w:tcPr>
          <w:p>
            <w:pPr>
              <w:jc w:val="center"/>
              <w:ind w:right="749"/>
              <w:spacing w:after="0"/>
              <w:rPr>
                <w:sz w:val="20"/>
                <w:szCs w:val="20"/>
                <w:color w:val="auto"/>
              </w:rPr>
            </w:pPr>
            <w:r>
              <w:rPr>
                <w:rFonts w:ascii="Arial" w:cs="Arial" w:eastAsia="Arial" w:hAnsi="Arial"/>
                <w:sz w:val="26"/>
                <w:szCs w:val="26"/>
                <w:b w:val="1"/>
                <w:bCs w:val="1"/>
                <w:color w:val="auto"/>
                <w:w w:val="91"/>
              </w:rPr>
              <w:t xml:space="preserve">ARTICLE VI - </w:t>
            </w:r>
            <w:r>
              <w:rPr>
                <w:rFonts w:ascii="Arial" w:cs="Arial" w:eastAsia="Arial" w:hAnsi="Arial"/>
                <w:sz w:val="26"/>
                <w:szCs w:val="26"/>
                <w:b w:val="1"/>
                <w:bCs w:val="1"/>
                <w:i w:val="1"/>
                <w:iCs w:val="1"/>
                <w:color w:val="auto"/>
                <w:w w:val="91"/>
              </w:rPr>
              <w:t>Subscriptions for Shares</w:t>
            </w:r>
          </w:p>
        </w:tc>
      </w:tr>
      <w:tr>
        <w:trPr>
          <w:trHeight w:val="416"/>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6.1</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5"/>
              </w:rPr>
              <w:t>As soon as practicable after an Offering Date, the Company shall furnish to each Eligible Employee a Subscription Agreement setting forth the maximum</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3"/>
              </w:rPr>
              <w:t>number of Shares to which such Eligible Employee may subscribe in such Offering, the fair market value per share of Common Stock on the Offering Date,</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3"/>
              </w:rPr>
              <w:t>the Purchase Price for Shares in such Offering and such other terms and conditions consistent with the Plan as shall be determined by the Plan Committee.</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6.2</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8"/>
              </w:rPr>
              <w:t>Within fifteen (15) days after receipt of such Subscription Agreement, an Eligible Employee desiring to participate in the Offering shall notify the Plan</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4"/>
              </w:rPr>
              <w:t>Committee of the number of Shares for which he desires to subscribe. Such notification shall be effected by the Eligible Employee's completing, executing</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4"/>
              </w:rPr>
              <w:t>and returning to the Secretary of the Company the Subscription Agreement. All such subscriptions shall be deemed to have been made as of the Offering</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8"/>
              </w:rPr>
              <w:t>Date. No subscription shall be accepted from any person who is not an Eligible Employee on the date his subscription is received by the Company.</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6.3</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3"/>
              </w:rPr>
              <w:t>The minimum number of Shares for which an Eligible Employee will be permitted to subscribe in any Offering is ten (10) (or the number of Shares offered to</w:t>
            </w:r>
          </w:p>
        </w:tc>
      </w:tr>
      <w:tr>
        <w:trPr>
          <w:trHeight w:val="203"/>
        </w:trPr>
        <w:tc>
          <w:tcPr>
            <w:tcW w:w="360" w:type="dxa"/>
            <w:vAlign w:val="bottom"/>
          </w:tcPr>
          <w:p>
            <w:pPr>
              <w:spacing w:after="0"/>
              <w:rPr>
                <w:sz w:val="17"/>
                <w:szCs w:val="17"/>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6"/>
              </w:rPr>
              <w:t>him if fewer than ten). If at any time the Shares available for an Offering are oversubscribed, the Number of Shares for which each Eligible Employee is</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5"/>
              </w:rPr>
              <w:t>entitled to subscribe pursuant to Section 5.2 shall be reduced, pro rata, to such lower number as may be necessary to eliminate such over-subscription.</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6.4</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4"/>
              </w:rPr>
              <w:t>If an Eligible Employee fails to subscribe to the Shares within the period and in the manner prescribed in Section 6.2, he shall waive all rights to purchase</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rPr>
              <w:t>Shares in that Offering.</w:t>
            </w:r>
          </w:p>
        </w:tc>
      </w:tr>
      <w:tr>
        <w:trPr>
          <w:trHeight w:val="553"/>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80" w:type="dxa"/>
            <w:vAlign w:val="bottom"/>
          </w:tcPr>
          <w:p>
            <w:pPr>
              <w:jc w:val="center"/>
              <w:ind w:right="729"/>
              <w:spacing w:after="0"/>
              <w:rPr>
                <w:sz w:val="20"/>
                <w:szCs w:val="20"/>
                <w:color w:val="auto"/>
              </w:rPr>
            </w:pPr>
            <w:r>
              <w:rPr>
                <w:rFonts w:ascii="Arial" w:cs="Arial" w:eastAsia="Arial" w:hAnsi="Arial"/>
                <w:sz w:val="26"/>
                <w:szCs w:val="26"/>
                <w:b w:val="1"/>
                <w:bCs w:val="1"/>
                <w:color w:val="auto"/>
                <w:w w:val="94"/>
              </w:rPr>
              <w:t xml:space="preserve">ARTICLE VII - </w:t>
            </w:r>
            <w:r>
              <w:rPr>
                <w:rFonts w:ascii="Arial" w:cs="Arial" w:eastAsia="Arial" w:hAnsi="Arial"/>
                <w:sz w:val="26"/>
                <w:szCs w:val="26"/>
                <w:b w:val="1"/>
                <w:bCs w:val="1"/>
                <w:i w:val="1"/>
                <w:iCs w:val="1"/>
                <w:color w:val="auto"/>
                <w:w w:val="94"/>
              </w:rPr>
              <w:t>Payment for Shares</w:t>
            </w:r>
          </w:p>
        </w:tc>
      </w:tr>
      <w:tr>
        <w:trPr>
          <w:trHeight w:val="416"/>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7.1</w:t>
            </w: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w w:val="94"/>
              </w:rPr>
              <w:t>The aggregate Purchase Price for the Shares for which a Participant subscribes in any Offering in accordance with the provisions of Article VI of the Plan</w:t>
            </w:r>
          </w:p>
        </w:tc>
      </w:tr>
      <w:tr>
        <w:trPr>
          <w:trHeight w:val="220"/>
        </w:trPr>
        <w:tc>
          <w:tcPr>
            <w:tcW w:w="360" w:type="dxa"/>
            <w:vAlign w:val="bottom"/>
          </w:tcPr>
          <w:p>
            <w:pPr>
              <w:spacing w:after="0"/>
              <w:rPr>
                <w:sz w:val="19"/>
                <w:szCs w:val="19"/>
                <w:color w:val="auto"/>
              </w:rPr>
            </w:pPr>
          </w:p>
        </w:tc>
        <w:tc>
          <w:tcPr>
            <w:tcW w:w="11060" w:type="dxa"/>
            <w:vAlign w:val="bottom"/>
            <w:gridSpan w:val="2"/>
          </w:tcPr>
          <w:p>
            <w:pPr>
              <w:ind w:left="140"/>
              <w:spacing w:after="0"/>
              <w:rPr>
                <w:sz w:val="20"/>
                <w:szCs w:val="20"/>
                <w:color w:val="auto"/>
              </w:rPr>
            </w:pPr>
            <w:r>
              <w:rPr>
                <w:rFonts w:ascii="Arial" w:cs="Arial" w:eastAsia="Arial" w:hAnsi="Arial"/>
                <w:sz w:val="17"/>
                <w:szCs w:val="17"/>
                <w:color w:val="auto"/>
              </w:rPr>
              <w:t>shall be paid by means of payroll deductions.</w:t>
            </w:r>
          </w:p>
        </w:tc>
      </w:tr>
      <w:tr>
        <w:trPr>
          <w:trHeight w:val="428"/>
        </w:trPr>
        <w:tc>
          <w:tcPr>
            <w:tcW w:w="360" w:type="dxa"/>
            <w:vAlign w:val="bottom"/>
          </w:tcPr>
          <w:p>
            <w:pPr>
              <w:jc w:val="right"/>
              <w:ind w:right="54"/>
              <w:spacing w:after="0"/>
              <w:rPr>
                <w:sz w:val="20"/>
                <w:szCs w:val="20"/>
                <w:color w:val="auto"/>
              </w:rPr>
            </w:pPr>
            <w:r>
              <w:rPr>
                <w:rFonts w:ascii="Arial" w:cs="Arial" w:eastAsia="Arial" w:hAnsi="Arial"/>
                <w:sz w:val="17"/>
                <w:szCs w:val="17"/>
                <w:color w:val="auto"/>
                <w:w w:val="84"/>
              </w:rPr>
              <w:t>7.2</w:t>
            </w:r>
          </w:p>
        </w:tc>
        <w:tc>
          <w:tcPr>
            <w:tcW w:w="480" w:type="dxa"/>
            <w:vAlign w:val="bottom"/>
          </w:tcPr>
          <w:p>
            <w:pPr>
              <w:ind w:left="140"/>
              <w:spacing w:after="0"/>
              <w:rPr>
                <w:sz w:val="20"/>
                <w:szCs w:val="20"/>
                <w:color w:val="auto"/>
              </w:rPr>
            </w:pPr>
            <w:r>
              <w:rPr>
                <w:rFonts w:ascii="Arial" w:cs="Arial" w:eastAsia="Arial" w:hAnsi="Arial"/>
                <w:sz w:val="17"/>
                <w:szCs w:val="17"/>
                <w:color w:val="auto"/>
              </w:rPr>
              <w:t>[a]</w:t>
            </w: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The aggregate Purchase Price for Shares shall be paid by payroll deductions in equal amounts over a period of 24 months (or such shorter period as</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2"/>
              </w:rPr>
              <w:t>shall be determined by the Plan Committee in accordance with the Plan) from the Offering Date. The period over which such payroll deductions are to</w:t>
            </w: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rPr>
              <w:t>be made in hereinafter referred to as the "Payment Period".</w:t>
            </w:r>
          </w:p>
        </w:tc>
      </w:tr>
      <w:tr>
        <w:trPr>
          <w:trHeight w:val="428"/>
        </w:trPr>
        <w:tc>
          <w:tcPr>
            <w:tcW w:w="3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7"/>
                <w:szCs w:val="17"/>
                <w:color w:val="auto"/>
              </w:rPr>
              <w:t>[b]</w:t>
            </w:r>
          </w:p>
        </w:tc>
        <w:tc>
          <w:tcPr>
            <w:tcW w:w="10580" w:type="dxa"/>
            <w:vAlign w:val="bottom"/>
          </w:tcPr>
          <w:p>
            <w:pPr>
              <w:ind w:left="120"/>
              <w:spacing w:after="0"/>
              <w:rPr>
                <w:sz w:val="20"/>
                <w:szCs w:val="20"/>
                <w:color w:val="auto"/>
              </w:rPr>
            </w:pPr>
            <w:r>
              <w:rPr>
                <w:rFonts w:ascii="Arial" w:cs="Arial" w:eastAsia="Arial" w:hAnsi="Arial"/>
                <w:sz w:val="17"/>
                <w:szCs w:val="17"/>
                <w:color w:val="auto"/>
                <w:w w:val="99"/>
              </w:rPr>
              <w:t>Such payroll deductions with respect to an Offering shall commence as soon as practicable after the receipt of the Company of the executed</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Subscription Agreement authorizing such payroll deductions, and shall cease upon the earlier of the termination of the Payment Period or payment in</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5"/>
              </w:rPr>
              <w:t>full of the Purchase Price for such Shares. A Participant may cancel his subscription to the extent provided for in Article X, but no other change in</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terms of his Subscription Agreement may be made during the Payment Period and, in particular, in no event may a Participant change the amount of</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4"/>
              </w:rPr>
              <w:t>his payroll deductions under such Subscription Agreement. All payroll deductions withheld from a Participant under a Subscription Agreement shall</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9"/>
              </w:rPr>
              <w:t>be credited to his account under the Plan. In the event that payroll deductions are simultaneously being made with respect to more than one</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7"/>
              </w:rPr>
              <w:t>Subscription Agreement, the aggregate amount of such payroll deductions at any payday shall be credited first toward the payment for Shares</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subscribed for in the earliest Offering. A Participant may not make any separate cash payment into his account, provided, however, that a Participant</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4"/>
              </w:rPr>
              <w:t>who has been deemed to be in the employ of the Company while on an Authorized Leave of Absence without pay during the Payment Period, may</w:t>
            </w: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w w:val="93"/>
              </w:rPr>
              <w:t>upon his return to the actual employ of the Company, make a cash payment into his account in an amount not exceeding the aggregate of the payroll</w:t>
            </w:r>
          </w:p>
        </w:tc>
      </w:tr>
      <w:tr>
        <w:trPr>
          <w:trHeight w:val="220"/>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7"/>
                <w:szCs w:val="17"/>
                <w:color w:val="auto"/>
              </w:rPr>
              <w:t>deductions which would have been made during such Authorized Leave of Absence.</w:t>
            </w:r>
          </w:p>
        </w:tc>
      </w:tr>
      <w:tr>
        <w:trPr>
          <w:trHeight w:val="341"/>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80" w:type="dxa"/>
            <w:vAlign w:val="bottom"/>
          </w:tcPr>
          <w:p>
            <w:pPr>
              <w:jc w:val="center"/>
              <w:ind w:right="749"/>
              <w:spacing w:after="0"/>
              <w:rPr>
                <w:sz w:val="20"/>
                <w:szCs w:val="20"/>
                <w:color w:val="auto"/>
              </w:rPr>
            </w:pPr>
            <w:r>
              <w:rPr>
                <w:rFonts w:ascii="Arial" w:cs="Arial" w:eastAsia="Arial" w:hAnsi="Arial"/>
                <w:sz w:val="14"/>
                <w:szCs w:val="14"/>
                <w:color w:val="auto"/>
                <w:w w:val="76"/>
              </w:rPr>
              <w:t>5</w:t>
            </w:r>
          </w:p>
        </w:tc>
      </w:tr>
      <w:tr>
        <w:trPr>
          <w:trHeight w:val="46"/>
        </w:trPr>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0" w:right="239" w:bottom="1440" w:gutter="0" w:footer="0" w:header="0"/>
        </w:sectPr>
      </w:pPr>
    </w:p>
    <w:bookmarkStart w:id="96" w:name="page97"/>
    <w:bookmarkEnd w:id="96"/>
    <w:p>
      <w:pPr>
        <w:jc w:val="both"/>
        <w:ind w:left="960" w:right="20" w:hanging="466"/>
        <w:spacing w:after="0" w:line="264"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206" w:lineRule="exact"/>
        <w:rPr>
          <w:sz w:val="20"/>
          <w:szCs w:val="20"/>
          <w:color w:val="auto"/>
        </w:rPr>
      </w:pPr>
    </w:p>
    <w:p>
      <w:pPr>
        <w:jc w:val="both"/>
        <w:ind w:left="500" w:hanging="485"/>
        <w:spacing w:after="0" w:line="276" w:lineRule="auto"/>
        <w:tabs>
          <w:tab w:leader="none" w:pos="4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198" w:lineRule="exact"/>
        <w:rPr>
          <w:sz w:val="20"/>
          <w:szCs w:val="20"/>
          <w:color w:val="auto"/>
        </w:rPr>
      </w:pPr>
    </w:p>
    <w:p>
      <w:pPr>
        <w:jc w:val="both"/>
        <w:ind w:left="500" w:hanging="485"/>
        <w:spacing w:after="0" w:line="278" w:lineRule="auto"/>
        <w:tabs>
          <w:tab w:leader="none" w:pos="48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Failure to pay for subscribed Shares as provided in this Article VII shall constitute the cancellation of such subscription to the extent that any such Shares shall not have been so paid for.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VIII - </w:t>
      </w:r>
      <w:r>
        <w:rPr>
          <w:rFonts w:ascii="Arial" w:cs="Arial" w:eastAsia="Arial" w:hAnsi="Arial"/>
          <w:sz w:val="26"/>
          <w:szCs w:val="26"/>
          <w:b w:val="1"/>
          <w:bCs w:val="1"/>
          <w:i w:val="1"/>
          <w:iCs w:val="1"/>
          <w:color w:val="auto"/>
        </w:rPr>
        <w:t>Issuance of Shares</w:t>
      </w:r>
    </w:p>
    <w:p>
      <w:pPr>
        <w:spacing w:after="0" w:line="253"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219" w:lineRule="exact"/>
        <w:rPr>
          <w:sz w:val="20"/>
          <w:szCs w:val="20"/>
          <w:color w:val="auto"/>
        </w:rPr>
      </w:pPr>
    </w:p>
    <w:p>
      <w:pPr>
        <w:jc w:val="both"/>
        <w:ind w:left="500" w:hanging="485"/>
        <w:spacing w:after="0" w:line="263" w:lineRule="auto"/>
        <w:tabs>
          <w:tab w:leader="none" w:pos="48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6"/>
          <w:szCs w:val="26"/>
          <w:b w:val="1"/>
          <w:bCs w:val="1"/>
          <w:color w:val="auto"/>
        </w:rPr>
        <w:t xml:space="preserve">ARTICLE IX - </w:t>
      </w:r>
      <w:r>
        <w:rPr>
          <w:rFonts w:ascii="Arial" w:cs="Arial" w:eastAsia="Arial" w:hAnsi="Arial"/>
          <w:sz w:val="26"/>
          <w:szCs w:val="26"/>
          <w:b w:val="1"/>
          <w:bCs w:val="1"/>
          <w:i w:val="1"/>
          <w:iCs w:val="1"/>
          <w:color w:val="auto"/>
        </w:rPr>
        <w:t>Rights of Stockholders</w:t>
      </w:r>
    </w:p>
    <w:p>
      <w:pPr>
        <w:spacing w:after="0" w:line="252" w:lineRule="exact"/>
        <w:rPr>
          <w:sz w:val="20"/>
          <w:szCs w:val="20"/>
          <w:color w:val="auto"/>
        </w:rPr>
      </w:pPr>
    </w:p>
    <w:p>
      <w:pPr>
        <w:jc w:val="both"/>
        <w:ind w:left="500" w:hanging="485"/>
        <w:spacing w:after="0" w:line="311" w:lineRule="auto"/>
        <w:tabs>
          <w:tab w:leader="none" w:pos="48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color w:val="auto"/>
        </w:rPr>
        <w:t>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 - </w:t>
      </w:r>
      <w:r>
        <w:rPr>
          <w:rFonts w:ascii="Arial" w:cs="Arial" w:eastAsia="Arial" w:hAnsi="Arial"/>
          <w:sz w:val="26"/>
          <w:szCs w:val="26"/>
          <w:b w:val="1"/>
          <w:bCs w:val="1"/>
          <w:i w:val="1"/>
          <w:iCs w:val="1"/>
          <w:color w:val="auto"/>
        </w:rPr>
        <w:t>Voluntary Withdrawal/Termination of Employment</w:t>
      </w:r>
    </w:p>
    <w:p>
      <w:pPr>
        <w:spacing w:after="0" w:line="253" w:lineRule="exact"/>
        <w:rPr>
          <w:sz w:val="20"/>
          <w:szCs w:val="20"/>
          <w:color w:val="auto"/>
        </w:rPr>
      </w:pPr>
    </w:p>
    <w:p>
      <w:pPr>
        <w:jc w:val="both"/>
        <w:ind w:left="580" w:hanging="580"/>
        <w:spacing w:after="0" w:line="258" w:lineRule="auto"/>
        <w:tabs>
          <w:tab w:leader="none" w:pos="560" w:val="left"/>
        </w:tabs>
        <w:rPr>
          <w:sz w:val="20"/>
          <w:szCs w:val="20"/>
          <w:color w:val="auto"/>
        </w:rPr>
      </w:pPr>
      <w:r>
        <w:rPr>
          <w:rFonts w:ascii="Arial" w:cs="Arial" w:eastAsia="Arial" w:hAnsi="Arial"/>
          <w:sz w:val="17"/>
          <w:szCs w:val="17"/>
          <w:color w:val="auto"/>
        </w:rPr>
        <w:t>10.1</w:t>
        <w:tab/>
        <w:t>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213" w:lineRule="exact"/>
        <w:rPr>
          <w:sz w:val="20"/>
          <w:szCs w:val="20"/>
          <w:color w:val="auto"/>
        </w:rPr>
      </w:pPr>
    </w:p>
    <w:p>
      <w:pPr>
        <w:jc w:val="both"/>
        <w:ind w:left="580" w:hanging="580"/>
        <w:spacing w:after="0" w:line="263" w:lineRule="auto"/>
        <w:tabs>
          <w:tab w:leader="none" w:pos="560" w:val="left"/>
        </w:tabs>
        <w:rPr>
          <w:sz w:val="20"/>
          <w:szCs w:val="20"/>
          <w:color w:val="auto"/>
        </w:rPr>
      </w:pPr>
      <w:r>
        <w:rPr>
          <w:rFonts w:ascii="Arial" w:cs="Arial" w:eastAsia="Arial" w:hAnsi="Arial"/>
          <w:sz w:val="17"/>
          <w:szCs w:val="17"/>
          <w:color w:val="auto"/>
        </w:rPr>
        <w:t>10.2</w:t>
        <w:tab/>
        <w:t>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08" w:lineRule="exact"/>
        <w:rPr>
          <w:sz w:val="20"/>
          <w:szCs w:val="20"/>
          <w:color w:val="auto"/>
        </w:rPr>
      </w:pPr>
    </w:p>
    <w:p>
      <w:pPr>
        <w:jc w:val="both"/>
        <w:ind w:left="580" w:hanging="580"/>
        <w:spacing w:after="0" w:line="270" w:lineRule="auto"/>
        <w:tabs>
          <w:tab w:leader="none" w:pos="5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color w:val="auto"/>
        </w:rPr>
        <w:t>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XI - </w:t>
      </w:r>
      <w:r>
        <w:rPr>
          <w:rFonts w:ascii="Arial" w:cs="Arial" w:eastAsia="Arial" w:hAnsi="Arial"/>
          <w:sz w:val="26"/>
          <w:szCs w:val="26"/>
          <w:b w:val="1"/>
          <w:bCs w:val="1"/>
          <w:i w:val="1"/>
          <w:iCs w:val="1"/>
          <w:color w:val="auto"/>
        </w:rPr>
        <w:t>Non-Transferability of Subscription Rights</w:t>
      </w:r>
    </w:p>
    <w:p>
      <w:pPr>
        <w:spacing w:after="0" w:line="253"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6"/>
          <w:szCs w:val="26"/>
          <w:b w:val="1"/>
          <w:bCs w:val="1"/>
          <w:color w:val="auto"/>
        </w:rPr>
        <w:t xml:space="preserve">ARTICLE XII - </w:t>
      </w:r>
      <w:r>
        <w:rPr>
          <w:rFonts w:ascii="Arial" w:cs="Arial" w:eastAsia="Arial" w:hAnsi="Arial"/>
          <w:sz w:val="26"/>
          <w:szCs w:val="26"/>
          <w:b w:val="1"/>
          <w:bCs w:val="1"/>
          <w:i w:val="1"/>
          <w:iCs w:val="1"/>
          <w:color w:val="auto"/>
        </w:rPr>
        <w:t>Administration of the Plan</w:t>
      </w:r>
    </w:p>
    <w:p>
      <w:pPr>
        <w:spacing w:after="0" w:line="252" w:lineRule="exact"/>
        <w:rPr>
          <w:sz w:val="20"/>
          <w:szCs w:val="20"/>
          <w:color w:val="auto"/>
        </w:rPr>
      </w:pPr>
    </w:p>
    <w:p>
      <w:pPr>
        <w:jc w:val="both"/>
        <w:ind w:left="580" w:hanging="580"/>
        <w:spacing w:after="0" w:line="258" w:lineRule="auto"/>
        <w:tabs>
          <w:tab w:leader="none" w:pos="560" w:val="left"/>
        </w:tabs>
        <w:rPr>
          <w:sz w:val="20"/>
          <w:szCs w:val="20"/>
          <w:color w:val="auto"/>
        </w:rPr>
      </w:pPr>
      <w:r>
        <w:rPr>
          <w:rFonts w:ascii="Arial" w:cs="Arial" w:eastAsia="Arial" w:hAnsi="Arial"/>
          <w:sz w:val="17"/>
          <w:szCs w:val="17"/>
          <w:color w:val="auto"/>
        </w:rPr>
        <w:t>12.1</w:t>
        <w:tab/>
        <w:t>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213" w:lineRule="exact"/>
        <w:rPr>
          <w:sz w:val="20"/>
          <w:szCs w:val="20"/>
          <w:color w:val="auto"/>
        </w:rPr>
      </w:pPr>
    </w:p>
    <w:p>
      <w:pPr>
        <w:jc w:val="both"/>
        <w:ind w:left="580" w:hanging="580"/>
        <w:spacing w:after="0" w:line="263" w:lineRule="auto"/>
        <w:tabs>
          <w:tab w:leader="none" w:pos="560" w:val="left"/>
        </w:tabs>
        <w:rPr>
          <w:sz w:val="20"/>
          <w:szCs w:val="20"/>
          <w:color w:val="auto"/>
        </w:rPr>
      </w:pPr>
      <w:r>
        <w:rPr>
          <w:rFonts w:ascii="Arial" w:cs="Arial" w:eastAsia="Arial" w:hAnsi="Arial"/>
          <w:sz w:val="17"/>
          <w:szCs w:val="17"/>
          <w:color w:val="auto"/>
        </w:rPr>
        <w:t>12.2</w:t>
        <w:tab/>
        <w:t>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08" w:lineRule="exact"/>
        <w:rPr>
          <w:sz w:val="20"/>
          <w:szCs w:val="20"/>
          <w:color w:val="auto"/>
        </w:rPr>
      </w:pPr>
    </w:p>
    <w:p>
      <w:pPr>
        <w:jc w:val="both"/>
        <w:ind w:left="580" w:hanging="580"/>
        <w:spacing w:after="0" w:line="287" w:lineRule="auto"/>
        <w:tabs>
          <w:tab w:leader="none" w:pos="5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191" w:lineRule="exact"/>
        <w:rPr>
          <w:sz w:val="20"/>
          <w:szCs w:val="20"/>
          <w:color w:val="auto"/>
        </w:rPr>
      </w:pPr>
    </w:p>
    <w:p>
      <w:pPr>
        <w:jc w:val="both"/>
        <w:ind w:left="580" w:hanging="580"/>
        <w:spacing w:after="0" w:line="256" w:lineRule="auto"/>
        <w:tabs>
          <w:tab w:leader="none" w:pos="560" w:val="left"/>
        </w:tabs>
        <w:rPr>
          <w:sz w:val="20"/>
          <w:szCs w:val="20"/>
          <w:color w:val="auto"/>
        </w:rPr>
      </w:pPr>
      <w:r>
        <w:rPr>
          <w:rFonts w:ascii="Arial" w:cs="Arial" w:eastAsia="Arial" w:hAnsi="Arial"/>
          <w:sz w:val="17"/>
          <w:szCs w:val="17"/>
          <w:color w:val="auto"/>
        </w:rPr>
        <w:t>12.4</w:t>
        <w:tab/>
        <w:t>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213" w:lineRule="exact"/>
        <w:rPr>
          <w:sz w:val="20"/>
          <w:szCs w:val="20"/>
          <w:color w:val="auto"/>
        </w:rPr>
      </w:pPr>
    </w:p>
    <w:p>
      <w:pPr>
        <w:jc w:val="both"/>
        <w:ind w:left="580" w:hanging="580"/>
        <w:spacing w:after="0" w:line="278" w:lineRule="auto"/>
        <w:tabs>
          <w:tab w:leader="none" w:pos="560" w:val="left"/>
        </w:tabs>
        <w:rPr>
          <w:sz w:val="20"/>
          <w:szCs w:val="20"/>
          <w:color w:val="auto"/>
        </w:rPr>
      </w:pPr>
      <w:r>
        <w:rPr>
          <w:rFonts w:ascii="Arial" w:cs="Arial" w:eastAsia="Arial" w:hAnsi="Arial"/>
          <w:sz w:val="17"/>
          <w:szCs w:val="17"/>
          <w:color w:val="auto"/>
        </w:rPr>
        <w:t>12.5</w:t>
        <w:tab/>
        <w:t>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195" w:lineRule="exact"/>
        <w:rPr>
          <w:sz w:val="20"/>
          <w:szCs w:val="20"/>
          <w:color w:val="auto"/>
        </w:rPr>
      </w:pPr>
    </w:p>
    <w:p>
      <w:pPr>
        <w:jc w:val="both"/>
        <w:ind w:left="580" w:hanging="580"/>
        <w:spacing w:after="0" w:line="263" w:lineRule="auto"/>
        <w:tabs>
          <w:tab w:leader="none" w:pos="560" w:val="left"/>
        </w:tabs>
        <w:rPr>
          <w:sz w:val="20"/>
          <w:szCs w:val="20"/>
          <w:color w:val="auto"/>
        </w:rPr>
      </w:pPr>
      <w:r>
        <w:rPr>
          <w:rFonts w:ascii="Arial" w:cs="Arial" w:eastAsia="Arial" w:hAnsi="Arial"/>
          <w:sz w:val="17"/>
          <w:szCs w:val="17"/>
          <w:color w:val="auto"/>
        </w:rPr>
        <w:t>12.6</w:t>
        <w:tab/>
        <w:t>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08" w:lineRule="exact"/>
        <w:rPr>
          <w:sz w:val="20"/>
          <w:szCs w:val="20"/>
          <w:color w:val="auto"/>
        </w:rPr>
      </w:pPr>
    </w:p>
    <w:p>
      <w:pPr>
        <w:jc w:val="both"/>
        <w:ind w:left="580" w:hanging="580"/>
        <w:spacing w:after="0" w:line="278" w:lineRule="auto"/>
        <w:tabs>
          <w:tab w:leader="none" w:pos="560" w:val="left"/>
        </w:tabs>
        <w:rPr>
          <w:sz w:val="20"/>
          <w:szCs w:val="20"/>
          <w:color w:val="auto"/>
        </w:rPr>
      </w:pPr>
      <w:r>
        <w:rPr>
          <w:rFonts w:ascii="Arial" w:cs="Arial" w:eastAsia="Arial" w:hAnsi="Arial"/>
          <w:sz w:val="17"/>
          <w:szCs w:val="17"/>
          <w:color w:val="auto"/>
        </w:rPr>
        <w:t>12.7</w:t>
        <w:tab/>
        <w:t>The Plan Committee may adopt, and from time to time amend, such rules and regulations consistent with the purposes and provisions of the Plan, as it deems necessary or advisable to administer and effectuate the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99" w:name="page100"/>
    <w:bookmarkEnd w:id="99"/>
    <w:p>
      <w:pPr>
        <w:jc w:val="both"/>
        <w:ind w:left="580" w:hanging="580"/>
        <w:spacing w:after="0" w:line="279" w:lineRule="auto"/>
        <w:tabs>
          <w:tab w:leader="none" w:pos="560" w:val="left"/>
        </w:tabs>
        <w:rPr>
          <w:sz w:val="20"/>
          <w:szCs w:val="20"/>
          <w:color w:val="auto"/>
        </w:rPr>
      </w:pPr>
      <w:r>
        <w:rPr>
          <w:rFonts w:ascii="Arial" w:cs="Arial" w:eastAsia="Arial" w:hAnsi="Arial"/>
          <w:sz w:val="17"/>
          <w:szCs w:val="17"/>
          <w:color w:val="auto"/>
        </w:rPr>
        <w:t>12.8</w:t>
        <w:tab/>
        <w:t>The Plan Committee may shorten, lengthen (but not beyond thirty (30) days) or waive the time required by the Plan for the filing of any notice or other form under the Plan.</w:t>
      </w:r>
    </w:p>
    <w:p>
      <w:pPr>
        <w:spacing w:after="0" w:line="194" w:lineRule="exact"/>
        <w:rPr>
          <w:sz w:val="20"/>
          <w:szCs w:val="20"/>
          <w:color w:val="auto"/>
        </w:rPr>
      </w:pPr>
    </w:p>
    <w:p>
      <w:pPr>
        <w:jc w:val="both"/>
        <w:ind w:left="580" w:right="20" w:hanging="580"/>
        <w:spacing w:after="0" w:line="263" w:lineRule="auto"/>
        <w:tabs>
          <w:tab w:leader="none" w:pos="560" w:val="left"/>
        </w:tabs>
        <w:rPr>
          <w:sz w:val="20"/>
          <w:szCs w:val="20"/>
          <w:color w:val="auto"/>
        </w:rPr>
      </w:pPr>
      <w:r>
        <w:rPr>
          <w:rFonts w:ascii="Arial" w:cs="Arial" w:eastAsia="Arial" w:hAnsi="Arial"/>
          <w:sz w:val="17"/>
          <w:szCs w:val="17"/>
          <w:color w:val="auto"/>
        </w:rPr>
        <w:t>12.9</w:t>
        <w:tab/>
        <w:t>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XIII - </w:t>
      </w:r>
      <w:r>
        <w:rPr>
          <w:rFonts w:ascii="Arial" w:cs="Arial" w:eastAsia="Arial" w:hAnsi="Arial"/>
          <w:sz w:val="26"/>
          <w:szCs w:val="26"/>
          <w:b w:val="1"/>
          <w:bCs w:val="1"/>
          <w:i w:val="1"/>
          <w:iCs w:val="1"/>
          <w:color w:val="auto"/>
        </w:rPr>
        <w:t>Valuation of Shares of Common Stock</w:t>
      </w:r>
    </w:p>
    <w:p>
      <w:pPr>
        <w:spacing w:after="0" w:line="25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For purposes of the Plan, the "fair market value" of a share of Common Stock as of any date shall be determined as follows:</w:t>
      </w:r>
    </w:p>
    <w:p>
      <w:pPr>
        <w:spacing w:after="0" w:line="291" w:lineRule="exact"/>
        <w:rPr>
          <w:sz w:val="20"/>
          <w:szCs w:val="20"/>
          <w:color w:val="auto"/>
        </w:rPr>
      </w:pPr>
    </w:p>
    <w:p>
      <w:pPr>
        <w:jc w:val="both"/>
        <w:ind w:left="1060" w:hanging="471"/>
        <w:spacing w:after="0" w:line="263"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99" w:lineRule="exact"/>
        <w:rPr>
          <w:rFonts w:ascii="Arial" w:cs="Arial" w:eastAsia="Arial" w:hAnsi="Arial"/>
          <w:sz w:val="17"/>
          <w:szCs w:val="17"/>
          <w:color w:val="auto"/>
        </w:rPr>
      </w:pPr>
    </w:p>
    <w:p>
      <w:pPr>
        <w:ind w:left="1060" w:hanging="471"/>
        <w:spacing w:after="0"/>
        <w:tabs>
          <w:tab w:leader="none" w:pos="1060" w:val="left"/>
        </w:tabs>
        <w:numPr>
          <w:ilvl w:val="0"/>
          <w:numId w:val="22"/>
        </w:numPr>
        <w:rPr>
          <w:rFonts w:ascii="Arial" w:cs="Arial" w:eastAsia="Arial" w:hAnsi="Arial"/>
          <w:sz w:val="32"/>
          <w:szCs w:val="32"/>
          <w:color w:val="auto"/>
          <w:vertAlign w:val="superscript"/>
        </w:rPr>
      </w:pPr>
      <w:r>
        <w:rPr>
          <w:rFonts w:ascii="Arial" w:cs="Arial" w:eastAsia="Arial" w:hAnsi="Arial"/>
          <w:sz w:val="20"/>
          <w:szCs w:val="20"/>
          <w:color w:val="auto"/>
        </w:rPr>
        <w:t>If the Common Stock is then listed on the National Association of Securities Dealers Automatic Quotation System</w:t>
      </w:r>
    </w:p>
    <w:p>
      <w:pPr>
        <w:jc w:val="both"/>
        <w:ind w:left="1060"/>
        <w:spacing w:after="0" w:line="233" w:lineRule="auto"/>
        <w:rPr>
          <w:sz w:val="20"/>
          <w:szCs w:val="20"/>
          <w:color w:val="auto"/>
        </w:rPr>
      </w:pPr>
      <w:r>
        <w:rPr>
          <w:rFonts w:ascii="Arial" w:cs="Arial" w:eastAsia="Arial" w:hAnsi="Arial"/>
          <w:sz w:val="22"/>
          <w:szCs w:val="22"/>
          <w:color w:val="auto"/>
        </w:rPr>
        <w:t>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XIV - </w:t>
      </w:r>
      <w:r>
        <w:rPr>
          <w:rFonts w:ascii="Arial" w:cs="Arial" w:eastAsia="Arial" w:hAnsi="Arial"/>
          <w:sz w:val="26"/>
          <w:szCs w:val="26"/>
          <w:b w:val="1"/>
          <w:bCs w:val="1"/>
          <w:i w:val="1"/>
          <w:iCs w:val="1"/>
          <w:color w:val="auto"/>
        </w:rPr>
        <w:t>Adjustments in Certain Events</w:t>
      </w:r>
    </w:p>
    <w:p>
      <w:pPr>
        <w:spacing w:after="0" w:line="253" w:lineRule="exact"/>
        <w:rPr>
          <w:sz w:val="20"/>
          <w:szCs w:val="20"/>
          <w:color w:val="auto"/>
        </w:rPr>
      </w:pPr>
    </w:p>
    <w:p>
      <w:pPr>
        <w:jc w:val="both"/>
        <w:ind w:left="580" w:hanging="580"/>
        <w:spacing w:after="0" w:line="288" w:lineRule="auto"/>
        <w:tabs>
          <w:tab w:leader="none" w:pos="56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6"/>
          <w:szCs w:val="26"/>
          <w:b w:val="1"/>
          <w:bCs w:val="1"/>
          <w:color w:val="auto"/>
        </w:rPr>
        <w:t xml:space="preserve">ARTICLE XV - </w:t>
      </w:r>
      <w:r>
        <w:rPr>
          <w:rFonts w:ascii="Arial" w:cs="Arial" w:eastAsia="Arial" w:hAnsi="Arial"/>
          <w:sz w:val="26"/>
          <w:szCs w:val="26"/>
          <w:b w:val="1"/>
          <w:bCs w:val="1"/>
          <w:i w:val="1"/>
          <w:iCs w:val="1"/>
          <w:color w:val="auto"/>
        </w:rPr>
        <w:t>Termination and Amendment of the Plan</w:t>
      </w:r>
    </w:p>
    <w:p>
      <w:pPr>
        <w:spacing w:after="0" w:line="252" w:lineRule="exact"/>
        <w:rPr>
          <w:sz w:val="20"/>
          <w:szCs w:val="20"/>
          <w:color w:val="auto"/>
        </w:rPr>
      </w:pPr>
    </w:p>
    <w:p>
      <w:pPr>
        <w:jc w:val="both"/>
        <w:ind w:left="580" w:hanging="580"/>
        <w:spacing w:after="0" w:line="270" w:lineRule="auto"/>
        <w:tabs>
          <w:tab w:leader="none" w:pos="56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XVI - </w:t>
      </w:r>
      <w:r>
        <w:rPr>
          <w:rFonts w:ascii="Arial" w:cs="Arial" w:eastAsia="Arial" w:hAnsi="Arial"/>
          <w:sz w:val="26"/>
          <w:szCs w:val="26"/>
          <w:b w:val="1"/>
          <w:bCs w:val="1"/>
          <w:i w:val="1"/>
          <w:iCs w:val="1"/>
          <w:color w:val="auto"/>
        </w:rPr>
        <w:t>Miscellaneous</w:t>
      </w:r>
    </w:p>
    <w:p>
      <w:pPr>
        <w:spacing w:after="0" w:line="253" w:lineRule="exact"/>
        <w:rPr>
          <w:sz w:val="20"/>
          <w:szCs w:val="20"/>
          <w:color w:val="auto"/>
        </w:rPr>
      </w:pPr>
    </w:p>
    <w:p>
      <w:pPr>
        <w:jc w:val="both"/>
        <w:ind w:left="580" w:hanging="580"/>
        <w:spacing w:after="0" w:line="263" w:lineRule="auto"/>
        <w:tabs>
          <w:tab w:leader="none" w:pos="560" w:val="left"/>
        </w:tabs>
        <w:rPr>
          <w:sz w:val="20"/>
          <w:szCs w:val="20"/>
          <w:color w:val="auto"/>
        </w:rPr>
      </w:pPr>
      <w:r>
        <w:rPr>
          <w:rFonts w:ascii="Arial" w:cs="Arial" w:eastAsia="Arial" w:hAnsi="Arial"/>
          <w:sz w:val="17"/>
          <w:szCs w:val="17"/>
          <w:color w:val="auto"/>
        </w:rPr>
        <w:t>16.1</w:t>
        <w:tab/>
        <w:t>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208" w:lineRule="exact"/>
        <w:rPr>
          <w:sz w:val="20"/>
          <w:szCs w:val="20"/>
          <w:color w:val="auto"/>
        </w:rPr>
      </w:pPr>
    </w:p>
    <w:p>
      <w:pPr>
        <w:jc w:val="both"/>
        <w:ind w:left="580" w:hanging="580"/>
        <w:spacing w:after="0" w:line="263" w:lineRule="auto"/>
        <w:tabs>
          <w:tab w:leader="none" w:pos="560" w:val="left"/>
        </w:tabs>
        <w:rPr>
          <w:sz w:val="20"/>
          <w:szCs w:val="20"/>
          <w:color w:val="auto"/>
        </w:rPr>
      </w:pPr>
      <w:r>
        <w:rPr>
          <w:rFonts w:ascii="Arial" w:cs="Arial" w:eastAsia="Arial" w:hAnsi="Arial"/>
          <w:sz w:val="17"/>
          <w:szCs w:val="17"/>
          <w:color w:val="auto"/>
        </w:rPr>
        <w:t>16.2</w:t>
        <w:tab/>
        <w:t>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 xml:space="preserve">ARTICLE XVII - </w:t>
      </w:r>
      <w:r>
        <w:rPr>
          <w:rFonts w:ascii="Arial" w:cs="Arial" w:eastAsia="Arial" w:hAnsi="Arial"/>
          <w:sz w:val="26"/>
          <w:szCs w:val="26"/>
          <w:b w:val="1"/>
          <w:bCs w:val="1"/>
          <w:i w:val="1"/>
          <w:iCs w:val="1"/>
          <w:color w:val="auto"/>
        </w:rPr>
        <w:t>Effective Date</w:t>
      </w:r>
    </w:p>
    <w:p>
      <w:pPr>
        <w:spacing w:after="0" w:line="253" w:lineRule="exact"/>
        <w:rPr>
          <w:sz w:val="20"/>
          <w:szCs w:val="20"/>
          <w:color w:val="auto"/>
        </w:rPr>
      </w:pPr>
    </w:p>
    <w:p>
      <w:pPr>
        <w:jc w:val="both"/>
        <w:ind w:left="580" w:hanging="580"/>
        <w:spacing w:after="0" w:line="258" w:lineRule="auto"/>
        <w:tabs>
          <w:tab w:leader="none" w:pos="560" w:val="left"/>
        </w:tabs>
        <w:rPr>
          <w:sz w:val="20"/>
          <w:szCs w:val="20"/>
          <w:color w:val="auto"/>
        </w:rPr>
      </w:pPr>
      <w:r>
        <w:rPr>
          <w:rFonts w:ascii="Arial" w:cs="Arial" w:eastAsia="Arial" w:hAnsi="Arial"/>
          <w:sz w:val="17"/>
          <w:szCs w:val="17"/>
          <w:color w:val="auto"/>
        </w:rPr>
        <w:t>17.1</w:t>
        <w:tab/>
        <w:t xml:space="preserve">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w:t>
      </w:r>
      <w:r>
        <w:rPr>
          <w:rFonts w:ascii="Arial" w:cs="Arial" w:eastAsia="Arial" w:hAnsi="Arial"/>
          <w:sz w:val="13"/>
          <w:szCs w:val="13"/>
          <w:color w:val="auto"/>
        </w:rPr>
        <w:t>Board of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2007 Long Term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April 8, 2010)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1.Purposes of the Plan</w:t>
      </w:r>
    </w:p>
    <w:p>
      <w:pPr>
        <w:spacing w:after="0" w:line="254" w:lineRule="exact"/>
        <w:rPr>
          <w:sz w:val="20"/>
          <w:szCs w:val="20"/>
          <w:color w:val="auto"/>
        </w:rPr>
      </w:pPr>
    </w:p>
    <w:p>
      <w:pPr>
        <w:jc w:val="both"/>
        <w:ind w:firstLine="446"/>
        <w:spacing w:after="0" w:line="236" w:lineRule="auto"/>
        <w:rPr>
          <w:sz w:val="20"/>
          <w:szCs w:val="20"/>
          <w:color w:val="auto"/>
        </w:rPr>
      </w:pPr>
      <w:r>
        <w:rPr>
          <w:rFonts w:ascii="Arial" w:cs="Arial" w:eastAsia="Arial" w:hAnsi="Arial"/>
          <w:sz w:val="22"/>
          <w:szCs w:val="22"/>
          <w:color w:val="auto"/>
        </w:rPr>
        <w:t>The purposes of the Plan are to (a) promote the long-term success of the Company and its Subsidiaries and to increase stockholder value by providing Eligible Individuals with incentives to contribute to the long-term growth and profitability of the Company by offering them an opportunity to obtain a proprietary interest in the Company through the grant of equity-based awards and (b) assist the Company in attracting, retaining and motivating highly qualified individuals who are in a position to make significant contributions to the Company and its Subsidiaries.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Upon the Effective Date, no further Awards will be granted under the Prior Plans.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2.Definitions and Rules of Construction</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u w:val="single" w:color="auto"/>
          <w:color w:val="auto"/>
        </w:rPr>
        <w:t>Definitions</w:t>
      </w:r>
      <w:r>
        <w:rPr>
          <w:rFonts w:ascii="Arial" w:cs="Arial" w:eastAsia="Arial" w:hAnsi="Arial"/>
          <w:sz w:val="22"/>
          <w:szCs w:val="22"/>
          <w:color w:val="auto"/>
        </w:rPr>
        <w:t>. For purposes of the Plan, the following capitalized words shall have the meanings set forth below:</w:t>
      </w:r>
    </w:p>
    <w:p>
      <w:pPr>
        <w:spacing w:after="0" w:line="233" w:lineRule="exact"/>
        <w:rPr>
          <w:sz w:val="20"/>
          <w:szCs w:val="20"/>
          <w:color w:val="auto"/>
        </w:rPr>
      </w:pPr>
    </w:p>
    <w:p>
      <w:pPr>
        <w:jc w:val="both"/>
        <w:ind w:left="280" w:firstLine="56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Award</w:t>
      </w:r>
      <w:r>
        <w:rPr>
          <w:rFonts w:ascii="Arial" w:cs="Arial" w:eastAsia="Arial" w:hAnsi="Arial"/>
          <w:sz w:val="22"/>
          <w:szCs w:val="22"/>
          <w:color w:val="auto"/>
        </w:rPr>
        <w:t>” means an Option, Restricted Stock, Restricted Stock Unit, Stock Appreciation Right, Performance Stock, Performance Unit or Other Award granted by the Committee pursuant to the terms of the Plan.</w:t>
      </w:r>
    </w:p>
    <w:p>
      <w:pPr>
        <w:spacing w:after="0" w:line="200" w:lineRule="exact"/>
        <w:rPr>
          <w:sz w:val="20"/>
          <w:szCs w:val="20"/>
          <w:color w:val="auto"/>
        </w:rPr>
      </w:pPr>
    </w:p>
    <w:p>
      <w:pPr>
        <w:jc w:val="both"/>
        <w:ind w:left="280" w:firstLine="40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Award Document</w:t>
      </w:r>
      <w:r>
        <w:rPr>
          <w:rFonts w:ascii="Arial" w:cs="Arial" w:eastAsia="Arial" w:hAnsi="Arial"/>
          <w:sz w:val="22"/>
          <w:szCs w:val="22"/>
          <w:color w:val="auto"/>
        </w:rPr>
        <w:t>” means an agreement, certificate or other type or form of document or documentation approved by the Committee that sets forth the terms and conditions of an Award. An Award Document may be in written, electronic or other media, may be limited to a notation on the books and records of the Company and, unless the Committee requires otherwise, need not be signed by a representative of the Company or a Participant.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Beneficial Owner</w:t>
      </w:r>
      <w:r>
        <w:rPr>
          <w:rFonts w:ascii="Arial" w:cs="Arial" w:eastAsia="Arial" w:hAnsi="Arial"/>
          <w:sz w:val="22"/>
          <w:szCs w:val="22"/>
          <w:color w:val="auto"/>
        </w:rPr>
        <w:t>” and “</w:t>
      </w:r>
      <w:r>
        <w:rPr>
          <w:rFonts w:ascii="Arial" w:cs="Arial" w:eastAsia="Arial" w:hAnsi="Arial"/>
          <w:sz w:val="17"/>
          <w:szCs w:val="17"/>
          <w:b w:val="1"/>
          <w:bCs w:val="1"/>
          <w:i w:val="1"/>
          <w:iCs w:val="1"/>
          <w:color w:val="auto"/>
        </w:rPr>
        <w:t>Beneficially Owned</w:t>
      </w:r>
      <w:r>
        <w:rPr>
          <w:rFonts w:ascii="Arial" w:cs="Arial" w:eastAsia="Arial" w:hAnsi="Arial"/>
          <w:sz w:val="22"/>
          <w:szCs w:val="22"/>
          <w:color w:val="auto"/>
        </w:rPr>
        <w:t>” have the meaning set forth in Rule 13d-3 under the Exchange Act.</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Board</w:t>
      </w:r>
      <w:r>
        <w:rPr>
          <w:rFonts w:ascii="Arial" w:cs="Arial" w:eastAsia="Arial" w:hAnsi="Arial"/>
          <w:sz w:val="22"/>
          <w:szCs w:val="22"/>
          <w:color w:val="auto"/>
        </w:rPr>
        <w:t>” means the Board of Directors of the Company, as constituted from time to time.</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Change of Control</w:t>
      </w:r>
      <w:r>
        <w:rPr>
          <w:rFonts w:ascii="Arial" w:cs="Arial" w:eastAsia="Arial" w:hAnsi="Arial"/>
          <w:sz w:val="22"/>
          <w:szCs w:val="22"/>
          <w:color w:val="auto"/>
        </w:rPr>
        <w:t>” means:</w:t>
      </w:r>
    </w:p>
    <w:p>
      <w:pPr>
        <w:spacing w:after="0" w:line="233" w:lineRule="exact"/>
        <w:rPr>
          <w:sz w:val="20"/>
          <w:szCs w:val="20"/>
          <w:color w:val="auto"/>
        </w:rPr>
      </w:pPr>
    </w:p>
    <w:p>
      <w:pPr>
        <w:ind w:left="540" w:firstLine="292"/>
        <w:spacing w:after="0" w:line="274" w:lineRule="auto"/>
        <w:tabs>
          <w:tab w:leader="none" w:pos="1087"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Person becomes the Beneficial Owner, directly or indirectly, of securities of the Company representing thirty-five percent (35%)or more of the combined voting power of the Company’s then outstanding securities; or</w:t>
      </w:r>
    </w:p>
    <w:p>
      <w:pPr>
        <w:spacing w:after="0" w:line="177" w:lineRule="exact"/>
        <w:rPr>
          <w:rFonts w:ascii="Arial" w:cs="Arial" w:eastAsia="Arial" w:hAnsi="Arial"/>
          <w:sz w:val="21"/>
          <w:szCs w:val="21"/>
          <w:color w:val="auto"/>
        </w:rPr>
      </w:pPr>
    </w:p>
    <w:p>
      <w:pPr>
        <w:jc w:val="both"/>
        <w:ind w:left="540" w:firstLine="427"/>
        <w:spacing w:after="0" w:line="234" w:lineRule="auto"/>
        <w:tabs>
          <w:tab w:leader="none" w:pos="1306"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2" w:name="page103"/>
    <w:bookmarkEnd w:id="102"/>
    <w:p>
      <w:pPr>
        <w:jc w:val="both"/>
        <w:ind w:left="540" w:firstLine="292"/>
        <w:spacing w:after="0" w:line="274" w:lineRule="auto"/>
        <w:tabs>
          <w:tab w:leader="none" w:pos="1205"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fifty percent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(35%)or more of the combined voting power of the Company’s then outstanding securities; or</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540" w:firstLine="332"/>
        <w:spacing w:after="0" w:line="282" w:lineRule="auto"/>
        <w:tabs>
          <w:tab w:leader="none" w:pos="1243"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stockholders of the Company in substantially the same proportions as their ownership of the Company immediately prior to such sale.</w:t>
      </w:r>
    </w:p>
    <w:p>
      <w:pPr>
        <w:spacing w:after="0" w:line="175" w:lineRule="exact"/>
        <w:rPr>
          <w:sz w:val="20"/>
          <w:szCs w:val="20"/>
          <w:color w:val="auto"/>
        </w:rPr>
      </w:pPr>
    </w:p>
    <w:p>
      <w:pPr>
        <w:jc w:val="both"/>
        <w:ind w:firstLine="419"/>
        <w:spacing w:after="0" w:line="287" w:lineRule="auto"/>
        <w:rPr>
          <w:sz w:val="20"/>
          <w:szCs w:val="20"/>
          <w:color w:val="auto"/>
        </w:rPr>
      </w:pPr>
      <w:r>
        <w:rPr>
          <w:rFonts w:ascii="Arial" w:cs="Arial" w:eastAsia="Arial" w:hAnsi="Arial"/>
          <w:sz w:val="19"/>
          <w:szCs w:val="19"/>
          <w:color w:val="auto"/>
        </w:rPr>
        <w:t>Notwithstanding the foregoing, with respect to an Award that is subject to Section 409A of the Code and the payment or settlement of the Award will accelerate upon a Change of Control, no event set forth herein will constitute a Change of Control for purposes of the Plan or any Award Document unless such event also constitutes a “change in ownership,” “change in effective control,” or “change in the ownership of a substantial portion of the Company’s assets” as defined under Section 409A of the Code.</w:t>
      </w:r>
    </w:p>
    <w:p>
      <w:pPr>
        <w:spacing w:after="0" w:line="170" w:lineRule="exact"/>
        <w:rPr>
          <w:sz w:val="20"/>
          <w:szCs w:val="20"/>
          <w:color w:val="auto"/>
        </w:rPr>
      </w:pPr>
    </w:p>
    <w:p>
      <w:pPr>
        <w:jc w:val="both"/>
        <w:ind w:left="280" w:firstLine="41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Code</w:t>
      </w:r>
      <w:r>
        <w:rPr>
          <w:rFonts w:ascii="Arial" w:cs="Arial" w:eastAsia="Arial" w:hAnsi="Arial"/>
          <w:sz w:val="22"/>
          <w:szCs w:val="22"/>
          <w:color w:val="auto"/>
        </w:rPr>
        <w:t>” means the Internal Revenue Code of 1986, as amended, and the applicable rulings and regulations promulgated thereunder.</w:t>
      </w:r>
    </w:p>
    <w:p>
      <w:pPr>
        <w:spacing w:after="0" w:line="200" w:lineRule="exact"/>
        <w:rPr>
          <w:sz w:val="20"/>
          <w:szCs w:val="20"/>
          <w:color w:val="auto"/>
        </w:rPr>
      </w:pPr>
    </w:p>
    <w:p>
      <w:pPr>
        <w:jc w:val="both"/>
        <w:ind w:left="280" w:firstLine="40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5"/>
          <w:szCs w:val="15"/>
          <w:b w:val="1"/>
          <w:bCs w:val="1"/>
          <w:i w:val="1"/>
          <w:iCs w:val="1"/>
          <w:color w:val="auto"/>
        </w:rPr>
        <w:t>Committee</w:t>
      </w:r>
      <w:r>
        <w:rPr>
          <w:rFonts w:ascii="Arial" w:cs="Arial" w:eastAsia="Arial" w:hAnsi="Arial"/>
          <w:sz w:val="19"/>
          <w:szCs w:val="19"/>
          <w:color w:val="auto"/>
        </w:rPr>
        <w:t xml:space="preserve">” means the Compensation Committee of the Board, any successor committee thereto or any other committee appointed from time to time by the Board to administer the Plan, which committee shall meet the requirements of Section 162(m) of the Code, Section 16(b) of the Exchange Act and the applicable rules of the NASDAQ; </w:t>
      </w:r>
      <w:r>
        <w:rPr>
          <w:rFonts w:ascii="Arial" w:cs="Arial" w:eastAsia="Arial" w:hAnsi="Arial"/>
          <w:sz w:val="15"/>
          <w:szCs w:val="15"/>
          <w:i w:val="1"/>
          <w:iCs w:val="1"/>
          <w:color w:val="auto"/>
        </w:rPr>
        <w:t>provided</w:t>
      </w:r>
      <w:r>
        <w:rPr>
          <w:rFonts w:ascii="Arial" w:cs="Arial" w:eastAsia="Arial" w:hAnsi="Arial"/>
          <w:sz w:val="19"/>
          <w:szCs w:val="19"/>
          <w:color w:val="auto"/>
        </w:rPr>
        <w:t xml:space="preserve">, </w:t>
      </w:r>
      <w:r>
        <w:rPr>
          <w:rFonts w:ascii="Arial" w:cs="Arial" w:eastAsia="Arial" w:hAnsi="Arial"/>
          <w:sz w:val="15"/>
          <w:szCs w:val="15"/>
          <w:i w:val="1"/>
          <w:iCs w:val="1"/>
          <w:color w:val="auto"/>
        </w:rPr>
        <w:t>however</w:t>
      </w:r>
      <w:r>
        <w:rPr>
          <w:rFonts w:ascii="Arial" w:cs="Arial" w:eastAsia="Arial" w:hAnsi="Arial"/>
          <w:sz w:val="19"/>
          <w:szCs w:val="19"/>
          <w:color w:val="auto"/>
        </w:rPr>
        <w:t>, that, if any Committee member is found not to have met the qualification requirements of Section 162(m) of the Code and Section 16(b) of the Exchange Act, any actions taken or Awards granted by the Committee shall not be invalidated by such failure to so qualify.</w:t>
      </w:r>
    </w:p>
    <w:p>
      <w:pPr>
        <w:spacing w:after="0" w:line="175" w:lineRule="exact"/>
        <w:rPr>
          <w:sz w:val="20"/>
          <w:szCs w:val="20"/>
          <w:color w:val="auto"/>
        </w:rPr>
      </w:pPr>
    </w:p>
    <w:p>
      <w:pPr>
        <w:jc w:val="both"/>
        <w:ind w:left="280" w:firstLine="35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Common Stock</w:t>
      </w:r>
      <w:r>
        <w:rPr>
          <w:rFonts w:ascii="Arial" w:cs="Arial" w:eastAsia="Arial" w:hAnsi="Arial"/>
          <w:sz w:val="22"/>
          <w:szCs w:val="22"/>
          <w:color w:val="auto"/>
        </w:rPr>
        <w:t>” means the common stock of the Company, par value $0.01 per share, or such other class of share or other securities as may be applicable under Section 13 of the Plan.</w:t>
      </w:r>
    </w:p>
    <w:p>
      <w:pPr>
        <w:spacing w:after="0" w:line="200" w:lineRule="exact"/>
        <w:rPr>
          <w:sz w:val="20"/>
          <w:szCs w:val="20"/>
          <w:color w:val="auto"/>
        </w:rPr>
      </w:pPr>
    </w:p>
    <w:p>
      <w:pPr>
        <w:jc w:val="both"/>
        <w:ind w:left="280" w:right="20" w:firstLine="35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Company</w:t>
      </w:r>
      <w:r>
        <w:rPr>
          <w:rFonts w:ascii="Arial" w:cs="Arial" w:eastAsia="Arial" w:hAnsi="Arial"/>
          <w:sz w:val="22"/>
          <w:szCs w:val="22"/>
          <w:color w:val="auto"/>
        </w:rPr>
        <w:t>” means Photronics, Inc., a Connecticut corporation, or any successor to all or substantially all of the Company's business that adopts the Plan.</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EBITDA</w:t>
      </w:r>
      <w:r>
        <w:rPr>
          <w:rFonts w:ascii="Arial" w:cs="Arial" w:eastAsia="Arial" w:hAnsi="Arial"/>
          <w:sz w:val="22"/>
          <w:szCs w:val="22"/>
          <w:color w:val="auto"/>
        </w:rPr>
        <w:t>” means earnings before interest, taxes, depreciation and amortization.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5"/>
          <w:szCs w:val="15"/>
          <w:b w:val="1"/>
          <w:bCs w:val="1"/>
          <w:i w:val="1"/>
          <w:iCs w:val="1"/>
          <w:color w:val="auto"/>
        </w:rPr>
        <w:t>Effective Date</w:t>
      </w:r>
      <w:r>
        <w:rPr>
          <w:rFonts w:ascii="Arial" w:cs="Arial" w:eastAsia="Arial" w:hAnsi="Arial"/>
          <w:sz w:val="19"/>
          <w:szCs w:val="19"/>
          <w:color w:val="auto"/>
        </w:rPr>
        <w:t>” means the date on which the Plan is adopted by the Board and approved by the Shareholders of the Company.</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5"/>
          <w:szCs w:val="15"/>
          <w:b w:val="1"/>
          <w:bCs w:val="1"/>
          <w:i w:val="1"/>
          <w:iCs w:val="1"/>
          <w:color w:val="auto"/>
        </w:rPr>
        <w:t>Eligible Individuals</w:t>
      </w:r>
      <w:r>
        <w:rPr>
          <w:rFonts w:ascii="Arial" w:cs="Arial" w:eastAsia="Arial" w:hAnsi="Arial"/>
          <w:sz w:val="19"/>
          <w:szCs w:val="19"/>
          <w:color w:val="auto"/>
        </w:rPr>
        <w:t>” means the individuals described in Section 4(a) of the Plan who are eligible for Awards under the Plan.</w:t>
      </w:r>
    </w:p>
    <w:p>
      <w:pPr>
        <w:spacing w:after="0" w:line="268" w:lineRule="exact"/>
        <w:rPr>
          <w:sz w:val="20"/>
          <w:szCs w:val="20"/>
          <w:color w:val="auto"/>
        </w:rPr>
      </w:pPr>
    </w:p>
    <w:p>
      <w:pPr>
        <w:jc w:val="both"/>
        <w:ind w:firstLine="50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00" w:lineRule="exact"/>
        <w:rPr>
          <w:sz w:val="20"/>
          <w:szCs w:val="20"/>
          <w:color w:val="auto"/>
        </w:rPr>
      </w:pPr>
    </w:p>
    <w:p>
      <w:pPr>
        <w:jc w:val="both"/>
        <w:ind w:firstLine="33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Fair Market Value</w:t>
      </w:r>
      <w:r>
        <w:rPr>
          <w:rFonts w:ascii="Arial" w:cs="Arial" w:eastAsia="Arial" w:hAnsi="Arial"/>
          <w:sz w:val="22"/>
          <w:szCs w:val="22"/>
          <w:color w:val="auto"/>
        </w:rPr>
        <w:t>” means, with respect to a share of Common Stock, the fair market value on the date of valuation of such Award as determined by the Compensation Committee; provided, however, that with respect to an incentive stock option issued to a 10% or more shareholder, Fair Market Value shall mean 110% of the fair market value or such other percentage as may be permitted by the Code and regulations promulgated thereunder.</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22"/>
          <w:szCs w:val="22"/>
          <w:color w:val="auto"/>
        </w:rPr>
        <w:t>” means an Option that is intended to comply with the requirements of Section 422 of the Code or any successor provision thereto.</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NASDAQ</w:t>
      </w:r>
      <w:r>
        <w:rPr>
          <w:rFonts w:ascii="Arial" w:cs="Arial" w:eastAsia="Arial" w:hAnsi="Arial"/>
          <w:sz w:val="22"/>
          <w:szCs w:val="22"/>
          <w:color w:val="auto"/>
        </w:rPr>
        <w:t>” means the NASDAQ Stock Market, Inc.</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5"/>
          <w:szCs w:val="15"/>
          <w:b w:val="1"/>
          <w:bCs w:val="1"/>
          <w:i w:val="1"/>
          <w:iCs w:val="1"/>
          <w:color w:val="auto"/>
        </w:rPr>
        <w:t>Non-Employee Director</w:t>
      </w:r>
      <w:r>
        <w:rPr>
          <w:rFonts w:ascii="Arial" w:cs="Arial" w:eastAsia="Arial" w:hAnsi="Arial"/>
          <w:sz w:val="19"/>
          <w:szCs w:val="19"/>
          <w:color w:val="auto"/>
        </w:rPr>
        <w:t>” means any member of the Board who is not an officer or employee of the Company or any Subsidiary.</w:t>
      </w:r>
    </w:p>
    <w:p>
      <w:pPr>
        <w:spacing w:after="0" w:line="268"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Nonqualified Stock Option</w:t>
      </w:r>
      <w:r>
        <w:rPr>
          <w:rFonts w:ascii="Arial" w:cs="Arial" w:eastAsia="Arial" w:hAnsi="Arial"/>
          <w:sz w:val="22"/>
          <w:szCs w:val="22"/>
          <w:color w:val="auto"/>
        </w:rPr>
        <w:t>” means an Option that is not intended to comply with the requirements of Section 422 of the Code or any successor provision thereto.</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6"/>
          <w:szCs w:val="16"/>
          <w:b w:val="1"/>
          <w:bCs w:val="1"/>
          <w:i w:val="1"/>
          <w:iCs w:val="1"/>
          <w:color w:val="auto"/>
        </w:rPr>
        <w:t>Option</w:t>
      </w:r>
      <w:r>
        <w:rPr>
          <w:rFonts w:ascii="Arial" w:cs="Arial" w:eastAsia="Arial" w:hAnsi="Arial"/>
          <w:sz w:val="21"/>
          <w:szCs w:val="21"/>
          <w:color w:val="auto"/>
        </w:rPr>
        <w:t>” means an Incentive Stock Option or Nonqualified Stock Option granted pursuant to Section 7 of the Plan.</w:t>
      </w:r>
    </w:p>
    <w:p>
      <w:pPr>
        <w:spacing w:after="0" w:line="245" w:lineRule="exact"/>
        <w:rPr>
          <w:sz w:val="20"/>
          <w:szCs w:val="20"/>
          <w:color w:val="auto"/>
        </w:rPr>
      </w:pPr>
    </w:p>
    <w:p>
      <w:pPr>
        <w:jc w:val="both"/>
        <w:ind w:firstLine="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Other Award</w:t>
      </w:r>
      <w:r>
        <w:rPr>
          <w:rFonts w:ascii="Arial" w:cs="Arial" w:eastAsia="Arial" w:hAnsi="Arial"/>
          <w:sz w:val="22"/>
          <w:szCs w:val="22"/>
          <w:color w:val="auto"/>
        </w:rPr>
        <w:t>” means any form of Award other than an Option, Restricted Stock, Restricted Stock Unit or Stock Appreciation Right granted pursuant to Section 11 of the Plan.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Participant</w:t>
      </w:r>
      <w:r>
        <w:rPr>
          <w:rFonts w:ascii="Arial" w:cs="Arial" w:eastAsia="Arial" w:hAnsi="Arial"/>
          <w:sz w:val="22"/>
          <w:szCs w:val="22"/>
          <w:color w:val="auto"/>
        </w:rPr>
        <w:t>” means an Eligible Individual who has been granted an Award under the Plan.</w:t>
      </w:r>
    </w:p>
    <w:p>
      <w:pPr>
        <w:spacing w:after="0" w:line="233" w:lineRule="exact"/>
        <w:rPr>
          <w:sz w:val="20"/>
          <w:szCs w:val="20"/>
          <w:color w:val="auto"/>
        </w:rPr>
      </w:pPr>
    </w:p>
    <w:p>
      <w:pPr>
        <w:jc w:val="both"/>
        <w:ind w:right="20" w:firstLine="36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Performance Period</w:t>
      </w:r>
      <w:r>
        <w:rPr>
          <w:rFonts w:ascii="Arial" w:cs="Arial" w:eastAsia="Arial" w:hAnsi="Arial"/>
          <w:sz w:val="22"/>
          <w:szCs w:val="22"/>
          <w:color w:val="auto"/>
        </w:rPr>
        <w:t>” means the period established by the Committee and set forth in the applicable Award Document over which Performance Targets are measured.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Performance Stock</w:t>
      </w:r>
      <w:r>
        <w:rPr>
          <w:rFonts w:ascii="Arial" w:cs="Arial" w:eastAsia="Arial" w:hAnsi="Arial"/>
          <w:sz w:val="22"/>
          <w:szCs w:val="22"/>
          <w:color w:val="auto"/>
        </w:rPr>
        <w:t>” means a Target Number of Shares granted pursuant to Section 10(a) of the Plan.</w:t>
      </w:r>
    </w:p>
    <w:p>
      <w:pPr>
        <w:spacing w:after="0" w:line="233" w:lineRule="exact"/>
        <w:rPr>
          <w:sz w:val="20"/>
          <w:szCs w:val="20"/>
          <w:color w:val="auto"/>
        </w:rPr>
      </w:pPr>
    </w:p>
    <w:p>
      <w:pPr>
        <w:jc w:val="both"/>
        <w:ind w:firstLine="36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Performance Target</w:t>
      </w:r>
      <w:r>
        <w:rPr>
          <w:rFonts w:ascii="Arial" w:cs="Arial" w:eastAsia="Arial" w:hAnsi="Arial"/>
          <w:sz w:val="22"/>
          <w:szCs w:val="22"/>
          <w:color w:val="auto"/>
        </w:rPr>
        <w:t>” means the performance measures established by the Committee, from among the performance criteria provided in Section 6(g), and set forth in the applicable Award Document.</w:t>
      </w:r>
    </w:p>
    <w:p>
      <w:pPr>
        <w:spacing w:after="0" w:line="200" w:lineRule="exact"/>
        <w:rPr>
          <w:sz w:val="20"/>
          <w:szCs w:val="20"/>
          <w:color w:val="auto"/>
        </w:rPr>
      </w:pPr>
    </w:p>
    <w:p>
      <w:pPr>
        <w:jc w:val="both"/>
        <w:ind w:firstLine="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Performance Unit</w:t>
      </w:r>
      <w:r>
        <w:rPr>
          <w:rFonts w:ascii="Arial" w:cs="Arial" w:eastAsia="Arial" w:hAnsi="Arial"/>
          <w:sz w:val="22"/>
          <w:szCs w:val="22"/>
          <w:color w:val="auto"/>
        </w:rPr>
        <w:t>” means a right to receive a Target Number of Shares or cash in the future granted pursuant to Section 10(b) of the Plan.</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22"/>
          <w:szCs w:val="22"/>
          <w:color w:val="auto"/>
        </w:rPr>
        <w:t>” means (i) a Participant’s family member, (ii) one or more trusts established in whole or in part for the benefit of one or more of such family members, (iii) one or more entities which are beneficially owned in whole or in part by one or more such family members, or (iv) a charitable or not-for-profit organization.</w:t>
      </w:r>
    </w:p>
    <w:p>
      <w:pPr>
        <w:spacing w:after="0" w:line="149"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520" w:top="118" w:right="239" w:bottom="1440" w:gutter="0" w:footer="0" w:header="0"/>
        </w:sectPr>
      </w:pPr>
    </w:p>
    <w:bookmarkStart w:id="104" w:name="page105"/>
    <w:bookmarkEnd w:id="104"/>
    <w:p>
      <w:pPr>
        <w:jc w:val="both"/>
        <w:ind w:left="280" w:firstLine="35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Person</w:t>
      </w:r>
      <w:r>
        <w:rPr>
          <w:rFonts w:ascii="Arial" w:cs="Arial" w:eastAsia="Arial" w:hAnsi="Arial"/>
          <w:sz w:val="22"/>
          <w:szCs w:val="22"/>
          <w:color w:val="auto"/>
        </w:rPr>
        <w:t>” means any person, entity or "group" within the meaning of Section 13(d)(3) or Section 14(d)(2) of the Exchange Act, except that such term shall not include (i) the Company or any of its Subsidiaries, (ii) a trustee or other fiduciary holding securities under an employee benefit plan of the Company, (iii) an underwriter temporarily holding securities pursuant to an offering of such securities, (iv) a corporation owned, directly or indirectly, by the stockholders of the Company in substantially the same proportions as their ownership of stock of the Company, or (v) a person or group as used in Rule 13d-1(b) under the Exchange Act.</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Plan</w:t>
      </w:r>
      <w:r>
        <w:rPr>
          <w:rFonts w:ascii="Arial" w:cs="Arial" w:eastAsia="Arial" w:hAnsi="Arial"/>
          <w:sz w:val="22"/>
          <w:szCs w:val="22"/>
          <w:color w:val="auto"/>
        </w:rPr>
        <w:t>” means this 2007 Long Term Equity Incentive Plan, as amended or restated from time to time.</w:t>
      </w:r>
    </w:p>
    <w:p>
      <w:pPr>
        <w:spacing w:after="0" w:line="233" w:lineRule="exact"/>
        <w:rPr>
          <w:sz w:val="20"/>
          <w:szCs w:val="20"/>
          <w:color w:val="auto"/>
        </w:rPr>
      </w:pPr>
    </w:p>
    <w:p>
      <w:pPr>
        <w:jc w:val="both"/>
        <w:ind w:left="280" w:firstLine="27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Plan Limit</w:t>
      </w:r>
      <w:r>
        <w:rPr>
          <w:rFonts w:ascii="Arial" w:cs="Arial" w:eastAsia="Arial" w:hAnsi="Arial"/>
          <w:sz w:val="22"/>
          <w:szCs w:val="22"/>
          <w:color w:val="auto"/>
        </w:rPr>
        <w:t>” means the maximum aggregate number of Shares that may be issued for all purposes under the Plan as set forth in Section 5(a) of the Plan.</w:t>
      </w:r>
    </w:p>
    <w:p>
      <w:pPr>
        <w:spacing w:after="0" w:line="200" w:lineRule="exact"/>
        <w:rPr>
          <w:sz w:val="20"/>
          <w:szCs w:val="20"/>
          <w:color w:val="auto"/>
        </w:rPr>
      </w:pPr>
    </w:p>
    <w:p>
      <w:pPr>
        <w:jc w:val="both"/>
        <w:ind w:left="280" w:firstLine="28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Prior Plan</w:t>
      </w:r>
      <w:r>
        <w:rPr>
          <w:rFonts w:ascii="Arial" w:cs="Arial" w:eastAsia="Arial" w:hAnsi="Arial"/>
          <w:sz w:val="22"/>
          <w:szCs w:val="22"/>
          <w:color w:val="auto"/>
        </w:rPr>
        <w:t>” means the 1996 Stock Option Plan, the 1998 Stock Option Plan, and the 2000 Stock Plan, as amended from time to time.</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Restricted Stock</w:t>
      </w:r>
      <w:r>
        <w:rPr>
          <w:rFonts w:ascii="Arial" w:cs="Arial" w:eastAsia="Arial" w:hAnsi="Arial"/>
          <w:sz w:val="22"/>
          <w:szCs w:val="22"/>
          <w:color w:val="auto"/>
        </w:rPr>
        <w:t>” means one or more Shares granted or sold pursuant to Section 8(a) of the Plan.</w:t>
      </w:r>
    </w:p>
    <w:p>
      <w:pPr>
        <w:spacing w:after="0" w:line="233" w:lineRule="exact"/>
        <w:rPr>
          <w:sz w:val="20"/>
          <w:szCs w:val="20"/>
          <w:color w:val="auto"/>
        </w:rPr>
      </w:pPr>
    </w:p>
    <w:p>
      <w:pPr>
        <w:jc w:val="both"/>
        <w:ind w:left="280" w:right="20" w:firstLine="37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Restricted Stock Unit</w:t>
      </w:r>
      <w:r>
        <w:rPr>
          <w:rFonts w:ascii="Arial" w:cs="Arial" w:eastAsia="Arial" w:hAnsi="Arial"/>
          <w:sz w:val="22"/>
          <w:szCs w:val="22"/>
          <w:color w:val="auto"/>
        </w:rPr>
        <w:t>”means a right to receive one or more Shares (or cash, if applicable) in the future granted pursuant to Section 8(b) of the Plan.</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Shares</w:t>
      </w:r>
      <w:r>
        <w:rPr>
          <w:rFonts w:ascii="Arial" w:cs="Arial" w:eastAsia="Arial" w:hAnsi="Arial"/>
          <w:sz w:val="22"/>
          <w:szCs w:val="22"/>
          <w:color w:val="auto"/>
        </w:rPr>
        <w:t>” means shares of Common Stock, as may be adjusted pursuant to Section 13(b).</w:t>
      </w:r>
    </w:p>
    <w:p>
      <w:pPr>
        <w:spacing w:after="0" w:line="233" w:lineRule="exact"/>
        <w:rPr>
          <w:sz w:val="20"/>
          <w:szCs w:val="20"/>
          <w:color w:val="auto"/>
        </w:rPr>
      </w:pPr>
    </w:p>
    <w:p>
      <w:pPr>
        <w:jc w:val="both"/>
        <w:ind w:left="280" w:firstLine="28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22"/>
          <w:szCs w:val="22"/>
          <w:color w:val="auto"/>
        </w:rPr>
        <w:t>” means a right to receive all or some portion of the appreciation on Shares granted pursuant to Section 9 of the Plan.</w:t>
      </w:r>
    </w:p>
    <w:p>
      <w:pPr>
        <w:spacing w:after="0" w:line="200" w:lineRule="exact"/>
        <w:rPr>
          <w:sz w:val="20"/>
          <w:szCs w:val="20"/>
          <w:color w:val="auto"/>
        </w:rPr>
      </w:pPr>
    </w:p>
    <w:p>
      <w:pPr>
        <w:jc w:val="both"/>
        <w:ind w:left="280" w:firstLine="31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16"/>
          <w:szCs w:val="16"/>
          <w:b w:val="1"/>
          <w:bCs w:val="1"/>
          <w:i w:val="1"/>
          <w:iCs w:val="1"/>
          <w:color w:val="auto"/>
        </w:rPr>
        <w:t>Subsidiary</w:t>
      </w:r>
      <w:r>
        <w:rPr>
          <w:rFonts w:ascii="Arial" w:cs="Arial" w:eastAsia="Arial" w:hAnsi="Arial"/>
          <w:sz w:val="21"/>
          <w:szCs w:val="21"/>
          <w:color w:val="auto"/>
        </w:rPr>
        <w:t>” means (i) a corporation or other entity with respect to which the Company, directly or indirectly, has the power, whether through the ownership of voting securities, by contract or otherwise, to elect at least a majority of the members of such corporation’s board of directors or analogous governing body, or (ii) any other corporation or other entity in which the Company, directly or indirectly, has an equity or similar interest and which the Committee designates as a Subsidiary for purposes of the Plan. For purposes of determining eligibility for the grant of Incentive Stock Options under the Plan, the term “Subsidiary” shall be defined in the manner required by Section 424(f) of the Code.</w:t>
      </w:r>
    </w:p>
    <w:p>
      <w:pPr>
        <w:spacing w:after="0" w:line="204" w:lineRule="exact"/>
        <w:rPr>
          <w:sz w:val="20"/>
          <w:szCs w:val="20"/>
          <w:color w:val="auto"/>
        </w:rPr>
      </w:pPr>
    </w:p>
    <w:p>
      <w:pPr>
        <w:jc w:val="both"/>
        <w:ind w:left="280" w:right="20" w:firstLine="36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5"/>
          <w:szCs w:val="15"/>
          <w:b w:val="1"/>
          <w:bCs w:val="1"/>
          <w:i w:val="1"/>
          <w:iCs w:val="1"/>
          <w:color w:val="auto"/>
        </w:rPr>
        <w:t>Substitute Award</w:t>
      </w:r>
      <w:r>
        <w:rPr>
          <w:rFonts w:ascii="Arial" w:cs="Arial" w:eastAsia="Arial" w:hAnsi="Arial"/>
          <w:sz w:val="19"/>
          <w:szCs w:val="19"/>
          <w:color w:val="auto"/>
        </w:rPr>
        <w:t>” means any Award granted upon assumption of, or in substitution or exchange for, outstanding employee equity awards previously granted by a company or other entity acquired by the Company or with which the Company combines pursuant to the terms of an equity compensation plan that was approved by the stockholders of such company or other entity.</w:t>
      </w:r>
    </w:p>
    <w:p>
      <w:pPr>
        <w:spacing w:after="0" w:line="161" w:lineRule="exact"/>
        <w:rPr>
          <w:sz w:val="20"/>
          <w:szCs w:val="20"/>
          <w:color w:val="auto"/>
        </w:rPr>
      </w:pPr>
    </w:p>
    <w:p>
      <w:pPr>
        <w:jc w:val="both"/>
        <w:ind w:left="280" w:firstLine="28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i w:val="1"/>
          <w:iCs w:val="1"/>
          <w:color w:val="auto"/>
        </w:rPr>
        <w:t>Target Number</w:t>
      </w:r>
      <w:r>
        <w:rPr>
          <w:rFonts w:ascii="Arial" w:cs="Arial" w:eastAsia="Arial" w:hAnsi="Arial"/>
          <w:sz w:val="22"/>
          <w:szCs w:val="22"/>
          <w:color w:val="auto"/>
        </w:rPr>
        <w:t>” means the target number of Shares or cash value established by the Committee and set forth in the applicable Award Document.</w:t>
      </w:r>
    </w:p>
    <w:p>
      <w:pPr>
        <w:spacing w:after="0" w:line="200" w:lineRule="exact"/>
        <w:rPr>
          <w:sz w:val="20"/>
          <w:szCs w:val="20"/>
          <w:color w:val="auto"/>
        </w:rPr>
      </w:pPr>
    </w:p>
    <w:p>
      <w:pPr>
        <w:jc w:val="both"/>
        <w:ind w:firstLine="284"/>
        <w:spacing w:after="0"/>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Rules of Construction</w:t>
      </w:r>
      <w:r>
        <w:rPr>
          <w:rFonts w:ascii="Arial" w:cs="Arial" w:eastAsia="Arial" w:hAnsi="Arial"/>
          <w:sz w:val="22"/>
          <w:szCs w:val="22"/>
          <w:color w:val="auto"/>
        </w:rPr>
        <w:t>. The masculine pronoun shall be deemed to include the feminine pronoun, and the singular form of a word shall be deemed to include the plural form, unless the context requires otherwise. Unless the text indicates otherwise, references to sections are to sections of the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spacing w:after="0" w:line="209" w:lineRule="auto"/>
        <w:framePr w:w="3040" w:h="160" w:wrap="auto" w:vAnchor="page" w:hAnchor="page" w:x="8660" w:y="3288"/>
        <w:rPr>
          <w:rFonts w:ascii="Arial" w:cs="Arial" w:eastAsia="Arial" w:hAnsi="Arial"/>
          <w:sz w:val="16"/>
          <w:szCs w:val="16"/>
          <w:color w:val="auto"/>
        </w:rPr>
      </w:pPr>
      <w:r>
        <w:rPr>
          <w:rFonts w:ascii="Arial" w:cs="Arial" w:eastAsia="Arial" w:hAnsi="Arial"/>
          <w:sz w:val="16"/>
          <w:szCs w:val="16"/>
          <w:color w:val="auto"/>
        </w:rPr>
        <w:t>Subsidiaries or, subject to Section 6(d), a</w:t>
      </w:r>
    </w:p>
    <w:p>
      <w:pPr>
        <w:spacing w:after="0"/>
        <w:rPr>
          <w:sz w:val="20"/>
          <w:szCs w:val="20"/>
          <w:color w:val="auto"/>
        </w:rPr>
      </w:pPr>
      <w:r>
        <w:rPr>
          <w:rFonts w:ascii="Arial" w:cs="Arial" w:eastAsia="Arial" w:hAnsi="Arial"/>
          <w:sz w:val="17"/>
          <w:szCs w:val="17"/>
          <w:b w:val="1"/>
          <w:bCs w:val="1"/>
          <w:color w:val="auto"/>
        </w:rPr>
        <w:t>3.Administration</w:t>
      </w:r>
    </w:p>
    <w:p>
      <w:pPr>
        <w:spacing w:after="0" w:line="253" w:lineRule="exact"/>
        <w:rPr>
          <w:rFonts w:ascii="Arial" w:cs="Arial" w:eastAsia="Arial" w:hAnsi="Arial"/>
          <w:sz w:val="16"/>
          <w:szCs w:val="16"/>
          <w:color w:val="auto"/>
        </w:rPr>
      </w:pPr>
    </w:p>
    <w:p>
      <w:pPr>
        <w:ind w:firstLine="284"/>
        <w:spacing w:after="0" w:line="251" w:lineRule="auto"/>
        <w:rPr>
          <w:sz w:val="20"/>
          <w:szCs w:val="20"/>
          <w:color w:val="auto"/>
        </w:rPr>
      </w:pPr>
      <w:r>
        <w:rPr>
          <w:rFonts w:ascii="Arial" w:cs="Arial" w:eastAsia="Arial" w:hAnsi="Arial"/>
          <w:sz w:val="22"/>
          <w:szCs w:val="22"/>
          <w:color w:val="auto"/>
        </w:rPr>
        <w:t>(a)</w:t>
      </w:r>
      <w:r>
        <w:rPr>
          <w:rFonts w:ascii="Arial" w:cs="Arial" w:eastAsia="Arial" w:hAnsi="Arial"/>
          <w:sz w:val="17"/>
          <w:szCs w:val="17"/>
          <w:u w:val="single" w:color="auto"/>
          <w:color w:val="auto"/>
        </w:rPr>
        <w:t>Committee</w:t>
      </w:r>
      <w:r>
        <w:rPr>
          <w:rFonts w:ascii="Arial" w:cs="Arial" w:eastAsia="Arial" w:hAnsi="Arial"/>
          <w:sz w:val="22"/>
          <w:szCs w:val="22"/>
          <w:color w:val="auto"/>
        </w:rPr>
        <w:t>. The Plan shall be administered by the Committee, which shall have full power and authority, subject to the express provisions hereof, to:</w:t>
      </w:r>
    </w:p>
    <w:p>
      <w:pPr>
        <w:spacing w:after="0" w:line="200" w:lineRule="exact"/>
        <w:rPr>
          <w:rFonts w:ascii="Arial" w:cs="Arial" w:eastAsia="Arial" w:hAnsi="Arial"/>
          <w:sz w:val="16"/>
          <w:szCs w:val="16"/>
          <w:color w:val="auto"/>
        </w:rPr>
      </w:pPr>
    </w:p>
    <w:p>
      <w:pPr>
        <w:ind w:left="540"/>
        <w:spacing w:after="0"/>
        <w:rPr>
          <w:sz w:val="20"/>
          <w:szCs w:val="20"/>
          <w:color w:val="auto"/>
        </w:rPr>
      </w:pPr>
      <w:r>
        <w:rPr>
          <w:rFonts w:ascii="Arial" w:cs="Arial" w:eastAsia="Arial" w:hAnsi="Arial"/>
          <w:sz w:val="22"/>
          <w:szCs w:val="22"/>
          <w:color w:val="auto"/>
        </w:rPr>
        <w:t>(i)select the Participants from the Eligible Individuals;</w:t>
      </w:r>
    </w:p>
    <w:p>
      <w:pPr>
        <w:spacing w:after="0" w:line="233" w:lineRule="exact"/>
        <w:rPr>
          <w:rFonts w:ascii="Arial" w:cs="Arial" w:eastAsia="Arial" w:hAnsi="Arial"/>
          <w:sz w:val="16"/>
          <w:szCs w:val="16"/>
          <w:color w:val="auto"/>
        </w:rPr>
      </w:pPr>
    </w:p>
    <w:p>
      <w:pPr>
        <w:ind w:left="540"/>
        <w:spacing w:after="0"/>
        <w:rPr>
          <w:sz w:val="20"/>
          <w:szCs w:val="20"/>
          <w:color w:val="auto"/>
        </w:rPr>
      </w:pPr>
      <w:r>
        <w:rPr>
          <w:rFonts w:ascii="Arial" w:cs="Arial" w:eastAsia="Arial" w:hAnsi="Arial"/>
          <w:sz w:val="22"/>
          <w:szCs w:val="22"/>
          <w:color w:val="auto"/>
        </w:rPr>
        <w:t>(ii)grant Awards in accordance with the Plan;</w:t>
      </w:r>
    </w:p>
    <w:p>
      <w:pPr>
        <w:spacing w:after="0" w:line="233" w:lineRule="exact"/>
        <w:rPr>
          <w:rFonts w:ascii="Arial" w:cs="Arial" w:eastAsia="Arial" w:hAnsi="Arial"/>
          <w:sz w:val="16"/>
          <w:szCs w:val="16"/>
          <w:color w:val="auto"/>
        </w:rPr>
      </w:pPr>
    </w:p>
    <w:p>
      <w:pPr>
        <w:ind w:left="540"/>
        <w:spacing w:after="0"/>
        <w:rPr>
          <w:sz w:val="20"/>
          <w:szCs w:val="20"/>
          <w:color w:val="auto"/>
        </w:rPr>
      </w:pPr>
      <w:r>
        <w:rPr>
          <w:rFonts w:ascii="Arial" w:cs="Arial" w:eastAsia="Arial" w:hAnsi="Arial"/>
          <w:sz w:val="21"/>
          <w:szCs w:val="21"/>
          <w:color w:val="auto"/>
        </w:rPr>
        <w:t>(iii)determine the number of Shares subject to each Award or the cash amount payable in connection with an Award;</w:t>
      </w:r>
    </w:p>
    <w:p>
      <w:pPr>
        <w:spacing w:after="0" w:line="245" w:lineRule="exact"/>
        <w:rPr>
          <w:rFonts w:ascii="Arial" w:cs="Arial" w:eastAsia="Arial" w:hAnsi="Arial"/>
          <w:sz w:val="16"/>
          <w:szCs w:val="16"/>
          <w:color w:val="auto"/>
        </w:rPr>
      </w:pPr>
    </w:p>
    <w:p>
      <w:pPr>
        <w:ind w:left="280" w:firstLine="432"/>
        <w:spacing w:after="0" w:line="276" w:lineRule="auto"/>
        <w:rPr>
          <w:sz w:val="20"/>
          <w:szCs w:val="20"/>
          <w:color w:val="auto"/>
        </w:rPr>
      </w:pPr>
      <w:r>
        <w:rPr>
          <w:rFonts w:ascii="Arial" w:cs="Arial" w:eastAsia="Arial" w:hAnsi="Arial"/>
          <w:sz w:val="19"/>
          <w:szCs w:val="19"/>
          <w:color w:val="auto"/>
        </w:rPr>
        <w:t>(iv)determine the terms and conditions of each Award, including, without limitation, those related to term, permissible methods of exercise, vesting, cancellation, payment, settlement, exercisability, Performance Periods, Performance Targets, and</w:t>
      </w:r>
    </w:p>
    <w:p>
      <w:pPr>
        <w:spacing w:after="0" w:line="2" w:lineRule="exact"/>
        <w:rPr>
          <w:rFonts w:ascii="Arial" w:cs="Arial" w:eastAsia="Arial" w:hAnsi="Arial"/>
          <w:sz w:val="16"/>
          <w:szCs w:val="16"/>
          <w:color w:val="auto"/>
        </w:rPr>
      </w:pPr>
    </w:p>
    <w:p>
      <w:pPr>
        <w:ind w:left="280" w:right="3000"/>
        <w:spacing w:after="0" w:line="237" w:lineRule="auto"/>
        <w:rPr>
          <w:sz w:val="20"/>
          <w:szCs w:val="20"/>
          <w:color w:val="auto"/>
        </w:rPr>
      </w:pPr>
      <w:r>
        <w:rPr>
          <w:rFonts w:ascii="Arial" w:cs="Arial" w:eastAsia="Arial" w:hAnsi="Arial"/>
          <w:sz w:val="22"/>
          <w:szCs w:val="22"/>
          <w:color w:val="auto"/>
        </w:rPr>
        <w:t xml:space="preserve">the effect, if any, of a Participant’s termination of employment with the Company or any of its </w:t>
      </w:r>
      <w:r>
        <w:rPr>
          <w:rFonts w:ascii="Arial" w:cs="Arial" w:eastAsia="Arial" w:hAnsi="Arial"/>
          <w:sz w:val="18"/>
          <w:szCs w:val="18"/>
          <w:color w:val="auto"/>
        </w:rPr>
        <w:t xml:space="preserve">Change of </w:t>
      </w:r>
      <w:r>
        <w:rPr>
          <w:rFonts w:ascii="Arial" w:cs="Arial" w:eastAsia="Arial" w:hAnsi="Arial"/>
          <w:sz w:val="21"/>
          <w:szCs w:val="21"/>
          <w:color w:val="auto"/>
        </w:rPr>
        <w:t>Control of the Company;</w:t>
      </w:r>
    </w:p>
    <w:p>
      <w:pPr>
        <w:spacing w:after="0" w:line="212" w:lineRule="exact"/>
        <w:rPr>
          <w:rFonts w:ascii="Arial" w:cs="Arial" w:eastAsia="Arial" w:hAnsi="Arial"/>
          <w:sz w:val="16"/>
          <w:szCs w:val="16"/>
          <w:color w:val="auto"/>
        </w:rPr>
      </w:pPr>
    </w:p>
    <w:p>
      <w:pPr>
        <w:ind w:left="540" w:right="300" w:firstLine="8"/>
        <w:spacing w:after="0" w:line="461" w:lineRule="auto"/>
        <w:tabs>
          <w:tab w:leader="none" w:pos="846" w:val="left"/>
        </w:tabs>
        <w:numPr>
          <w:ilvl w:val="0"/>
          <w:numId w:val="25"/>
        </w:numPr>
        <w:rPr>
          <w:rFonts w:ascii="Arial" w:cs="Arial" w:eastAsia="Arial" w:hAnsi="Arial"/>
          <w:sz w:val="22"/>
          <w:szCs w:val="22"/>
          <w:color w:val="auto"/>
        </w:rPr>
      </w:pPr>
      <w:r>
        <w:rPr>
          <w:rFonts w:ascii="Arial" w:cs="Arial" w:eastAsia="Arial" w:hAnsi="Arial"/>
          <w:sz w:val="22"/>
          <w:szCs w:val="22"/>
          <w:color w:val="auto"/>
        </w:rPr>
        <w:t>subject to Sections 16 and 17(e) of the Plan, amend the terms and conditions of an Award after the granting thereof; (vi)specify and approve the provisions of the Award Documents delivered to Participants in connection with their Awards; (vii)construe and interpret any Award Document delivered under the Plan;</w:t>
      </w:r>
    </w:p>
    <w:p>
      <w:pPr>
        <w:ind w:left="540"/>
        <w:spacing w:after="0"/>
        <w:rPr>
          <w:rFonts w:ascii="Arial" w:cs="Arial" w:eastAsia="Arial" w:hAnsi="Arial"/>
          <w:sz w:val="22"/>
          <w:szCs w:val="22"/>
          <w:color w:val="auto"/>
        </w:rPr>
      </w:pPr>
      <w:r>
        <w:rPr>
          <w:rFonts w:ascii="Arial" w:cs="Arial" w:eastAsia="Arial" w:hAnsi="Arial"/>
          <w:sz w:val="22"/>
          <w:szCs w:val="22"/>
          <w:color w:val="auto"/>
        </w:rPr>
        <w:t>(viii)make factual determinations in connection with the administration or interpretation of the Plan;</w:t>
      </w:r>
    </w:p>
    <w:p>
      <w:pPr>
        <w:spacing w:after="0" w:line="233"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1"/>
          <w:szCs w:val="21"/>
          <w:color w:val="auto"/>
        </w:rPr>
        <w:t>(ix)adopt, prescribe, amend, waive and rescind administrative regulations, rules and procedures relating to the Plan;</w:t>
      </w:r>
    </w:p>
    <w:p>
      <w:pPr>
        <w:spacing w:after="0" w:line="245" w:lineRule="exact"/>
        <w:rPr>
          <w:rFonts w:ascii="Arial" w:cs="Arial" w:eastAsia="Arial" w:hAnsi="Arial"/>
          <w:sz w:val="16"/>
          <w:szCs w:val="16"/>
          <w:color w:val="auto"/>
        </w:rPr>
      </w:pPr>
    </w:p>
    <w:p>
      <w:pPr>
        <w:ind w:left="280" w:firstLine="324"/>
        <w:spacing w:after="0" w:line="251" w:lineRule="auto"/>
        <w:rPr>
          <w:sz w:val="20"/>
          <w:szCs w:val="20"/>
          <w:color w:val="auto"/>
        </w:rPr>
      </w:pPr>
      <w:r>
        <w:rPr>
          <w:rFonts w:ascii="Arial" w:cs="Arial" w:eastAsia="Arial" w:hAnsi="Arial"/>
          <w:sz w:val="22"/>
          <w:szCs w:val="22"/>
          <w:color w:val="auto"/>
        </w:rPr>
        <w:t>(x)employ such legal counsel, independent auditors and consultants as it deems desirable for the administration of the Plan and to rely upon any advice, opinion or computation received therefrom;</w:t>
      </w:r>
    </w:p>
    <w:p>
      <w:pPr>
        <w:spacing w:after="0" w:line="200" w:lineRule="exact"/>
        <w:rPr>
          <w:rFonts w:ascii="Arial" w:cs="Arial" w:eastAsia="Arial" w:hAnsi="Arial"/>
          <w:sz w:val="16"/>
          <w:szCs w:val="16"/>
          <w:color w:val="auto"/>
        </w:rPr>
      </w:pPr>
    </w:p>
    <w:p>
      <w:pPr>
        <w:ind w:left="280" w:firstLine="405"/>
        <w:spacing w:after="0" w:line="251" w:lineRule="auto"/>
        <w:rPr>
          <w:sz w:val="20"/>
          <w:szCs w:val="20"/>
          <w:color w:val="auto"/>
        </w:rPr>
      </w:pPr>
      <w:r>
        <w:rPr>
          <w:rFonts w:ascii="Arial" w:cs="Arial" w:eastAsia="Arial" w:hAnsi="Arial"/>
          <w:sz w:val="22"/>
          <w:szCs w:val="22"/>
          <w:color w:val="auto"/>
        </w:rPr>
        <w:t>(xi)vary the terms of Awards to take account of tax and securities law and other regulatory requirements or to procure favorable tax treatment for Participants;</w:t>
      </w:r>
    </w:p>
    <w:p>
      <w:pPr>
        <w:spacing w:after="0" w:line="200" w:lineRule="exact"/>
        <w:rPr>
          <w:rFonts w:ascii="Arial" w:cs="Arial" w:eastAsia="Arial" w:hAnsi="Arial"/>
          <w:sz w:val="16"/>
          <w:szCs w:val="16"/>
          <w:color w:val="auto"/>
        </w:rPr>
      </w:pPr>
    </w:p>
    <w:p>
      <w:pPr>
        <w:ind w:left="540"/>
        <w:spacing w:after="0"/>
        <w:rPr>
          <w:sz w:val="20"/>
          <w:szCs w:val="20"/>
          <w:color w:val="auto"/>
        </w:rPr>
      </w:pPr>
      <w:r>
        <w:rPr>
          <w:rFonts w:ascii="Arial" w:cs="Arial" w:eastAsia="Arial" w:hAnsi="Arial"/>
          <w:sz w:val="21"/>
          <w:szCs w:val="21"/>
          <w:color w:val="auto"/>
        </w:rPr>
        <w:t>(xii)correct any defects, supply any omission or reconcile any inconsistency in any Award Document or the Plan; and</w:t>
      </w:r>
    </w:p>
    <w:p>
      <w:pPr>
        <w:spacing w:after="0" w:line="245" w:lineRule="exact"/>
        <w:rPr>
          <w:rFonts w:ascii="Arial" w:cs="Arial" w:eastAsia="Arial" w:hAnsi="Arial"/>
          <w:sz w:val="16"/>
          <w:szCs w:val="16"/>
          <w:color w:val="auto"/>
        </w:rPr>
      </w:pPr>
    </w:p>
    <w:p>
      <w:pPr>
        <w:ind w:left="280" w:firstLine="405"/>
        <w:spacing w:after="0" w:line="251" w:lineRule="auto"/>
        <w:rPr>
          <w:sz w:val="20"/>
          <w:szCs w:val="20"/>
          <w:color w:val="auto"/>
        </w:rPr>
      </w:pPr>
      <w:r>
        <w:rPr>
          <w:rFonts w:ascii="Arial" w:cs="Arial" w:eastAsia="Arial" w:hAnsi="Arial"/>
          <w:sz w:val="22"/>
          <w:szCs w:val="22"/>
          <w:color w:val="auto"/>
        </w:rPr>
        <w:t>(xiii)make all other determinations and take any other action desirable or necessary to interpret, construe or implement properly the provisions of the Plan or any Award Document.</w:t>
      </w:r>
    </w:p>
    <w:p>
      <w:pPr>
        <w:spacing w:after="0" w:line="200" w:lineRule="exact"/>
        <w:rPr>
          <w:rFonts w:ascii="Arial" w:cs="Arial" w:eastAsia="Arial" w:hAnsi="Arial"/>
          <w:sz w:val="16"/>
          <w:szCs w:val="16"/>
          <w:color w:val="auto"/>
        </w:rPr>
      </w:pPr>
    </w:p>
    <w:p>
      <w:pPr>
        <w:ind w:firstLine="270"/>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Plan Construction and Interpretation</w:t>
      </w:r>
      <w:r>
        <w:rPr>
          <w:rFonts w:ascii="Arial" w:cs="Arial" w:eastAsia="Arial" w:hAnsi="Arial"/>
          <w:sz w:val="22"/>
          <w:szCs w:val="22"/>
          <w:color w:val="auto"/>
        </w:rPr>
        <w:t>. The Committee shall have full power and authority, subject to the express provisions hereof, to construe and interpret the Plan.</w:t>
      </w:r>
    </w:p>
    <w:p>
      <w:pPr>
        <w:spacing w:after="0" w:line="135"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6" w:name="page107"/>
    <w:bookmarkEnd w:id="106"/>
    <w:p>
      <w:pPr>
        <w:jc w:val="both"/>
        <w:ind w:firstLine="297"/>
        <w:spacing w:after="0" w:line="241" w:lineRule="auto"/>
        <w:rPr>
          <w:sz w:val="20"/>
          <w:szCs w:val="20"/>
          <w:color w:val="auto"/>
        </w:rPr>
      </w:pPr>
      <w:r>
        <w:rPr>
          <w:rFonts w:ascii="Arial" w:cs="Arial" w:eastAsia="Arial" w:hAnsi="Arial"/>
          <w:sz w:val="22"/>
          <w:szCs w:val="22"/>
          <w:color w:val="auto"/>
        </w:rPr>
        <w:t>(c)</w:t>
      </w:r>
      <w:r>
        <w:rPr>
          <w:rFonts w:ascii="Arial" w:cs="Arial" w:eastAsia="Arial" w:hAnsi="Arial"/>
          <w:sz w:val="17"/>
          <w:szCs w:val="17"/>
          <w:u w:val="single" w:color="auto"/>
          <w:color w:val="auto"/>
        </w:rPr>
        <w:t>Determinations of Committee Final and Binding</w:t>
      </w:r>
      <w:r>
        <w:rPr>
          <w:rFonts w:ascii="Arial" w:cs="Arial" w:eastAsia="Arial" w:hAnsi="Arial"/>
          <w:sz w:val="22"/>
          <w:szCs w:val="22"/>
          <w:color w:val="auto"/>
        </w:rPr>
        <w:t>. All determinations by the Committee in carrying out and administering the Plan and in construing and interpreting the Plan shall be made in the Committee’s sole discretion and shall be final, binding and conclusive for all purposes and upon all persons interested herein.</w:t>
      </w:r>
    </w:p>
    <w:p>
      <w:pPr>
        <w:spacing w:after="0" w:line="211"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9"/>
          <w:szCs w:val="19"/>
          <w:color w:val="auto"/>
        </w:rPr>
        <w:t>(d)</w:t>
      </w:r>
      <w:r>
        <w:rPr>
          <w:rFonts w:ascii="Arial" w:cs="Arial" w:eastAsia="Arial" w:hAnsi="Arial"/>
          <w:sz w:val="15"/>
          <w:szCs w:val="15"/>
          <w:u w:val="single" w:color="auto"/>
          <w:color w:val="auto"/>
        </w:rPr>
        <w:t>Delegation of Authority</w:t>
      </w:r>
      <w:r>
        <w:rPr>
          <w:rFonts w:ascii="Arial" w:cs="Arial" w:eastAsia="Arial" w:hAnsi="Arial"/>
          <w:sz w:val="19"/>
          <w:szCs w:val="19"/>
          <w:color w:val="auto"/>
        </w:rPr>
        <w:t xml:space="preserve">. To the extent not prohibited by applicable laws, rules and regulations, the Committee may, from time to time, delegate some or all of its authority under the Plan to a subcommittee or subcommittees thereof or other persons or groups of persons as it deems necessary, appropriate or advisable under such conditions or limitations as it may set at the time of such delegation or thereafter; </w:t>
      </w:r>
      <w:r>
        <w:rPr>
          <w:rFonts w:ascii="Arial" w:cs="Arial" w:eastAsia="Arial" w:hAnsi="Arial"/>
          <w:sz w:val="15"/>
          <w:szCs w:val="15"/>
          <w:i w:val="1"/>
          <w:iCs w:val="1"/>
          <w:color w:val="auto"/>
        </w:rPr>
        <w:t>provided</w:t>
      </w:r>
      <w:r>
        <w:rPr>
          <w:rFonts w:ascii="Arial" w:cs="Arial" w:eastAsia="Arial" w:hAnsi="Arial"/>
          <w:sz w:val="19"/>
          <w:szCs w:val="19"/>
          <w:color w:val="auto"/>
        </w:rPr>
        <w:t xml:space="preserve">, </w:t>
      </w:r>
      <w:r>
        <w:rPr>
          <w:rFonts w:ascii="Arial" w:cs="Arial" w:eastAsia="Arial" w:hAnsi="Arial"/>
          <w:sz w:val="15"/>
          <w:szCs w:val="15"/>
          <w:i w:val="1"/>
          <w:iCs w:val="1"/>
          <w:color w:val="auto"/>
        </w:rPr>
        <w:t>however</w:t>
      </w:r>
      <w:r>
        <w:rPr>
          <w:rFonts w:ascii="Arial" w:cs="Arial" w:eastAsia="Arial" w:hAnsi="Arial"/>
          <w:sz w:val="19"/>
          <w:szCs w:val="19"/>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of the Code or (C) who are officers of the Company who are delegated authority by the Committee hereunder, or (ii) pursuant to Section 16 of the Plan. For purposes of the Plan, reference to the Committee shall be deemed to refer to any subcommittee, subcommittees, or other persons or groups of persons to whom the Committee delegates authority pursuant to this Section 3(d).</w:t>
      </w:r>
    </w:p>
    <w:p>
      <w:pPr>
        <w:spacing w:after="0" w:line="186" w:lineRule="exact"/>
        <w:rPr>
          <w:sz w:val="20"/>
          <w:szCs w:val="20"/>
          <w:color w:val="auto"/>
        </w:rPr>
      </w:pPr>
    </w:p>
    <w:p>
      <w:pPr>
        <w:jc w:val="both"/>
        <w:ind w:firstLine="419"/>
        <w:spacing w:after="0" w:line="246" w:lineRule="auto"/>
        <w:rPr>
          <w:sz w:val="20"/>
          <w:szCs w:val="20"/>
          <w:color w:val="auto"/>
        </w:rPr>
      </w:pPr>
      <w:r>
        <w:rPr>
          <w:rFonts w:ascii="Arial" w:cs="Arial" w:eastAsia="Arial" w:hAnsi="Arial"/>
          <w:sz w:val="21"/>
          <w:szCs w:val="21"/>
          <w:color w:val="auto"/>
        </w:rPr>
        <w:t>(e)</w:t>
      </w:r>
      <w:r>
        <w:rPr>
          <w:rFonts w:ascii="Arial" w:cs="Arial" w:eastAsia="Arial" w:hAnsi="Arial"/>
          <w:sz w:val="16"/>
          <w:szCs w:val="16"/>
          <w:u w:val="single" w:color="auto"/>
          <w:color w:val="auto"/>
        </w:rPr>
        <w:t>Liability of Committee</w:t>
      </w:r>
      <w:r>
        <w:rPr>
          <w:rFonts w:ascii="Arial" w:cs="Arial" w:eastAsia="Arial" w:hAnsi="Arial"/>
          <w:sz w:val="21"/>
          <w:szCs w:val="21"/>
          <w:color w:val="auto"/>
        </w:rPr>
        <w:t>. Subject to applicable laws, rules and regulations: (i) no member of the Board or Committee (or its delegates) shall be liable for any good faith action or determination made in connection with the operation, administration or interpretation of the Plan and (ii) the members of the Board or the Committee (and its delegates) shall be entitled to indemnification and reimbursement in the manner provided in the Company’s Certificate of Incorporation as it may be amended from time to time. In the performance of its responsibilities with respect to the Plan, the Committee shall be entitled to rely upon information and/or advice furnished by the Company’s officers or employees, the Company’s accountants, the Company’s counsel and any other party the Committee deems necessary, and no member of the Committee shall be liable for any action taken or not taken in reliance upon any such information and/or advice.</w:t>
      </w:r>
    </w:p>
    <w:p>
      <w:pPr>
        <w:spacing w:after="0" w:line="208" w:lineRule="exact"/>
        <w:rPr>
          <w:sz w:val="20"/>
          <w:szCs w:val="20"/>
          <w:color w:val="auto"/>
        </w:rPr>
      </w:pPr>
    </w:p>
    <w:p>
      <w:pPr>
        <w:jc w:val="both"/>
        <w:ind w:firstLine="297"/>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u w:val="single" w:color="auto"/>
          <w:color w:val="auto"/>
        </w:rPr>
        <w:t>Action by the Board</w:t>
      </w:r>
      <w:r>
        <w:rPr>
          <w:rFonts w:ascii="Arial" w:cs="Arial" w:eastAsia="Arial" w:hAnsi="Arial"/>
          <w:sz w:val="22"/>
          <w:szCs w:val="22"/>
          <w:color w:val="auto"/>
        </w:rPr>
        <w:t>. Anything in the Plan to the contrary notwithstanding, subject to applicable laws, rules and regulations, any authority or responsibility that, under the terms of the Plan, may be exercised by the Committee may alternatively be exercised by the Board.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4.Eligibility</w:t>
      </w:r>
    </w:p>
    <w:p>
      <w:pPr>
        <w:spacing w:after="0" w:line="254" w:lineRule="exact"/>
        <w:rPr>
          <w:sz w:val="20"/>
          <w:szCs w:val="20"/>
          <w:color w:val="auto"/>
        </w:rPr>
      </w:pPr>
    </w:p>
    <w:p>
      <w:pPr>
        <w:jc w:val="both"/>
        <w:ind w:firstLine="365"/>
        <w:spacing w:after="0" w:line="246" w:lineRule="auto"/>
        <w:rPr>
          <w:sz w:val="20"/>
          <w:szCs w:val="20"/>
          <w:color w:val="auto"/>
        </w:rPr>
      </w:pPr>
      <w:r>
        <w:rPr>
          <w:rFonts w:ascii="Arial" w:cs="Arial" w:eastAsia="Arial" w:hAnsi="Arial"/>
          <w:sz w:val="21"/>
          <w:szCs w:val="21"/>
          <w:color w:val="auto"/>
        </w:rPr>
        <w:t>(a)</w:t>
      </w:r>
      <w:r>
        <w:rPr>
          <w:rFonts w:ascii="Arial" w:cs="Arial" w:eastAsia="Arial" w:hAnsi="Arial"/>
          <w:sz w:val="16"/>
          <w:szCs w:val="16"/>
          <w:u w:val="single" w:color="auto"/>
          <w:color w:val="auto"/>
        </w:rPr>
        <w:t>Eligible Individuals</w:t>
      </w:r>
      <w:r>
        <w:rPr>
          <w:rFonts w:ascii="Arial" w:cs="Arial" w:eastAsia="Arial" w:hAnsi="Arial"/>
          <w:sz w:val="21"/>
          <w:szCs w:val="21"/>
          <w:color w:val="auto"/>
        </w:rPr>
        <w:t xml:space="preserve">. Awards may be granted to officers, employees, directors, Non-Employee Directors, consultants, advisors and independent contractors of the Company or any of its Subsidiaries or joint ventures, partnerships or business organizations in which the Company or its Subsidiaries have an equity interest; </w:t>
      </w:r>
      <w:r>
        <w:rPr>
          <w:rFonts w:ascii="Arial" w:cs="Arial" w:eastAsia="Arial" w:hAnsi="Arial"/>
          <w:sz w:val="16"/>
          <w:szCs w:val="16"/>
          <w:i w:val="1"/>
          <w:iCs w:val="1"/>
          <w:color w:val="auto"/>
        </w:rPr>
        <w:t>provided</w:t>
      </w:r>
      <w:r>
        <w:rPr>
          <w:rFonts w:ascii="Arial" w:cs="Arial" w:eastAsia="Arial" w:hAnsi="Arial"/>
          <w:sz w:val="21"/>
          <w:szCs w:val="21"/>
          <w:color w:val="auto"/>
        </w:rPr>
        <w:t xml:space="preserve">, </w:t>
      </w:r>
      <w:r>
        <w:rPr>
          <w:rFonts w:ascii="Arial" w:cs="Arial" w:eastAsia="Arial" w:hAnsi="Arial"/>
          <w:sz w:val="16"/>
          <w:szCs w:val="16"/>
          <w:i w:val="1"/>
          <w:iCs w:val="1"/>
          <w:color w:val="auto"/>
        </w:rPr>
        <w:t>however</w:t>
      </w:r>
      <w:r>
        <w:rPr>
          <w:rFonts w:ascii="Arial" w:cs="Arial" w:eastAsia="Arial" w:hAnsi="Arial"/>
          <w:sz w:val="21"/>
          <w:szCs w:val="21"/>
          <w:color w:val="auto"/>
        </w:rPr>
        <w:t>, that only employees of the Company or Subsidiary may be granted Incentive Stock Options. The Committee shall have the authority to select the persons to whom Awards may be granted and to determine the type, number and terms of Awards to be granted to each such Participant. Under the Plan, references to “employment” or “employed” include the engagement of Participants who are consultants, advisors and independent contractors of the Company or its Subsidiaries and the service of Participants who are Non-Employee Directors, except for purposes of determining eligibility to be granted Incentive Stock Options.</w:t>
      </w:r>
    </w:p>
    <w:p>
      <w:pPr>
        <w:spacing w:after="0" w:line="208" w:lineRule="exact"/>
        <w:rPr>
          <w:sz w:val="20"/>
          <w:szCs w:val="20"/>
          <w:color w:val="auto"/>
        </w:rPr>
      </w:pPr>
    </w:p>
    <w:p>
      <w:pPr>
        <w:jc w:val="both"/>
        <w:ind w:firstLine="378"/>
        <w:spacing w:after="0" w:line="238" w:lineRule="auto"/>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Grants to Participants</w:t>
      </w:r>
      <w:r>
        <w:rPr>
          <w:rFonts w:ascii="Arial" w:cs="Arial" w:eastAsia="Arial" w:hAnsi="Arial"/>
          <w:sz w:val="22"/>
          <w:szCs w:val="22"/>
          <w:color w:val="auto"/>
        </w:rPr>
        <w:t>. The Committee shall have no obligation to grant any Eligible Individual an Award or to designate an Eligible Individual as a Participant solely by reason of such Eligible Individual having received a prior Award or having been previously designated as a Participant. The Committee may grant more than one Award to a Participant and may designate an Eligible Individual as a Participant for overlapping periods of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5.Shares Subject to the Plan</w:t>
      </w:r>
    </w:p>
    <w:p>
      <w:pPr>
        <w:spacing w:after="0" w:line="253"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9"/>
          <w:szCs w:val="19"/>
          <w:color w:val="auto"/>
        </w:rPr>
        <w:t>(a)</w:t>
      </w:r>
      <w:r>
        <w:rPr>
          <w:rFonts w:ascii="Arial" w:cs="Arial" w:eastAsia="Arial" w:hAnsi="Arial"/>
          <w:sz w:val="15"/>
          <w:szCs w:val="15"/>
          <w:u w:val="single" w:color="auto"/>
          <w:color w:val="auto"/>
        </w:rPr>
        <w:t>Plan Limit</w:t>
      </w:r>
      <w:r>
        <w:rPr>
          <w:rFonts w:ascii="Arial" w:cs="Arial" w:eastAsia="Arial" w:hAnsi="Arial"/>
          <w:sz w:val="19"/>
          <w:szCs w:val="19"/>
          <w:color w:val="auto"/>
        </w:rPr>
        <w:t>. Subject to adjustment in accordance with Section 13 of the Plan, the maximum aggregate number of Shares that may be issued for all purposes under the Plan shall be six million (6,000,000) plus any Shares that are available for issuance under the Prior Plans or that become available for issuance upon cancellation or expiration of awards granted under the Prior Plans without having been exercised or settled. Shares to be issued under the Plan may be authorized and unissued shares, issued shares that have been reacquired by the Company (in the open-market or in private transactions) and that are being held in treasury, or a combination thereof. All of the Shares subject to the Plan Limit may be issued pursuant to Incentive Stock Options.</w:t>
      </w:r>
    </w:p>
    <w:p>
      <w:pPr>
        <w:spacing w:after="0" w:line="17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20"/>
          <w:szCs w:val="20"/>
          <w:color w:val="auto"/>
        </w:rPr>
        <w:t>(b)</w:t>
      </w:r>
      <w:r>
        <w:rPr>
          <w:rFonts w:ascii="Arial" w:cs="Arial" w:eastAsia="Arial" w:hAnsi="Arial"/>
          <w:sz w:val="15"/>
          <w:szCs w:val="15"/>
          <w:u w:val="single" w:color="auto"/>
          <w:color w:val="auto"/>
        </w:rPr>
        <w:t>Rules Applicable to Determining Shares Available for Issuance</w:t>
      </w:r>
      <w:r>
        <w:rPr>
          <w:rFonts w:ascii="Arial" w:cs="Arial" w:eastAsia="Arial" w:hAnsi="Arial"/>
          <w:sz w:val="20"/>
          <w:szCs w:val="20"/>
          <w:color w:val="auto"/>
        </w:rPr>
        <w:t xml:space="preserve">. The number of Shares remaining available for issuance will be reduced by the number of Shares subject to outstanding Awards and, for Awards that are not denominated by Shares, by the number of Shares actually delivered upon settlement or payment of the Award. For purposes of determining the number of Shares that remain available for issuance under the Plan, (i) the number of Shares that are tendered by a Participant or withheld by the Company to pay the exercise price of an Award or to satisfy the Participant’s tax withholding obligations in connection with the exercise or settlement of an Award and (ii) all of the Shares covered by a stock-settled Stock Appreciation Right to the extent exercised, will not be added back to the Plan Limit. In addition, for purposes of determining the number of Shares that remain available for issuance under the Plan, the number of Shares corresponding to Awards under the Plan that are forfeited or cancelled or otherwise expire for any reason without having been exercised or settled or that is settled through issuance of consideration other than Shares (including, without limitation, cash) shall be added back to the Plan Limit and again be available for the grant of Awards; </w:t>
      </w:r>
      <w:r>
        <w:rPr>
          <w:rFonts w:ascii="Arial" w:cs="Arial" w:eastAsia="Arial" w:hAnsi="Arial"/>
          <w:sz w:val="15"/>
          <w:szCs w:val="15"/>
          <w:i w:val="1"/>
          <w:iCs w:val="1"/>
          <w:color w:val="auto"/>
        </w:rPr>
        <w:t>provided</w:t>
      </w:r>
      <w:r>
        <w:rPr>
          <w:rFonts w:ascii="Arial" w:cs="Arial" w:eastAsia="Arial" w:hAnsi="Arial"/>
          <w:sz w:val="20"/>
          <w:szCs w:val="20"/>
          <w:color w:val="auto"/>
        </w:rPr>
        <w:t xml:space="preserve">, </w:t>
      </w:r>
      <w:r>
        <w:rPr>
          <w:rFonts w:ascii="Arial" w:cs="Arial" w:eastAsia="Arial" w:hAnsi="Arial"/>
          <w:sz w:val="15"/>
          <w:szCs w:val="15"/>
          <w:i w:val="1"/>
          <w:iCs w:val="1"/>
          <w:color w:val="auto"/>
        </w:rPr>
        <w:t>however</w:t>
      </w:r>
      <w:r>
        <w:rPr>
          <w:rFonts w:ascii="Arial" w:cs="Arial" w:eastAsia="Arial" w:hAnsi="Arial"/>
          <w:sz w:val="19"/>
          <w:szCs w:val="19"/>
          <w:color w:val="auto"/>
        </w:rPr>
        <w:t>, that this provision shall not be applicable with respect to (i) the cancellation of a Stock Appreciation Right granted in</w:t>
      </w:r>
      <w:r>
        <w:rPr>
          <w:rFonts w:ascii="Arial" w:cs="Arial" w:eastAsia="Arial" w:hAnsi="Arial"/>
          <w:sz w:val="15"/>
          <w:szCs w:val="15"/>
          <w:i w:val="1"/>
          <w:iCs w:val="1"/>
          <w:color w:val="auto"/>
        </w:rPr>
        <w:t xml:space="preserve"> </w:t>
      </w:r>
      <w:r>
        <w:rPr>
          <w:rFonts w:ascii="Arial" w:cs="Arial" w:eastAsia="Arial" w:hAnsi="Arial"/>
          <w:sz w:val="19"/>
          <w:szCs w:val="19"/>
          <w:color w:val="auto"/>
        </w:rPr>
        <w:t>tandem with an Option upon the exercise of the Option or (ii) the cancellation of an Option granted in tandem with a Stock Appreciation Right upon the exercise of the Stock Appreciation.</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(c)</w:t>
      </w:r>
      <w:r>
        <w:rPr>
          <w:rFonts w:ascii="Arial" w:cs="Arial" w:eastAsia="Arial" w:hAnsi="Arial"/>
          <w:sz w:val="17"/>
          <w:szCs w:val="17"/>
          <w:u w:val="single" w:color="auto"/>
          <w:color w:val="auto"/>
        </w:rPr>
        <w:t>Special Limits</w:t>
      </w:r>
      <w:r>
        <w:rPr>
          <w:rFonts w:ascii="Arial" w:cs="Arial" w:eastAsia="Arial" w:hAnsi="Arial"/>
          <w:sz w:val="22"/>
          <w:szCs w:val="22"/>
          <w:color w:val="auto"/>
        </w:rPr>
        <w:t>. Anything to the contrary in Section 5(a) above notwithstanding, but subject to adjustment under Section 13 of the Plan, the following special limits shall apply to Shares available for Awards under the Plan:</w:t>
      </w:r>
    </w:p>
    <w:p>
      <w:pPr>
        <w:spacing w:after="0" w:line="200" w:lineRule="exact"/>
        <w:rPr>
          <w:sz w:val="20"/>
          <w:szCs w:val="20"/>
          <w:color w:val="auto"/>
        </w:rPr>
      </w:pPr>
    </w:p>
    <w:p>
      <w:pPr>
        <w:jc w:val="both"/>
        <w:ind w:left="280" w:firstLine="432"/>
        <w:spacing w:after="0"/>
        <w:rPr>
          <w:sz w:val="20"/>
          <w:szCs w:val="20"/>
          <w:color w:val="auto"/>
        </w:rPr>
      </w:pPr>
      <w:r>
        <w:rPr>
          <w:rFonts w:ascii="Arial" w:cs="Arial" w:eastAsia="Arial" w:hAnsi="Arial"/>
          <w:sz w:val="22"/>
          <w:szCs w:val="22"/>
          <w:color w:val="auto"/>
        </w:rPr>
        <w:t>(i)the maximum number of Shares that may be issued pursuant to awards of Restricted Stock, Restricted Stock Units, Performance Stock, Performance Units and Other Awards that are payable in Shares granted under the Plan shall equal fifteen percent of the Shares in the aggregate;</w:t>
      </w:r>
    </w:p>
    <w:p>
      <w:pPr>
        <w:spacing w:after="0" w:line="213" w:lineRule="exact"/>
        <w:rPr>
          <w:sz w:val="20"/>
          <w:szCs w:val="20"/>
          <w:color w:val="auto"/>
        </w:rPr>
      </w:pPr>
    </w:p>
    <w:p>
      <w:pPr>
        <w:jc w:val="both"/>
        <w:ind w:left="280" w:firstLine="311"/>
        <w:spacing w:after="0"/>
        <w:rPr>
          <w:sz w:val="20"/>
          <w:szCs w:val="20"/>
          <w:color w:val="auto"/>
        </w:rPr>
      </w:pPr>
      <w:r>
        <w:rPr>
          <w:rFonts w:ascii="Arial" w:cs="Arial" w:eastAsia="Arial" w:hAnsi="Arial"/>
          <w:sz w:val="22"/>
          <w:szCs w:val="22"/>
          <w:color w:val="auto"/>
        </w:rPr>
        <w:t>(ii)the maximum amount of Awards (other than those Awards set forth in Section 5(c)) that may be awarded to any Eligible Individual in any calendar year is fifteen percent of the Shares measured as of the date of grant (with respect to Awards denominated in Shares).</w:t>
      </w:r>
    </w:p>
    <w:p>
      <w:pPr>
        <w:spacing w:after="0" w:line="213" w:lineRule="exact"/>
        <w:rPr>
          <w:sz w:val="20"/>
          <w:szCs w:val="20"/>
          <w:color w:val="auto"/>
        </w:rPr>
      </w:pPr>
    </w:p>
    <w:p>
      <w:pPr>
        <w:ind w:firstLine="278"/>
        <w:spacing w:after="0" w:line="251" w:lineRule="auto"/>
        <w:tabs>
          <w:tab w:leader="none" w:pos="577"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Shares underlying Substitute Awards shall not be counted against the number of Shares remaining for issuance and shall not be subject to Section 5(c).</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6.Awards in General</w:t>
      </w:r>
    </w:p>
    <w:p>
      <w:pPr>
        <w:spacing w:after="0" w:line="25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(a)</w:t>
      </w:r>
      <w:r>
        <w:rPr>
          <w:rFonts w:ascii="Arial" w:cs="Arial" w:eastAsia="Arial" w:hAnsi="Arial"/>
          <w:sz w:val="16"/>
          <w:szCs w:val="16"/>
          <w:u w:val="single" w:color="auto"/>
          <w:color w:val="auto"/>
        </w:rPr>
        <w:t>Types of Awards</w:t>
      </w:r>
      <w:r>
        <w:rPr>
          <w:rFonts w:ascii="Arial" w:cs="Arial" w:eastAsia="Arial" w:hAnsi="Arial"/>
          <w:sz w:val="21"/>
          <w:szCs w:val="21"/>
          <w:color w:val="auto"/>
        </w:rPr>
        <w:t>. Awards under the Plan may consist of Options, Restricted Stock, Restricted Stock Units, Stock Appreciation Rights, Performance Stock, Performance Units and Other Awards. Any Award described in Sections 7 through 11 of the Plan may be granted singly or in combination or tandem with any other Award, as the Committee may determine. Awards under the Plan may be made in combination with, in replacement of, or as alternatives to awards or rights under any other compensation or benefit plan of the Company, including the plan of any acquired entity.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8" w:name="page109"/>
    <w:bookmarkEnd w:id="108"/>
    <w:p>
      <w:pPr>
        <w:jc w:val="both"/>
        <w:ind w:firstLine="324"/>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5"/>
          <w:szCs w:val="15"/>
          <w:u w:val="single" w:color="auto"/>
          <w:color w:val="auto"/>
        </w:rPr>
        <w:t>Terms Set Forth in Award Document</w:t>
      </w:r>
      <w:r>
        <w:rPr>
          <w:rFonts w:ascii="Arial" w:cs="Arial" w:eastAsia="Arial" w:hAnsi="Arial"/>
          <w:sz w:val="19"/>
          <w:szCs w:val="19"/>
          <w:color w:val="auto"/>
        </w:rPr>
        <w:t>. The terms and conditions of each Award shall be set forth in an Award Document in a form approved by the Committee for such Award, which Award Document shall contain terms and conditions not inconsistent with the Plan. Notwithstanding the foregoing, and subject to applicable laws, the Committee may accelerate (i) the vesting or payment of any Award, (ii) the lapse of restrictions on any Award or (iii) the date on which any Award first becomes exercisable. The terms of Awards may vary among Participants, and the Plan does not impose upon the Committee any requirement to make Awards subject to uniform terms. Accordingly, the terms of individual Award Documents may vary.</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(c)</w:t>
      </w:r>
      <w:r>
        <w:rPr>
          <w:rFonts w:ascii="Arial" w:cs="Arial" w:eastAsia="Arial" w:hAnsi="Arial"/>
          <w:sz w:val="16"/>
          <w:szCs w:val="16"/>
          <w:u w:val="single" w:color="auto"/>
          <w:color w:val="auto"/>
        </w:rPr>
        <w:t>Termination of Employment</w:t>
      </w:r>
      <w:r>
        <w:rPr>
          <w:rFonts w:ascii="Arial" w:cs="Arial" w:eastAsia="Arial" w:hAnsi="Arial"/>
          <w:sz w:val="21"/>
          <w:szCs w:val="21"/>
          <w:color w:val="auto"/>
        </w:rPr>
        <w:t>. The Committee shall specify at or after the time of grant of an Award the provisions governing the disposition of an Award in the event of a Participant’s termination of employment with the Company or any of its Subsidiaries. Subject to applicable laws, rules and regulations, in connection with a Participant’s termination of employment, the Committee shall have the discretion to accelerate the vesting, exercisability or settlement of, eliminate the restrictions and conditions applicable to, or extend the post-termination exercise period of an outstanding Award. Such provisions may be specified in the applicable Award Document or determined at a subsequent time.</w:t>
      </w:r>
    </w:p>
    <w:p>
      <w:pPr>
        <w:spacing w:after="0" w:line="204" w:lineRule="exact"/>
        <w:rPr>
          <w:sz w:val="20"/>
          <w:szCs w:val="20"/>
          <w:color w:val="auto"/>
        </w:rPr>
      </w:pPr>
    </w:p>
    <w:p>
      <w:pPr>
        <w:jc w:val="both"/>
        <w:ind w:firstLine="365"/>
        <w:spacing w:after="0" w:line="244" w:lineRule="auto"/>
        <w:rPr>
          <w:sz w:val="20"/>
          <w:szCs w:val="20"/>
          <w:color w:val="auto"/>
        </w:rPr>
      </w:pPr>
      <w:r>
        <w:rPr>
          <w:rFonts w:ascii="Arial" w:cs="Arial" w:eastAsia="Arial" w:hAnsi="Arial"/>
          <w:sz w:val="21"/>
          <w:szCs w:val="21"/>
          <w:color w:val="auto"/>
        </w:rPr>
        <w:t>(d)</w:t>
      </w:r>
      <w:r>
        <w:rPr>
          <w:rFonts w:ascii="Arial" w:cs="Arial" w:eastAsia="Arial" w:hAnsi="Arial"/>
          <w:sz w:val="16"/>
          <w:szCs w:val="16"/>
          <w:u w:val="single" w:color="auto"/>
          <w:color w:val="auto"/>
        </w:rPr>
        <w:t>Change of Control</w:t>
      </w:r>
      <w:r>
        <w:rPr>
          <w:rFonts w:ascii="Arial" w:cs="Arial" w:eastAsia="Arial" w:hAnsi="Arial"/>
          <w:sz w:val="21"/>
          <w:szCs w:val="21"/>
          <w:color w:val="auto"/>
        </w:rPr>
        <w:t>. (i) The Committee shall have full authority to determine the effect, if any, of a Change of Control of the Company or any Subsidiaryon the vesting, exercisability, settlement, payment or lapse of restrictions applicable to an Award, which effect may be specified in the applicable Award Document or determined at a subsequent time. Subject to applicable laws, rules and regulations, the Board or the Committee shall, at any time prior to, coincident with or after the effective time of a Change of Control, take such actions as it may consider appropriate, including, without limitation: (A) providing for the acceleration of any vesting conditions relating to the exercise or settlement of an Award or that an Award shall terminate or expire unless exercised or settled in full on or before a date fixed by the Committee; (B) making such adjustments to the Awards then outstanding as the Committee deems appropriate to reflect such Change of Control; (C) causing the Awards then outstanding to be assumed, or new rights substituted therefor, by the surviving corporation in such Change of Control; or (D) permit or require Participants to surrender outstanding Options and Stock Appreciation Rights in exchange for a cash payment, if any, equal to the difference between the highest price paid for a Share in the Change of Control transaction and the Exercise Price of the Award. In addition, except as otherwise specified in an Award Document (or a Participant’s written employment agreement with the Company or any Subsidiary):</w:t>
      </w:r>
    </w:p>
    <w:p>
      <w:pPr>
        <w:spacing w:after="0" w:line="212" w:lineRule="exact"/>
        <w:rPr>
          <w:sz w:val="20"/>
          <w:szCs w:val="20"/>
          <w:color w:val="auto"/>
        </w:rPr>
      </w:pPr>
    </w:p>
    <w:p>
      <w:pPr>
        <w:jc w:val="both"/>
        <w:ind w:left="280" w:firstLine="365"/>
        <w:spacing w:after="0" w:line="255" w:lineRule="auto"/>
        <w:rPr>
          <w:sz w:val="20"/>
          <w:szCs w:val="20"/>
          <w:color w:val="auto"/>
        </w:rPr>
      </w:pPr>
      <w:r>
        <w:rPr>
          <w:rFonts w:ascii="Arial" w:cs="Arial" w:eastAsia="Arial" w:hAnsi="Arial"/>
          <w:sz w:val="22"/>
          <w:szCs w:val="22"/>
          <w:color w:val="auto"/>
        </w:rPr>
        <w:t>(1)any and all Options and Stock Appreciation Rights outstanding as of the effective date of the Change of Control shall become immediately exercisable, and shall remain exercisable until the earlier of the expiration of their initial term or the second (2</w:t>
      </w:r>
      <w:r>
        <w:rPr>
          <w:rFonts w:ascii="Arial" w:cs="Arial" w:eastAsia="Arial" w:hAnsi="Arial"/>
          <w:sz w:val="30"/>
          <w:szCs w:val="30"/>
          <w:color w:val="auto"/>
          <w:vertAlign w:val="superscript"/>
        </w:rPr>
        <w:t>nd</w:t>
      </w:r>
      <w:r>
        <w:rPr>
          <w:rFonts w:ascii="Arial" w:cs="Arial" w:eastAsia="Arial" w:hAnsi="Arial"/>
          <w:sz w:val="22"/>
          <w:szCs w:val="22"/>
          <w:color w:val="auto"/>
        </w:rPr>
        <w:t>) anniversary of the Participant's termination of employment with the Company;</w:t>
      </w:r>
    </w:p>
    <w:p>
      <w:pPr>
        <w:spacing w:after="0" w:line="68" w:lineRule="exact"/>
        <w:rPr>
          <w:sz w:val="20"/>
          <w:szCs w:val="20"/>
          <w:color w:val="auto"/>
        </w:rPr>
      </w:pPr>
    </w:p>
    <w:p>
      <w:pPr>
        <w:jc w:val="both"/>
        <w:ind w:left="280" w:firstLine="284"/>
        <w:spacing w:after="0" w:line="251" w:lineRule="auto"/>
        <w:rPr>
          <w:sz w:val="20"/>
          <w:szCs w:val="20"/>
          <w:color w:val="auto"/>
        </w:rPr>
      </w:pPr>
      <w:r>
        <w:rPr>
          <w:rFonts w:ascii="Arial" w:cs="Arial" w:eastAsia="Arial" w:hAnsi="Arial"/>
          <w:sz w:val="22"/>
          <w:szCs w:val="22"/>
          <w:color w:val="auto"/>
        </w:rPr>
        <w:t>(2)any restrictions imposed on Restricted Stock and Restricted Stock Units outstanding as of the effective date of the Change of Control shall lapse;</w:t>
      </w:r>
    </w:p>
    <w:p>
      <w:pPr>
        <w:spacing w:after="0" w:line="200" w:lineRule="exact"/>
        <w:rPr>
          <w:sz w:val="20"/>
          <w:szCs w:val="20"/>
          <w:color w:val="auto"/>
        </w:rPr>
      </w:pPr>
    </w:p>
    <w:p>
      <w:pPr>
        <w:jc w:val="both"/>
        <w:ind w:left="280" w:firstLine="311"/>
        <w:spacing w:after="0"/>
        <w:rPr>
          <w:sz w:val="20"/>
          <w:szCs w:val="20"/>
          <w:color w:val="auto"/>
        </w:rPr>
      </w:pPr>
      <w:r>
        <w:rPr>
          <w:rFonts w:ascii="Arial" w:cs="Arial" w:eastAsia="Arial" w:hAnsi="Arial"/>
          <w:sz w:val="22"/>
          <w:szCs w:val="22"/>
          <w:color w:val="auto"/>
        </w:rPr>
        <w:t>(3)the Performance Targets with respect to all Performance Units, Performance Stock and other performance-based Awards granted pursuant to Sections 6(g) or 10 outstanding as of the effective date of the Change of Control shall be deemed to have been attained at the specified target level of performance;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ind w:left="280" w:firstLine="351"/>
        <w:spacing w:after="0" w:line="251" w:lineRule="auto"/>
        <w:rPr>
          <w:sz w:val="20"/>
          <w:szCs w:val="20"/>
          <w:color w:val="auto"/>
        </w:rPr>
      </w:pPr>
      <w:r>
        <w:rPr>
          <w:rFonts w:ascii="Arial" w:cs="Arial" w:eastAsia="Arial" w:hAnsi="Arial"/>
          <w:sz w:val="22"/>
          <w:szCs w:val="22"/>
          <w:color w:val="auto"/>
        </w:rPr>
        <w:t>(4)the vesting of all Awards denominated in Shares outstanding as of the effective date of the Change in Control shall be accelerated.</w:t>
      </w:r>
    </w:p>
    <w:p>
      <w:pPr>
        <w:spacing w:after="0" w:line="20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(ii)Subject to applicable laws, rules and regulations, the Committee may provide, in an Award Document or subsequent to the grant of an Award for the accelerated vesting, exercisability and/or the deemed attainment of a Performance Target with respect to an Award upon specified events similar to a Change of Control.</w:t>
      </w:r>
    </w:p>
    <w:p>
      <w:pPr>
        <w:spacing w:after="0" w:line="213" w:lineRule="exact"/>
        <w:rPr>
          <w:sz w:val="20"/>
          <w:szCs w:val="20"/>
          <w:color w:val="auto"/>
        </w:rPr>
      </w:pPr>
    </w:p>
    <w:p>
      <w:pPr>
        <w:jc w:val="both"/>
        <w:ind w:firstLine="351"/>
        <w:spacing w:after="0" w:line="236" w:lineRule="auto"/>
        <w:rPr>
          <w:sz w:val="20"/>
          <w:szCs w:val="20"/>
          <w:color w:val="auto"/>
        </w:rPr>
      </w:pPr>
      <w:r>
        <w:rPr>
          <w:rFonts w:ascii="Arial" w:cs="Arial" w:eastAsia="Arial" w:hAnsi="Arial"/>
          <w:sz w:val="22"/>
          <w:szCs w:val="22"/>
          <w:color w:val="auto"/>
        </w:rPr>
        <w:t>(iii)Notwithstanding any other provision of the Plan or any Award Document, the provisions of this Section 6(d) may not be terminated, amended, or modified upon or after a Change of Control in a manner that would adversely affect a Participant’s rights with respect to an outstanding Award without the prior written consent of the Participant. Subject to Section 16, the Board, upon recommendation of the Committee, may terminate, amend or modify this Section 6(d) at any time and from time to time prior to a Change of Control.</w:t>
      </w:r>
    </w:p>
    <w:p>
      <w:pPr>
        <w:spacing w:after="0" w:line="215" w:lineRule="exact"/>
        <w:rPr>
          <w:sz w:val="20"/>
          <w:szCs w:val="20"/>
          <w:color w:val="auto"/>
        </w:rPr>
      </w:pPr>
    </w:p>
    <w:p>
      <w:pPr>
        <w:jc w:val="both"/>
        <w:ind w:firstLine="392"/>
        <w:spacing w:after="0" w:line="239" w:lineRule="auto"/>
        <w:rPr>
          <w:sz w:val="20"/>
          <w:szCs w:val="20"/>
          <w:color w:val="auto"/>
        </w:rPr>
      </w:pPr>
      <w:r>
        <w:rPr>
          <w:rFonts w:ascii="Arial" w:cs="Arial" w:eastAsia="Arial" w:hAnsi="Arial"/>
          <w:sz w:val="22"/>
          <w:szCs w:val="22"/>
          <w:color w:val="auto"/>
        </w:rPr>
        <w:t>(e)</w:t>
      </w:r>
      <w:r>
        <w:rPr>
          <w:rFonts w:ascii="Arial" w:cs="Arial" w:eastAsia="Arial" w:hAnsi="Arial"/>
          <w:sz w:val="17"/>
          <w:szCs w:val="17"/>
          <w:u w:val="single" w:color="auto"/>
          <w:color w:val="auto"/>
        </w:rPr>
        <w:t>Dividends and Dividend Equivalents</w:t>
      </w:r>
      <w:r>
        <w:rPr>
          <w:rFonts w:ascii="Arial" w:cs="Arial" w:eastAsia="Arial" w:hAnsi="Arial"/>
          <w:sz w:val="22"/>
          <w:szCs w:val="22"/>
          <w:color w:val="auto"/>
        </w:rPr>
        <w:t xml:space="preserve">. The Committee may provide Participants with the right to receive dividends or payments equivalent to dividends or interest with respect to an outstanding Award, which payments can either be paid currently or deemed to have been reinvested in Shares, and can be made in Shares, cash or a combination thereof, as the Committee shall determine; </w:t>
      </w:r>
      <w:r>
        <w:rPr>
          <w:rFonts w:ascii="Arial" w:cs="Arial" w:eastAsia="Arial" w:hAnsi="Arial"/>
          <w:sz w:val="17"/>
          <w:szCs w:val="17"/>
          <w:i w:val="1"/>
          <w:iCs w:val="1"/>
          <w:color w:val="auto"/>
        </w:rPr>
        <w:t>provided</w:t>
      </w:r>
      <w:r>
        <w:rPr>
          <w:rFonts w:ascii="Arial" w:cs="Arial" w:eastAsia="Arial" w:hAnsi="Arial"/>
          <w:sz w:val="21"/>
          <w:szCs w:val="21"/>
          <w:color w:val="auto"/>
        </w:rPr>
        <w:t>,</w:t>
      </w:r>
      <w:r>
        <w:rPr>
          <w:rFonts w:ascii="Arial" w:cs="Arial" w:eastAsia="Arial" w:hAnsi="Arial"/>
          <w:sz w:val="17"/>
          <w:szCs w:val="17"/>
          <w:i w:val="1"/>
          <w:iCs w:val="1"/>
          <w:color w:val="auto"/>
        </w:rPr>
        <w:t xml:space="preserve"> however</w:t>
      </w:r>
      <w:r>
        <w:rPr>
          <w:rFonts w:ascii="Arial" w:cs="Arial" w:eastAsia="Arial" w:hAnsi="Arial"/>
          <w:sz w:val="21"/>
          <w:szCs w:val="21"/>
          <w:color w:val="auto"/>
        </w:rPr>
        <w:t>, that the terms of any reinvestment of dividends must comply with all applicable laws, rules and regulations,</w:t>
      </w:r>
      <w:r>
        <w:rPr>
          <w:rFonts w:ascii="Arial" w:cs="Arial" w:eastAsia="Arial" w:hAnsi="Arial"/>
          <w:sz w:val="17"/>
          <w:szCs w:val="17"/>
          <w:i w:val="1"/>
          <w:iCs w:val="1"/>
          <w:color w:val="auto"/>
        </w:rPr>
        <w:t xml:space="preserve"> </w:t>
      </w:r>
      <w:r>
        <w:rPr>
          <w:rFonts w:ascii="Arial" w:cs="Arial" w:eastAsia="Arial" w:hAnsi="Arial"/>
          <w:sz w:val="21"/>
          <w:szCs w:val="21"/>
          <w:color w:val="auto"/>
        </w:rPr>
        <w:t>including, without limitation, Section 409A of the Code. Notwithstanding the foregoing, no dividends or dividend equivalents shall be paid with respect to Options or Stock Appreciation Rights.</w:t>
      </w:r>
    </w:p>
    <w:p>
      <w:pPr>
        <w:spacing w:after="0" w:line="213"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9"/>
          <w:szCs w:val="19"/>
          <w:color w:val="auto"/>
        </w:rPr>
        <w:t>(f)</w:t>
      </w:r>
      <w:r>
        <w:rPr>
          <w:rFonts w:ascii="Arial" w:cs="Arial" w:eastAsia="Arial" w:hAnsi="Arial"/>
          <w:sz w:val="15"/>
          <w:szCs w:val="15"/>
          <w:u w:val="single" w:color="auto"/>
          <w:color w:val="auto"/>
        </w:rPr>
        <w:t>Rights of a Stockholder</w:t>
      </w:r>
      <w:r>
        <w:rPr>
          <w:rFonts w:ascii="Arial" w:cs="Arial" w:eastAsia="Arial" w:hAnsi="Arial"/>
          <w:sz w:val="19"/>
          <w:szCs w:val="19"/>
          <w:color w:val="auto"/>
        </w:rPr>
        <w:t>. A Participant shall have no rights as a stockholder with respect to Shares covered by an Award (including voting rights) until the date the Participant or his nominee becomes the holder of record of such Shares. No adjustment shall be made for dividends or other rights for which the record date is prior to such date, except as provided in Section 13.</w:t>
      </w:r>
    </w:p>
    <w:p>
      <w:pPr>
        <w:spacing w:after="0" w:line="161"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9"/>
          <w:szCs w:val="19"/>
          <w:color w:val="auto"/>
        </w:rPr>
        <w:t>(g)</w:t>
      </w:r>
      <w:r>
        <w:rPr>
          <w:rFonts w:ascii="Arial" w:cs="Arial" w:eastAsia="Arial" w:hAnsi="Arial"/>
          <w:sz w:val="15"/>
          <w:szCs w:val="15"/>
          <w:u w:val="single" w:color="auto"/>
          <w:color w:val="auto"/>
        </w:rPr>
        <w:t>Performance-Based Awards</w:t>
      </w:r>
      <w:r>
        <w:rPr>
          <w:rFonts w:ascii="Arial" w:cs="Arial" w:eastAsia="Arial" w:hAnsi="Arial"/>
          <w:sz w:val="19"/>
          <w:szCs w:val="19"/>
          <w:color w:val="auto"/>
        </w:rPr>
        <w:t>. (i) The Committee may determine whether any Award under the Plan is intended to be “performance-based compensation” as that term is used in Section 162(m) of the Code. Any such Awards designated to be “performance-based compensation” shall be conditioned on the achievement of one or more Performance Targets to the extent required by Section 162(m) of the Code and will be subject to all other conditions and requirements of Section 162(m). The Performance Targets will be comprised of specified levels of one or more of the following performance criteria as the Committee deems appropriate: net income; cash flow or cash flow on investment; pre-tax or post-tax profit levels or earnings; operating earnings; return on investment; earned value added expense reduction levels; free cash flow; free cash flow per share; earnings per share; net earnings per share; return on assets; return on net assets; return on equity; return on capital; return on sales; growth in managed assets; operating margin; total stockholder return or stock price appreciation; EBITDA; adjusted EBITDA; revenue; revenue before deferral, in each case determined in accordance with generally accepted accounting principles (subject to modifications approved by the Committee) consistently applied on a business unit, divisional, subsidiary or consolidated basis or any combination thereof. The Performance Targets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In addition, for Awards not intended to qualify as “performance-based compensation” under Section 162(m) of the Code, the Committee may establish Performance Targets based on other criteria as it deems appropriate.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jc w:val="both"/>
        <w:ind w:firstLine="346"/>
        <w:spacing w:after="0" w:line="275" w:lineRule="auto"/>
        <w:tabs>
          <w:tab w:leader="none" w:pos="6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Participants will be designated, and the applicable Performance Targets will be established, by the Committee within ninety (90) days following the commencement of the applicable Performance Period (or such earlier or later date permitted or required by Section 162(m) of the Code). Each Participant will be assigned a Target Number payable if Performance Targets are achieved. Any payment of an Award granted with Performance Targets shall be conditioned on the written certification of the Committee in each case that the Performance Targets and any other material conditions were satisfied. The Committee may determine, at the time of Award grant, that if performance exceeds the specified Performance Targets, the Award may be settled with payment greater than the Target Number, but in no event may such payment exceed the limits set forth in Section 5(c). The Committee retains the right to reduce any Award notwithstanding the attainment of the Performance Targets.</w:t>
      </w:r>
    </w:p>
    <w:p>
      <w:pPr>
        <w:spacing w:after="0" w:line="18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22"/>
          <w:szCs w:val="22"/>
          <w:color w:val="auto"/>
        </w:rPr>
        <w:t>(h)</w:t>
      </w:r>
      <w:r>
        <w:rPr>
          <w:rFonts w:ascii="Arial" w:cs="Arial" w:eastAsia="Arial" w:hAnsi="Arial"/>
          <w:sz w:val="17"/>
          <w:szCs w:val="17"/>
          <w:u w:val="single" w:color="auto"/>
          <w:color w:val="auto"/>
        </w:rPr>
        <w:t>Deferrals</w:t>
      </w:r>
      <w:r>
        <w:rPr>
          <w:rFonts w:ascii="Arial" w:cs="Arial" w:eastAsia="Arial" w:hAnsi="Arial"/>
          <w:sz w:val="22"/>
          <w:szCs w:val="22"/>
          <w:color w:val="auto"/>
        </w:rPr>
        <w:t xml:space="preserve">. In accordance with the procedures authorized by, and subject to the approval of, the Committee, Participants may be given the opportunity to defer the payment or settlement of an Award to one or more dates selected by the Participant; </w:t>
      </w:r>
      <w:r>
        <w:rPr>
          <w:rFonts w:ascii="Arial" w:cs="Arial" w:eastAsia="Arial" w:hAnsi="Arial"/>
          <w:sz w:val="17"/>
          <w:szCs w:val="17"/>
          <w:i w:val="1"/>
          <w:iCs w:val="1"/>
          <w:color w:val="auto"/>
        </w:rPr>
        <w:t>provided</w:t>
      </w:r>
      <w:r>
        <w:rPr>
          <w:rFonts w:ascii="Arial" w:cs="Arial" w:eastAsia="Arial" w:hAnsi="Arial"/>
          <w:sz w:val="22"/>
          <w:szCs w:val="22"/>
          <w:color w:val="auto"/>
        </w:rPr>
        <w:t xml:space="preserve">, </w:t>
      </w:r>
      <w:r>
        <w:rPr>
          <w:rFonts w:ascii="Arial" w:cs="Arial" w:eastAsia="Arial" w:hAnsi="Arial"/>
          <w:sz w:val="17"/>
          <w:szCs w:val="17"/>
          <w:i w:val="1"/>
          <w:iCs w:val="1"/>
          <w:color w:val="auto"/>
        </w:rPr>
        <w:t>however</w:t>
      </w:r>
      <w:r>
        <w:rPr>
          <w:rFonts w:ascii="Arial" w:cs="Arial" w:eastAsia="Arial" w:hAnsi="Arial"/>
          <w:sz w:val="21"/>
          <w:szCs w:val="21"/>
          <w:color w:val="auto"/>
        </w:rPr>
        <w:t>, that the terms of any deferrals must comply with all applicable laws, rules and regulations, including, without limitation,</w:t>
      </w:r>
      <w:r>
        <w:rPr>
          <w:rFonts w:ascii="Arial" w:cs="Arial" w:eastAsia="Arial" w:hAnsi="Arial"/>
          <w:sz w:val="17"/>
          <w:szCs w:val="17"/>
          <w:i w:val="1"/>
          <w:iCs w:val="1"/>
          <w:color w:val="auto"/>
        </w:rPr>
        <w:t xml:space="preserve"> </w:t>
      </w:r>
      <w:r>
        <w:rPr>
          <w:rFonts w:ascii="Arial" w:cs="Arial" w:eastAsia="Arial" w:hAnsi="Arial"/>
          <w:sz w:val="21"/>
          <w:szCs w:val="21"/>
          <w:color w:val="auto"/>
        </w:rPr>
        <w:t>Section 409A of the Code. No deferral opportunity shall exist with respect to an Award unless explicitly permitted by the Committee on or after the time of grant.</w:t>
      </w:r>
    </w:p>
    <w:p>
      <w:pPr>
        <w:spacing w:after="0" w:line="212" w:lineRule="exact"/>
        <w:rPr>
          <w:sz w:val="20"/>
          <w:szCs w:val="20"/>
          <w:color w:val="auto"/>
        </w:rPr>
      </w:pPr>
    </w:p>
    <w:p>
      <w:pPr>
        <w:jc w:val="both"/>
        <w:ind w:firstLine="459"/>
        <w:spacing w:after="0" w:line="282" w:lineRule="auto"/>
        <w:rPr>
          <w:sz w:val="20"/>
          <w:szCs w:val="20"/>
          <w:color w:val="auto"/>
        </w:rPr>
      </w:pPr>
      <w:r>
        <w:rPr>
          <w:rFonts w:ascii="Arial" w:cs="Arial" w:eastAsia="Arial" w:hAnsi="Arial"/>
          <w:sz w:val="19"/>
          <w:szCs w:val="19"/>
          <w:color w:val="auto"/>
        </w:rPr>
        <w:t>(i)</w:t>
      </w:r>
      <w:r>
        <w:rPr>
          <w:rFonts w:ascii="Arial" w:cs="Arial" w:eastAsia="Arial" w:hAnsi="Arial"/>
          <w:sz w:val="15"/>
          <w:szCs w:val="15"/>
          <w:u w:val="single" w:color="auto"/>
          <w:color w:val="auto"/>
        </w:rPr>
        <w:t>Repricing of Options and Stock Appreciation Rights</w:t>
      </w:r>
      <w:r>
        <w:rPr>
          <w:rFonts w:ascii="Arial" w:cs="Arial" w:eastAsia="Arial" w:hAnsi="Arial"/>
          <w:sz w:val="19"/>
          <w:szCs w:val="19"/>
          <w:color w:val="auto"/>
        </w:rPr>
        <w:t>. Notwithstanding anything in the Plan to the contrary, an Option or Stock Appreciation Right shall not be granted in substitution for a previously granted Option or Stock Appreciation Right being canceled or surrendered as a condition of receiving a new Award, if the new Award would have a lower exercise price than the Award it replaces, nor shall the exercise price of an Option or Stock Appreciation Right be reduced once the Option or Stock Appreciation Right is granted. The foregoing shall not (i) prevent adjustments pursuant to Section 13 or (ii) apply to grants of Substitute Awards.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7.Terms and Conditions of Options</w:t>
      </w:r>
    </w:p>
    <w:p>
      <w:pPr>
        <w:spacing w:after="0" w:line="254" w:lineRule="exact"/>
        <w:rPr>
          <w:sz w:val="20"/>
          <w:szCs w:val="20"/>
          <w:color w:val="auto"/>
        </w:rPr>
      </w:pPr>
    </w:p>
    <w:p>
      <w:pPr>
        <w:jc w:val="both"/>
        <w:ind w:firstLine="284"/>
        <w:spacing w:after="0" w:line="238" w:lineRule="auto"/>
        <w:rPr>
          <w:sz w:val="20"/>
          <w:szCs w:val="20"/>
          <w:color w:val="auto"/>
        </w:rPr>
      </w:pPr>
      <w:r>
        <w:rPr>
          <w:rFonts w:ascii="Arial" w:cs="Arial" w:eastAsia="Arial" w:hAnsi="Arial"/>
          <w:sz w:val="22"/>
          <w:szCs w:val="22"/>
          <w:color w:val="auto"/>
        </w:rPr>
        <w:t>(a)</w:t>
      </w:r>
      <w:r>
        <w:rPr>
          <w:rFonts w:ascii="Arial" w:cs="Arial" w:eastAsia="Arial" w:hAnsi="Arial"/>
          <w:sz w:val="17"/>
          <w:szCs w:val="17"/>
          <w:u w:val="single" w:color="auto"/>
          <w:color w:val="auto"/>
        </w:rPr>
        <w:t>General</w:t>
      </w:r>
      <w:r>
        <w:rPr>
          <w:rFonts w:ascii="Arial" w:cs="Arial" w:eastAsia="Arial" w:hAnsi="Arial"/>
          <w:sz w:val="22"/>
          <w:szCs w:val="22"/>
          <w:color w:val="auto"/>
        </w:rPr>
        <w:t>. The Committee, in its discretion, may grant Options to Eligible Individuals and shall determine whether such Options shall be Incentive Stock Options or Nonqualified Stock Options. Each Option shall be evidenced by an Award Document that shall expressly identify the Option as an Incentive Stock Option or Nonqualified Stock Option, and be in such form and contain such provisions as the Committee shall from time to time deem appropriate.</w:t>
      </w:r>
    </w:p>
    <w:p>
      <w:pPr>
        <w:spacing w:after="0" w:line="212"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Exercise Price</w:t>
      </w:r>
      <w:r>
        <w:rPr>
          <w:rFonts w:ascii="Arial" w:cs="Arial" w:eastAsia="Arial" w:hAnsi="Arial"/>
          <w:sz w:val="22"/>
          <w:szCs w:val="22"/>
          <w:color w:val="auto"/>
        </w:rPr>
        <w:t xml:space="preserve">. The exercise price of an Option shall be fixed by the Committee at the time of grant or shall be determined by a method specified by the Committee at the time of grant. In no event shall the exercise price of an Option be less than one hundred percent (100%) of the Fair Market Value of a Share on the date of grant; </w:t>
      </w:r>
      <w:r>
        <w:rPr>
          <w:rFonts w:ascii="Arial" w:cs="Arial" w:eastAsia="Arial" w:hAnsi="Arial"/>
          <w:sz w:val="17"/>
          <w:szCs w:val="17"/>
          <w:i w:val="1"/>
          <w:iCs w:val="1"/>
          <w:color w:val="auto"/>
        </w:rPr>
        <w:t>provided</w:t>
      </w:r>
      <w:r>
        <w:rPr>
          <w:rFonts w:ascii="Arial" w:cs="Arial" w:eastAsia="Arial" w:hAnsi="Arial"/>
          <w:sz w:val="22"/>
          <w:szCs w:val="22"/>
          <w:color w:val="auto"/>
        </w:rPr>
        <w:t xml:space="preserve">, </w:t>
      </w:r>
      <w:r>
        <w:rPr>
          <w:rFonts w:ascii="Arial" w:cs="Arial" w:eastAsia="Arial" w:hAnsi="Arial"/>
          <w:sz w:val="17"/>
          <w:szCs w:val="17"/>
          <w:i w:val="1"/>
          <w:iCs w:val="1"/>
          <w:color w:val="auto"/>
        </w:rPr>
        <w:t>however</w:t>
      </w:r>
      <w:r>
        <w:rPr>
          <w:rFonts w:ascii="Arial" w:cs="Arial" w:eastAsia="Arial" w:hAnsi="Arial"/>
          <w:sz w:val="22"/>
          <w:szCs w:val="22"/>
          <w:color w:val="auto"/>
        </w:rPr>
        <w:t xml:space="preserve"> that the exercise price of a Substitute Award granted as an Option shall be determined in accordance with Section 409A of the Code and may be less than one hundred percent (100%) of the Fair Market Value.</w:t>
      </w:r>
    </w:p>
    <w:p>
      <w:pPr>
        <w:spacing w:after="0" w:line="215" w:lineRule="exact"/>
        <w:rPr>
          <w:sz w:val="20"/>
          <w:szCs w:val="20"/>
          <w:color w:val="auto"/>
        </w:rPr>
      </w:pPr>
    </w:p>
    <w:p>
      <w:pPr>
        <w:jc w:val="both"/>
        <w:ind w:firstLine="392"/>
        <w:spacing w:after="0" w:line="278" w:lineRule="auto"/>
        <w:rPr>
          <w:sz w:val="20"/>
          <w:szCs w:val="20"/>
          <w:color w:val="auto"/>
        </w:rPr>
      </w:pPr>
      <w:r>
        <w:rPr>
          <w:rFonts w:ascii="Arial" w:cs="Arial" w:eastAsia="Arial" w:hAnsi="Arial"/>
          <w:sz w:val="20"/>
          <w:szCs w:val="20"/>
          <w:color w:val="auto"/>
        </w:rPr>
        <w:t>(c)</w:t>
      </w:r>
      <w:r>
        <w:rPr>
          <w:rFonts w:ascii="Arial" w:cs="Arial" w:eastAsia="Arial" w:hAnsi="Arial"/>
          <w:sz w:val="16"/>
          <w:szCs w:val="16"/>
          <w:u w:val="single" w:color="auto"/>
          <w:color w:val="auto"/>
        </w:rPr>
        <w:t>Term</w:t>
      </w:r>
      <w:r>
        <w:rPr>
          <w:rFonts w:ascii="Arial" w:cs="Arial" w:eastAsia="Arial" w:hAnsi="Arial"/>
          <w:sz w:val="20"/>
          <w:szCs w:val="20"/>
          <w:color w:val="auto"/>
        </w:rPr>
        <w:t xml:space="preserve">. An Option shall be effective for such term as shall be determined by the Committee and as set forth in the Award Document relating to such Option, and the Committee may extend the term of an Option after the time of grant; </w:t>
      </w:r>
      <w:r>
        <w:rPr>
          <w:rFonts w:ascii="Arial" w:cs="Arial" w:eastAsia="Arial" w:hAnsi="Arial"/>
          <w:sz w:val="16"/>
          <w:szCs w:val="16"/>
          <w:i w:val="1"/>
          <w:iCs w:val="1"/>
          <w:color w:val="auto"/>
        </w:rPr>
        <w:t>provided</w:t>
      </w:r>
      <w:r>
        <w:rPr>
          <w:rFonts w:ascii="Arial" w:cs="Arial" w:eastAsia="Arial" w:hAnsi="Arial"/>
          <w:sz w:val="20"/>
          <w:szCs w:val="20"/>
          <w:color w:val="auto"/>
        </w:rPr>
        <w:t xml:space="preserve">, </w:t>
      </w:r>
      <w:r>
        <w:rPr>
          <w:rFonts w:ascii="Arial" w:cs="Arial" w:eastAsia="Arial" w:hAnsi="Arial"/>
          <w:sz w:val="16"/>
          <w:szCs w:val="16"/>
          <w:i w:val="1"/>
          <w:iCs w:val="1"/>
          <w:color w:val="auto"/>
        </w:rPr>
        <w:t>however</w:t>
      </w:r>
      <w:r>
        <w:rPr>
          <w:rFonts w:ascii="Arial" w:cs="Arial" w:eastAsia="Arial" w:hAnsi="Arial"/>
          <w:sz w:val="20"/>
          <w:szCs w:val="20"/>
          <w:color w:val="auto"/>
        </w:rPr>
        <w:t>, that the term of an Option may in no event extend beyond the tenth (10</w:t>
      </w:r>
      <w:r>
        <w:rPr>
          <w:rFonts w:ascii="Arial" w:cs="Arial" w:eastAsia="Arial" w:hAnsi="Arial"/>
          <w:sz w:val="28"/>
          <w:szCs w:val="28"/>
          <w:color w:val="auto"/>
          <w:vertAlign w:val="superscript"/>
        </w:rPr>
        <w:t>th</w:t>
      </w:r>
      <w:r>
        <w:rPr>
          <w:rFonts w:ascii="Arial" w:cs="Arial" w:eastAsia="Arial" w:hAnsi="Arial"/>
          <w:sz w:val="20"/>
          <w:szCs w:val="20"/>
          <w:color w:val="auto"/>
        </w:rPr>
        <w:t>) anniversary of the date of grant of such Option.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jc w:val="both"/>
        <w:ind w:firstLine="405"/>
        <w:spacing w:after="0" w:line="271" w:lineRule="auto"/>
        <w:rPr>
          <w:sz w:val="20"/>
          <w:szCs w:val="20"/>
          <w:color w:val="auto"/>
        </w:rPr>
      </w:pPr>
      <w:r>
        <w:rPr>
          <w:rFonts w:ascii="Arial" w:cs="Arial" w:eastAsia="Arial" w:hAnsi="Arial"/>
          <w:sz w:val="19"/>
          <w:szCs w:val="19"/>
          <w:color w:val="auto"/>
        </w:rPr>
        <w:t>(d)</w:t>
      </w:r>
      <w:r>
        <w:rPr>
          <w:rFonts w:ascii="Arial" w:cs="Arial" w:eastAsia="Arial" w:hAnsi="Arial"/>
          <w:sz w:val="15"/>
          <w:szCs w:val="15"/>
          <w:u w:val="single" w:color="auto"/>
          <w:color w:val="auto"/>
        </w:rPr>
        <w:t>Exercise; Payment of Exercise Price</w:t>
      </w:r>
      <w:r>
        <w:rPr>
          <w:rFonts w:ascii="Arial" w:cs="Arial" w:eastAsia="Arial" w:hAnsi="Arial"/>
          <w:sz w:val="19"/>
          <w:szCs w:val="19"/>
          <w:color w:val="auto"/>
        </w:rPr>
        <w:t>. Options shall be exercised by delivery of a notice of exercise in a form approved by the Company. Subject to the provisions of the applicable Award Document, the exercise price of an Option may be paid (i) in cash or cash equivalents, (ii) by actual delivery or attestation to ownership of freely transferable Shares already owned by the person exercising the Option, (iii) by a combination of cash and Shares equal in value to the exercise price, (iv) through net share settlement or similar procedure involving the withholding of Shares subject to the Option with a value equal to the exercise price or</w:t>
      </w:r>
    </w:p>
    <w:p>
      <w:pPr>
        <w:jc w:val="both"/>
        <w:ind w:firstLine="8"/>
        <w:spacing w:after="0" w:line="277" w:lineRule="auto"/>
        <w:tabs>
          <w:tab w:leader="none" w:pos="306" w:val="left"/>
        </w:tabs>
        <w:numPr>
          <w:ilvl w:val="0"/>
          <w:numId w:val="28"/>
        </w:numPr>
        <w:rPr>
          <w:rFonts w:ascii="Arial" w:cs="Arial" w:eastAsia="Arial" w:hAnsi="Arial"/>
          <w:sz w:val="19"/>
          <w:szCs w:val="19"/>
          <w:color w:val="auto"/>
        </w:rPr>
      </w:pPr>
      <w:r>
        <w:rPr>
          <w:rFonts w:ascii="Arial" w:cs="Arial" w:eastAsia="Arial" w:hAnsi="Arial"/>
          <w:sz w:val="19"/>
          <w:szCs w:val="19"/>
          <w:color w:val="auto"/>
        </w:rPr>
        <w:t>by such other means as the Committee may authorize. In accordance with the rules and procedures authorized by the Committee for this purpose, the Option may also be exercised through a “cashless exercise” procedure authorized by the Committee from time to time that permits Participants to exercise Options by delivering irrevocable instructions to a broker to deliver promptly to the Company the amount of sale or loan proceeds necessary to pay the exercise price and the amount of any required tax or other withholding obligations or such other procedures determined by the Company from time to time.</w:t>
      </w:r>
    </w:p>
    <w:p>
      <w:pPr>
        <w:spacing w:after="0" w:line="180"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9"/>
          <w:szCs w:val="19"/>
          <w:color w:val="auto"/>
        </w:rPr>
        <w:t>(e)</w:t>
      </w:r>
      <w:r>
        <w:rPr>
          <w:rFonts w:ascii="Arial" w:cs="Arial" w:eastAsia="Arial" w:hAnsi="Arial"/>
          <w:sz w:val="15"/>
          <w:szCs w:val="15"/>
          <w:u w:val="single" w:color="auto"/>
          <w:color w:val="auto"/>
        </w:rPr>
        <w:t>Incentive Stock Options</w:t>
      </w:r>
      <w:r>
        <w:rPr>
          <w:rFonts w:ascii="Arial" w:cs="Arial" w:eastAsia="Arial" w:hAnsi="Arial"/>
          <w:sz w:val="19"/>
          <w:szCs w:val="19"/>
          <w:color w:val="auto"/>
        </w:rPr>
        <w:t>. The exercise price per Share of an Incentive Stock Option shall be fixed by the Committee at the time of grant or shall be determined by a method specified by the Committee at the time of grant, but in no event shall the exercise price of an Incentive Stock Option be less than one hundred percent (100%) of the Fair Market Value of a Share on the date of grant. No Incentive Stock Option may be issued pursuant to the Plan to any individual who, at the time the Incentive Stock Option is granted, owns stock possessing more than ten percent (10%) of the total combined voting power of all classes of stock of the Company or any of its Subsidiaries, unless (i) the exercise price determined as of the date of grant is at least one hundred ten percent (110%) of the Fair Market Value on the date of grant of the Shares subject to such Incentive Stock Option and (ii) the Incentive Stock Option is not exercisable more than five (5) years from the date of grant thereof. No Participant shall be granted any Incentive Stock Option which would result in such Participant receiving a grant of Incentive Stock Options that would have an aggregate Fair Market Value in excess of one hundred thousand dollars ($100,000), determined as of the time of grant, that would be exercisable for the first time by such Participant during any calendar year. No Incentive Stock Option may be granted under the Plan after the tenth anniversary of the Effective Date. The terms of any Incentive Stock Option granted under the Plan shall comply in all respects with the provisions of Section 422 of the Code, or any successor provision thereto, as amended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8.Terms and Conditions of Restricted Stock and Restricted Stock Units</w:t>
      </w:r>
    </w:p>
    <w:p>
      <w:pPr>
        <w:spacing w:after="0" w:line="254" w:lineRule="exact"/>
        <w:rPr>
          <w:sz w:val="20"/>
          <w:szCs w:val="20"/>
          <w:color w:val="auto"/>
        </w:rPr>
      </w:pPr>
    </w:p>
    <w:p>
      <w:pPr>
        <w:jc w:val="both"/>
        <w:ind w:firstLine="392"/>
        <w:spacing w:after="0" w:line="249" w:lineRule="auto"/>
        <w:rPr>
          <w:sz w:val="20"/>
          <w:szCs w:val="20"/>
          <w:color w:val="auto"/>
        </w:rPr>
      </w:pPr>
      <w:r>
        <w:rPr>
          <w:rFonts w:ascii="Arial" w:cs="Arial" w:eastAsia="Arial" w:hAnsi="Arial"/>
          <w:sz w:val="21"/>
          <w:szCs w:val="21"/>
          <w:color w:val="auto"/>
        </w:rPr>
        <w:t>(a)</w:t>
      </w:r>
      <w:r>
        <w:rPr>
          <w:rFonts w:ascii="Arial" w:cs="Arial" w:eastAsia="Arial" w:hAnsi="Arial"/>
          <w:sz w:val="16"/>
          <w:szCs w:val="16"/>
          <w:u w:val="single" w:color="auto"/>
          <w:color w:val="auto"/>
        </w:rPr>
        <w:t>Restricted Stock</w:t>
      </w:r>
      <w:r>
        <w:rPr>
          <w:rFonts w:ascii="Arial" w:cs="Arial" w:eastAsia="Arial" w:hAnsi="Arial"/>
          <w:sz w:val="21"/>
          <w:szCs w:val="21"/>
          <w:color w:val="auto"/>
        </w:rPr>
        <w:t>. The Committee, in its discretion, may grant or sell Restricted Stock to Eligible Individuals. An Award of Restricted Stock shall consist of one or more Shares granted or sold to an Eligible Individual, and shall be subject to the terms, conditions and restrictions set forth in the Plan and established by the Committee in connection with the Award and specified in the applicable Award Document. Restricted Stock may, among other things, be subject to restrictions on transferability, vesting requirements or other specified circumstances under which it may be canceled.</w:t>
      </w:r>
    </w:p>
    <w:p>
      <w:pPr>
        <w:spacing w:after="0" w:line="206"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Restricted Stock Units</w:t>
      </w:r>
      <w:r>
        <w:rPr>
          <w:rFonts w:ascii="Arial" w:cs="Arial" w:eastAsia="Arial" w:hAnsi="Arial"/>
          <w:sz w:val="22"/>
          <w:szCs w:val="22"/>
          <w:color w:val="auto"/>
        </w:rPr>
        <w:t>. The Committee, in its discretion, may grant Restricted Stock Units to Eligible Individuals. A Restricted Stock Unit shall entitle a Participant to receive, subject to the terms, conditions and restrictions set forth in the Plan and the applicable Award Document, one or more Shares. Restricted Stock Units may, among other things, be subject to restrictions on transferability, vesting requirements or other specified circumstances under which they may be canceled. If and when the cancellation provisions lapse, the Restricted Stock Units shall become Shares owned by the applicable Participant or, at the sole discretion of the Committee, cash, or a combination of cash and Shares, with a value equal to the Fair Market Value of the Shares at the time of payment.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9.Stock Appreciation Rights</w:t>
      </w:r>
    </w:p>
    <w:p>
      <w:pPr>
        <w:spacing w:after="0" w:line="253"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9"/>
          <w:szCs w:val="19"/>
          <w:color w:val="auto"/>
        </w:rPr>
        <w:t>(a)</w:t>
      </w:r>
      <w:r>
        <w:rPr>
          <w:rFonts w:ascii="Arial" w:cs="Arial" w:eastAsia="Arial" w:hAnsi="Arial"/>
          <w:sz w:val="15"/>
          <w:szCs w:val="15"/>
          <w:u w:val="single" w:color="auto"/>
          <w:color w:val="auto"/>
        </w:rPr>
        <w:t>General</w:t>
      </w:r>
      <w:r>
        <w:rPr>
          <w:rFonts w:ascii="Arial" w:cs="Arial" w:eastAsia="Arial" w:hAnsi="Arial"/>
          <w:sz w:val="19"/>
          <w:szCs w:val="19"/>
          <w:color w:val="auto"/>
        </w:rPr>
        <w:t xml:space="preserve">. The Committee, in its discretion, may grant Stock Appreciation Rights to Eligible Individuals. A Stock Appreciation Right shall entitle a Participant to receive, upon satisfaction of the conditions to payment specified in the applicable Award Document, an amount equal to the excess, if any, of the Fair Market Value on the exercise date of the number of Shares for which the Stock Appreciation Right is exercised over the grant price for such Stock Appreciation Right specified in the applicable Award Document. The grant price per share of Shares covered by a Stock Appreciation Right shall be fixed by the Committee at the time of grant or, alternatively, shall be determined by a method specified by the Committee at the time of grant, but in no event shall the grant price of a Stock Appreciation Right be less than one hundred percent (100%) of the Fair Market Value of a Share on the date of grant; </w:t>
      </w:r>
      <w:r>
        <w:rPr>
          <w:rFonts w:ascii="Arial" w:cs="Arial" w:eastAsia="Arial" w:hAnsi="Arial"/>
          <w:sz w:val="15"/>
          <w:szCs w:val="15"/>
          <w:i w:val="1"/>
          <w:iCs w:val="1"/>
          <w:color w:val="auto"/>
        </w:rPr>
        <w:t>provided</w:t>
      </w:r>
      <w:r>
        <w:rPr>
          <w:rFonts w:ascii="Arial" w:cs="Arial" w:eastAsia="Arial" w:hAnsi="Arial"/>
          <w:sz w:val="19"/>
          <w:szCs w:val="19"/>
          <w:color w:val="auto"/>
        </w:rPr>
        <w:t xml:space="preserve">, </w:t>
      </w:r>
      <w:r>
        <w:rPr>
          <w:rFonts w:ascii="Arial" w:cs="Arial" w:eastAsia="Arial" w:hAnsi="Arial"/>
          <w:sz w:val="15"/>
          <w:szCs w:val="15"/>
          <w:i w:val="1"/>
          <w:iCs w:val="1"/>
          <w:color w:val="auto"/>
        </w:rPr>
        <w:t>however</w:t>
      </w:r>
      <w:r>
        <w:rPr>
          <w:rFonts w:ascii="Arial" w:cs="Arial" w:eastAsia="Arial" w:hAnsi="Arial"/>
          <w:sz w:val="19"/>
          <w:szCs w:val="19"/>
          <w:color w:val="auto"/>
        </w:rPr>
        <w:t>, that the grant price of a Substitute Award granted as a Stock Appreciation Rights shall be in accordance with Section 409A of the Code and may be less than one hundred percent (100%) of the Fair Market Value. Payments to a Participant upon exercise of a Stock Appreciation Right may be made in cash or Shares, having an aggregate Fair Market Value as of the date of exercise equal to the excess, if any, of the Fair Market Value on the exercise date of the number of Shares for which the Stock Appreciation Right is exercised over the grant price for such Stock Appreciation Right. The term of a Stock Appreciation Right settled in Shares shall not exceed seven (7) years.</w:t>
      </w:r>
    </w:p>
    <w:p>
      <w:pPr>
        <w:spacing w:after="0" w:line="184" w:lineRule="exact"/>
        <w:rPr>
          <w:sz w:val="20"/>
          <w:szCs w:val="20"/>
          <w:color w:val="auto"/>
        </w:rPr>
      </w:pPr>
    </w:p>
    <w:p>
      <w:pPr>
        <w:jc w:val="both"/>
        <w:ind w:firstLine="365"/>
        <w:spacing w:after="0" w:line="274" w:lineRule="auto"/>
        <w:rPr>
          <w:sz w:val="20"/>
          <w:szCs w:val="20"/>
          <w:color w:val="auto"/>
        </w:rPr>
      </w:pPr>
      <w:r>
        <w:rPr>
          <w:rFonts w:ascii="Arial" w:cs="Arial" w:eastAsia="Arial" w:hAnsi="Arial"/>
          <w:sz w:val="19"/>
          <w:szCs w:val="19"/>
          <w:color w:val="auto"/>
        </w:rPr>
        <w:t>(b)</w:t>
      </w:r>
      <w:r>
        <w:rPr>
          <w:rFonts w:ascii="Arial" w:cs="Arial" w:eastAsia="Arial" w:hAnsi="Arial"/>
          <w:sz w:val="15"/>
          <w:szCs w:val="15"/>
          <w:u w:val="single" w:color="auto"/>
          <w:color w:val="auto"/>
        </w:rPr>
        <w:t>Stock Appreciation Rights in Tandem with Options</w:t>
      </w:r>
      <w:r>
        <w:rPr>
          <w:rFonts w:ascii="Arial" w:cs="Arial" w:eastAsia="Arial" w:hAnsi="Arial"/>
          <w:sz w:val="19"/>
          <w:szCs w:val="19"/>
          <w:color w:val="auto"/>
        </w:rPr>
        <w:t>. A Stock Appreciation Right granted in tandem with an Option may be granted either at the same time as such Option or subsequent thereto. If granted in tandem with an Option, a Stock Appreciation Right shall cover the same number of Shares as covered by the Option (or such lesser number of shares as the Committee may determine) and shall be exercisable only at such time or times and to the extent the related Option shall be exercisable, and shall have the same term as the related Option. The grant price of a Stock Appreciation Right granted in tandem with an Option shall equal the per-share exercise price of the Option to which it relates. Upon exercise of a Stock Appreciation Right granted in tandem with an Option, the related Option shall be canceled automatically to the extent of the number of Shares covered by such exercise; conversely, if the related Option is exercised as to some or all of the shares covered by the tandem grant, the tandem Stock Appreciation Right shall be canceled automatically to the extent of the number of Shares covered by the Option exercise.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10.Terms and Conditions of Performance Stock and Performance Units</w:t>
      </w:r>
    </w:p>
    <w:p>
      <w:pPr>
        <w:spacing w:after="0" w:line="254"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9"/>
          <w:szCs w:val="19"/>
          <w:color w:val="auto"/>
        </w:rPr>
        <w:t>(a)</w:t>
      </w:r>
      <w:r>
        <w:rPr>
          <w:rFonts w:ascii="Arial" w:cs="Arial" w:eastAsia="Arial" w:hAnsi="Arial"/>
          <w:sz w:val="15"/>
          <w:szCs w:val="15"/>
          <w:u w:val="single" w:color="auto"/>
          <w:color w:val="auto"/>
        </w:rPr>
        <w:t>Performance Stock</w:t>
      </w:r>
      <w:r>
        <w:rPr>
          <w:rFonts w:ascii="Arial" w:cs="Arial" w:eastAsia="Arial" w:hAnsi="Arial"/>
          <w:sz w:val="19"/>
          <w:szCs w:val="19"/>
          <w:color w:val="auto"/>
        </w:rPr>
        <w:t>. The Committee may grant Performance Stock to Eligible Individuals. An Award of Performance Stock shall consist of a Target Number of Shares granted to an Eligible Individual based on the achievement of Performance Targets over the applicable Performance Period, and shall be subject to the terms, conditions and restrictions set forth in the Plan and established by the Committee in connection with the Award and specified in the applicable Award Document.</w:t>
      </w:r>
    </w:p>
    <w:p>
      <w:pPr>
        <w:spacing w:after="0" w:line="17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5"/>
          <w:szCs w:val="15"/>
          <w:u w:val="single" w:color="auto"/>
          <w:color w:val="auto"/>
        </w:rPr>
        <w:t>Performance Units</w:t>
      </w:r>
      <w:r>
        <w:rPr>
          <w:rFonts w:ascii="Arial" w:cs="Arial" w:eastAsia="Arial" w:hAnsi="Arial"/>
          <w:sz w:val="19"/>
          <w:szCs w:val="19"/>
          <w:color w:val="auto"/>
        </w:rPr>
        <w:t>. The Committee, in its discretion, may grant Performance Units to Eligible Individuals. A Performance Unit shall entitle a Participant to receive, subject to the terms, conditions and restrictions set forth in the Plan and established by the Committee in connection with the Award and specified in the applicable Award Document, a Target Number of Shares or cash based upon the achievement of Performance Targets over the applicable Performance Period. At the sole discretion of the Committee, Performance Units shall be settled through the delivery of Shares or cash, or a combination of cash and Shares, with a value equal to the Fair Market Value of the underlying Shares as of the last day of the applicable Performance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11.Other Awards</w:t>
      </w:r>
    </w:p>
    <w:p>
      <w:pPr>
        <w:spacing w:after="0" w:line="254" w:lineRule="exact"/>
        <w:rPr>
          <w:sz w:val="20"/>
          <w:szCs w:val="20"/>
          <w:color w:val="auto"/>
        </w:rPr>
      </w:pPr>
    </w:p>
    <w:p>
      <w:pPr>
        <w:jc w:val="both"/>
        <w:ind w:firstLine="365"/>
        <w:spacing w:after="0" w:line="238" w:lineRule="auto"/>
        <w:rPr>
          <w:sz w:val="20"/>
          <w:szCs w:val="20"/>
          <w:color w:val="auto"/>
        </w:rPr>
      </w:pPr>
      <w:r>
        <w:rPr>
          <w:rFonts w:ascii="Arial" w:cs="Arial" w:eastAsia="Arial" w:hAnsi="Arial"/>
          <w:sz w:val="22"/>
          <w:szCs w:val="22"/>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which Awards may provide for cash payments based in whole or in part on the value or future value of Shares, for the acquisition or future acquisition of Shares, or any combination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12.Certain Restrictions</w:t>
      </w:r>
    </w:p>
    <w:p>
      <w:pPr>
        <w:spacing w:after="0" w:line="25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22"/>
          <w:szCs w:val="22"/>
          <w:color w:val="auto"/>
        </w:rPr>
        <w:t>(a)</w:t>
      </w:r>
      <w:r>
        <w:rPr>
          <w:rFonts w:ascii="Arial" w:cs="Arial" w:eastAsia="Arial" w:hAnsi="Arial"/>
          <w:sz w:val="17"/>
          <w:szCs w:val="17"/>
          <w:u w:val="single" w:color="auto"/>
          <w:color w:val="auto"/>
        </w:rPr>
        <w:t>Transfers</w:t>
      </w:r>
      <w:r>
        <w:rPr>
          <w:rFonts w:ascii="Arial" w:cs="Arial" w:eastAsia="Arial" w:hAnsi="Arial"/>
          <w:sz w:val="17"/>
          <w:szCs w:val="17"/>
          <w:i w:val="1"/>
          <w:iCs w:val="1"/>
          <w:color w:val="auto"/>
        </w:rPr>
        <w:t>.</w:t>
      </w:r>
      <w:r>
        <w:rPr>
          <w:rFonts w:ascii="Arial" w:cs="Arial" w:eastAsia="Arial" w:hAnsi="Arial"/>
          <w:sz w:val="22"/>
          <w:szCs w:val="22"/>
          <w:color w:val="auto"/>
        </w:rPr>
        <w:t xml:space="preserve"> No Award shall be transferable other than pursuant to a beneficiary designation under Section 12(c), by last will and testament or by the laws of descent and distribution or, except in the case of an Incentive Stock Option, pursuant to a domestic relations order, as the case may be; </w:t>
      </w:r>
      <w:r>
        <w:rPr>
          <w:rFonts w:ascii="Arial" w:cs="Arial" w:eastAsia="Arial" w:hAnsi="Arial"/>
          <w:sz w:val="17"/>
          <w:szCs w:val="17"/>
          <w:i w:val="1"/>
          <w:iCs w:val="1"/>
          <w:color w:val="auto"/>
        </w:rPr>
        <w:t>provided</w:t>
      </w:r>
      <w:r>
        <w:rPr>
          <w:rFonts w:ascii="Arial" w:cs="Arial" w:eastAsia="Arial" w:hAnsi="Arial"/>
          <w:sz w:val="22"/>
          <w:szCs w:val="22"/>
          <w:color w:val="auto"/>
        </w:rPr>
        <w:t xml:space="preserve">, </w:t>
      </w:r>
      <w:r>
        <w:rPr>
          <w:rFonts w:ascii="Arial" w:cs="Arial" w:eastAsia="Arial" w:hAnsi="Arial"/>
          <w:sz w:val="17"/>
          <w:szCs w:val="17"/>
          <w:i w:val="1"/>
          <w:iCs w:val="1"/>
          <w:color w:val="auto"/>
        </w:rPr>
        <w:t>however</w:t>
      </w:r>
      <w:r>
        <w:rPr>
          <w:rFonts w:ascii="Arial" w:cs="Arial" w:eastAsia="Arial" w:hAnsi="Arial"/>
          <w:sz w:val="22"/>
          <w:szCs w:val="22"/>
          <w:color w:val="auto"/>
        </w:rPr>
        <w:t>, that the Committee may, subject to applicable laws, rules and regulations and such terms and conditions as it shall specify, permit the transfer of an Award, other than an Incentive Stock Option, for no consideration to a Permitted Transferee. Any Award transferred to a Permitted Transferee shall be further transferable only by last will and testament or the laws of descent and distribution or, for no consideration, to another Permitted Transferee of the Participant.</w:t>
      </w:r>
    </w:p>
    <w:p>
      <w:pPr>
        <w:spacing w:after="0" w:line="218" w:lineRule="exact"/>
        <w:rPr>
          <w:sz w:val="20"/>
          <w:szCs w:val="20"/>
          <w:color w:val="auto"/>
        </w:rPr>
      </w:pPr>
    </w:p>
    <w:p>
      <w:pPr>
        <w:jc w:val="both"/>
        <w:ind w:firstLine="284"/>
        <w:spacing w:after="0"/>
        <w:rPr>
          <w:sz w:val="20"/>
          <w:szCs w:val="20"/>
          <w:color w:val="auto"/>
        </w:rPr>
      </w:pPr>
      <w:r>
        <w:rPr>
          <w:rFonts w:ascii="Arial" w:cs="Arial" w:eastAsia="Arial" w:hAnsi="Arial"/>
          <w:sz w:val="22"/>
          <w:szCs w:val="22"/>
          <w:color w:val="auto"/>
        </w:rPr>
        <w:t>(b)</w:t>
      </w:r>
      <w:r>
        <w:rPr>
          <w:rFonts w:ascii="Arial" w:cs="Arial" w:eastAsia="Arial" w:hAnsi="Arial"/>
          <w:sz w:val="17"/>
          <w:szCs w:val="17"/>
          <w:u w:val="single" w:color="auto"/>
          <w:color w:val="auto"/>
        </w:rPr>
        <w:t>Award Exercisable Only by Participant</w:t>
      </w:r>
      <w:r>
        <w:rPr>
          <w:rFonts w:ascii="Arial" w:cs="Arial" w:eastAsia="Arial" w:hAnsi="Arial"/>
          <w:sz w:val="22"/>
          <w:szCs w:val="22"/>
          <w:color w:val="auto"/>
        </w:rPr>
        <w:t>. During the lifetime of a Participant, an Award shall be exercisable only by the Participant or by a Permitted Transferee to whom such Award has been transferred in accordance with Section 12(a) above. The grant of an Award shall impose no obligation on a Participant to exercise or settle the Award.</w:t>
      </w:r>
    </w:p>
    <w:p>
      <w:pPr>
        <w:spacing w:after="0" w:line="213"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9"/>
          <w:szCs w:val="19"/>
          <w:color w:val="auto"/>
        </w:rPr>
        <w:t>(c)</w:t>
      </w:r>
      <w:r>
        <w:rPr>
          <w:rFonts w:ascii="Arial" w:cs="Arial" w:eastAsia="Arial" w:hAnsi="Arial"/>
          <w:sz w:val="15"/>
          <w:szCs w:val="15"/>
          <w:u w:val="single" w:color="auto"/>
          <w:color w:val="auto"/>
        </w:rPr>
        <w:t>Beneficiary Designation</w:t>
      </w:r>
      <w:r>
        <w:rPr>
          <w:rFonts w:ascii="Arial" w:cs="Arial" w:eastAsia="Arial" w:hAnsi="Arial"/>
          <w:sz w:val="19"/>
          <w:szCs w:val="19"/>
          <w:color w:val="auto"/>
        </w:rPr>
        <w:t>. The beneficiary or beneficiaries of the Participant to whom any benefit under the Plan is to be paid in case of his death before he receives any or all of such benefit shall be determined under the Company's Group Life Insurance Plan. A Participant may, from time to time, name any beneficiary or beneficiaries to receive any benefit in case of his death before he receives any or all of such benefit. Each such designation shall revoke all prior designations by the same Participant, including the beneficiary designated under the Company's Group Life Insurance Plan, and will be effective only when filed by the Participant in writing (in such form or manner as may be prescribed by the Committee) with the Company during the Participant's lifetime. In the absence of a valid designation under the Company's Group Life Insurance Plan or otherwise, if no validly designated beneficiary survives the Participant or if each surviving validly designated beneficiary is legally impaired or prohibited from receiving the benefits under an Award, the Participant's beneficiary shall be the Participant's estate.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13.Recapitalization or Reorganization</w:t>
      </w:r>
    </w:p>
    <w:p>
      <w:pPr>
        <w:spacing w:after="0" w:line="25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9"/>
          <w:szCs w:val="19"/>
          <w:color w:val="auto"/>
        </w:rPr>
        <w:t>(a)</w:t>
      </w:r>
      <w:r>
        <w:rPr>
          <w:rFonts w:ascii="Arial" w:cs="Arial" w:eastAsia="Arial" w:hAnsi="Arial"/>
          <w:sz w:val="15"/>
          <w:szCs w:val="15"/>
          <w:u w:val="single" w:color="auto"/>
          <w:color w:val="auto"/>
        </w:rPr>
        <w:t>Authority of the Company and Stockholders</w:t>
      </w:r>
      <w:r>
        <w:rPr>
          <w:rFonts w:ascii="Arial" w:cs="Arial" w:eastAsia="Arial" w:hAnsi="Arial"/>
          <w:sz w:val="19"/>
          <w:szCs w:val="19"/>
          <w:color w:val="auto"/>
        </w:rPr>
        <w:t>. The existence of the Plan, the Award Documents and the Awards granted hereunder shall not affect or restrict in any way the right or power of the Company or the stockholders of the Company to make or authorize any adjustment, recapitalization, reorganization or other change in the Company’s capital structure or business, any merger or 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180" w:lineRule="exact"/>
        <w:rPr>
          <w:sz w:val="20"/>
          <w:szCs w:val="20"/>
          <w:color w:val="auto"/>
        </w:rPr>
      </w:pPr>
    </w:p>
    <w:p>
      <w:pPr>
        <w:jc w:val="both"/>
        <w:ind w:firstLine="365"/>
        <w:spacing w:after="0" w:line="272" w:lineRule="auto"/>
        <w:rPr>
          <w:sz w:val="20"/>
          <w:szCs w:val="20"/>
          <w:color w:val="auto"/>
        </w:rPr>
      </w:pPr>
      <w:r>
        <w:rPr>
          <w:rFonts w:ascii="Arial" w:cs="Arial" w:eastAsia="Arial" w:hAnsi="Arial"/>
          <w:sz w:val="19"/>
          <w:szCs w:val="19"/>
          <w:color w:val="auto"/>
        </w:rPr>
        <w:t>(b)</w:t>
      </w:r>
      <w:r>
        <w:rPr>
          <w:rFonts w:ascii="Arial" w:cs="Arial" w:eastAsia="Arial" w:hAnsi="Arial"/>
          <w:sz w:val="15"/>
          <w:szCs w:val="15"/>
          <w:u w:val="single" w:color="auto"/>
          <w:color w:val="auto"/>
        </w:rPr>
        <w:t>Change in Capitalization</w:t>
      </w:r>
      <w:r>
        <w:rPr>
          <w:rFonts w:ascii="Arial" w:cs="Arial" w:eastAsia="Arial" w:hAnsi="Arial"/>
          <w:sz w:val="19"/>
          <w:szCs w:val="19"/>
          <w:color w:val="auto"/>
        </w:rPr>
        <w:t>. Notwithstanding any provision of the Plan or any Award Document, the number and kind of Shares authorized for issuance under Section 5 of the Plan, including the maximum number of Shares available under the special limits provided for in Section 5(c), may be equitably adjusted in the sole discretion of the Committee in the event of a stock split, reverse stock spit, stock dividend, recapitalization, reorganization, partial or complete liquidation, reclassification, merger, consolidation, separation, extraordinary cash dividend, split-up, spin-off, combination, exchange of Shares, warrants or rights offering to purchase Shares at a price substantially below Fair Market Value, or any other corporate event or distribution of stock or property of the Company affecting the Shares in order to preserve, but not increase, the benefits or potential benefits intended to be made available under the Plan. In addition, upon the occurrence of any of the foregoing events, the number and kind of Shares subject to any outstanding Award and the exercise price per Share (or the grant price per Share, as the case may be), if any, under any outstanding Award may be equitably adjusted (including by payment of cash to a Participant) in the sole discretion of the Committee in order to preserve the benefits or potential benefits intended to be made available to Participants. Such adjustments shall be made by the Committee. Unless otherwise determined by the Committee, such adjusted Awards shall be subject to the same restrictions and vesting or settlement schedule to which the underlying Award is subject.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14.Term of the Plan</w:t>
      </w:r>
    </w:p>
    <w:p>
      <w:pPr>
        <w:spacing w:after="0" w:line="253" w:lineRule="exact"/>
        <w:rPr>
          <w:sz w:val="20"/>
          <w:szCs w:val="20"/>
          <w:color w:val="auto"/>
        </w:rPr>
      </w:pPr>
    </w:p>
    <w:p>
      <w:pPr>
        <w:jc w:val="both"/>
        <w:ind w:firstLine="311"/>
        <w:spacing w:after="0" w:line="193" w:lineRule="auto"/>
        <w:rPr>
          <w:sz w:val="20"/>
          <w:szCs w:val="20"/>
          <w:color w:val="auto"/>
        </w:rPr>
      </w:pPr>
      <w:r>
        <w:rPr>
          <w:rFonts w:ascii="Arial" w:cs="Arial" w:eastAsia="Arial" w:hAnsi="Arial"/>
          <w:sz w:val="22"/>
          <w:szCs w:val="22"/>
          <w:color w:val="auto"/>
        </w:rPr>
        <w:t>Unless earlier terminated pursuant to Section 16, the Plan shall terminate on the tenth (10</w:t>
      </w:r>
      <w:r>
        <w:rPr>
          <w:rFonts w:ascii="Arial" w:cs="Arial" w:eastAsia="Arial" w:hAnsi="Arial"/>
          <w:sz w:val="30"/>
          <w:szCs w:val="30"/>
          <w:color w:val="auto"/>
          <w:vertAlign w:val="superscript"/>
        </w:rPr>
        <w:t>th</w:t>
      </w:r>
      <w:r>
        <w:rPr>
          <w:rFonts w:ascii="Arial" w:cs="Arial" w:eastAsia="Arial" w:hAnsi="Arial"/>
          <w:sz w:val="22"/>
          <w:szCs w:val="22"/>
          <w:color w:val="auto"/>
        </w:rPr>
        <w:t>) anniversary of the Effective Date, except with respect to Awards then outstanding. No Awards may be granted under the Plan after the tenth (10</w:t>
      </w:r>
      <w:r>
        <w:rPr>
          <w:rFonts w:ascii="Arial" w:cs="Arial" w:eastAsia="Arial" w:hAnsi="Arial"/>
          <w:sz w:val="30"/>
          <w:szCs w:val="30"/>
          <w:color w:val="auto"/>
          <w:vertAlign w:val="superscript"/>
        </w:rPr>
        <w:t>th</w:t>
      </w:r>
      <w:r>
        <w:rPr>
          <w:rFonts w:ascii="Arial" w:cs="Arial" w:eastAsia="Arial" w:hAnsi="Arial"/>
          <w:sz w:val="22"/>
          <w:szCs w:val="22"/>
          <w:color w:val="auto"/>
        </w:rPr>
        <w:t>) anniversary of the Effective Date.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15.Effective Date</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Plan shall become effective on the Effective Date, subject to approval by the stockholders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16.Amendment and Termination</w:t>
      </w:r>
    </w:p>
    <w:p>
      <w:pPr>
        <w:spacing w:after="0" w:line="254" w:lineRule="exact"/>
        <w:rPr>
          <w:sz w:val="20"/>
          <w:szCs w:val="20"/>
          <w:color w:val="auto"/>
        </w:rPr>
      </w:pPr>
    </w:p>
    <w:p>
      <w:pPr>
        <w:jc w:val="both"/>
        <w:ind w:firstLine="297"/>
        <w:spacing w:after="0" w:line="245" w:lineRule="auto"/>
        <w:rPr>
          <w:sz w:val="20"/>
          <w:szCs w:val="20"/>
          <w:color w:val="auto"/>
        </w:rPr>
      </w:pPr>
      <w:r>
        <w:rPr>
          <w:rFonts w:ascii="Arial" w:cs="Arial" w:eastAsia="Arial" w:hAnsi="Arial"/>
          <w:sz w:val="21"/>
          <w:szCs w:val="21"/>
          <w:color w:val="auto"/>
        </w:rPr>
        <w:t xml:space="preserve">Subject to applicable laws, rules and regulations, the Board may at any time terminate or, from time to time, amend, modify or suspend the Plan; </w:t>
      </w:r>
      <w:r>
        <w:rPr>
          <w:rFonts w:ascii="Arial" w:cs="Arial" w:eastAsia="Arial" w:hAnsi="Arial"/>
          <w:sz w:val="16"/>
          <w:szCs w:val="16"/>
          <w:i w:val="1"/>
          <w:iCs w:val="1"/>
          <w:color w:val="auto"/>
        </w:rPr>
        <w:t>provided</w:t>
      </w:r>
      <w:r>
        <w:rPr>
          <w:rFonts w:ascii="Arial" w:cs="Arial" w:eastAsia="Arial" w:hAnsi="Arial"/>
          <w:sz w:val="21"/>
          <w:szCs w:val="21"/>
          <w:color w:val="auto"/>
        </w:rPr>
        <w:t xml:space="preserve">, </w:t>
      </w:r>
      <w:r>
        <w:rPr>
          <w:rFonts w:ascii="Arial" w:cs="Arial" w:eastAsia="Arial" w:hAnsi="Arial"/>
          <w:sz w:val="16"/>
          <w:szCs w:val="16"/>
          <w:i w:val="1"/>
          <w:iCs w:val="1"/>
          <w:color w:val="auto"/>
        </w:rPr>
        <w:t>however</w:t>
      </w:r>
      <w:r>
        <w:rPr>
          <w:rFonts w:ascii="Arial" w:cs="Arial" w:eastAsia="Arial" w:hAnsi="Arial"/>
          <w:sz w:val="21"/>
          <w:szCs w:val="21"/>
          <w:color w:val="auto"/>
        </w:rPr>
        <w:t>, that no termination, amendment, modification or suspension (i) will be effective without the approval of the stockholders of the Company if such approval is required under applicable laws, rules and regulations, including the rules of NASDAQ and (ii) shall materially and adversely alter or impair the rights of a Participant in any Award previously made under the Plan without the consent of the holder thereof. Notwithstanding the foregoing, the Board shall have broad authority to amend the Plan or any Award under the Plan without the consent of a Participant to the extent it deems necessary or desirable (a) to comply with, take into account changes in, or interpretations of, applicable tax laws, securities laws, employment laws, accounting rules and other applicable laws, rules and regulations, (b) to take into account unusual or nonrecurring events or market conditions (including, without limitation, the events described in Section 13(b)), or (c) to take into account significant acquisitions or dispositions of assets or other property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17.Miscellaneous</w:t>
      </w:r>
    </w:p>
    <w:p>
      <w:pPr>
        <w:spacing w:after="0" w:line="25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9"/>
          <w:szCs w:val="19"/>
          <w:color w:val="auto"/>
        </w:rPr>
        <w:t>(a)</w:t>
      </w:r>
      <w:r>
        <w:rPr>
          <w:rFonts w:ascii="Arial" w:cs="Arial" w:eastAsia="Arial" w:hAnsi="Arial"/>
          <w:sz w:val="15"/>
          <w:szCs w:val="15"/>
          <w:u w:val="single" w:color="auto"/>
          <w:color w:val="auto"/>
        </w:rPr>
        <w:t>Tax Withholding</w:t>
      </w:r>
      <w:r>
        <w:rPr>
          <w:rFonts w:ascii="Arial" w:cs="Arial" w:eastAsia="Arial" w:hAnsi="Arial"/>
          <w:sz w:val="19"/>
          <w:szCs w:val="19"/>
          <w:color w:val="auto"/>
        </w:rPr>
        <w:t>. The Company or a Subsidiary, as appropriate, may require any individual entitled to receive a payment of an Award to remit to the Company, prior to payment, an amount sufficient to satisfy any applicable tax withholding requirements. In the case of an Award payable in Shares, the Company or a Subsidiary, as appropriate, may permit or require a Participant to satisfy, in whole or in part, such obligation to remit taxes by directing the Company to withhold shares that would otherwise be received by such individual or to repurchase shares that were issued to the Participant to satisfy the minimum statutory withholding rates for any applicable tax withholding purposes, in accordance with all applicable laws and pursuant to such rules as the Committee may establish from time to time. The Company or a Subsidiary, as appropriate, shall also have the right to deduct from all cash payments made to a Participant (whether or not such payment is made in connection with an Award) any applicable taxes required to be withheld with respect to such payments.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5" w:name="page116"/>
    <w:bookmarkEnd w:id="115"/>
    <w:p>
      <w:pPr>
        <w:jc w:val="both"/>
        <w:ind w:firstLine="270"/>
        <w:spacing w:after="0" w:line="274" w:lineRule="auto"/>
        <w:rPr>
          <w:sz w:val="20"/>
          <w:szCs w:val="20"/>
          <w:color w:val="auto"/>
        </w:rPr>
      </w:pPr>
      <w:r>
        <w:rPr>
          <w:rFonts w:ascii="Arial" w:cs="Arial" w:eastAsia="Arial" w:hAnsi="Arial"/>
          <w:sz w:val="19"/>
          <w:szCs w:val="19"/>
          <w:color w:val="auto"/>
        </w:rPr>
        <w:t>(b)</w:t>
      </w:r>
      <w:r>
        <w:rPr>
          <w:rFonts w:ascii="Arial" w:cs="Arial" w:eastAsia="Arial" w:hAnsi="Arial"/>
          <w:sz w:val="15"/>
          <w:szCs w:val="15"/>
          <w:u w:val="single" w:color="auto"/>
          <w:color w:val="auto"/>
        </w:rPr>
        <w:t>No Right to Awards or Employment</w:t>
      </w:r>
      <w:r>
        <w:rPr>
          <w:rFonts w:ascii="Arial" w:cs="Arial" w:eastAsia="Arial" w:hAnsi="Arial"/>
          <w:sz w:val="19"/>
          <w:szCs w:val="19"/>
          <w:color w:val="auto"/>
        </w:rPr>
        <w:t>. No person shall have any claim or right to receive Awards under the Plan. Neither the Plan, the grant of Awards under the Plan nor any action taken or omitted to be taken under the Plan shall be deemed to create or confer on any Eligible Individual any right to be retained in the employ of the Company or any Subsidiary or other affiliate thereof, or to interfere with or to limit in any way the right of the Company or any Subsidiary or other affiliate thereof to terminate the employment of such Eligible Individual at any time. No Award shall constitute salary, recurrent compensation or contractual compensation for the year of grant, any later year or any other period of time. Payments received by a Participant under any Award made pursuant to the Plan shall not be included in, nor have any effect on, the determination of employment-related rights or benefits under any other employee benefit plan or similar arrangement provided by the Company and the Subsidiaries, unless otherwise specifically provided for under the terms of such plan or arrangement or by the Committee.</w:t>
      </w:r>
    </w:p>
    <w:p>
      <w:pPr>
        <w:spacing w:after="0" w:line="186"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9"/>
          <w:szCs w:val="19"/>
          <w:color w:val="auto"/>
        </w:rPr>
        <w:t>(c)</w:t>
      </w:r>
      <w:r>
        <w:rPr>
          <w:rFonts w:ascii="Arial" w:cs="Arial" w:eastAsia="Arial" w:hAnsi="Arial"/>
          <w:sz w:val="15"/>
          <w:szCs w:val="15"/>
          <w:u w:val="single" w:color="auto"/>
          <w:color w:val="auto"/>
        </w:rPr>
        <w:t>Securities Law Restrictions</w:t>
      </w:r>
      <w:r>
        <w:rPr>
          <w:rFonts w:ascii="Arial" w:cs="Arial" w:eastAsia="Arial" w:hAnsi="Arial"/>
          <w:sz w:val="19"/>
          <w:szCs w:val="19"/>
          <w:color w:val="auto"/>
        </w:rPr>
        <w:t>. An Award may not be exercised or settled, and no Shares may be issued in connection with an Award, unless the issuance of such shares (i) has been registered under the Securities Act of 1933, as amended, (ii) has qualified under applicable state “blue sky” laws (or the Company has determined that an exemption from registration and from qualification under such state “blue sky” laws is available) and (iii) complies with all applicable foreign securities laws. The Committee may require each Participant purchasing or acquiring Shares pursuant to an Award under the Plan to represent to and agree with the Company in writing that such Eligible Individual is acquiring the Shares for investment purposes and not with a view to the distribution thereof. All certificates for Shares delivered under the Plan shall be subject to such stock-transfer orders and other restrictions as the Committee may deem advisable under the rules, regulations, and other requirements of the Securities and Exchange Commission, any exchange upon which the Shares are then listed, and any applicable securities law, and the Committee may cause a legend or legends to be put on any such certificates to make appropriate reference to such restrictions.</w:t>
      </w:r>
    </w:p>
    <w:p>
      <w:pPr>
        <w:spacing w:after="0" w:line="189" w:lineRule="exact"/>
        <w:rPr>
          <w:sz w:val="20"/>
          <w:szCs w:val="20"/>
          <w:color w:val="auto"/>
        </w:rPr>
      </w:pPr>
    </w:p>
    <w:p>
      <w:pPr>
        <w:jc w:val="both"/>
        <w:ind w:firstLine="297"/>
        <w:spacing w:after="0" w:line="235" w:lineRule="auto"/>
        <w:rPr>
          <w:sz w:val="20"/>
          <w:szCs w:val="20"/>
          <w:color w:val="auto"/>
        </w:rPr>
      </w:pPr>
      <w:r>
        <w:rPr>
          <w:rFonts w:ascii="Arial" w:cs="Arial" w:eastAsia="Arial" w:hAnsi="Arial"/>
          <w:sz w:val="22"/>
          <w:szCs w:val="22"/>
          <w:color w:val="auto"/>
        </w:rPr>
        <w:t>(d)</w:t>
      </w:r>
      <w:r>
        <w:rPr>
          <w:rFonts w:ascii="Arial" w:cs="Arial" w:eastAsia="Arial" w:hAnsi="Arial"/>
          <w:sz w:val="17"/>
          <w:szCs w:val="17"/>
          <w:u w:val="single" w:color="auto"/>
          <w:color w:val="auto"/>
        </w:rPr>
        <w:t>Section 162(m) of the Code</w:t>
      </w:r>
      <w:r>
        <w:rPr>
          <w:rFonts w:ascii="Arial" w:cs="Arial" w:eastAsia="Arial" w:hAnsi="Arial"/>
          <w:sz w:val="22"/>
          <w:szCs w:val="22"/>
          <w:color w:val="auto"/>
        </w:rPr>
        <w:t xml:space="preserve">. The Plan is intended to comply in all respects with Section 162(m) of the Code; </w:t>
      </w:r>
      <w:r>
        <w:rPr>
          <w:rFonts w:ascii="Arial" w:cs="Arial" w:eastAsia="Arial" w:hAnsi="Arial"/>
          <w:sz w:val="17"/>
          <w:szCs w:val="17"/>
          <w:i w:val="1"/>
          <w:iCs w:val="1"/>
          <w:color w:val="auto"/>
        </w:rPr>
        <w:t>provided</w:t>
      </w:r>
      <w:r>
        <w:rPr>
          <w:rFonts w:ascii="Arial" w:cs="Arial" w:eastAsia="Arial" w:hAnsi="Arial"/>
          <w:sz w:val="22"/>
          <w:szCs w:val="22"/>
          <w:color w:val="auto"/>
        </w:rPr>
        <w:t xml:space="preserve">, </w:t>
      </w:r>
      <w:r>
        <w:rPr>
          <w:rFonts w:ascii="Arial" w:cs="Arial" w:eastAsia="Arial" w:hAnsi="Arial"/>
          <w:sz w:val="17"/>
          <w:szCs w:val="17"/>
          <w:i w:val="1"/>
          <w:iCs w:val="1"/>
          <w:color w:val="auto"/>
        </w:rPr>
        <w:t>however</w:t>
      </w:r>
      <w:r>
        <w:rPr>
          <w:rFonts w:ascii="Arial" w:cs="Arial" w:eastAsia="Arial" w:hAnsi="Arial"/>
          <w:sz w:val="22"/>
          <w:szCs w:val="22"/>
          <w:color w:val="auto"/>
        </w:rPr>
        <w:t>, that in the event the Committee determines that compliance with Section 162(m) of the Code is not desired with respect to a particular Award, compliance with Section 162(m) of the Code will not be required. In addition, if any provision of this Plan would cause Awards that are intended to constitute “qualified performance-based compensation” under Section 162(m) of the Code, to fail to so qualify, that provision shall be severed from, and shall be deemed not to be a part of, the Plan, but the other provisions hereof shall remain in full force and effect.</w:t>
      </w:r>
    </w:p>
    <w:p>
      <w:pPr>
        <w:spacing w:after="0" w:line="215"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19"/>
          <w:szCs w:val="19"/>
          <w:color w:val="auto"/>
        </w:rPr>
        <w:t>(e)</w:t>
      </w:r>
      <w:r>
        <w:rPr>
          <w:rFonts w:ascii="Arial" w:cs="Arial" w:eastAsia="Arial" w:hAnsi="Arial"/>
          <w:sz w:val="15"/>
          <w:szCs w:val="15"/>
          <w:u w:val="single" w:color="auto"/>
          <w:color w:val="auto"/>
        </w:rPr>
        <w:t>Section 409A of the Code</w:t>
      </w:r>
      <w:r>
        <w:rPr>
          <w:rFonts w:ascii="Arial" w:cs="Arial" w:eastAsia="Arial" w:hAnsi="Arial"/>
          <w:sz w:val="19"/>
          <w:szCs w:val="19"/>
          <w:color w:val="auto"/>
        </w:rPr>
        <w:t>. Notwithstanding any contrary provision in the Plan or an Award Document, if any provision of the Plan or an Award Document contravenes any regulations or guidance promulgated under Section 409A of the Code or would cause an Award to be subject to additional taxes, accelerated taxation, interest and/or penalties under Section 409A of the Code, such provision of the Plan or Award Document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186"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19"/>
          <w:szCs w:val="19"/>
          <w:color w:val="auto"/>
        </w:rPr>
        <w:t>(f)</w:t>
      </w:r>
      <w:r>
        <w:rPr>
          <w:rFonts w:ascii="Arial" w:cs="Arial" w:eastAsia="Arial" w:hAnsi="Arial"/>
          <w:sz w:val="15"/>
          <w:szCs w:val="15"/>
          <w:u w:val="single" w:color="auto"/>
          <w:color w:val="auto"/>
        </w:rPr>
        <w:t>Awards to Individuals Subject to Laws of a Jurisdiction Outside of the United States</w:t>
      </w:r>
      <w:r>
        <w:rPr>
          <w:rFonts w:ascii="Arial" w:cs="Arial" w:eastAsia="Arial" w:hAnsi="Arial"/>
          <w:sz w:val="19"/>
          <w:szCs w:val="19"/>
          <w:color w:val="auto"/>
        </w:rPr>
        <w:t>. To the extent that Awards under the Plan are awarded to Eligible Individuals who are domiciled or resident outside of the United States or to persons who are domiciled or resident in the United States but who are subject to the tax laws of a jurisdiction outside of the United States, the Committee may adjust the terms of the Awards granted hereunder to such person (i) to comply with the laws, rules and regulations of such jurisdiction and (ii) to permit the grant of the Award not to be a taxable event to the Participant. The authority granted under the previous sentence shall include the discretion for the Committee to adopt, on behalf of the Company, one or more sub-plans applicable to separate classes of Eligible Individuals who are subject to the laws of jurisdictions outside of the United States.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both"/>
        <w:ind w:firstLine="297"/>
        <w:spacing w:after="0" w:line="238" w:lineRule="auto"/>
        <w:rPr>
          <w:sz w:val="20"/>
          <w:szCs w:val="20"/>
          <w:color w:val="auto"/>
        </w:rPr>
      </w:pPr>
      <w:r>
        <w:rPr>
          <w:rFonts w:ascii="Arial" w:cs="Arial" w:eastAsia="Arial" w:hAnsi="Arial"/>
          <w:sz w:val="22"/>
          <w:szCs w:val="22"/>
          <w:color w:val="auto"/>
        </w:rPr>
        <w:t>(g)</w:t>
      </w:r>
      <w:r>
        <w:rPr>
          <w:rFonts w:ascii="Arial" w:cs="Arial" w:eastAsia="Arial" w:hAnsi="Arial"/>
          <w:sz w:val="17"/>
          <w:szCs w:val="17"/>
          <w:u w:val="single" w:color="auto"/>
          <w:color w:val="auto"/>
        </w:rPr>
        <w:t>Satisfaction of Obligations</w:t>
      </w:r>
      <w:r>
        <w:rPr>
          <w:rFonts w:ascii="Arial" w:cs="Arial" w:eastAsia="Arial" w:hAnsi="Arial"/>
          <w:sz w:val="22"/>
          <w:szCs w:val="22"/>
          <w:color w:val="auto"/>
        </w:rPr>
        <w:t>. Subject to applicable law, the Company may apply any cash, Shares, securities or other consideration received upon exercise or settlement of an Award to any obligations a Participant owes to the Company and the Subsidiaries in connection with the Plan or otherwise, including, without limitation, any tax obligations or obligations under a currency facility established in connection with the Plan.</w:t>
      </w:r>
    </w:p>
    <w:p>
      <w:pPr>
        <w:spacing w:after="0" w:line="213"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9"/>
          <w:szCs w:val="19"/>
          <w:color w:val="auto"/>
        </w:rPr>
        <w:t>(h)</w:t>
      </w:r>
      <w:r>
        <w:rPr>
          <w:rFonts w:ascii="Arial" w:cs="Arial" w:eastAsia="Arial" w:hAnsi="Arial"/>
          <w:sz w:val="15"/>
          <w:szCs w:val="15"/>
          <w:u w:val="single" w:color="auto"/>
          <w:color w:val="auto"/>
        </w:rPr>
        <w:t>No Limitation on Corporate Actions</w:t>
      </w:r>
      <w:r>
        <w:rPr>
          <w:rFonts w:ascii="Arial" w:cs="Arial" w:eastAsia="Arial" w:hAnsi="Arial"/>
          <w:sz w:val="19"/>
          <w:szCs w:val="19"/>
          <w:color w:val="auto"/>
        </w:rPr>
        <w:t>. Nothing contained in the Plan shall be construed to prevent the Company or any Subsidiary from taking any corporate action, whether or not such action would have an adverse effect on any Awards made under the Plan. No Participant, beneficiary or other person shall have any claim against the Company or any Subsidiary as a result of any such action.</w:t>
      </w:r>
    </w:p>
    <w:p>
      <w:pPr>
        <w:spacing w:after="0" w:line="161" w:lineRule="exact"/>
        <w:rPr>
          <w:sz w:val="20"/>
          <w:szCs w:val="20"/>
          <w:color w:val="auto"/>
        </w:rPr>
      </w:pPr>
    </w:p>
    <w:p>
      <w:pPr>
        <w:jc w:val="both"/>
        <w:ind w:firstLine="297"/>
        <w:spacing w:after="0" w:line="236" w:lineRule="auto"/>
        <w:rPr>
          <w:sz w:val="20"/>
          <w:szCs w:val="20"/>
          <w:color w:val="auto"/>
        </w:rPr>
      </w:pPr>
      <w:r>
        <w:rPr>
          <w:rFonts w:ascii="Arial" w:cs="Arial" w:eastAsia="Arial" w:hAnsi="Arial"/>
          <w:sz w:val="22"/>
          <w:szCs w:val="22"/>
          <w:color w:val="auto"/>
        </w:rPr>
        <w:t>(i)</w:t>
      </w:r>
      <w:r>
        <w:rPr>
          <w:rFonts w:ascii="Arial" w:cs="Arial" w:eastAsia="Arial" w:hAnsi="Arial"/>
          <w:sz w:val="17"/>
          <w:szCs w:val="17"/>
          <w:u w:val="single" w:color="auto"/>
          <w:color w:val="auto"/>
        </w:rPr>
        <w:t>Unfunded Plan</w:t>
      </w:r>
      <w:r>
        <w:rPr>
          <w:rFonts w:ascii="Arial" w:cs="Arial" w:eastAsia="Arial" w:hAnsi="Arial"/>
          <w:sz w:val="17"/>
          <w:szCs w:val="17"/>
          <w:i w:val="1"/>
          <w:iCs w:val="1"/>
          <w:color w:val="auto"/>
        </w:rPr>
        <w:t>.</w:t>
      </w:r>
      <w:r>
        <w:rPr>
          <w:rFonts w:ascii="Arial" w:cs="Arial" w:eastAsia="Arial" w:hAnsi="Arial"/>
          <w:sz w:val="22"/>
          <w:szCs w:val="22"/>
          <w:color w:val="auto"/>
        </w:rPr>
        <w:t xml:space="preserve"> The Plan is intended to constitute an unfunded plan for incentive compensation. Prior to the issuance of Shares, cash or other form of payment in connection with an Award, nothing contained herein shall give any Participant any rights that are greater than those of a general unsecured creditor of the Company. The Committee may, but is not obligated, to authorize the creation of trusts or other arrangements to meet the obligations created under the Plan to deliver Shares with respect to awards hereunder.</w:t>
      </w:r>
    </w:p>
    <w:p>
      <w:pPr>
        <w:spacing w:after="0" w:line="215"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21"/>
          <w:szCs w:val="21"/>
          <w:color w:val="auto"/>
        </w:rPr>
        <w:t>(j)</w:t>
      </w:r>
      <w:r>
        <w:rPr>
          <w:rFonts w:ascii="Arial" w:cs="Arial" w:eastAsia="Arial" w:hAnsi="Arial"/>
          <w:sz w:val="16"/>
          <w:szCs w:val="16"/>
          <w:u w:val="single" w:color="auto"/>
          <w:color w:val="auto"/>
        </w:rPr>
        <w:t>Successors</w:t>
      </w:r>
      <w:r>
        <w:rPr>
          <w:rFonts w:ascii="Arial" w:cs="Arial" w:eastAsia="Arial" w:hAnsi="Arial"/>
          <w:sz w:val="21"/>
          <w:szCs w:val="21"/>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4"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22"/>
          <w:szCs w:val="22"/>
          <w:color w:val="auto"/>
        </w:rPr>
        <w:t>(k)</w:t>
      </w:r>
      <w:r>
        <w:rPr>
          <w:rFonts w:ascii="Arial" w:cs="Arial" w:eastAsia="Arial" w:hAnsi="Arial"/>
          <w:sz w:val="17"/>
          <w:szCs w:val="17"/>
          <w:u w:val="single" w:color="auto"/>
          <w:color w:val="auto"/>
        </w:rPr>
        <w:t>Application of Funds</w:t>
      </w:r>
      <w:r>
        <w:rPr>
          <w:rFonts w:ascii="Arial" w:cs="Arial" w:eastAsia="Arial" w:hAnsi="Arial"/>
          <w:sz w:val="22"/>
          <w:szCs w:val="22"/>
          <w:color w:val="auto"/>
        </w:rPr>
        <w:t>. The proceeds received by the Company from the sale of Shares pursuant to Awards will be used for general corporate purposes.</w:t>
      </w:r>
    </w:p>
    <w:p>
      <w:pPr>
        <w:spacing w:after="0" w:line="200" w:lineRule="exact"/>
        <w:rPr>
          <w:sz w:val="20"/>
          <w:szCs w:val="20"/>
          <w:color w:val="auto"/>
        </w:rPr>
      </w:pPr>
    </w:p>
    <w:p>
      <w:pPr>
        <w:jc w:val="both"/>
        <w:ind w:firstLine="270"/>
        <w:spacing w:after="0" w:line="274" w:lineRule="auto"/>
        <w:rPr>
          <w:sz w:val="20"/>
          <w:szCs w:val="20"/>
          <w:color w:val="auto"/>
        </w:rPr>
      </w:pPr>
      <w:r>
        <w:rPr>
          <w:rFonts w:ascii="Arial" w:cs="Arial" w:eastAsia="Arial" w:hAnsi="Arial"/>
          <w:sz w:val="21"/>
          <w:szCs w:val="21"/>
          <w:color w:val="auto"/>
        </w:rPr>
        <w:t>(l)</w:t>
      </w:r>
      <w:r>
        <w:rPr>
          <w:rFonts w:ascii="Arial" w:cs="Arial" w:eastAsia="Arial" w:hAnsi="Arial"/>
          <w:sz w:val="16"/>
          <w:szCs w:val="16"/>
          <w:u w:val="single" w:color="auto"/>
          <w:color w:val="auto"/>
        </w:rPr>
        <w:t>Award Document</w:t>
      </w:r>
      <w:r>
        <w:rPr>
          <w:rFonts w:ascii="Arial" w:cs="Arial" w:eastAsia="Arial" w:hAnsi="Arial"/>
          <w:sz w:val="21"/>
          <w:szCs w:val="21"/>
          <w:color w:val="auto"/>
        </w:rPr>
        <w:t>. In the event of any conflict or inconsistency between the Plan and any Award Document, the Plan shall govern and the Award Document shall be interpreted to minimize or eliminate any such conflict or inconsistency.</w:t>
      </w:r>
    </w:p>
    <w:p>
      <w:pPr>
        <w:spacing w:after="0" w:line="178"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22"/>
          <w:szCs w:val="22"/>
          <w:color w:val="auto"/>
        </w:rPr>
        <w:t>(m)</w:t>
      </w:r>
      <w:r>
        <w:rPr>
          <w:rFonts w:ascii="Arial" w:cs="Arial" w:eastAsia="Arial" w:hAnsi="Arial"/>
          <w:sz w:val="17"/>
          <w:szCs w:val="17"/>
          <w:u w:val="single" w:color="auto"/>
          <w:color w:val="auto"/>
        </w:rPr>
        <w:t>Headings</w:t>
      </w:r>
      <w:r>
        <w:rPr>
          <w:rFonts w:ascii="Arial" w:cs="Arial" w:eastAsia="Arial" w:hAnsi="Arial"/>
          <w:sz w:val="22"/>
          <w:szCs w:val="22"/>
          <w:color w:val="auto"/>
        </w:rPr>
        <w:t>. The headings of Sections herein are included solely for convenience of reference and shall not affect the meaning of any of the provisions of the Plan.</w:t>
      </w:r>
    </w:p>
    <w:p>
      <w:pPr>
        <w:spacing w:after="0" w:line="200" w:lineRule="exact"/>
        <w:rPr>
          <w:sz w:val="20"/>
          <w:szCs w:val="20"/>
          <w:color w:val="auto"/>
        </w:rPr>
      </w:pPr>
    </w:p>
    <w:p>
      <w:pPr>
        <w:jc w:val="both"/>
        <w:ind w:firstLine="284"/>
        <w:spacing w:after="0"/>
        <w:rPr>
          <w:sz w:val="20"/>
          <w:szCs w:val="20"/>
          <w:color w:val="auto"/>
        </w:rPr>
      </w:pPr>
      <w:r>
        <w:rPr>
          <w:rFonts w:ascii="Arial" w:cs="Arial" w:eastAsia="Arial" w:hAnsi="Arial"/>
          <w:sz w:val="22"/>
          <w:szCs w:val="22"/>
          <w:color w:val="auto"/>
        </w:rPr>
        <w:t>(n)</w:t>
      </w:r>
      <w:r>
        <w:rPr>
          <w:rFonts w:ascii="Arial" w:cs="Arial" w:eastAsia="Arial" w:hAnsi="Arial"/>
          <w:sz w:val="17"/>
          <w:szCs w:val="17"/>
          <w:u w:val="single" w:color="auto"/>
          <w:color w:val="auto"/>
        </w:rPr>
        <w:t>Severability</w:t>
      </w:r>
      <w:r>
        <w:rPr>
          <w:rFonts w:ascii="Arial" w:cs="Arial" w:eastAsia="Arial" w:hAnsi="Arial"/>
          <w:sz w:val="22"/>
          <w:szCs w:val="22"/>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w:t>
      </w:r>
      <w:r>
        <w:rPr>
          <w:rFonts w:ascii="Arial" w:cs="Arial" w:eastAsia="Arial" w:hAnsi="Arial"/>
          <w:sz w:val="17"/>
          <w:szCs w:val="17"/>
          <w:u w:val="single" w:color="auto"/>
          <w:color w:val="auto"/>
        </w:rPr>
        <w:t>Expenses</w:t>
      </w:r>
      <w:r>
        <w:rPr>
          <w:rFonts w:ascii="Arial" w:cs="Arial" w:eastAsia="Arial" w:hAnsi="Arial"/>
          <w:sz w:val="22"/>
          <w:szCs w:val="22"/>
          <w:color w:val="auto"/>
        </w:rPr>
        <w:t>. The costs and expenses of administering the Plan shall be borne by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both"/>
        <w:ind w:firstLine="270"/>
        <w:spacing w:after="0" w:line="262" w:lineRule="auto"/>
        <w:rPr>
          <w:sz w:val="20"/>
          <w:szCs w:val="20"/>
          <w:color w:val="auto"/>
        </w:rPr>
      </w:pPr>
      <w:r>
        <w:rPr>
          <w:rFonts w:ascii="Arial" w:cs="Arial" w:eastAsia="Arial" w:hAnsi="Arial"/>
          <w:sz w:val="20"/>
          <w:szCs w:val="20"/>
          <w:color w:val="auto"/>
        </w:rPr>
        <w:t>(p)</w:t>
      </w:r>
      <w:r>
        <w:rPr>
          <w:rFonts w:ascii="Arial" w:cs="Arial" w:eastAsia="Arial" w:hAnsi="Arial"/>
          <w:sz w:val="15"/>
          <w:szCs w:val="15"/>
          <w:u w:val="single" w:color="auto"/>
          <w:color w:val="auto"/>
        </w:rPr>
        <w:t>Arbitration</w:t>
      </w:r>
      <w:r>
        <w:rPr>
          <w:rFonts w:ascii="Arial" w:cs="Arial" w:eastAsia="Arial" w:hAnsi="Arial"/>
          <w:sz w:val="20"/>
          <w:szCs w:val="20"/>
          <w:color w:val="auto"/>
        </w:rPr>
        <w:t xml:space="preserve">. Any dispute, controversy or claim arising out of or relating to the Plan that cannot be resolved by the Participant on the one hand, and the Company on the other, shall be submitted to arbitration in the State of Connecticut under the National Rules for the Resolution of Employment Disputes of the American Arbitration Association; </w:t>
      </w:r>
      <w:r>
        <w:rPr>
          <w:rFonts w:ascii="Arial" w:cs="Arial" w:eastAsia="Arial" w:hAnsi="Arial"/>
          <w:sz w:val="15"/>
          <w:szCs w:val="15"/>
          <w:i w:val="1"/>
          <w:iCs w:val="1"/>
          <w:color w:val="auto"/>
        </w:rPr>
        <w:t>provided</w:t>
      </w:r>
      <w:r>
        <w:rPr>
          <w:rFonts w:ascii="Arial" w:cs="Arial" w:eastAsia="Arial" w:hAnsi="Arial"/>
          <w:sz w:val="20"/>
          <w:szCs w:val="20"/>
          <w:color w:val="auto"/>
        </w:rPr>
        <w:t xml:space="preserve">, </w:t>
      </w:r>
      <w:r>
        <w:rPr>
          <w:rFonts w:ascii="Arial" w:cs="Arial" w:eastAsia="Arial" w:hAnsi="Arial"/>
          <w:sz w:val="15"/>
          <w:szCs w:val="15"/>
          <w:i w:val="1"/>
          <w:iCs w:val="1"/>
          <w:color w:val="auto"/>
        </w:rPr>
        <w:t>however</w:t>
      </w:r>
      <w:r>
        <w:rPr>
          <w:rFonts w:ascii="Arial" w:cs="Arial" w:eastAsia="Arial" w:hAnsi="Arial"/>
          <w:sz w:val="20"/>
          <w:szCs w:val="20"/>
          <w:color w:val="auto"/>
        </w:rPr>
        <w:t xml:space="preserve">, that any such submission by the Participant must be made within one (1) year of the date of the events giving rise to such dispute, controversy or claim. The determination of the arbitrator shall be conclusive and binding on the Company and the Participant, and judgment may be entered on the arbitrator’s award in any court having jurisdiction. The expenses of such arbitration shall be borne by the Company; </w:t>
      </w:r>
      <w:r>
        <w:rPr>
          <w:rFonts w:ascii="Arial" w:cs="Arial" w:eastAsia="Arial" w:hAnsi="Arial"/>
          <w:sz w:val="15"/>
          <w:szCs w:val="15"/>
          <w:i w:val="1"/>
          <w:iCs w:val="1"/>
          <w:color w:val="auto"/>
        </w:rPr>
        <w:t>provided</w:t>
      </w:r>
      <w:r>
        <w:rPr>
          <w:rFonts w:ascii="Arial" w:cs="Arial" w:eastAsia="Arial" w:hAnsi="Arial"/>
          <w:sz w:val="20"/>
          <w:szCs w:val="20"/>
          <w:color w:val="auto"/>
        </w:rPr>
        <w:t xml:space="preserve">, </w:t>
      </w:r>
      <w:r>
        <w:rPr>
          <w:rFonts w:ascii="Arial" w:cs="Arial" w:eastAsia="Arial" w:hAnsi="Arial"/>
          <w:sz w:val="15"/>
          <w:szCs w:val="15"/>
          <w:i w:val="1"/>
          <w:iCs w:val="1"/>
          <w:color w:val="auto"/>
        </w:rPr>
        <w:t>however</w:t>
      </w:r>
      <w:r>
        <w:rPr>
          <w:rFonts w:ascii="Arial" w:cs="Arial" w:eastAsia="Arial" w:hAnsi="Arial"/>
          <w:sz w:val="19"/>
          <w:szCs w:val="19"/>
          <w:color w:val="auto"/>
        </w:rPr>
        <w:t>, that each party shall bear its own legal expenses unless the Participant is the prevailing party, in which case the Company</w:t>
      </w:r>
      <w:r>
        <w:rPr>
          <w:rFonts w:ascii="Arial" w:cs="Arial" w:eastAsia="Arial" w:hAnsi="Arial"/>
          <w:sz w:val="15"/>
          <w:szCs w:val="15"/>
          <w:i w:val="1"/>
          <w:iCs w:val="1"/>
          <w:color w:val="auto"/>
        </w:rPr>
        <w:t xml:space="preserve"> </w:t>
      </w:r>
      <w:r>
        <w:rPr>
          <w:rFonts w:ascii="Arial" w:cs="Arial" w:eastAsia="Arial" w:hAnsi="Arial"/>
          <w:sz w:val="19"/>
          <w:szCs w:val="19"/>
          <w:color w:val="auto"/>
        </w:rPr>
        <w:t>shall promptly pay or reimburse the Participant for the reasonable legal fees and expenses incurred by the Participant in connection with such contest or dispute (excluding any fees payable pursuant to a contingency fee arrangement).</w:t>
      </w:r>
    </w:p>
    <w:p>
      <w:pPr>
        <w:spacing w:after="0" w:line="197" w:lineRule="exact"/>
        <w:rPr>
          <w:sz w:val="20"/>
          <w:szCs w:val="20"/>
          <w:color w:val="auto"/>
        </w:rPr>
      </w:pPr>
    </w:p>
    <w:p>
      <w:pPr>
        <w:jc w:val="both"/>
        <w:ind w:firstLine="446"/>
        <w:spacing w:after="0" w:line="251" w:lineRule="auto"/>
        <w:rPr>
          <w:sz w:val="20"/>
          <w:szCs w:val="20"/>
          <w:color w:val="auto"/>
        </w:rPr>
      </w:pPr>
      <w:r>
        <w:rPr>
          <w:rFonts w:ascii="Arial" w:cs="Arial" w:eastAsia="Arial" w:hAnsi="Arial"/>
          <w:sz w:val="22"/>
          <w:szCs w:val="22"/>
          <w:color w:val="auto"/>
        </w:rPr>
        <w:t>(q)</w:t>
      </w:r>
      <w:r>
        <w:rPr>
          <w:rFonts w:ascii="Arial" w:cs="Arial" w:eastAsia="Arial" w:hAnsi="Arial"/>
          <w:sz w:val="17"/>
          <w:szCs w:val="17"/>
          <w:u w:val="single" w:color="auto"/>
          <w:color w:val="auto"/>
        </w:rPr>
        <w:t>Governing Law</w:t>
      </w:r>
      <w:r>
        <w:rPr>
          <w:rFonts w:ascii="Arial" w:cs="Arial" w:eastAsia="Arial" w:hAnsi="Arial"/>
          <w:sz w:val="22"/>
          <w:szCs w:val="22"/>
          <w:color w:val="auto"/>
        </w:rPr>
        <w:t>. Except as to matters of federal law, the Plan and all actions taken thereunder shall be governed by and construed in accordance with the laws of the State of Connecticut.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10.30</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EMPLOYMENT AGREEMENT</w:t>
      </w:r>
    </w:p>
    <w:p>
      <w:pPr>
        <w:spacing w:after="0" w:line="254"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22"/>
          <w:szCs w:val="22"/>
          <w:color w:val="auto"/>
        </w:rPr>
        <w:t>”) is entered into as of May 21, 2010 by and between Photronics, Inc., a Connecticut corporation (the “</w:t>
      </w:r>
      <w:r>
        <w:rPr>
          <w:rFonts w:ascii="Arial" w:cs="Arial" w:eastAsia="Arial" w:hAnsi="Arial"/>
          <w:sz w:val="17"/>
          <w:szCs w:val="17"/>
          <w:u w:val="single" w:color="auto"/>
          <w:color w:val="auto"/>
        </w:rPr>
        <w:t>Company</w:t>
      </w:r>
      <w:r>
        <w:rPr>
          <w:rFonts w:ascii="Arial" w:cs="Arial" w:eastAsia="Arial" w:hAnsi="Arial"/>
          <w:sz w:val="22"/>
          <w:szCs w:val="22"/>
          <w:color w:val="auto"/>
        </w:rPr>
        <w:t>”), having a principal place of business at 15 Secor Road, Brookfield, CT 06804 and Richelle E. Burr (“</w:t>
      </w:r>
      <w:r>
        <w:rPr>
          <w:rFonts w:ascii="Arial" w:cs="Arial" w:eastAsia="Arial" w:hAnsi="Arial"/>
          <w:sz w:val="17"/>
          <w:szCs w:val="17"/>
          <w:u w:val="single" w:color="auto"/>
          <w:color w:val="auto"/>
        </w:rPr>
        <w:t>Executive</w:t>
      </w:r>
      <w:r>
        <w:rPr>
          <w:rFonts w:ascii="Arial" w:cs="Arial" w:eastAsia="Arial" w:hAnsi="Arial"/>
          <w:sz w:val="22"/>
          <w:szCs w:val="22"/>
          <w:color w:val="auto"/>
        </w:rPr>
        <w:t>”) residing at 7 Greenknoll Drive, Brookfield, CT 06804.</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WITNESSETH:</w:t>
      </w:r>
    </w:p>
    <w:p>
      <w:pPr>
        <w:spacing w:after="0" w:line="254" w:lineRule="exact"/>
        <w:rPr>
          <w:sz w:val="20"/>
          <w:szCs w:val="20"/>
          <w:color w:val="auto"/>
        </w:rPr>
      </w:pPr>
    </w:p>
    <w:p>
      <w:pPr>
        <w:ind w:right="20" w:firstLine="270"/>
        <w:spacing w:after="0" w:line="274" w:lineRule="auto"/>
        <w:rPr>
          <w:sz w:val="20"/>
          <w:szCs w:val="20"/>
          <w:color w:val="auto"/>
        </w:rPr>
      </w:pPr>
      <w:r>
        <w:rPr>
          <w:rFonts w:ascii="Arial" w:cs="Arial" w:eastAsia="Arial" w:hAnsi="Arial"/>
          <w:sz w:val="21"/>
          <w:szCs w:val="21"/>
          <w:color w:val="auto"/>
        </w:rPr>
        <w:t>WHEREAS, the Company and Executive desire to enter into this Agreement to assure the Company of the continuing service of Executive and to set forth the terms and conditions of Executive’s employment with the Company.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NOW, THEREFORE, in consideration of the mutual promises and covenants set forth herein, the parties agree as follows:</w:t>
      </w:r>
    </w:p>
    <w:p>
      <w:pPr>
        <w:spacing w:after="0" w:line="268" w:lineRule="exact"/>
        <w:rPr>
          <w:sz w:val="20"/>
          <w:szCs w:val="20"/>
          <w:color w:val="auto"/>
        </w:rPr>
      </w:pPr>
    </w:p>
    <w:p>
      <w:pPr>
        <w:jc w:val="both"/>
        <w:ind w:right="80" w:firstLine="8"/>
        <w:spacing w:after="0" w:line="276" w:lineRule="auto"/>
        <w:tabs>
          <w:tab w:leader="none" w:pos="17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9"/>
          <w:szCs w:val="19"/>
          <w:color w:val="auto"/>
        </w:rPr>
        <w:t>The Company agrees to employ Executive and Executive hereby accepts such employment, in accordance with the terms of</w:t>
      </w:r>
      <w:r>
        <w:rPr>
          <w:rFonts w:ascii="Arial" w:cs="Arial" w:eastAsia="Arial" w:hAnsi="Arial"/>
          <w:sz w:val="16"/>
          <w:szCs w:val="16"/>
          <w:b w:val="1"/>
          <w:bCs w:val="1"/>
          <w:color w:val="auto"/>
        </w:rPr>
        <w:t xml:space="preserve"> </w:t>
      </w:r>
      <w:r>
        <w:rPr>
          <w:rFonts w:ascii="Arial" w:cs="Arial" w:eastAsia="Arial" w:hAnsi="Arial"/>
          <w:sz w:val="19"/>
          <w:szCs w:val="19"/>
          <w:color w:val="auto"/>
        </w:rPr>
        <w:t xml:space="preserve">this Agreement. Subject to </w:t>
      </w:r>
      <w:r>
        <w:rPr>
          <w:rFonts w:ascii="Arial" w:cs="Arial" w:eastAsia="Arial" w:hAnsi="Arial"/>
          <w:sz w:val="15"/>
          <w:szCs w:val="15"/>
          <w:u w:val="single" w:color="auto"/>
          <w:color w:val="auto"/>
        </w:rPr>
        <w:t>Section 5,</w:t>
      </w:r>
      <w:r>
        <w:rPr>
          <w:rFonts w:ascii="Arial" w:cs="Arial" w:eastAsia="Arial" w:hAnsi="Arial"/>
          <w:sz w:val="19"/>
          <w:szCs w:val="19"/>
          <w:color w:val="auto"/>
        </w:rPr>
        <w:t xml:space="preserve"> the term of Executive’s employment shall commence on the date hereof and continue for three</w:t>
      </w:r>
    </w:p>
    <w:p>
      <w:pPr>
        <w:spacing w:after="0" w:line="1" w:lineRule="exact"/>
        <w:rPr>
          <w:rFonts w:ascii="Arial" w:cs="Arial" w:eastAsia="Arial" w:hAnsi="Arial"/>
          <w:sz w:val="16"/>
          <w:szCs w:val="16"/>
          <w:b w:val="1"/>
          <w:bCs w:val="1"/>
          <w:color w:val="auto"/>
        </w:rPr>
      </w:pPr>
    </w:p>
    <w:p>
      <w:pPr>
        <w:spacing w:after="0" w:line="233" w:lineRule="auto"/>
        <w:rPr>
          <w:rFonts w:ascii="Arial" w:cs="Arial" w:eastAsia="Arial" w:hAnsi="Arial"/>
          <w:sz w:val="16"/>
          <w:szCs w:val="16"/>
          <w:b w:val="1"/>
          <w:bCs w:val="1"/>
          <w:color w:val="auto"/>
        </w:rPr>
      </w:pPr>
      <w:r>
        <w:rPr>
          <w:rFonts w:ascii="Arial" w:cs="Arial" w:eastAsia="Arial" w:hAnsi="Arial"/>
          <w:sz w:val="22"/>
          <w:szCs w:val="22"/>
          <w:color w:val="auto"/>
        </w:rPr>
        <w:t>(3) years thereafter unless this Agreement is earlier terminated as provided herein (the “</w:t>
      </w:r>
      <w:r>
        <w:rPr>
          <w:rFonts w:ascii="Arial" w:cs="Arial" w:eastAsia="Arial" w:hAnsi="Arial"/>
          <w:sz w:val="17"/>
          <w:szCs w:val="17"/>
          <w:u w:val="single" w:color="auto"/>
          <w:color w:val="auto"/>
        </w:rPr>
        <w:t>Term</w:t>
      </w:r>
      <w:r>
        <w:rPr>
          <w:rFonts w:ascii="Arial" w:cs="Arial" w:eastAsia="Arial" w:hAnsi="Arial"/>
          <w:sz w:val="22"/>
          <w:szCs w:val="22"/>
          <w:color w:val="auto"/>
        </w:rPr>
        <w:t xml:space="preserve">”); </w:t>
      </w:r>
      <w:r>
        <w:rPr>
          <w:rFonts w:ascii="Arial" w:cs="Arial" w:eastAsia="Arial" w:hAnsi="Arial"/>
          <w:sz w:val="17"/>
          <w:szCs w:val="17"/>
          <w:u w:val="single" w:color="auto"/>
          <w:color w:val="auto"/>
        </w:rPr>
        <w:t>provided</w:t>
      </w:r>
      <w:r>
        <w:rPr>
          <w:rFonts w:ascii="Arial" w:cs="Arial" w:eastAsia="Arial" w:hAnsi="Arial"/>
          <w:sz w:val="22"/>
          <w:szCs w:val="22"/>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7"/>
          <w:szCs w:val="17"/>
          <w:u w:val="single" w:color="auto"/>
          <w:color w:val="auto"/>
        </w:rPr>
        <w:t>Section 1</w:t>
      </w:r>
      <w:r>
        <w:rPr>
          <w:rFonts w:ascii="Arial" w:cs="Arial" w:eastAsia="Arial" w:hAnsi="Arial"/>
          <w:sz w:val="22"/>
          <w:szCs w:val="22"/>
          <w:color w:val="auto"/>
        </w:rPr>
        <w:t>), on each anniversary of the date hereof, the Term of this Agreement shall automatically be extended for an additional one (1) year period.</w:t>
      </w:r>
    </w:p>
    <w:p>
      <w:pPr>
        <w:spacing w:after="0" w:line="215" w:lineRule="exact"/>
        <w:rPr>
          <w:rFonts w:ascii="Arial" w:cs="Arial" w:eastAsia="Arial" w:hAnsi="Arial"/>
          <w:sz w:val="16"/>
          <w:szCs w:val="16"/>
          <w:b w:val="1"/>
          <w:bCs w:val="1"/>
          <w:color w:val="auto"/>
        </w:rPr>
      </w:pPr>
    </w:p>
    <w:p>
      <w:pPr>
        <w:ind w:right="140" w:firstLine="8"/>
        <w:spacing w:after="0" w:line="269" w:lineRule="auto"/>
        <w:tabs>
          <w:tab w:leader="none" w:pos="17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Services.</w:t>
      </w:r>
      <w:r>
        <w:rPr>
          <w:rFonts w:ascii="Arial" w:cs="Arial" w:eastAsia="Arial" w:hAnsi="Arial"/>
          <w:sz w:val="20"/>
          <w:szCs w:val="20"/>
          <w:color w:val="auto"/>
        </w:rPr>
        <w:t>So long as this Agreement shall continue in effect, Executive shall devote Executive’s full business time, energy and</w:t>
      </w:r>
      <w:r>
        <w:rPr>
          <w:rFonts w:ascii="Arial" w:cs="Arial" w:eastAsia="Arial" w:hAnsi="Arial"/>
          <w:sz w:val="16"/>
          <w:szCs w:val="16"/>
          <w:b w:val="1"/>
          <w:bCs w:val="1"/>
          <w:color w:val="auto"/>
        </w:rPr>
        <w:t xml:space="preserve"> </w:t>
      </w:r>
      <w:r>
        <w:rPr>
          <w:rFonts w:ascii="Arial" w:cs="Arial" w:eastAsia="Arial" w:hAnsi="Arial"/>
          <w:sz w:val="20"/>
          <w:szCs w:val="20"/>
          <w:color w:val="auto"/>
        </w:rPr>
        <w:t>ability to the business, 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80" w:lineRule="exact"/>
        <w:rPr>
          <w:rFonts w:ascii="Arial" w:cs="Arial" w:eastAsia="Arial" w:hAnsi="Arial"/>
          <w:sz w:val="16"/>
          <w:szCs w:val="16"/>
          <w:b w:val="1"/>
          <w:bCs w:val="1"/>
          <w:color w:val="auto"/>
        </w:rPr>
      </w:pPr>
    </w:p>
    <w:p>
      <w:pPr>
        <w:ind w:left="180" w:hanging="172"/>
        <w:spacing w:after="0"/>
        <w:tabs>
          <w:tab w:leader="none" w:pos="1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Duties and Responsibilities.</w:t>
      </w:r>
    </w:p>
    <w:p>
      <w:pPr>
        <w:spacing w:after="0" w:line="254" w:lineRule="exact"/>
        <w:rPr>
          <w:rFonts w:ascii="Arial" w:cs="Arial" w:eastAsia="Arial" w:hAnsi="Arial"/>
          <w:sz w:val="17"/>
          <w:szCs w:val="17"/>
          <w:b w:val="1"/>
          <w:bCs w:val="1"/>
          <w:color w:val="auto"/>
        </w:rPr>
      </w:pPr>
    </w:p>
    <w:p>
      <w:pPr>
        <w:ind w:right="420" w:firstLine="278"/>
        <w:spacing w:after="0" w:line="238" w:lineRule="auto"/>
        <w:tabs>
          <w:tab w:leader="none" w:pos="564"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Executive shall serve as the Vice President, General Counsel and Secretary.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212" w:lineRule="exact"/>
        <w:rPr>
          <w:rFonts w:ascii="Arial" w:cs="Arial" w:eastAsia="Arial" w:hAnsi="Arial"/>
          <w:sz w:val="22"/>
          <w:szCs w:val="22"/>
          <w:color w:val="auto"/>
        </w:rPr>
      </w:pPr>
    </w:p>
    <w:p>
      <w:pPr>
        <w:ind w:right="20" w:firstLine="278"/>
        <w:spacing w:after="0" w:line="297" w:lineRule="auto"/>
        <w:tabs>
          <w:tab w:leader="none" w:pos="576" w:val="left"/>
        </w:tabs>
        <w:numPr>
          <w:ilvl w:val="1"/>
          <w:numId w:val="29"/>
        </w:numPr>
        <w:rPr>
          <w:rFonts w:ascii="Arial" w:cs="Arial" w:eastAsia="Arial" w:hAnsi="Arial"/>
          <w:sz w:val="19"/>
          <w:szCs w:val="19"/>
          <w:color w:val="auto"/>
        </w:rPr>
      </w:pPr>
      <w:r>
        <w:rPr>
          <w:rFonts w:ascii="Arial" w:cs="Arial" w:eastAsia="Arial" w:hAnsi="Arial"/>
          <w:sz w:val="19"/>
          <w:szCs w:val="19"/>
          <w:color w:val="auto"/>
        </w:rPr>
        <w:t>In addition, Executive agrees to observe and comply with the policies, rules and regulations of the Company. The Company agrees that the duties which may be assigned to Executive shall be the customary duties of the office of Vice President, General Counsel and Secretary and shall not be inconsistent with the provisions of the charter documents of the Company or applicable law.</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03" w:right="259" w:bottom="1440" w:gutter="0" w:footer="0" w:header="0"/>
        </w:sectPr>
      </w:pPr>
    </w:p>
    <w:bookmarkStart w:id="119" w:name="page120"/>
    <w:bookmarkEnd w:id="119"/>
    <w:p>
      <w:pPr>
        <w:ind w:left="180" w:hanging="172"/>
        <w:spacing w:after="0"/>
        <w:tabs>
          <w:tab w:leader="none" w:pos="1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w:t>
      </w:r>
    </w:p>
    <w:p>
      <w:pPr>
        <w:spacing w:after="0" w:line="252" w:lineRule="exact"/>
        <w:rPr>
          <w:rFonts w:ascii="Arial" w:cs="Arial" w:eastAsia="Arial" w:hAnsi="Arial"/>
          <w:sz w:val="17"/>
          <w:szCs w:val="17"/>
          <w:b w:val="1"/>
          <w:bCs w:val="1"/>
          <w:color w:val="auto"/>
        </w:rPr>
      </w:pPr>
    </w:p>
    <w:p>
      <w:pPr>
        <w:ind w:left="580" w:hanging="302"/>
        <w:spacing w:after="0"/>
        <w:tabs>
          <w:tab w:leader="none" w:pos="580" w:val="left"/>
        </w:tabs>
        <w:numPr>
          <w:ilvl w:val="1"/>
          <w:numId w:val="30"/>
        </w:numPr>
        <w:rPr>
          <w:rFonts w:ascii="Arial" w:cs="Arial" w:eastAsia="Arial" w:hAnsi="Arial"/>
          <w:sz w:val="21"/>
          <w:szCs w:val="21"/>
          <w:color w:val="auto"/>
        </w:rPr>
      </w:pPr>
      <w:r>
        <w:rPr>
          <w:rFonts w:ascii="Arial" w:cs="Arial" w:eastAsia="Arial" w:hAnsi="Arial"/>
          <w:sz w:val="16"/>
          <w:szCs w:val="16"/>
          <w:u w:val="single" w:color="auto"/>
          <w:color w:val="auto"/>
        </w:rPr>
        <w:t>Base Compensation</w:t>
      </w:r>
      <w:r>
        <w:rPr>
          <w:rFonts w:ascii="Arial" w:cs="Arial" w:eastAsia="Arial" w:hAnsi="Arial"/>
          <w:sz w:val="20"/>
          <w:szCs w:val="20"/>
          <w:color w:val="auto"/>
        </w:rPr>
        <w:t>. During the Term, the Company agrees to pay Executive a base salary at the rate of $170,000 per year</w:t>
      </w:r>
    </w:p>
    <w:p>
      <w:pPr>
        <w:spacing w:after="0" w:line="19" w:lineRule="exact"/>
        <w:rPr>
          <w:rFonts w:ascii="Arial" w:cs="Arial" w:eastAsia="Arial" w:hAnsi="Arial"/>
          <w:sz w:val="21"/>
          <w:szCs w:val="21"/>
          <w:color w:val="auto"/>
        </w:rPr>
      </w:pPr>
    </w:p>
    <w:p>
      <w:pPr>
        <w:ind w:right="20"/>
        <w:spacing w:after="0" w:line="267" w:lineRule="auto"/>
        <w:rPr>
          <w:rFonts w:ascii="Arial" w:cs="Arial" w:eastAsia="Arial" w:hAnsi="Arial"/>
          <w:sz w:val="21"/>
          <w:szCs w:val="21"/>
          <w:color w:val="auto"/>
        </w:rPr>
      </w:pPr>
      <w:r>
        <w:rPr>
          <w:rFonts w:ascii="Arial" w:cs="Arial" w:eastAsia="Arial" w:hAnsi="Arial"/>
          <w:sz w:val="20"/>
          <w:szCs w:val="20"/>
          <w:color w:val="auto"/>
        </w:rPr>
        <w:t>payable in accordance with the Company’s customary payroll practices generally applicable to similarly situated employees as may be in effect from time to time (the “</w:t>
      </w:r>
      <w:r>
        <w:rPr>
          <w:rFonts w:ascii="Arial" w:cs="Arial" w:eastAsia="Arial" w:hAnsi="Arial"/>
          <w:sz w:val="15"/>
          <w:szCs w:val="15"/>
          <w:u w:val="single" w:color="auto"/>
          <w:color w:val="auto"/>
        </w:rPr>
        <w:t>Base Salary</w:t>
      </w:r>
      <w:r>
        <w:rPr>
          <w:rFonts w:ascii="Arial" w:cs="Arial" w:eastAsia="Arial" w:hAnsi="Arial"/>
          <w:sz w:val="20"/>
          <w:szCs w:val="20"/>
          <w:color w:val="auto"/>
        </w:rPr>
        <w:t xml:space="preserve">”). All payments required hereunder, including the payments required by this </w:t>
      </w:r>
      <w:r>
        <w:rPr>
          <w:rFonts w:ascii="Arial" w:cs="Arial" w:eastAsia="Arial" w:hAnsi="Arial"/>
          <w:sz w:val="15"/>
          <w:szCs w:val="15"/>
          <w:u w:val="single" w:color="auto"/>
          <w:color w:val="auto"/>
        </w:rPr>
        <w:t>Section</w:t>
      </w:r>
      <w:r>
        <w:rPr>
          <w:rFonts w:ascii="Arial" w:cs="Arial" w:eastAsia="Arial" w:hAnsi="Arial"/>
          <w:sz w:val="20"/>
          <w:szCs w:val="20"/>
          <w:color w:val="auto"/>
        </w:rPr>
        <w:t xml:space="preserve"> </w:t>
      </w:r>
      <w:r>
        <w:rPr>
          <w:rFonts w:ascii="Arial" w:cs="Arial" w:eastAsia="Arial" w:hAnsi="Arial"/>
          <w:sz w:val="15"/>
          <w:szCs w:val="15"/>
          <w:u w:val="single" w:color="auto"/>
          <w:color w:val="auto"/>
        </w:rPr>
        <w:t>4(a)</w:t>
      </w:r>
      <w:r>
        <w:rPr>
          <w:rFonts w:ascii="Arial" w:cs="Arial" w:eastAsia="Arial" w:hAnsi="Arial"/>
          <w:sz w:val="19"/>
          <w:szCs w:val="19"/>
          <w:color w:val="auto"/>
        </w:rPr>
        <w:t>, may be allocated by the Company to one or more of its subsidiaries to which Executive renders services but the Company shall</w:t>
      </w:r>
      <w:r>
        <w:rPr>
          <w:rFonts w:ascii="Arial" w:cs="Arial" w:eastAsia="Arial" w:hAnsi="Arial"/>
          <w:sz w:val="15"/>
          <w:szCs w:val="15"/>
          <w:color w:val="auto"/>
        </w:rPr>
        <w:t xml:space="preserve"> </w:t>
      </w:r>
      <w:r>
        <w:rPr>
          <w:rFonts w:ascii="Arial" w:cs="Arial" w:eastAsia="Arial" w:hAnsi="Arial"/>
          <w:sz w:val="19"/>
          <w:szCs w:val="19"/>
          <w:color w:val="auto"/>
        </w:rPr>
        <w:t>remain responsible for all payments hereunder and Executive shall have no obligation to seek payment from such subsidiaries.</w:t>
      </w:r>
    </w:p>
    <w:p>
      <w:pPr>
        <w:spacing w:after="0" w:line="186" w:lineRule="exact"/>
        <w:rPr>
          <w:rFonts w:ascii="Arial" w:cs="Arial" w:eastAsia="Arial" w:hAnsi="Arial"/>
          <w:sz w:val="21"/>
          <w:szCs w:val="21"/>
          <w:color w:val="auto"/>
        </w:rPr>
      </w:pPr>
    </w:p>
    <w:p>
      <w:pPr>
        <w:jc w:val="both"/>
        <w:ind w:firstLine="278"/>
        <w:spacing w:after="0" w:line="264" w:lineRule="auto"/>
        <w:tabs>
          <w:tab w:leader="none" w:pos="576" w:val="left"/>
        </w:tabs>
        <w:numPr>
          <w:ilvl w:val="1"/>
          <w:numId w:val="30"/>
        </w:numPr>
        <w:rPr>
          <w:rFonts w:ascii="Arial" w:cs="Arial" w:eastAsia="Arial" w:hAnsi="Arial"/>
          <w:sz w:val="21"/>
          <w:szCs w:val="21"/>
          <w:color w:val="auto"/>
        </w:rPr>
      </w:pPr>
      <w:r>
        <w:rPr>
          <w:rFonts w:ascii="Arial" w:cs="Arial" w:eastAsia="Arial" w:hAnsi="Arial"/>
          <w:sz w:val="16"/>
          <w:szCs w:val="16"/>
          <w:u w:val="single" w:color="auto"/>
          <w:color w:val="auto"/>
        </w:rPr>
        <w:t>Periodic Review</w:t>
      </w:r>
      <w:r>
        <w:rPr>
          <w:rFonts w:ascii="Arial" w:cs="Arial" w:eastAsia="Arial" w:hAnsi="Arial"/>
          <w:sz w:val="20"/>
          <w:szCs w:val="20"/>
          <w:color w:val="auto"/>
        </w:rPr>
        <w:t>. The Compensation Committee or the Board of Directors of the Company shall review Executive’s Base Salary</w:t>
      </w:r>
      <w:r>
        <w:rPr>
          <w:rFonts w:ascii="Arial" w:cs="Arial" w:eastAsia="Arial" w:hAnsi="Arial"/>
          <w:sz w:val="16"/>
          <w:szCs w:val="16"/>
          <w:color w:val="auto"/>
        </w:rPr>
        <w:t xml:space="preserve"> </w:t>
      </w:r>
      <w:r>
        <w:rPr>
          <w:rFonts w:ascii="Arial" w:cs="Arial" w:eastAsia="Arial" w:hAnsi="Arial"/>
          <w:sz w:val="20"/>
          <w:szCs w:val="20"/>
          <w:color w:val="auto"/>
        </w:rPr>
        <w:t>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190" w:lineRule="exact"/>
        <w:rPr>
          <w:rFonts w:ascii="Arial" w:cs="Arial" w:eastAsia="Arial" w:hAnsi="Arial"/>
          <w:sz w:val="21"/>
          <w:szCs w:val="21"/>
          <w:color w:val="auto"/>
        </w:rPr>
      </w:pPr>
    </w:p>
    <w:p>
      <w:pPr>
        <w:ind w:right="20" w:firstLine="278"/>
        <w:spacing w:after="0" w:line="262" w:lineRule="auto"/>
        <w:tabs>
          <w:tab w:leader="none" w:pos="564" w:val="left"/>
        </w:tabs>
        <w:numPr>
          <w:ilvl w:val="1"/>
          <w:numId w:val="30"/>
        </w:numPr>
        <w:rPr>
          <w:rFonts w:ascii="Arial" w:cs="Arial" w:eastAsia="Arial" w:hAnsi="Arial"/>
          <w:sz w:val="21"/>
          <w:szCs w:val="21"/>
          <w:color w:val="auto"/>
        </w:rPr>
      </w:pPr>
      <w:r>
        <w:rPr>
          <w:rFonts w:ascii="Arial" w:cs="Arial" w:eastAsia="Arial" w:hAnsi="Arial"/>
          <w:sz w:val="16"/>
          <w:szCs w:val="16"/>
          <w:u w:val="single" w:color="auto"/>
          <w:color w:val="auto"/>
        </w:rPr>
        <w:t>Additional Benefits</w:t>
      </w:r>
      <w:r>
        <w:rPr>
          <w:rFonts w:ascii="Arial" w:cs="Arial" w:eastAsia="Arial" w:hAnsi="Arial"/>
          <w:sz w:val="20"/>
          <w:szCs w:val="20"/>
          <w:color w:val="auto"/>
        </w:rPr>
        <w:t>. During the Term, the Executive shall be entitled to participate in the employee benefit plans and</w:t>
      </w:r>
      <w:r>
        <w:rPr>
          <w:rFonts w:ascii="Arial" w:cs="Arial" w:eastAsia="Arial" w:hAnsi="Arial"/>
          <w:sz w:val="16"/>
          <w:szCs w:val="16"/>
          <w:color w:val="auto"/>
        </w:rPr>
        <w:t xml:space="preserve"> </w:t>
      </w:r>
      <w:r>
        <w:rPr>
          <w:rFonts w:ascii="Arial" w:cs="Arial" w:eastAsia="Arial" w:hAnsi="Arial"/>
          <w:sz w:val="20"/>
          <w:szCs w:val="20"/>
          <w:color w:val="auto"/>
        </w:rPr>
        <w:t>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16"/>
          <w:szCs w:val="16"/>
          <w:u w:val="single" w:color="auto"/>
          <w:color w:val="auto"/>
        </w:rPr>
        <w:t>Benefits</w:t>
      </w:r>
      <w:r>
        <w:rPr>
          <w:rFonts w:ascii="Arial" w:cs="Arial" w:eastAsia="Arial" w:hAnsi="Arial"/>
          <w:sz w:val="20"/>
          <w:szCs w:val="20"/>
          <w:color w:val="auto"/>
        </w:rPr>
        <w:t>”)). The Company shall have the right to terminate or change any such plans or programs at any time.</w:t>
      </w:r>
    </w:p>
    <w:p>
      <w:pPr>
        <w:spacing w:after="0" w:line="190" w:lineRule="exact"/>
        <w:rPr>
          <w:rFonts w:ascii="Arial" w:cs="Arial" w:eastAsia="Arial" w:hAnsi="Arial"/>
          <w:sz w:val="21"/>
          <w:szCs w:val="21"/>
          <w:color w:val="auto"/>
        </w:rPr>
      </w:pPr>
    </w:p>
    <w:p>
      <w:pPr>
        <w:ind w:right="200" w:firstLine="278"/>
        <w:spacing w:after="0" w:line="252" w:lineRule="auto"/>
        <w:tabs>
          <w:tab w:leader="none" w:pos="576" w:val="left"/>
        </w:tabs>
        <w:numPr>
          <w:ilvl w:val="1"/>
          <w:numId w:val="30"/>
        </w:numPr>
        <w:rPr>
          <w:rFonts w:ascii="Arial" w:cs="Arial" w:eastAsia="Arial" w:hAnsi="Arial"/>
          <w:sz w:val="22"/>
          <w:szCs w:val="22"/>
          <w:color w:val="auto"/>
        </w:rPr>
      </w:pPr>
      <w:r>
        <w:rPr>
          <w:rFonts w:ascii="Arial" w:cs="Arial" w:eastAsia="Arial" w:hAnsi="Arial"/>
          <w:sz w:val="17"/>
          <w:szCs w:val="17"/>
          <w:u w:val="single" w:color="auto"/>
          <w:color w:val="auto"/>
        </w:rPr>
        <w:t>Automobile Allowance</w:t>
      </w:r>
      <w:r>
        <w:rPr>
          <w:rFonts w:ascii="Arial" w:cs="Arial" w:eastAsia="Arial" w:hAnsi="Arial"/>
          <w:sz w:val="21"/>
          <w:szCs w:val="21"/>
          <w:color w:val="auto"/>
        </w:rPr>
        <w:t>. During the Term of this Agreement, the Company shall provide the Executive with an automobile</w:t>
      </w:r>
      <w:r>
        <w:rPr>
          <w:rFonts w:ascii="Arial" w:cs="Arial" w:eastAsia="Arial" w:hAnsi="Arial"/>
          <w:sz w:val="17"/>
          <w:szCs w:val="17"/>
          <w:color w:val="auto"/>
        </w:rPr>
        <w:t xml:space="preserve"> </w:t>
      </w:r>
      <w:r>
        <w:rPr>
          <w:rFonts w:ascii="Arial" w:cs="Arial" w:eastAsia="Arial" w:hAnsi="Arial"/>
          <w:sz w:val="21"/>
          <w:szCs w:val="21"/>
          <w:color w:val="auto"/>
        </w:rPr>
        <w:t>allowance or company car consistent with the Company’s policies and provisions applicable to other similarly situated executives of the Company.</w:t>
      </w:r>
    </w:p>
    <w:p>
      <w:pPr>
        <w:spacing w:after="0" w:line="199" w:lineRule="exact"/>
        <w:rPr>
          <w:rFonts w:ascii="Arial" w:cs="Arial" w:eastAsia="Arial" w:hAnsi="Arial"/>
          <w:sz w:val="22"/>
          <w:szCs w:val="22"/>
          <w:color w:val="auto"/>
        </w:rPr>
      </w:pPr>
    </w:p>
    <w:p>
      <w:pPr>
        <w:ind w:right="280" w:firstLine="278"/>
        <w:spacing w:after="0" w:line="263" w:lineRule="auto"/>
        <w:tabs>
          <w:tab w:leader="none" w:pos="564" w:val="left"/>
        </w:tabs>
        <w:numPr>
          <w:ilvl w:val="1"/>
          <w:numId w:val="30"/>
        </w:numPr>
        <w:rPr>
          <w:rFonts w:ascii="Arial" w:cs="Arial" w:eastAsia="Arial" w:hAnsi="Arial"/>
          <w:sz w:val="22"/>
          <w:szCs w:val="22"/>
          <w:color w:val="auto"/>
        </w:rPr>
      </w:pPr>
      <w:r>
        <w:rPr>
          <w:rFonts w:ascii="Arial" w:cs="Arial" w:eastAsia="Arial" w:hAnsi="Arial"/>
          <w:sz w:val="17"/>
          <w:szCs w:val="17"/>
          <w:u w:val="single" w:color="auto"/>
          <w:color w:val="auto"/>
        </w:rPr>
        <w:t>Vacation</w:t>
      </w:r>
      <w:r>
        <w:rPr>
          <w:rFonts w:ascii="Arial" w:cs="Arial" w:eastAsia="Arial" w:hAnsi="Arial"/>
          <w:sz w:val="21"/>
          <w:szCs w:val="21"/>
          <w:color w:val="auto"/>
        </w:rPr>
        <w:t>. During the Term of this Agreement, Executive shall be entitled to four (4) weeks’ paid vacation per calendar year,</w:t>
      </w:r>
      <w:r>
        <w:rPr>
          <w:rFonts w:ascii="Arial" w:cs="Arial" w:eastAsia="Arial" w:hAnsi="Arial"/>
          <w:sz w:val="17"/>
          <w:szCs w:val="17"/>
          <w:color w:val="auto"/>
        </w:rPr>
        <w:t xml:space="preserve"> </w:t>
      </w:r>
      <w:r>
        <w:rPr>
          <w:rFonts w:ascii="Arial" w:cs="Arial" w:eastAsia="Arial" w:hAnsi="Arial"/>
          <w:sz w:val="21"/>
          <w:szCs w:val="21"/>
          <w:color w:val="auto"/>
        </w:rPr>
        <w:t>which shall not be transferable to any subsequent year.</w:t>
      </w:r>
    </w:p>
    <w:p>
      <w:pPr>
        <w:spacing w:after="0" w:line="187" w:lineRule="exact"/>
        <w:rPr>
          <w:rFonts w:ascii="Arial" w:cs="Arial" w:eastAsia="Arial" w:hAnsi="Arial"/>
          <w:sz w:val="22"/>
          <w:szCs w:val="22"/>
          <w:color w:val="auto"/>
        </w:rPr>
      </w:pPr>
    </w:p>
    <w:p>
      <w:pPr>
        <w:ind w:right="260" w:firstLine="8"/>
        <w:spacing w:after="0" w:line="276" w:lineRule="auto"/>
        <w:tabs>
          <w:tab w:leader="none" w:pos="17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9"/>
          <w:szCs w:val="19"/>
          <w:color w:val="auto"/>
        </w:rPr>
        <w:t>This Agreement and all rights and obligations hereunder, except the rights and obligations contained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9"/>
          <w:szCs w:val="19"/>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9"/>
          <w:szCs w:val="19"/>
          <w:color w:val="auto"/>
        </w:rPr>
        <w:t>(Confidential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9"/>
          <w:szCs w:val="19"/>
          <w:color w:val="auto"/>
        </w:rPr>
        <w:t>(Non-Competition),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9"/>
          <w:szCs w:val="19"/>
          <w:color w:val="auto"/>
        </w:rPr>
        <w:t>(Intellectual Property)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9"/>
          <w:szCs w:val="19"/>
          <w:color w:val="auto"/>
        </w:rPr>
        <w:t>(Remedies), which</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shall survive any termination hereunder, shall terminate upon the earliest to occur of any of the following: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0" w:name="page121"/>
    <w:bookmarkEnd w:id="120"/>
    <w:p>
      <w:pPr>
        <w:ind w:left="-20" w:firstLine="278"/>
        <w:spacing w:after="0" w:line="258" w:lineRule="auto"/>
        <w:tabs>
          <w:tab w:leader="none" w:pos="544" w:val="left"/>
        </w:tabs>
        <w:numPr>
          <w:ilvl w:val="0"/>
          <w:numId w:val="31"/>
        </w:numPr>
        <w:rPr>
          <w:rFonts w:ascii="Arial" w:cs="Arial" w:eastAsia="Arial" w:hAnsi="Arial"/>
          <w:sz w:val="21"/>
          <w:szCs w:val="21"/>
          <w:color w:val="auto"/>
        </w:rPr>
      </w:pPr>
      <w:r>
        <w:rPr>
          <w:rFonts w:ascii="Arial" w:cs="Arial" w:eastAsia="Arial" w:hAnsi="Arial"/>
          <w:sz w:val="16"/>
          <w:szCs w:val="16"/>
          <w:u w:val="single" w:color="auto"/>
          <w:color w:val="auto"/>
        </w:rPr>
        <w:t>Resignation without Good Reason; Retirement</w:t>
      </w:r>
      <w:r>
        <w:rPr>
          <w:rFonts w:ascii="Arial" w:cs="Arial" w:eastAsia="Arial" w:hAnsi="Arial"/>
          <w:sz w:val="20"/>
          <w:szCs w:val="20"/>
          <w:color w:val="auto"/>
        </w:rPr>
        <w:t>. Upon the resignation by Executive without Good Reason (as defined below) following</w:t>
      </w:r>
      <w:r>
        <w:rPr>
          <w:rFonts w:ascii="Arial" w:cs="Arial" w:eastAsia="Arial" w:hAnsi="Arial"/>
          <w:sz w:val="16"/>
          <w:szCs w:val="16"/>
          <w:color w:val="auto"/>
        </w:rPr>
        <w:t xml:space="preserve"> </w:t>
      </w:r>
      <w:r>
        <w:rPr>
          <w:rFonts w:ascii="Arial" w:cs="Arial" w:eastAsia="Arial" w:hAnsi="Arial"/>
          <w:sz w:val="20"/>
          <w:szCs w:val="20"/>
          <w:color w:val="auto"/>
        </w:rPr>
        <w:t>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Arial" w:cs="Arial" w:eastAsia="Arial" w:hAnsi="Arial"/>
          <w:sz w:val="16"/>
          <w:szCs w:val="16"/>
          <w:u w:val="single" w:color="auto"/>
          <w:color w:val="auto"/>
        </w:rPr>
        <w:t>Accrued Obligations</w:t>
      </w:r>
      <w:r>
        <w:rPr>
          <w:rFonts w:ascii="Arial" w:cs="Arial" w:eastAsia="Arial" w:hAnsi="Arial"/>
          <w:sz w:val="20"/>
          <w:szCs w:val="20"/>
          <w:color w:val="auto"/>
        </w:rPr>
        <w:t>”), in a lump sum, subject to statutory deductions and withholdings, in cash within ten (10) business days after the last day of employment or any earlier time required by applicable law.</w:t>
      </w:r>
    </w:p>
    <w:p>
      <w:pPr>
        <w:spacing w:after="0" w:line="198" w:lineRule="exact"/>
        <w:rPr>
          <w:rFonts w:ascii="Arial" w:cs="Arial" w:eastAsia="Arial" w:hAnsi="Arial"/>
          <w:sz w:val="21"/>
          <w:szCs w:val="21"/>
          <w:color w:val="auto"/>
        </w:rPr>
      </w:pPr>
    </w:p>
    <w:p>
      <w:pPr>
        <w:ind w:left="560" w:hanging="302"/>
        <w:spacing w:after="0"/>
        <w:tabs>
          <w:tab w:leader="none" w:pos="560" w:val="left"/>
        </w:tabs>
        <w:numPr>
          <w:ilvl w:val="0"/>
          <w:numId w:val="31"/>
        </w:numPr>
        <w:rPr>
          <w:rFonts w:ascii="Arial" w:cs="Arial" w:eastAsia="Arial" w:hAnsi="Arial"/>
          <w:sz w:val="22"/>
          <w:szCs w:val="22"/>
          <w:color w:val="auto"/>
        </w:rPr>
      </w:pPr>
      <w:r>
        <w:rPr>
          <w:rFonts w:ascii="Arial" w:cs="Arial" w:eastAsia="Arial" w:hAnsi="Arial"/>
          <w:sz w:val="17"/>
          <w:szCs w:val="17"/>
          <w:u w:val="single" w:color="auto"/>
          <w:color w:val="auto"/>
        </w:rPr>
        <w:t>Death or Disability of Executive</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20" w:right="540" w:firstLine="548"/>
        <w:spacing w:after="0" w:line="328" w:lineRule="auto"/>
        <w:tabs>
          <w:tab w:leader="none" w:pos="778"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32" w:lineRule="exact"/>
        <w:rPr>
          <w:rFonts w:ascii="Arial" w:cs="Arial" w:eastAsia="Arial" w:hAnsi="Arial"/>
          <w:sz w:val="19"/>
          <w:szCs w:val="19"/>
          <w:color w:val="auto"/>
        </w:rPr>
      </w:pPr>
    </w:p>
    <w:p>
      <w:pPr>
        <w:ind w:left="-20" w:right="180" w:firstLine="818"/>
        <w:spacing w:after="0"/>
        <w:tabs>
          <w:tab w:leader="none" w:pos="1096" w:val="left"/>
        </w:tabs>
        <w:numPr>
          <w:ilvl w:val="2"/>
          <w:numId w:val="31"/>
        </w:numPr>
        <w:rPr>
          <w:rFonts w:ascii="Arial" w:cs="Arial" w:eastAsia="Arial" w:hAnsi="Arial"/>
          <w:sz w:val="22"/>
          <w:szCs w:val="22"/>
          <w:color w:val="auto"/>
        </w:rPr>
      </w:pPr>
      <w:r>
        <w:rPr>
          <w:rFonts w:ascii="Arial" w:cs="Arial" w:eastAsia="Arial" w:hAnsi="Arial"/>
          <w:sz w:val="22"/>
          <w:szCs w:val="22"/>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213" w:lineRule="exact"/>
        <w:rPr>
          <w:rFonts w:ascii="Arial" w:cs="Arial" w:eastAsia="Arial" w:hAnsi="Arial"/>
          <w:sz w:val="22"/>
          <w:szCs w:val="22"/>
          <w:color w:val="auto"/>
        </w:rPr>
      </w:pPr>
    </w:p>
    <w:p>
      <w:pPr>
        <w:ind w:left="-20" w:right="120" w:firstLine="818"/>
        <w:spacing w:after="0" w:line="251" w:lineRule="auto"/>
        <w:tabs>
          <w:tab w:leader="none" w:pos="1096" w:val="left"/>
        </w:tabs>
        <w:numPr>
          <w:ilvl w:val="2"/>
          <w:numId w:val="31"/>
        </w:numPr>
        <w:rPr>
          <w:rFonts w:ascii="Arial" w:cs="Arial" w:eastAsia="Arial" w:hAnsi="Arial"/>
          <w:sz w:val="22"/>
          <w:szCs w:val="22"/>
          <w:color w:val="auto"/>
        </w:rPr>
      </w:pPr>
      <w:r>
        <w:rPr>
          <w:rFonts w:ascii="Arial" w:cs="Arial" w:eastAsia="Arial" w:hAnsi="Arial"/>
          <w:sz w:val="22"/>
          <w:szCs w:val="22"/>
          <w:color w:val="auto"/>
        </w:rPr>
        <w:t>Payment to Executive or Executive’s estate or beneficiary, as applicable, of any amount accrued pursuant to the terms of any other applicable benefit plan.</w:t>
      </w:r>
    </w:p>
    <w:p>
      <w:pPr>
        <w:spacing w:after="0" w:line="200" w:lineRule="exact"/>
        <w:rPr>
          <w:rFonts w:ascii="Arial" w:cs="Arial" w:eastAsia="Arial" w:hAnsi="Arial"/>
          <w:sz w:val="22"/>
          <w:szCs w:val="22"/>
          <w:color w:val="auto"/>
        </w:rPr>
      </w:pPr>
    </w:p>
    <w:p>
      <w:pPr>
        <w:ind w:left="-20" w:right="860" w:firstLine="548"/>
        <w:spacing w:after="0" w:line="251" w:lineRule="auto"/>
        <w:tabs>
          <w:tab w:leader="none" w:pos="838"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Executive shall become disabled, Executive’s employment may be terminated only by written notice from the Company to Executive.</w:t>
      </w:r>
    </w:p>
    <w:p>
      <w:pPr>
        <w:spacing w:after="0" w:line="200" w:lineRule="exact"/>
        <w:rPr>
          <w:rFonts w:ascii="Arial" w:cs="Arial" w:eastAsia="Arial" w:hAnsi="Arial"/>
          <w:sz w:val="22"/>
          <w:szCs w:val="22"/>
          <w:color w:val="auto"/>
        </w:rPr>
      </w:pPr>
    </w:p>
    <w:p>
      <w:pPr>
        <w:jc w:val="both"/>
        <w:ind w:left="-20" w:right="340" w:firstLine="548"/>
        <w:spacing w:after="0"/>
        <w:tabs>
          <w:tab w:leader="none" w:pos="898" w:val="left"/>
        </w:tabs>
        <w:numPr>
          <w:ilvl w:val="1"/>
          <w:numId w:val="31"/>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17"/>
          <w:szCs w:val="17"/>
          <w:u w:val="single" w:color="auto"/>
          <w:color w:val="auto"/>
        </w:rPr>
        <w:t>disability</w:t>
      </w:r>
      <w:r>
        <w:rPr>
          <w:rFonts w:ascii="Arial" w:cs="Arial" w:eastAsia="Arial" w:hAnsi="Arial"/>
          <w:sz w:val="22"/>
          <w:szCs w:val="22"/>
          <w:color w:val="auto"/>
        </w:rPr>
        <w:t>” or “</w:t>
      </w:r>
      <w:r>
        <w:rPr>
          <w:rFonts w:ascii="Arial" w:cs="Arial" w:eastAsia="Arial" w:hAnsi="Arial"/>
          <w:sz w:val="17"/>
          <w:szCs w:val="17"/>
          <w:u w:val="single" w:color="auto"/>
          <w:color w:val="auto"/>
        </w:rPr>
        <w:t>disabled</w:t>
      </w:r>
      <w:r>
        <w:rPr>
          <w:rFonts w:ascii="Arial" w:cs="Arial" w:eastAsia="Arial" w:hAnsi="Arial"/>
          <w:sz w:val="22"/>
          <w:szCs w:val="22"/>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13" w:lineRule="exact"/>
        <w:rPr>
          <w:rFonts w:ascii="Arial" w:cs="Arial" w:eastAsia="Arial" w:hAnsi="Arial"/>
          <w:sz w:val="22"/>
          <w:szCs w:val="22"/>
          <w:color w:val="auto"/>
        </w:rPr>
      </w:pPr>
    </w:p>
    <w:p>
      <w:pPr>
        <w:ind w:left="560" w:hanging="302"/>
        <w:spacing w:after="0"/>
        <w:tabs>
          <w:tab w:leader="none" w:pos="560" w:val="left"/>
        </w:tabs>
        <w:numPr>
          <w:ilvl w:val="0"/>
          <w:numId w:val="31"/>
        </w:numPr>
        <w:rPr>
          <w:rFonts w:ascii="Arial" w:cs="Arial" w:eastAsia="Arial" w:hAnsi="Arial"/>
          <w:sz w:val="22"/>
          <w:szCs w:val="22"/>
          <w:color w:val="auto"/>
        </w:rPr>
      </w:pPr>
      <w:r>
        <w:rPr>
          <w:rFonts w:ascii="Arial" w:cs="Arial" w:eastAsia="Arial" w:hAnsi="Arial"/>
          <w:sz w:val="17"/>
          <w:szCs w:val="17"/>
          <w:u w:val="single" w:color="auto"/>
          <w:color w:val="auto"/>
        </w:rPr>
        <w:t>Termination for Cause</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20" w:right="660" w:firstLine="548"/>
        <w:spacing w:after="0" w:line="251" w:lineRule="auto"/>
        <w:tabs>
          <w:tab w:leader="none" w:pos="778"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may terminate Executive’s employment and all of Executive’s rights to receive Base Salary, and any Benefits hereunder for Cause.</w:t>
      </w:r>
    </w:p>
    <w:p>
      <w:pPr>
        <w:spacing w:after="0" w:line="200" w:lineRule="exact"/>
        <w:rPr>
          <w:rFonts w:ascii="Arial" w:cs="Arial" w:eastAsia="Arial" w:hAnsi="Arial"/>
          <w:sz w:val="22"/>
          <w:szCs w:val="22"/>
          <w:color w:val="auto"/>
        </w:rPr>
      </w:pPr>
    </w:p>
    <w:p>
      <w:pPr>
        <w:ind w:left="-20" w:right="180" w:firstLine="548"/>
        <w:spacing w:after="0"/>
        <w:tabs>
          <w:tab w:leader="none" w:pos="838" w:val="left"/>
        </w:tabs>
        <w:numPr>
          <w:ilvl w:val="1"/>
          <w:numId w:val="31"/>
        </w:numPr>
        <w:rPr>
          <w:rFonts w:ascii="Arial" w:cs="Arial" w:eastAsia="Arial" w:hAnsi="Arial"/>
          <w:sz w:val="22"/>
          <w:szCs w:val="22"/>
          <w:color w:val="auto"/>
        </w:rPr>
      </w:pPr>
      <w:r>
        <w:rPr>
          <w:rFonts w:ascii="Arial" w:cs="Arial" w:eastAsia="Arial" w:hAnsi="Arial"/>
          <w:sz w:val="22"/>
          <w:szCs w:val="22"/>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sectPr>
      </w:pPr>
    </w:p>
    <w:bookmarkStart w:id="121" w:name="page122"/>
    <w:bookmarkEnd w:id="121"/>
    <w:p>
      <w:pPr>
        <w:ind w:left="900" w:hanging="372"/>
        <w:spacing w:after="0"/>
        <w:tabs>
          <w:tab w:leader="none" w:pos="9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17"/>
          <w:szCs w:val="17"/>
          <w:u w:val="single" w:color="auto"/>
          <w:color w:val="auto"/>
        </w:rPr>
        <w:t>Cause</w:t>
      </w:r>
      <w:r>
        <w:rPr>
          <w:rFonts w:ascii="Arial" w:cs="Arial" w:eastAsia="Arial" w:hAnsi="Arial"/>
          <w:sz w:val="22"/>
          <w:szCs w:val="22"/>
          <w:color w:val="auto"/>
        </w:rPr>
        <w:t>” shall be defined as any of the following:</w:t>
      </w:r>
    </w:p>
    <w:p>
      <w:pPr>
        <w:spacing w:after="0" w:line="233" w:lineRule="exact"/>
        <w:rPr>
          <w:rFonts w:ascii="Arial" w:cs="Arial" w:eastAsia="Arial" w:hAnsi="Arial"/>
          <w:sz w:val="22"/>
          <w:szCs w:val="22"/>
          <w:color w:val="auto"/>
        </w:rPr>
      </w:pPr>
    </w:p>
    <w:p>
      <w:pPr>
        <w:ind w:left="-20" w:right="600" w:firstLine="818"/>
        <w:spacing w:after="0" w:line="251" w:lineRule="auto"/>
        <w:tabs>
          <w:tab w:leader="none" w:pos="10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Executive’s material breach of any of any obligations under this Agreement (other than by reason of physical or mental illness, injury, or condition);</w:t>
      </w:r>
    </w:p>
    <w:p>
      <w:pPr>
        <w:spacing w:after="0" w:line="200" w:lineRule="exact"/>
        <w:rPr>
          <w:rFonts w:ascii="Arial" w:cs="Arial" w:eastAsia="Arial" w:hAnsi="Arial"/>
          <w:sz w:val="22"/>
          <w:szCs w:val="22"/>
          <w:color w:val="auto"/>
        </w:rPr>
      </w:pPr>
    </w:p>
    <w:p>
      <w:pPr>
        <w:ind w:left="-20" w:right="740" w:firstLine="818"/>
        <w:spacing w:after="0" w:line="328" w:lineRule="auto"/>
        <w:tabs>
          <w:tab w:leader="none" w:pos="1096" w:val="left"/>
        </w:tabs>
        <w:numPr>
          <w:ilvl w:val="1"/>
          <w:numId w:val="32"/>
        </w:numPr>
        <w:rPr>
          <w:rFonts w:ascii="Arial" w:cs="Arial" w:eastAsia="Arial" w:hAnsi="Arial"/>
          <w:sz w:val="19"/>
          <w:szCs w:val="19"/>
          <w:color w:val="auto"/>
        </w:rPr>
      </w:pPr>
      <w:r>
        <w:rPr>
          <w:rFonts w:ascii="Arial" w:cs="Arial" w:eastAsia="Arial" w:hAnsi="Arial"/>
          <w:sz w:val="19"/>
          <w:szCs w:val="19"/>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34" w:lineRule="exact"/>
        <w:rPr>
          <w:sz w:val="20"/>
          <w:szCs w:val="20"/>
          <w:color w:val="auto"/>
        </w:rPr>
      </w:pPr>
    </w:p>
    <w:p>
      <w:pPr>
        <w:ind w:left="880" w:hanging="24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Executive’s commission of an act of fraud upon the Company;</w:t>
      </w:r>
    </w:p>
    <w:p>
      <w:pPr>
        <w:spacing w:after="0" w:line="248" w:lineRule="exact"/>
        <w:rPr>
          <w:rFonts w:ascii="Arial" w:cs="Arial" w:eastAsia="Arial" w:hAnsi="Arial"/>
          <w:sz w:val="17"/>
          <w:szCs w:val="17"/>
          <w:color w:val="auto"/>
        </w:rPr>
      </w:pPr>
    </w:p>
    <w:p>
      <w:pPr>
        <w:ind w:left="-20" w:right="40" w:firstLine="818"/>
        <w:spacing w:after="0" w:line="251" w:lineRule="auto"/>
        <w:tabs>
          <w:tab w:leader="none" w:pos="1096" w:val="left"/>
        </w:tabs>
        <w:numPr>
          <w:ilvl w:val="1"/>
          <w:numId w:val="33"/>
        </w:numPr>
        <w:rPr>
          <w:rFonts w:ascii="Arial" w:cs="Arial" w:eastAsia="Arial" w:hAnsi="Arial"/>
          <w:sz w:val="22"/>
          <w:szCs w:val="22"/>
          <w:color w:val="auto"/>
        </w:rPr>
      </w:pPr>
      <w:r>
        <w:rPr>
          <w:rFonts w:ascii="Arial" w:cs="Arial" w:eastAsia="Arial" w:hAnsi="Arial"/>
          <w:sz w:val="22"/>
          <w:szCs w:val="22"/>
          <w:color w:val="auto"/>
        </w:rPr>
        <w:t>Executive’s engaging in willful or reckless misconduct or gross negligence in connection with any property or activity of the Company or its Affiliates;</w:t>
      </w:r>
    </w:p>
    <w:p>
      <w:pPr>
        <w:spacing w:after="0" w:line="200" w:lineRule="exact"/>
        <w:rPr>
          <w:rFonts w:ascii="Arial" w:cs="Arial" w:eastAsia="Arial" w:hAnsi="Arial"/>
          <w:sz w:val="22"/>
          <w:szCs w:val="22"/>
          <w:color w:val="auto"/>
        </w:rPr>
      </w:pPr>
    </w:p>
    <w:p>
      <w:pPr>
        <w:ind w:left="1100" w:hanging="302"/>
        <w:spacing w:after="0"/>
        <w:tabs>
          <w:tab w:leader="none" w:pos="11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Executive’s repeated and intemperate use of alcohol or illegal drugs after written notice from the Board or Directors;</w:t>
      </w:r>
    </w:p>
    <w:p>
      <w:pPr>
        <w:spacing w:after="0" w:line="267" w:lineRule="exact"/>
        <w:rPr>
          <w:rFonts w:ascii="Arial" w:cs="Arial" w:eastAsia="Arial" w:hAnsi="Arial"/>
          <w:sz w:val="19"/>
          <w:szCs w:val="19"/>
          <w:color w:val="auto"/>
        </w:rPr>
      </w:pPr>
    </w:p>
    <w:p>
      <w:pPr>
        <w:ind w:left="-20" w:right="520" w:firstLine="818"/>
        <w:spacing w:after="0" w:line="328" w:lineRule="auto"/>
        <w:tabs>
          <w:tab w:leader="none" w:pos="1096"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34" w:lineRule="exact"/>
        <w:rPr>
          <w:sz w:val="20"/>
          <w:szCs w:val="20"/>
          <w:color w:val="auto"/>
        </w:rPr>
      </w:pPr>
    </w:p>
    <w:p>
      <w:pPr>
        <w:ind w:left="880" w:hanging="244"/>
        <w:spacing w:after="0"/>
        <w:tabs>
          <w:tab w:leader="none" w:pos="880" w:val="left"/>
        </w:tabs>
        <w:numPr>
          <w:ilvl w:val="2"/>
          <w:numId w:val="34"/>
        </w:numPr>
        <w:rPr>
          <w:rFonts w:ascii="Arial" w:cs="Arial" w:eastAsia="Arial" w:hAnsi="Arial"/>
          <w:sz w:val="17"/>
          <w:szCs w:val="17"/>
          <w:color w:val="auto"/>
        </w:rPr>
      </w:pPr>
      <w:r>
        <w:rPr>
          <w:rFonts w:ascii="Arial" w:cs="Arial" w:eastAsia="Arial" w:hAnsi="Arial"/>
          <w:sz w:val="17"/>
          <w:szCs w:val="17"/>
          <w:color w:val="auto"/>
        </w:rPr>
        <w:t>Executive’s becoming insolvent or filing for bankruptcy;</w:t>
      </w:r>
    </w:p>
    <w:p>
      <w:pPr>
        <w:spacing w:after="0" w:line="248" w:lineRule="exact"/>
        <w:rPr>
          <w:rFonts w:ascii="Arial" w:cs="Arial" w:eastAsia="Arial" w:hAnsi="Arial"/>
          <w:sz w:val="17"/>
          <w:szCs w:val="17"/>
          <w:color w:val="auto"/>
        </w:rPr>
      </w:pPr>
    </w:p>
    <w:p>
      <w:pPr>
        <w:ind w:left="1100" w:hanging="302"/>
        <w:spacing w:after="0"/>
        <w:tabs>
          <w:tab w:leader="none" w:pos="1100" w:val="left"/>
        </w:tabs>
        <w:numPr>
          <w:ilvl w:val="3"/>
          <w:numId w:val="34"/>
        </w:numPr>
        <w:rPr>
          <w:rFonts w:ascii="Arial" w:cs="Arial" w:eastAsia="Arial" w:hAnsi="Arial"/>
          <w:sz w:val="22"/>
          <w:szCs w:val="22"/>
          <w:color w:val="auto"/>
        </w:rPr>
      </w:pPr>
      <w:r>
        <w:rPr>
          <w:rFonts w:ascii="Arial" w:cs="Arial" w:eastAsia="Arial" w:hAnsi="Arial"/>
          <w:sz w:val="22"/>
          <w:szCs w:val="22"/>
          <w:color w:val="auto"/>
        </w:rPr>
        <w:t>Executive’s becoming barred or prohibited by the SEC from holding my position with the Company; or</w:t>
      </w:r>
    </w:p>
    <w:p>
      <w:pPr>
        <w:spacing w:after="0" w:line="233" w:lineRule="exact"/>
        <w:rPr>
          <w:rFonts w:ascii="Arial" w:cs="Arial" w:eastAsia="Arial" w:hAnsi="Arial"/>
          <w:sz w:val="22"/>
          <w:szCs w:val="22"/>
          <w:color w:val="auto"/>
        </w:rPr>
      </w:pPr>
    </w:p>
    <w:p>
      <w:pPr>
        <w:ind w:left="-20" w:right="40" w:firstLine="818"/>
        <w:spacing w:after="0" w:line="251" w:lineRule="auto"/>
        <w:tabs>
          <w:tab w:leader="none" w:pos="1096" w:val="left"/>
        </w:tabs>
        <w:numPr>
          <w:ilvl w:val="3"/>
          <w:numId w:val="34"/>
        </w:numPr>
        <w:rPr>
          <w:rFonts w:ascii="Arial" w:cs="Arial" w:eastAsia="Arial" w:hAnsi="Arial"/>
          <w:sz w:val="22"/>
          <w:szCs w:val="22"/>
          <w:color w:val="auto"/>
        </w:rPr>
      </w:pPr>
      <w:r>
        <w:rPr>
          <w:rFonts w:ascii="Arial" w:cs="Arial" w:eastAsia="Arial" w:hAnsi="Arial"/>
          <w:sz w:val="22"/>
          <w:szCs w:val="22"/>
          <w:color w:val="auto"/>
        </w:rPr>
        <w:t>Executive’s violation of any duty of loyalty (i.e., engaging in self-interested transactions, misappropriation of business opportunities that belong to the Company, or a breach of Executive’s fiduciary duties to the Company).</w:t>
      </w:r>
    </w:p>
    <w:p>
      <w:pPr>
        <w:spacing w:after="0" w:line="200" w:lineRule="exact"/>
        <w:rPr>
          <w:rFonts w:ascii="Arial" w:cs="Arial" w:eastAsia="Arial" w:hAnsi="Arial"/>
          <w:sz w:val="22"/>
          <w:szCs w:val="22"/>
          <w:color w:val="auto"/>
        </w:rPr>
      </w:pPr>
    </w:p>
    <w:p>
      <w:pPr>
        <w:ind w:left="560" w:hanging="302"/>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17"/>
          <w:szCs w:val="17"/>
          <w:u w:val="single" w:color="auto"/>
          <w:color w:val="auto"/>
        </w:rPr>
        <w:t>Termination Without Cause; Resignation For Good Reason</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20" w:firstLine="548"/>
        <w:spacing w:after="0" w:line="245" w:lineRule="auto"/>
        <w:tabs>
          <w:tab w:leader="none" w:pos="778"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w:t>
      </w:r>
      <w:r>
        <w:rPr>
          <w:rFonts w:ascii="Arial" w:cs="Arial" w:eastAsia="Arial" w:hAnsi="Arial"/>
          <w:sz w:val="16"/>
          <w:szCs w:val="16"/>
          <w:u w:val="single" w:color="auto"/>
          <w:color w:val="auto"/>
        </w:rPr>
        <w:t>Section 5</w:t>
      </w:r>
      <w:r>
        <w:rPr>
          <w:rFonts w:ascii="Arial" w:cs="Arial" w:eastAsia="Arial" w:hAnsi="Arial"/>
          <w:sz w:val="21"/>
          <w:szCs w:val="21"/>
          <w:color w:val="auto"/>
        </w:rPr>
        <w:t>, (i) the Company may, at its option and at any time, provide to Executive: (A) up to twelve (12) 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bookmarkStart w:id="122" w:name="page123"/>
    <w:bookmarkEnd w:id="122"/>
    <w:p>
      <w:pPr>
        <w:ind w:left="860" w:hanging="312"/>
        <w:spacing w:after="0"/>
        <w:tabs>
          <w:tab w:leader="none" w:pos="86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Executive is so terminated without Cause or resigns for Good Reason, Executive shall receive from the Company:</w:t>
      </w:r>
    </w:p>
    <w:p>
      <w:pPr>
        <w:spacing w:after="0" w:line="268" w:lineRule="exact"/>
        <w:rPr>
          <w:rFonts w:ascii="Arial" w:cs="Arial" w:eastAsia="Arial" w:hAnsi="Arial"/>
          <w:sz w:val="19"/>
          <w:szCs w:val="19"/>
          <w:color w:val="auto"/>
        </w:rPr>
      </w:pPr>
    </w:p>
    <w:p>
      <w:pPr>
        <w:ind w:right="180" w:firstLine="818"/>
        <w:spacing w:after="0"/>
        <w:tabs>
          <w:tab w:leader="none" w:pos="1116" w:val="left"/>
        </w:tabs>
        <w:numPr>
          <w:ilvl w:val="2"/>
          <w:numId w:val="36"/>
        </w:numPr>
        <w:rPr>
          <w:rFonts w:ascii="Arial" w:cs="Arial" w:eastAsia="Arial" w:hAnsi="Arial"/>
          <w:sz w:val="22"/>
          <w:szCs w:val="22"/>
          <w:color w:val="auto"/>
        </w:rPr>
      </w:pPr>
      <w:r>
        <w:rPr>
          <w:rFonts w:ascii="Arial" w:cs="Arial" w:eastAsia="Arial" w:hAnsi="Arial"/>
          <w:sz w:val="22"/>
          <w:szCs w:val="22"/>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213" w:lineRule="exact"/>
        <w:rPr>
          <w:rFonts w:ascii="Arial" w:cs="Arial" w:eastAsia="Arial" w:hAnsi="Arial"/>
          <w:sz w:val="22"/>
          <w:szCs w:val="22"/>
          <w:color w:val="auto"/>
        </w:rPr>
      </w:pPr>
    </w:p>
    <w:p>
      <w:pPr>
        <w:ind w:right="640" w:firstLine="818"/>
        <w:spacing w:after="0" w:line="236" w:lineRule="auto"/>
        <w:tabs>
          <w:tab w:leader="none" w:pos="1116" w:val="left"/>
        </w:tabs>
        <w:numPr>
          <w:ilvl w:val="2"/>
          <w:numId w:val="36"/>
        </w:numPr>
        <w:rPr>
          <w:rFonts w:ascii="Arial" w:cs="Arial" w:eastAsia="Arial" w:hAnsi="Arial"/>
          <w:sz w:val="22"/>
          <w:szCs w:val="22"/>
          <w:color w:val="auto"/>
        </w:rPr>
      </w:pPr>
      <w:r>
        <w:rPr>
          <w:rFonts w:ascii="Arial" w:cs="Arial" w:eastAsia="Arial" w:hAnsi="Arial"/>
          <w:sz w:val="22"/>
          <w:szCs w:val="22"/>
          <w:color w:val="auto"/>
        </w:rPr>
        <w:t>A payment (“</w:t>
      </w:r>
      <w:r>
        <w:rPr>
          <w:rFonts w:ascii="Arial" w:cs="Arial" w:eastAsia="Arial" w:hAnsi="Arial"/>
          <w:sz w:val="17"/>
          <w:szCs w:val="17"/>
          <w:u w:val="single" w:color="auto"/>
          <w:color w:val="auto"/>
        </w:rPr>
        <w:t>Severance Payment</w:t>
      </w:r>
      <w:r>
        <w:rPr>
          <w:rFonts w:ascii="Arial" w:cs="Arial" w:eastAsia="Arial" w:hAnsi="Arial"/>
          <w:sz w:val="22"/>
          <w:szCs w:val="22"/>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17"/>
          <w:szCs w:val="17"/>
          <w:u w:val="single" w:color="auto"/>
          <w:color w:val="auto"/>
        </w:rPr>
        <w:t>Section 5(d)(iv)</w:t>
      </w:r>
      <w:r>
        <w:rPr>
          <w:rFonts w:ascii="Arial" w:cs="Arial" w:eastAsia="Arial" w:hAnsi="Arial"/>
          <w:sz w:val="22"/>
          <w:szCs w:val="22"/>
          <w:color w:val="auto"/>
        </w:rPr>
        <w:t>, in accordance with the Company’s customary payroll practices generally applicable to similarly situated employees as may be in effect from time and shall be subject to statutory deductions and withholdings.</w:t>
      </w:r>
    </w:p>
    <w:p>
      <w:pPr>
        <w:spacing w:after="0" w:line="214" w:lineRule="exact"/>
        <w:rPr>
          <w:rFonts w:ascii="Arial" w:cs="Arial" w:eastAsia="Arial" w:hAnsi="Arial"/>
          <w:sz w:val="22"/>
          <w:szCs w:val="22"/>
          <w:color w:val="auto"/>
        </w:rPr>
      </w:pPr>
    </w:p>
    <w:p>
      <w:pPr>
        <w:ind w:right="400" w:firstLine="818"/>
        <w:spacing w:after="0" w:line="300" w:lineRule="auto"/>
        <w:tabs>
          <w:tab w:leader="none" w:pos="1116" w:val="left"/>
        </w:tabs>
        <w:numPr>
          <w:ilvl w:val="2"/>
          <w:numId w:val="36"/>
        </w:numPr>
        <w:rPr>
          <w:rFonts w:ascii="Arial" w:cs="Arial" w:eastAsia="Arial" w:hAnsi="Arial"/>
          <w:sz w:val="20"/>
          <w:szCs w:val="20"/>
          <w:color w:val="auto"/>
        </w:rPr>
      </w:pPr>
      <w:r>
        <w:rPr>
          <w:rFonts w:ascii="Arial" w:cs="Arial" w:eastAsia="Arial" w:hAnsi="Arial"/>
          <w:sz w:val="20"/>
          <w:szCs w:val="20"/>
          <w:color w:val="auto"/>
        </w:rPr>
        <w:t>Payment of Executive’s COBRA premiums for the 360-day period following termination of employment (“</w:t>
      </w:r>
      <w:r>
        <w:rPr>
          <w:rFonts w:ascii="Arial" w:cs="Arial" w:eastAsia="Arial" w:hAnsi="Arial"/>
          <w:sz w:val="15"/>
          <w:szCs w:val="15"/>
          <w:u w:val="single" w:color="auto"/>
          <w:color w:val="auto"/>
        </w:rPr>
        <w:t>Benefit</w:t>
      </w:r>
      <w:r>
        <w:rPr>
          <w:rFonts w:ascii="Arial" w:cs="Arial" w:eastAsia="Arial" w:hAnsi="Arial"/>
          <w:sz w:val="20"/>
          <w:szCs w:val="20"/>
          <w:color w:val="auto"/>
        </w:rPr>
        <w:t xml:space="preserve"> </w:t>
      </w:r>
      <w:r>
        <w:rPr>
          <w:rFonts w:ascii="Arial" w:cs="Arial" w:eastAsia="Arial" w:hAnsi="Arial"/>
          <w:sz w:val="15"/>
          <w:szCs w:val="15"/>
          <w:u w:val="single" w:color="auto"/>
          <w:color w:val="auto"/>
        </w:rPr>
        <w:t>Period</w:t>
      </w:r>
      <w:r>
        <w:rPr>
          <w:rFonts w:ascii="Arial" w:cs="Arial" w:eastAsia="Arial" w:hAnsi="Arial"/>
          <w:sz w:val="19"/>
          <w:szCs w:val="19"/>
          <w:color w:val="auto"/>
        </w:rPr>
        <w:t>”), provided Executive elects to receive COBRA continuation coverage and is eligible for COBRA continuation coverage.</w:t>
      </w:r>
    </w:p>
    <w:p>
      <w:pPr>
        <w:spacing w:after="0" w:line="154" w:lineRule="exact"/>
        <w:rPr>
          <w:rFonts w:ascii="Arial" w:cs="Arial" w:eastAsia="Arial" w:hAnsi="Arial"/>
          <w:sz w:val="20"/>
          <w:szCs w:val="20"/>
          <w:color w:val="auto"/>
        </w:rPr>
      </w:pPr>
    </w:p>
    <w:p>
      <w:pPr>
        <w:jc w:val="both"/>
        <w:ind w:right="40" w:firstLine="548"/>
        <w:spacing w:after="0" w:line="238" w:lineRule="auto"/>
        <w:tabs>
          <w:tab w:leader="none" w:pos="918"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As used in this Agreement, the term “Good Reason” shall mean (i) (except as set forth in </w:t>
      </w:r>
      <w:r>
        <w:rPr>
          <w:rFonts w:ascii="Arial" w:cs="Arial" w:eastAsia="Arial" w:hAnsi="Arial"/>
          <w:sz w:val="17"/>
          <w:szCs w:val="17"/>
          <w:u w:val="single" w:color="auto"/>
          <w:color w:val="auto"/>
        </w:rPr>
        <w:t>Section 5(e)</w:t>
      </w:r>
      <w:r>
        <w:rPr>
          <w:rFonts w:ascii="Arial" w:cs="Arial" w:eastAsia="Arial" w:hAnsi="Arial"/>
          <w:sz w:val="22"/>
          <w:szCs w:val="22"/>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212" w:lineRule="exact"/>
        <w:rPr>
          <w:rFonts w:ascii="Arial" w:cs="Arial" w:eastAsia="Arial" w:hAnsi="Arial"/>
          <w:sz w:val="22"/>
          <w:szCs w:val="22"/>
          <w:color w:val="auto"/>
        </w:rPr>
      </w:pPr>
    </w:p>
    <w:p>
      <w:pPr>
        <w:ind w:right="360" w:firstLine="548"/>
        <w:spacing w:after="0" w:line="328" w:lineRule="auto"/>
        <w:tabs>
          <w:tab w:leader="none" w:pos="906"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As a condition to receiving the payment and benefits extension contemplated by </w:t>
      </w:r>
      <w:r>
        <w:rPr>
          <w:rFonts w:ascii="Arial" w:cs="Arial" w:eastAsia="Arial" w:hAnsi="Arial"/>
          <w:sz w:val="15"/>
          <w:szCs w:val="15"/>
          <w:u w:val="single" w:color="auto"/>
          <w:color w:val="auto"/>
        </w:rPr>
        <w:t>Section 5(d) or 5(e)</w:t>
      </w:r>
      <w:r>
        <w:rPr>
          <w:rFonts w:ascii="Arial" w:cs="Arial" w:eastAsia="Arial" w:hAnsi="Arial"/>
          <w:sz w:val="19"/>
          <w:szCs w:val="19"/>
          <w:color w:val="auto"/>
        </w:rPr>
        <w:t xml:space="preserve">, Executive agrees to execute and deliver to the Company the Release substantially in the form attached to this Agreement as </w:t>
      </w:r>
      <w:r>
        <w:rPr>
          <w:rFonts w:ascii="Arial" w:cs="Arial" w:eastAsia="Arial" w:hAnsi="Arial"/>
          <w:sz w:val="15"/>
          <w:szCs w:val="15"/>
          <w:u w:val="single" w:color="auto"/>
          <w:color w:val="auto"/>
        </w:rPr>
        <w:t>Exhibit A</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580" w:hanging="302"/>
        <w:spacing w:after="0"/>
        <w:tabs>
          <w:tab w:leader="none" w:pos="580" w:val="left"/>
        </w:tabs>
        <w:numPr>
          <w:ilvl w:val="0"/>
          <w:numId w:val="37"/>
        </w:numPr>
        <w:rPr>
          <w:rFonts w:ascii="Arial" w:cs="Arial" w:eastAsia="Arial" w:hAnsi="Arial"/>
          <w:sz w:val="22"/>
          <w:szCs w:val="22"/>
          <w:color w:val="auto"/>
        </w:rPr>
      </w:pPr>
      <w:r>
        <w:rPr>
          <w:rFonts w:ascii="Arial" w:cs="Arial" w:eastAsia="Arial" w:hAnsi="Arial"/>
          <w:sz w:val="17"/>
          <w:szCs w:val="17"/>
          <w:u w:val="single" w:color="auto"/>
          <w:color w:val="auto"/>
        </w:rPr>
        <w:t>Change of Control</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800" w:hanging="252"/>
        <w:spacing w:after="0"/>
        <w:tabs>
          <w:tab w:leader="none" w:pos="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For purposes of the Agreement, a “change of control” means, and shall be deemed to have taken place, if;</w:t>
      </w:r>
    </w:p>
    <w:p>
      <w:pPr>
        <w:spacing w:after="0" w:line="233" w:lineRule="exact"/>
        <w:rPr>
          <w:rFonts w:ascii="Arial" w:cs="Arial" w:eastAsia="Arial" w:hAnsi="Arial"/>
          <w:sz w:val="22"/>
          <w:szCs w:val="22"/>
          <w:color w:val="auto"/>
        </w:rPr>
      </w:pPr>
    </w:p>
    <w:p>
      <w:pPr>
        <w:ind w:firstLine="818"/>
        <w:spacing w:after="0" w:line="236" w:lineRule="auto"/>
        <w:tabs>
          <w:tab w:leader="none" w:pos="1116" w:val="left"/>
        </w:tabs>
        <w:numPr>
          <w:ilvl w:val="2"/>
          <w:numId w:val="37"/>
        </w:numPr>
        <w:rPr>
          <w:rFonts w:ascii="Arial" w:cs="Arial" w:eastAsia="Arial" w:hAnsi="Arial"/>
          <w:sz w:val="22"/>
          <w:szCs w:val="22"/>
          <w:color w:val="auto"/>
        </w:rPr>
      </w:pPr>
      <w:r>
        <w:rPr>
          <w:rFonts w:ascii="Arial" w:cs="Arial" w:eastAsia="Arial" w:hAnsi="Arial"/>
          <w:sz w:val="22"/>
          <w:szCs w:val="22"/>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14" w:lineRule="exact"/>
        <w:rPr>
          <w:rFonts w:ascii="Arial" w:cs="Arial" w:eastAsia="Arial" w:hAnsi="Arial"/>
          <w:sz w:val="22"/>
          <w:szCs w:val="22"/>
          <w:color w:val="auto"/>
        </w:rPr>
      </w:pPr>
    </w:p>
    <w:p>
      <w:pPr>
        <w:ind w:right="360" w:firstLine="818"/>
        <w:spacing w:after="0" w:line="282" w:lineRule="auto"/>
        <w:tabs>
          <w:tab w:leader="none" w:pos="1116" w:val="left"/>
        </w:tabs>
        <w:numPr>
          <w:ilvl w:val="2"/>
          <w:numId w:val="37"/>
        </w:numPr>
        <w:rPr>
          <w:rFonts w:ascii="Arial" w:cs="Arial" w:eastAsia="Arial" w:hAnsi="Arial"/>
          <w:sz w:val="19"/>
          <w:szCs w:val="19"/>
          <w:color w:val="auto"/>
        </w:rPr>
      </w:pPr>
      <w:r>
        <w:rPr>
          <w:rFonts w:ascii="Arial" w:cs="Arial" w:eastAsia="Arial" w:hAnsi="Arial"/>
          <w:sz w:val="19"/>
          <w:szCs w:val="19"/>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ind w:left="820"/>
        <w:spacing w:after="0"/>
        <w:rPr>
          <w:sz w:val="20"/>
          <w:szCs w:val="20"/>
          <w:color w:val="auto"/>
        </w:rPr>
      </w:pPr>
      <w:r>
        <w:rPr>
          <w:rFonts w:ascii="Arial" w:cs="Arial" w:eastAsia="Arial" w:hAnsi="Arial"/>
          <w:sz w:val="21"/>
          <w:szCs w:val="21"/>
          <w:color w:val="auto"/>
        </w:rPr>
        <w:t>(3) there occurs a reorganization, merger, consolidation or other corporate transaction involving the Company (a</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5"/>
          <w:szCs w:val="15"/>
          <w:u w:val="single" w:color="auto"/>
          <w:color w:val="auto"/>
        </w:rPr>
        <w:t>Transaction</w:t>
      </w:r>
      <w:r>
        <w:rPr>
          <w:rFonts w:ascii="Arial" w:cs="Arial" w:eastAsia="Arial" w:hAnsi="Arial"/>
          <w:sz w:val="19"/>
          <w:szCs w:val="19"/>
          <w:color w:val="auto"/>
        </w:rPr>
        <w:t>”), and shareholders of the Company immediately prior to such Transaction do not, immediately after the Transaction,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own more than 50% of the combined voting power of the Company or other corporation resulting from such Transaction; or</w:t>
      </w:r>
    </w:p>
    <w:p>
      <w:pPr>
        <w:spacing w:after="0" w:line="227" w:lineRule="exact"/>
        <w:rPr>
          <w:sz w:val="20"/>
          <w:szCs w:val="20"/>
          <w:color w:val="auto"/>
        </w:rPr>
      </w:pPr>
    </w:p>
    <w:p>
      <w:pPr>
        <w:ind w:right="720" w:firstLine="818"/>
        <w:spacing w:after="0" w:line="251" w:lineRule="auto"/>
        <w:tabs>
          <w:tab w:leader="none" w:pos="1116" w:val="left"/>
        </w:tabs>
        <w:numPr>
          <w:ilvl w:val="2"/>
          <w:numId w:val="38"/>
        </w:numPr>
        <w:rPr>
          <w:rFonts w:ascii="Arial" w:cs="Arial" w:eastAsia="Arial" w:hAnsi="Arial"/>
          <w:sz w:val="22"/>
          <w:szCs w:val="22"/>
          <w:color w:val="auto"/>
        </w:rPr>
      </w:pPr>
      <w:r>
        <w:rPr>
          <w:rFonts w:ascii="Arial" w:cs="Arial" w:eastAsia="Arial" w:hAnsi="Arial"/>
          <w:sz w:val="22"/>
          <w:szCs w:val="22"/>
          <w:color w:val="auto"/>
        </w:rPr>
        <w:t>there is a “change in control” of the Company within the meaning of Section 280G of the U.S. Federal internal revenue code of 1986.</w:t>
      </w:r>
    </w:p>
    <w:p>
      <w:pPr>
        <w:spacing w:after="0" w:line="200" w:lineRule="exact"/>
        <w:rPr>
          <w:rFonts w:ascii="Arial" w:cs="Arial" w:eastAsia="Arial" w:hAnsi="Arial"/>
          <w:sz w:val="22"/>
          <w:szCs w:val="22"/>
          <w:color w:val="auto"/>
        </w:rPr>
      </w:pPr>
    </w:p>
    <w:p>
      <w:pPr>
        <w:ind w:right="40" w:firstLine="548"/>
        <w:spacing w:after="0" w:line="245" w:lineRule="auto"/>
        <w:tabs>
          <w:tab w:leader="none" w:pos="918"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16"/>
          <w:szCs w:val="16"/>
          <w:u w:val="single" w:color="auto"/>
          <w:color w:val="auto"/>
        </w:rPr>
        <w:t>Section 5(c)</w:t>
      </w:r>
      <w:r>
        <w:rPr>
          <w:rFonts w:ascii="Arial" w:cs="Arial" w:eastAsia="Arial" w:hAnsi="Arial"/>
          <w:sz w:val="21"/>
          <w:szCs w:val="21"/>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16"/>
          <w:szCs w:val="16"/>
          <w:u w:val="single" w:color="auto"/>
          <w:color w:val="auto"/>
        </w:rPr>
        <w:t>Section 5(e)(ii)</w:t>
      </w:r>
      <w:r>
        <w:rPr>
          <w:rFonts w:ascii="Arial" w:cs="Arial" w:eastAsia="Arial" w:hAnsi="Arial"/>
          <w:sz w:val="21"/>
          <w:szCs w:val="21"/>
          <w:color w:val="auto"/>
        </w:rPr>
        <w:t xml:space="preserve">), “ ”Executive shall be entitled to receive a cash payment equal to eighteen (18) months of Executive’s current Base Salary and the benefits described in </w:t>
      </w:r>
      <w:r>
        <w:rPr>
          <w:rFonts w:ascii="Arial" w:cs="Arial" w:eastAsia="Arial" w:hAnsi="Arial"/>
          <w:sz w:val="16"/>
          <w:szCs w:val="16"/>
          <w:u w:val="single" w:color="auto"/>
          <w:color w:val="auto"/>
        </w:rPr>
        <w:t>Section 5(d)(ii)</w:t>
      </w:r>
      <w:r>
        <w:rPr>
          <w:rFonts w:ascii="Arial" w:cs="Arial" w:eastAsia="Arial" w:hAnsi="Arial"/>
          <w:sz w:val="21"/>
          <w:szCs w:val="21"/>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6"/>
          <w:szCs w:val="16"/>
          <w:u w:val="single" w:color="auto"/>
          <w:color w:val="auto"/>
        </w:rPr>
        <w:t>Section 5(d)</w:t>
      </w:r>
      <w:r>
        <w:rPr>
          <w:rFonts w:ascii="Arial" w:cs="Arial" w:eastAsia="Arial" w:hAnsi="Arial"/>
          <w:sz w:val="21"/>
          <w:szCs w:val="21"/>
          <w:color w:val="auto"/>
        </w:rPr>
        <w:t xml:space="preserve"> hereof and the “change of control” payment described in this </w:t>
      </w:r>
      <w:r>
        <w:rPr>
          <w:rFonts w:ascii="Arial" w:cs="Arial" w:eastAsia="Arial" w:hAnsi="Arial"/>
          <w:sz w:val="16"/>
          <w:szCs w:val="16"/>
          <w:u w:val="single" w:color="auto"/>
          <w:color w:val="auto"/>
        </w:rPr>
        <w:t>Section 5(e)</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right="360" w:firstLine="548"/>
        <w:spacing w:after="0" w:line="297" w:lineRule="auto"/>
        <w:tabs>
          <w:tab w:leader="none" w:pos="906"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Any payments to be made to Executive in connection with this </w:t>
      </w:r>
      <w:r>
        <w:rPr>
          <w:rFonts w:ascii="Arial" w:cs="Arial" w:eastAsia="Arial" w:hAnsi="Arial"/>
          <w:sz w:val="15"/>
          <w:szCs w:val="15"/>
          <w:u w:val="single" w:color="auto"/>
          <w:color w:val="auto"/>
        </w:rPr>
        <w:t>Section 5(e)</w:t>
      </w:r>
      <w:r>
        <w:rPr>
          <w:rFonts w:ascii="Arial" w:cs="Arial" w:eastAsia="Arial" w:hAnsi="Arial"/>
          <w:sz w:val="19"/>
          <w:szCs w:val="19"/>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5"/>
          <w:szCs w:val="15"/>
          <w:u w:val="single" w:color="auto"/>
          <w:color w:val="auto"/>
        </w:rPr>
        <w:t>Section 5(d)(iv)</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left="540" w:hanging="262"/>
        <w:spacing w:after="0"/>
        <w:tabs>
          <w:tab w:leader="none" w:pos="540" w:val="left"/>
        </w:tabs>
        <w:numPr>
          <w:ilvl w:val="0"/>
          <w:numId w:val="40"/>
        </w:numPr>
        <w:rPr>
          <w:rFonts w:ascii="Arial" w:cs="Arial" w:eastAsia="Arial" w:hAnsi="Arial"/>
          <w:sz w:val="22"/>
          <w:szCs w:val="22"/>
          <w:color w:val="auto"/>
        </w:rPr>
      </w:pPr>
      <w:r>
        <w:rPr>
          <w:rFonts w:ascii="Arial" w:cs="Arial" w:eastAsia="Arial" w:hAnsi="Arial"/>
          <w:sz w:val="17"/>
          <w:szCs w:val="17"/>
          <w:u w:val="single" w:color="auto"/>
          <w:color w:val="auto"/>
        </w:rPr>
        <w:t>Tax Consideration</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firstLine="548"/>
        <w:spacing w:after="0" w:line="273" w:lineRule="auto"/>
        <w:tabs>
          <w:tab w:leader="none" w:pos="798"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the event that the aggregate of all payments or benefits made or provided to the Executive under this Agreement and under all other plans and programs of the Company (the “</w:t>
      </w:r>
      <w:r>
        <w:rPr>
          <w:rFonts w:ascii="Arial" w:cs="Arial" w:eastAsia="Arial" w:hAnsi="Arial"/>
          <w:sz w:val="15"/>
          <w:szCs w:val="15"/>
          <w:u w:val="single" w:color="auto"/>
          <w:color w:val="auto"/>
        </w:rPr>
        <w:t>Aggregate Payment</w:t>
      </w:r>
      <w:r>
        <w:rPr>
          <w:rFonts w:ascii="Arial" w:cs="Arial" w:eastAsia="Arial" w:hAnsi="Arial"/>
          <w:sz w:val="19"/>
          <w:szCs w:val="19"/>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5"/>
          <w:szCs w:val="15"/>
          <w:u w:val="single" w:color="auto"/>
          <w:color w:val="auto"/>
        </w:rPr>
        <w:t>Gross-Up Amount</w:t>
      </w:r>
      <w:r>
        <w:rPr>
          <w:rFonts w:ascii="Arial" w:cs="Arial" w:eastAsia="Arial" w:hAnsi="Arial"/>
          <w:sz w:val="19"/>
          <w:szCs w:val="19"/>
          <w:color w:val="auto"/>
        </w:rPr>
        <w:t>”), prior to the time any excise tax (“</w:t>
      </w:r>
      <w:r>
        <w:rPr>
          <w:rFonts w:ascii="Arial" w:cs="Arial" w:eastAsia="Arial" w:hAnsi="Arial"/>
          <w:sz w:val="15"/>
          <w:szCs w:val="15"/>
          <w:u w:val="single" w:color="auto"/>
          <w:color w:val="auto"/>
        </w:rPr>
        <w:t>Excise Tax</w:t>
      </w:r>
      <w:r>
        <w:rPr>
          <w:rFonts w:ascii="Arial" w:cs="Arial" w:eastAsia="Arial" w:hAnsi="Arial"/>
          <w:sz w:val="19"/>
          <w:szCs w:val="19"/>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 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ind w:left="-8" w:right="100" w:firstLine="548"/>
        <w:spacing w:after="0"/>
        <w:tabs>
          <w:tab w:leader="none" w:pos="85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All determinations required to be made under this </w:t>
      </w:r>
      <w:r>
        <w:rPr>
          <w:rFonts w:ascii="Arial" w:cs="Arial" w:eastAsia="Arial" w:hAnsi="Arial"/>
          <w:sz w:val="17"/>
          <w:szCs w:val="17"/>
          <w:u w:val="single" w:color="auto"/>
          <w:color w:val="auto"/>
        </w:rPr>
        <w:t>Section 5(f)</w:t>
      </w:r>
      <w:r>
        <w:rPr>
          <w:rFonts w:ascii="Arial" w:cs="Arial" w:eastAsia="Arial" w:hAnsi="Arial"/>
          <w:sz w:val="22"/>
          <w:szCs w:val="22"/>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17"/>
          <w:szCs w:val="17"/>
          <w:u w:val="single" w:color="auto"/>
          <w:color w:val="auto"/>
        </w:rPr>
        <w:t>Accounting Firm</w:t>
      </w:r>
      <w:r>
        <w:rPr>
          <w:rFonts w:ascii="Arial" w:cs="Arial" w:eastAsia="Arial" w:hAnsi="Arial"/>
          <w:sz w:val="22"/>
          <w:szCs w:val="22"/>
          <w:color w:val="auto"/>
        </w:rPr>
        <w:t xml:space="preserve">”); </w:t>
      </w:r>
      <w:r>
        <w:rPr>
          <w:rFonts w:ascii="Arial" w:cs="Arial" w:eastAsia="Arial" w:hAnsi="Arial"/>
          <w:sz w:val="17"/>
          <w:szCs w:val="17"/>
          <w:u w:val="single" w:color="auto"/>
          <w:color w:val="auto"/>
        </w:rPr>
        <w:t>provided</w:t>
      </w:r>
      <w:r>
        <w:rPr>
          <w:rFonts w:ascii="Arial" w:cs="Arial" w:eastAsia="Arial" w:hAnsi="Arial"/>
          <w:sz w:val="21"/>
          <w:szCs w:val="21"/>
          <w:color w:val="auto"/>
        </w:rPr>
        <w:t>, however, that such Accounting Firm presents its rationale and supporting calculations to the Executive upon his request</w:t>
      </w:r>
      <w:r>
        <w:rPr>
          <w:rFonts w:ascii="Arial" w:cs="Arial" w:eastAsia="Arial" w:hAnsi="Arial"/>
          <w:sz w:val="17"/>
          <w:szCs w:val="17"/>
          <w:color w:val="auto"/>
        </w:rPr>
        <w:t xml:space="preserve"> </w:t>
      </w:r>
      <w:r>
        <w:rPr>
          <w:rFonts w:ascii="Arial" w:cs="Arial" w:eastAsia="Arial" w:hAnsi="Arial"/>
          <w:sz w:val="21"/>
          <w:szCs w:val="21"/>
          <w:color w:val="auto"/>
        </w:rPr>
        <w:t>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215" w:lineRule="exact"/>
        <w:rPr>
          <w:rFonts w:ascii="Arial" w:cs="Arial" w:eastAsia="Arial" w:hAnsi="Arial"/>
          <w:sz w:val="22"/>
          <w:szCs w:val="22"/>
          <w:color w:val="auto"/>
        </w:rPr>
      </w:pPr>
    </w:p>
    <w:p>
      <w:pPr>
        <w:ind w:left="-8" w:firstLine="548"/>
        <w:spacing w:after="0" w:line="268" w:lineRule="auto"/>
        <w:tabs>
          <w:tab w:leader="none" w:pos="91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5"/>
          <w:szCs w:val="15"/>
          <w:u w:val="single" w:color="auto"/>
          <w:color w:val="auto"/>
        </w:rPr>
        <w:t>Overpayment</w:t>
      </w:r>
      <w:r>
        <w:rPr>
          <w:rFonts w:ascii="Arial" w:cs="Arial" w:eastAsia="Arial" w:hAnsi="Arial"/>
          <w:sz w:val="19"/>
          <w:szCs w:val="19"/>
          <w:color w:val="auto"/>
        </w:rPr>
        <w:t>”) or that the Company will have paid a Gross-Up Amount that is less than the amount that the Company should have paid pursuant to this Section 5(f) (the “</w:t>
      </w:r>
      <w:r>
        <w:rPr>
          <w:rFonts w:ascii="Arial" w:cs="Arial" w:eastAsia="Arial" w:hAnsi="Arial"/>
          <w:sz w:val="15"/>
          <w:szCs w:val="15"/>
          <w:u w:val="single" w:color="auto"/>
          <w:color w:val="auto"/>
        </w:rPr>
        <w:t>Underpayment</w:t>
      </w:r>
      <w:r>
        <w:rPr>
          <w:rFonts w:ascii="Arial" w:cs="Arial" w:eastAsia="Arial" w:hAnsi="Arial"/>
          <w:sz w:val="19"/>
          <w:szCs w:val="19"/>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w:t>
      </w:r>
    </w:p>
    <w:p>
      <w:pPr>
        <w:spacing w:after="0" w:line="6" w:lineRule="exact"/>
        <w:rPr>
          <w:rFonts w:ascii="Arial" w:cs="Arial" w:eastAsia="Arial" w:hAnsi="Arial"/>
          <w:sz w:val="19"/>
          <w:szCs w:val="19"/>
          <w:color w:val="auto"/>
        </w:rPr>
      </w:pPr>
    </w:p>
    <w:p>
      <w:pPr>
        <w:ind w:left="312" w:hanging="312"/>
        <w:spacing w:after="0"/>
        <w:tabs>
          <w:tab w:leader="none" w:pos="312" w:val="left"/>
        </w:tabs>
        <w:numPr>
          <w:ilvl w:val="0"/>
          <w:numId w:val="42"/>
        </w:numPr>
        <w:rPr>
          <w:rFonts w:ascii="Arial" w:cs="Arial" w:eastAsia="Arial" w:hAnsi="Arial"/>
          <w:sz w:val="22"/>
          <w:szCs w:val="22"/>
          <w:color w:val="auto"/>
        </w:rPr>
      </w:pPr>
      <w:r>
        <w:rPr>
          <w:rFonts w:ascii="Arial" w:cs="Arial" w:eastAsia="Arial" w:hAnsi="Arial"/>
          <w:sz w:val="22"/>
          <w:szCs w:val="22"/>
          <w:color w:val="auto"/>
        </w:rPr>
        <w:t>of the Code.</w:t>
      </w:r>
    </w:p>
    <w:p>
      <w:pPr>
        <w:spacing w:after="0" w:line="150"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18" w:right="279" w:bottom="1440" w:gutter="0" w:footer="0" w:header="0"/>
        </w:sectPr>
      </w:pPr>
    </w:p>
    <w:bookmarkStart w:id="125" w:name="page126"/>
    <w:bookmarkEnd w:id="125"/>
    <w:p>
      <w:pPr>
        <w:ind w:left="580" w:hanging="302"/>
        <w:spacing w:after="0"/>
        <w:tabs>
          <w:tab w:leader="none" w:pos="580" w:val="left"/>
        </w:tabs>
        <w:numPr>
          <w:ilvl w:val="0"/>
          <w:numId w:val="43"/>
        </w:numPr>
        <w:rPr>
          <w:rFonts w:ascii="Arial" w:cs="Arial" w:eastAsia="Arial" w:hAnsi="Arial"/>
          <w:sz w:val="22"/>
          <w:szCs w:val="22"/>
          <w:color w:val="auto"/>
        </w:rPr>
      </w:pPr>
      <w:r>
        <w:rPr>
          <w:rFonts w:ascii="Arial" w:cs="Arial" w:eastAsia="Arial" w:hAnsi="Arial"/>
          <w:sz w:val="17"/>
          <w:szCs w:val="17"/>
          <w:u w:val="single" w:color="auto"/>
          <w:color w:val="auto"/>
        </w:rPr>
        <w:t>Treatment of Stock Options Upon Change of Control or a Termination</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right="220" w:firstLine="548"/>
        <w:spacing w:after="0" w:line="274" w:lineRule="auto"/>
        <w:tabs>
          <w:tab w:leader="none" w:pos="798" w:val="left"/>
        </w:tabs>
        <w:numPr>
          <w:ilvl w:val="1"/>
          <w:numId w:val="43"/>
        </w:numPr>
        <w:rPr>
          <w:rFonts w:ascii="Arial" w:cs="Arial" w:eastAsia="Arial" w:hAnsi="Arial"/>
          <w:sz w:val="21"/>
          <w:szCs w:val="21"/>
          <w:color w:val="auto"/>
        </w:rPr>
      </w:pPr>
      <w:r>
        <w:rPr>
          <w:rFonts w:ascii="Arial" w:cs="Arial" w:eastAsia="Arial" w:hAnsi="Arial"/>
          <w:sz w:val="21"/>
          <w:szCs w:val="21"/>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177" w:lineRule="exact"/>
        <w:rPr>
          <w:rFonts w:ascii="Arial" w:cs="Arial" w:eastAsia="Arial" w:hAnsi="Arial"/>
          <w:sz w:val="21"/>
          <w:szCs w:val="21"/>
          <w:color w:val="auto"/>
        </w:rPr>
      </w:pPr>
    </w:p>
    <w:p>
      <w:pPr>
        <w:ind w:right="100" w:firstLine="548"/>
        <w:spacing w:after="0" w:line="251" w:lineRule="auto"/>
        <w:tabs>
          <w:tab w:leader="none" w:pos="858"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If this Agreement is terminated pursuant to clause </w:t>
      </w:r>
      <w:r>
        <w:rPr>
          <w:rFonts w:ascii="Arial" w:cs="Arial" w:eastAsia="Arial" w:hAnsi="Arial"/>
          <w:sz w:val="17"/>
          <w:szCs w:val="17"/>
          <w:u w:val="single" w:color="auto"/>
          <w:color w:val="auto"/>
        </w:rPr>
        <w:t>(c)</w:t>
      </w:r>
      <w:r>
        <w:rPr>
          <w:rFonts w:ascii="Arial" w:cs="Arial" w:eastAsia="Arial" w:hAnsi="Arial"/>
          <w:sz w:val="22"/>
          <w:szCs w:val="22"/>
          <w:color w:val="auto"/>
        </w:rPr>
        <w:t xml:space="preserve"> of this </w:t>
      </w:r>
      <w:r>
        <w:rPr>
          <w:rFonts w:ascii="Arial" w:cs="Arial" w:eastAsia="Arial" w:hAnsi="Arial"/>
          <w:sz w:val="17"/>
          <w:szCs w:val="17"/>
          <w:u w:val="single" w:color="auto"/>
          <w:color w:val="auto"/>
        </w:rPr>
        <w:t>Section 5</w:t>
      </w:r>
      <w:r>
        <w:rPr>
          <w:rFonts w:ascii="Arial" w:cs="Arial" w:eastAsia="Arial" w:hAnsi="Arial"/>
          <w:sz w:val="22"/>
          <w:szCs w:val="22"/>
          <w:color w:val="auto"/>
        </w:rPr>
        <w:t xml:space="preserve"> or if Executive resigns his employment, all unvested stock options granted to Executive pursuant to the Company’s stock plans shall terminate immediately.</w:t>
      </w:r>
    </w:p>
    <w:p>
      <w:pPr>
        <w:spacing w:after="0" w:line="200" w:lineRule="exact"/>
        <w:rPr>
          <w:sz w:val="20"/>
          <w:szCs w:val="20"/>
          <w:color w:val="auto"/>
        </w:rPr>
      </w:pPr>
    </w:p>
    <w:p>
      <w:pPr>
        <w:jc w:val="both"/>
        <w:ind w:right="180" w:firstLine="540"/>
        <w:spacing w:after="0" w:line="287" w:lineRule="auto"/>
        <w:rPr>
          <w:sz w:val="20"/>
          <w:szCs w:val="20"/>
          <w:color w:val="auto"/>
        </w:rPr>
      </w:pPr>
      <w:r>
        <w:rPr>
          <w:rFonts w:ascii="Arial" w:cs="Arial" w:eastAsia="Arial" w:hAnsi="Arial"/>
          <w:sz w:val="19"/>
          <w:szCs w:val="19"/>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70" w:lineRule="exact"/>
        <w:rPr>
          <w:sz w:val="20"/>
          <w:szCs w:val="20"/>
          <w:color w:val="auto"/>
        </w:rPr>
      </w:pPr>
    </w:p>
    <w:p>
      <w:pPr>
        <w:jc w:val="both"/>
        <w:ind w:right="800" w:firstLine="540"/>
        <w:spacing w:after="0"/>
        <w:rPr>
          <w:sz w:val="20"/>
          <w:szCs w:val="20"/>
          <w:color w:val="auto"/>
        </w:rPr>
      </w:pPr>
      <w:r>
        <w:rPr>
          <w:rFonts w:ascii="Arial" w:cs="Arial" w:eastAsia="Arial" w:hAnsi="Arial"/>
          <w:sz w:val="22"/>
          <w:szCs w:val="22"/>
          <w:color w:val="auto"/>
        </w:rPr>
        <w:t xml:space="preserve">Except as expressly modified by this clause </w:t>
      </w:r>
      <w:r>
        <w:rPr>
          <w:rFonts w:ascii="Arial" w:cs="Arial" w:eastAsia="Arial" w:hAnsi="Arial"/>
          <w:sz w:val="17"/>
          <w:szCs w:val="17"/>
          <w:u w:val="single" w:color="auto"/>
          <w:color w:val="auto"/>
        </w:rPr>
        <w:t>(g)</w:t>
      </w:r>
      <w:r>
        <w:rPr>
          <w:rFonts w:ascii="Arial" w:cs="Arial" w:eastAsia="Arial" w:hAnsi="Arial"/>
          <w:sz w:val="22"/>
          <w:szCs w:val="22"/>
          <w:color w:val="auto"/>
        </w:rPr>
        <w:t xml:space="preserve"> of this </w:t>
      </w:r>
      <w:r>
        <w:rPr>
          <w:rFonts w:ascii="Arial" w:cs="Arial" w:eastAsia="Arial" w:hAnsi="Arial"/>
          <w:sz w:val="17"/>
          <w:szCs w:val="17"/>
          <w:u w:val="single" w:color="auto"/>
          <w:color w:val="auto"/>
        </w:rPr>
        <w:t>Section 5</w:t>
      </w:r>
      <w:r>
        <w:rPr>
          <w:rFonts w:ascii="Arial" w:cs="Arial" w:eastAsia="Arial" w:hAnsi="Arial"/>
          <w:sz w:val="22"/>
          <w:szCs w:val="22"/>
          <w:color w:val="auto"/>
        </w:rPr>
        <w:t>, all stock options and similar rights granted under the Company’s stock plans shall remain subject to all of the terms and conditions of the applicable stock plans and agreements evidencing the grants thereof.</w:t>
      </w:r>
    </w:p>
    <w:p>
      <w:pPr>
        <w:spacing w:after="0" w:line="213" w:lineRule="exact"/>
        <w:rPr>
          <w:sz w:val="20"/>
          <w:szCs w:val="20"/>
          <w:color w:val="auto"/>
        </w:rPr>
      </w:pPr>
    </w:p>
    <w:p>
      <w:pPr>
        <w:ind w:right="80" w:firstLine="278"/>
        <w:spacing w:after="0" w:line="282" w:lineRule="auto"/>
        <w:tabs>
          <w:tab w:leader="none" w:pos="576" w:val="left"/>
        </w:tabs>
        <w:numPr>
          <w:ilvl w:val="1"/>
          <w:numId w:val="44"/>
        </w:numPr>
        <w:rPr>
          <w:rFonts w:ascii="Arial" w:cs="Arial" w:eastAsia="Arial" w:hAnsi="Arial"/>
          <w:sz w:val="20"/>
          <w:szCs w:val="20"/>
          <w:color w:val="auto"/>
        </w:rPr>
      </w:pPr>
      <w:r>
        <w:rPr>
          <w:rFonts w:ascii="Arial" w:cs="Arial" w:eastAsia="Arial" w:hAnsi="Arial"/>
          <w:sz w:val="16"/>
          <w:szCs w:val="16"/>
          <w:u w:val="single" w:color="auto"/>
          <w:color w:val="auto"/>
        </w:rPr>
        <w:t>Exclusive Remedy</w:t>
      </w:r>
      <w:r>
        <w:rPr>
          <w:rFonts w:ascii="Arial" w:cs="Arial" w:eastAsia="Arial" w:hAnsi="Arial"/>
          <w:sz w:val="19"/>
          <w:szCs w:val="19"/>
          <w:color w:val="auto"/>
        </w:rPr>
        <w:t>. Executive agrees that the payments other benefits provided and contemplated by this Agreement shall</w:t>
      </w:r>
      <w:r>
        <w:rPr>
          <w:rFonts w:ascii="Arial" w:cs="Arial" w:eastAsia="Arial" w:hAnsi="Arial"/>
          <w:sz w:val="16"/>
          <w:szCs w:val="16"/>
          <w:color w:val="auto"/>
        </w:rPr>
        <w:t xml:space="preserve"> </w:t>
      </w:r>
      <w:r>
        <w:rPr>
          <w:rFonts w:ascii="Arial" w:cs="Arial" w:eastAsia="Arial" w:hAnsi="Arial"/>
          <w:sz w:val="19"/>
          <w:szCs w:val="19"/>
          <w:color w:val="auto"/>
        </w:rPr>
        <w:t>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175" w:lineRule="exact"/>
        <w:rPr>
          <w:rFonts w:ascii="Arial" w:cs="Arial" w:eastAsia="Arial" w:hAnsi="Arial"/>
          <w:sz w:val="20"/>
          <w:szCs w:val="20"/>
          <w:color w:val="auto"/>
        </w:rPr>
      </w:pPr>
    </w:p>
    <w:p>
      <w:pPr>
        <w:ind w:right="380" w:firstLine="8"/>
        <w:spacing w:after="0" w:line="265" w:lineRule="auto"/>
        <w:tabs>
          <w:tab w:leader="none" w:pos="17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b w:val="1"/>
          <w:bCs w:val="1"/>
          <w:color w:val="auto"/>
        </w:rPr>
        <w:t xml:space="preserve">. </w:t>
      </w:r>
      <w:r>
        <w:rPr>
          <w:rFonts w:ascii="Arial" w:cs="Arial" w:eastAsia="Arial" w:hAnsi="Arial"/>
          <w:sz w:val="20"/>
          <w:szCs w:val="20"/>
          <w:color w:val="auto"/>
        </w:rPr>
        <w:t>During the Term of this Agreement, to the extent that such expenditures satisfy the criteria under the Internal</w:t>
      </w:r>
      <w:r>
        <w:rPr>
          <w:rFonts w:ascii="Arial" w:cs="Arial" w:eastAsia="Arial" w:hAnsi="Arial"/>
          <w:sz w:val="16"/>
          <w:szCs w:val="16"/>
          <w:b w:val="1"/>
          <w:bCs w:val="1"/>
          <w:color w:val="auto"/>
        </w:rPr>
        <w:t xml:space="preserve"> </w:t>
      </w:r>
      <w:r>
        <w:rPr>
          <w:rFonts w:ascii="Arial" w:cs="Arial" w:eastAsia="Arial" w:hAnsi="Arial"/>
          <w:sz w:val="20"/>
          <w:szCs w:val="20"/>
          <w:color w:val="auto"/>
        </w:rPr>
        <w:t>Revenue Code or 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88" w:lineRule="exact"/>
        <w:rPr>
          <w:rFonts w:ascii="Arial" w:cs="Arial" w:eastAsia="Arial" w:hAnsi="Arial"/>
          <w:sz w:val="16"/>
          <w:szCs w:val="16"/>
          <w:b w:val="1"/>
          <w:bCs w:val="1"/>
          <w:color w:val="auto"/>
        </w:rPr>
      </w:pPr>
    </w:p>
    <w:p>
      <w:pPr>
        <w:ind w:left="180" w:hanging="172"/>
        <w:spacing w:after="0"/>
        <w:tabs>
          <w:tab w:leader="none" w:pos="1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Information</w:t>
      </w:r>
      <w:r>
        <w:rPr>
          <w:rFonts w:ascii="Arial" w:cs="Arial" w:eastAsia="Arial" w:hAnsi="Arial"/>
          <w:sz w:val="21"/>
          <w:szCs w:val="21"/>
          <w:color w:val="auto"/>
        </w:rPr>
        <w:t>.</w:t>
      </w:r>
    </w:p>
    <w:p>
      <w:pPr>
        <w:spacing w:after="0" w:line="244" w:lineRule="exact"/>
        <w:rPr>
          <w:rFonts w:ascii="Arial" w:cs="Arial" w:eastAsia="Arial" w:hAnsi="Arial"/>
          <w:sz w:val="17"/>
          <w:szCs w:val="17"/>
          <w:b w:val="1"/>
          <w:bCs w:val="1"/>
          <w:color w:val="auto"/>
        </w:rPr>
      </w:pPr>
    </w:p>
    <w:p>
      <w:pPr>
        <w:ind w:firstLine="278"/>
        <w:spacing w:after="0" w:line="273" w:lineRule="auto"/>
        <w:tabs>
          <w:tab w:leader="none" w:pos="564" w:val="left"/>
        </w:tabs>
        <w:numPr>
          <w:ilvl w:val="1"/>
          <w:numId w:val="45"/>
        </w:numPr>
        <w:rPr>
          <w:rFonts w:ascii="Arial" w:cs="Arial" w:eastAsia="Arial" w:hAnsi="Arial"/>
          <w:sz w:val="19"/>
          <w:szCs w:val="19"/>
          <w:color w:val="auto"/>
        </w:rPr>
      </w:pPr>
      <w:r>
        <w:rPr>
          <w:rFonts w:ascii="Arial" w:cs="Arial" w:eastAsia="Arial" w:hAnsi="Arial"/>
          <w:sz w:val="19"/>
          <w:szCs w:val="19"/>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5"/>
          <w:szCs w:val="15"/>
          <w:u w:val="single" w:color="auto"/>
          <w:color w:val="auto"/>
        </w:rPr>
        <w:t>Confidential Information</w:t>
      </w:r>
      <w:r>
        <w:rPr>
          <w:rFonts w:ascii="Arial" w:cs="Arial" w:eastAsia="Arial" w:hAnsi="Arial"/>
          <w:sz w:val="19"/>
          <w:szCs w:val="19"/>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ind w:left="-8" w:right="60" w:firstLine="278"/>
        <w:spacing w:after="0" w:line="273" w:lineRule="auto"/>
        <w:tabs>
          <w:tab w:leader="none" w:pos="568" w:val="left"/>
        </w:tabs>
        <w:numPr>
          <w:ilvl w:val="1"/>
          <w:numId w:val="46"/>
        </w:numPr>
        <w:rPr>
          <w:rFonts w:ascii="Arial" w:cs="Arial" w:eastAsia="Arial" w:hAnsi="Arial"/>
          <w:sz w:val="19"/>
          <w:szCs w:val="19"/>
          <w:color w:val="auto"/>
        </w:rPr>
      </w:pPr>
      <w:r>
        <w:rPr>
          <w:rFonts w:ascii="Arial" w:cs="Arial" w:eastAsia="Arial" w:hAnsi="Arial"/>
          <w:sz w:val="19"/>
          <w:szCs w:val="19"/>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w:t>
      </w:r>
    </w:p>
    <w:p>
      <w:pPr>
        <w:spacing w:after="0" w:line="2" w:lineRule="exact"/>
        <w:rPr>
          <w:rFonts w:ascii="Arial" w:cs="Arial" w:eastAsia="Arial" w:hAnsi="Arial"/>
          <w:sz w:val="19"/>
          <w:szCs w:val="19"/>
          <w:color w:val="auto"/>
        </w:rPr>
      </w:pPr>
    </w:p>
    <w:p>
      <w:pPr>
        <w:ind w:left="-8" w:right="320" w:firstLine="8"/>
        <w:spacing w:after="0" w:line="287" w:lineRule="auto"/>
        <w:tabs>
          <w:tab w:leader="none" w:pos="37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71" w:lineRule="exact"/>
        <w:rPr>
          <w:sz w:val="20"/>
          <w:szCs w:val="20"/>
          <w:color w:val="auto"/>
        </w:rPr>
      </w:pPr>
    </w:p>
    <w:p>
      <w:pPr>
        <w:ind w:left="-8" w:right="700" w:firstLine="8"/>
        <w:spacing w:after="0" w:line="328" w:lineRule="auto"/>
        <w:tabs>
          <w:tab w:leader="none" w:pos="165"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Non-Competition</w:t>
      </w:r>
      <w:r>
        <w:rPr>
          <w:rFonts w:ascii="Arial" w:cs="Arial" w:eastAsia="Arial" w:hAnsi="Arial"/>
          <w:sz w:val="16"/>
          <w:szCs w:val="16"/>
          <w:b w:val="1"/>
          <w:bCs w:val="1"/>
          <w:color w:val="auto"/>
        </w:rPr>
        <w:t xml:space="preserve">. </w:t>
      </w:r>
      <w:r>
        <w:rPr>
          <w:rFonts w:ascii="Arial" w:cs="Arial" w:eastAsia="Arial" w:hAnsi="Arial"/>
          <w:sz w:val="19"/>
          <w:szCs w:val="19"/>
          <w:color w:val="auto"/>
        </w:rPr>
        <w:t>Executive covenants and agrees that commencing on the date hereof and continuing for the entire Term of</w:t>
      </w:r>
      <w:r>
        <w:rPr>
          <w:rFonts w:ascii="Arial" w:cs="Arial" w:eastAsia="Arial" w:hAnsi="Arial"/>
          <w:sz w:val="16"/>
          <w:szCs w:val="16"/>
          <w:b w:val="1"/>
          <w:bCs w:val="1"/>
          <w:color w:val="auto"/>
        </w:rPr>
        <w:t xml:space="preserve"> </w:t>
      </w:r>
      <w:r>
        <w:rPr>
          <w:rFonts w:ascii="Arial" w:cs="Arial" w:eastAsia="Arial" w:hAnsi="Arial"/>
          <w:sz w:val="19"/>
          <w:szCs w:val="19"/>
          <w:color w:val="auto"/>
        </w:rPr>
        <w:t>Executive’s employment and for period of twelve (12) months thereafter (the “</w:t>
      </w:r>
      <w:r>
        <w:rPr>
          <w:rFonts w:ascii="Arial" w:cs="Arial" w:eastAsia="Arial" w:hAnsi="Arial"/>
          <w:sz w:val="15"/>
          <w:szCs w:val="15"/>
          <w:u w:val="single" w:color="auto"/>
          <w:color w:val="auto"/>
        </w:rPr>
        <w:t>Restricted Period</w:t>
      </w:r>
      <w:r>
        <w:rPr>
          <w:rFonts w:ascii="Arial" w:cs="Arial" w:eastAsia="Arial" w:hAnsi="Arial"/>
          <w:sz w:val="19"/>
          <w:szCs w:val="19"/>
          <w:color w:val="auto"/>
        </w:rPr>
        <w:t>”), Executive shall not:</w:t>
      </w:r>
    </w:p>
    <w:p>
      <w:pPr>
        <w:spacing w:after="0" w:line="132" w:lineRule="exact"/>
        <w:rPr>
          <w:rFonts w:ascii="Arial" w:cs="Arial" w:eastAsia="Arial" w:hAnsi="Arial"/>
          <w:sz w:val="16"/>
          <w:szCs w:val="16"/>
          <w:b w:val="1"/>
          <w:bCs w:val="1"/>
          <w:color w:val="auto"/>
        </w:rPr>
      </w:pPr>
    </w:p>
    <w:p>
      <w:pPr>
        <w:ind w:left="-8" w:right="360" w:firstLine="278"/>
        <w:spacing w:after="0" w:line="249" w:lineRule="auto"/>
        <w:tabs>
          <w:tab w:leader="none" w:pos="556" w:val="left"/>
        </w:tabs>
        <w:numPr>
          <w:ilvl w:val="1"/>
          <w:numId w:val="48"/>
        </w:numPr>
        <w:rPr>
          <w:rFonts w:ascii="Arial" w:cs="Arial" w:eastAsia="Arial" w:hAnsi="Arial"/>
          <w:sz w:val="21"/>
          <w:szCs w:val="21"/>
          <w:color w:val="auto"/>
        </w:rPr>
      </w:pPr>
      <w:r>
        <w:rPr>
          <w:rFonts w:ascii="Arial" w:cs="Arial" w:eastAsia="Arial" w:hAnsi="Arial"/>
          <w:sz w:val="21"/>
          <w:szCs w:val="21"/>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205" w:lineRule="exact"/>
        <w:rPr>
          <w:rFonts w:ascii="Arial" w:cs="Arial" w:eastAsia="Arial" w:hAnsi="Arial"/>
          <w:sz w:val="21"/>
          <w:szCs w:val="21"/>
          <w:color w:val="auto"/>
        </w:rPr>
      </w:pPr>
    </w:p>
    <w:p>
      <w:pPr>
        <w:ind w:left="-8" w:firstLine="278"/>
        <w:spacing w:after="0" w:line="235" w:lineRule="auto"/>
        <w:tabs>
          <w:tab w:leader="none" w:pos="568"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17"/>
          <w:szCs w:val="17"/>
          <w:u w:val="single" w:color="auto"/>
          <w:color w:val="auto"/>
        </w:rPr>
        <w:t>Section 8</w:t>
      </w:r>
      <w:r>
        <w:rPr>
          <w:rFonts w:ascii="Arial" w:cs="Arial" w:eastAsia="Arial" w:hAnsi="Arial"/>
          <w:sz w:val="22"/>
          <w:szCs w:val="22"/>
          <w:color w:val="auto"/>
        </w:rPr>
        <w:t>, the term “</w:t>
      </w:r>
      <w:r>
        <w:rPr>
          <w:rFonts w:ascii="Arial" w:cs="Arial" w:eastAsia="Arial" w:hAnsi="Arial"/>
          <w:sz w:val="17"/>
          <w:szCs w:val="17"/>
          <w:u w:val="single" w:color="auto"/>
          <w:color w:val="auto"/>
        </w:rPr>
        <w:t>customer</w:t>
      </w:r>
      <w:r>
        <w:rPr>
          <w:rFonts w:ascii="Arial" w:cs="Arial" w:eastAsia="Arial" w:hAnsi="Arial"/>
          <w:sz w:val="22"/>
          <w:szCs w:val="22"/>
          <w:color w:val="auto"/>
        </w:rPr>
        <w:t>” means any entity or person who is or has been a client or customer of the Company during the time which Executive was employed with the Company, and the term “</w:t>
      </w:r>
      <w:r>
        <w:rPr>
          <w:rFonts w:ascii="Arial" w:cs="Arial" w:eastAsia="Arial" w:hAnsi="Arial"/>
          <w:sz w:val="17"/>
          <w:szCs w:val="17"/>
          <w:u w:val="single" w:color="auto"/>
          <w:color w:val="auto"/>
        </w:rPr>
        <w:t>prospective customer</w:t>
      </w:r>
      <w:r>
        <w:rPr>
          <w:rFonts w:ascii="Arial" w:cs="Arial" w:eastAsia="Arial" w:hAnsi="Arial"/>
          <w:sz w:val="22"/>
          <w:szCs w:val="22"/>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215" w:lineRule="exact"/>
        <w:rPr>
          <w:rFonts w:ascii="Arial" w:cs="Arial" w:eastAsia="Arial" w:hAnsi="Arial"/>
          <w:sz w:val="22"/>
          <w:szCs w:val="22"/>
          <w:color w:val="auto"/>
        </w:rPr>
      </w:pPr>
    </w:p>
    <w:p>
      <w:pPr>
        <w:ind w:left="-8" w:right="200" w:firstLine="278"/>
        <w:spacing w:after="0" w:line="238" w:lineRule="auto"/>
        <w:tabs>
          <w:tab w:leader="none" w:pos="556" w:val="left"/>
        </w:tabs>
        <w:numPr>
          <w:ilvl w:val="1"/>
          <w:numId w:val="48"/>
        </w:numPr>
        <w:rPr>
          <w:rFonts w:ascii="Arial" w:cs="Arial" w:eastAsia="Arial" w:hAnsi="Arial"/>
          <w:sz w:val="22"/>
          <w:szCs w:val="22"/>
          <w:color w:val="auto"/>
        </w:rPr>
      </w:pPr>
      <w:r>
        <w:rPr>
          <w:rFonts w:ascii="Arial" w:cs="Arial" w:eastAsia="Arial" w:hAnsi="Arial"/>
          <w:sz w:val="22"/>
          <w:szCs w:val="22"/>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27" w:name="page128"/>
    <w:bookmarkEnd w:id="127"/>
    <w:p>
      <w:pPr>
        <w:ind w:left="-8" w:right="60" w:firstLine="278"/>
        <w:spacing w:after="0" w:line="251" w:lineRule="auto"/>
        <w:tabs>
          <w:tab w:leader="none" w:pos="568" w:val="left"/>
        </w:tabs>
        <w:numPr>
          <w:ilvl w:val="1"/>
          <w:numId w:val="49"/>
        </w:numPr>
        <w:rPr>
          <w:rFonts w:ascii="Arial" w:cs="Arial" w:eastAsia="Arial" w:hAnsi="Arial"/>
          <w:sz w:val="22"/>
          <w:szCs w:val="22"/>
          <w:color w:val="auto"/>
        </w:rPr>
      </w:pPr>
      <w:r>
        <w:rPr>
          <w:rFonts w:ascii="Arial" w:cs="Arial" w:eastAsia="Arial" w:hAnsi="Arial"/>
          <w:sz w:val="22"/>
          <w:szCs w:val="22"/>
          <w:color w:val="auto"/>
        </w:rPr>
        <w:t>Executive acknowledges that in the event of his employment with the Company terminates for any reason, Executive will be able to earn a livelihood without violating the foregoing restrictions.</w:t>
      </w:r>
    </w:p>
    <w:p>
      <w:pPr>
        <w:spacing w:after="0" w:line="200" w:lineRule="exact"/>
        <w:rPr>
          <w:rFonts w:ascii="Arial" w:cs="Arial" w:eastAsia="Arial" w:hAnsi="Arial"/>
          <w:sz w:val="22"/>
          <w:szCs w:val="22"/>
          <w:color w:val="auto"/>
        </w:rPr>
      </w:pPr>
    </w:p>
    <w:p>
      <w:pPr>
        <w:ind w:left="-8" w:right="20" w:firstLine="278"/>
        <w:spacing w:after="0" w:line="279" w:lineRule="auto"/>
        <w:tabs>
          <w:tab w:leader="none" w:pos="556"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If any provision or clause, or portion thereof, within this </w:t>
      </w:r>
      <w:r>
        <w:rPr>
          <w:rFonts w:ascii="Arial" w:cs="Arial" w:eastAsia="Arial" w:hAnsi="Arial"/>
          <w:sz w:val="15"/>
          <w:szCs w:val="15"/>
          <w:u w:val="single" w:color="auto"/>
          <w:color w:val="auto"/>
        </w:rPr>
        <w:t>Section 8</w:t>
      </w:r>
      <w:r>
        <w:rPr>
          <w:rFonts w:ascii="Arial" w:cs="Arial" w:eastAsia="Arial" w:hAnsi="Arial"/>
          <w:sz w:val="19"/>
          <w:szCs w:val="19"/>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5"/>
          <w:szCs w:val="15"/>
          <w:u w:val="single" w:color="auto"/>
          <w:color w:val="auto"/>
        </w:rPr>
        <w:t>Section 8</w:t>
      </w:r>
      <w:r>
        <w:rPr>
          <w:rFonts w:ascii="Arial" w:cs="Arial" w:eastAsia="Arial" w:hAnsi="Arial"/>
          <w:sz w:val="19"/>
          <w:szCs w:val="19"/>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77" w:lineRule="exact"/>
        <w:rPr>
          <w:rFonts w:ascii="Arial" w:cs="Arial" w:eastAsia="Arial" w:hAnsi="Arial"/>
          <w:sz w:val="19"/>
          <w:szCs w:val="19"/>
          <w:color w:val="auto"/>
        </w:rPr>
      </w:pPr>
    </w:p>
    <w:p>
      <w:pPr>
        <w:ind w:left="172" w:hanging="172"/>
        <w:spacing w:after="0"/>
        <w:tabs>
          <w:tab w:leader="none" w:pos="17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w:t>
      </w:r>
      <w:r>
        <w:rPr>
          <w:rFonts w:ascii="Arial" w:cs="Arial" w:eastAsia="Arial" w:hAnsi="Arial"/>
          <w:sz w:val="21"/>
          <w:szCs w:val="21"/>
          <w:color w:val="auto"/>
        </w:rPr>
        <w:t>.</w:t>
      </w:r>
    </w:p>
    <w:p>
      <w:pPr>
        <w:spacing w:after="0" w:line="244" w:lineRule="exact"/>
        <w:rPr>
          <w:rFonts w:ascii="Arial" w:cs="Arial" w:eastAsia="Arial" w:hAnsi="Arial"/>
          <w:sz w:val="17"/>
          <w:szCs w:val="17"/>
          <w:b w:val="1"/>
          <w:bCs w:val="1"/>
          <w:color w:val="auto"/>
        </w:rPr>
      </w:pPr>
    </w:p>
    <w:p>
      <w:pPr>
        <w:ind w:left="-8" w:firstLine="278"/>
        <w:spacing w:after="0" w:line="233" w:lineRule="auto"/>
        <w:tabs>
          <w:tab w:leader="none" w:pos="556"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220" w:lineRule="exact"/>
        <w:rPr>
          <w:rFonts w:ascii="Arial" w:cs="Arial" w:eastAsia="Arial" w:hAnsi="Arial"/>
          <w:sz w:val="22"/>
          <w:szCs w:val="22"/>
          <w:color w:val="auto"/>
        </w:rPr>
      </w:pPr>
    </w:p>
    <w:p>
      <w:pPr>
        <w:ind w:left="-8" w:right="20" w:firstLine="278"/>
        <w:spacing w:after="0" w:line="271" w:lineRule="auto"/>
        <w:tabs>
          <w:tab w:leader="none" w:pos="568" w:val="left"/>
        </w:tabs>
        <w:numPr>
          <w:ilvl w:val="1"/>
          <w:numId w:val="50"/>
        </w:numPr>
        <w:rPr>
          <w:rFonts w:ascii="Arial" w:cs="Arial" w:eastAsia="Arial" w:hAnsi="Arial"/>
          <w:sz w:val="19"/>
          <w:szCs w:val="19"/>
          <w:color w:val="auto"/>
        </w:rPr>
      </w:pPr>
      <w:r>
        <w:rPr>
          <w:rFonts w:ascii="Arial" w:cs="Arial" w:eastAsia="Arial" w:hAnsi="Arial"/>
          <w:sz w:val="19"/>
          <w:szCs w:val="19"/>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28" w:name="page129"/>
    <w:bookmarkEnd w:id="128"/>
    <w:p>
      <w:pPr>
        <w:ind w:left="-8" w:right="120" w:firstLine="8"/>
        <w:spacing w:after="0" w:line="261" w:lineRule="auto"/>
        <w:tabs>
          <w:tab w:leader="none" w:pos="25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20"/>
          <w:szCs w:val="20"/>
          <w:color w:val="auto"/>
        </w:rPr>
        <w:t>The parties hereto agree that the services to be rendered by Executive pursuant to this Agreement, and the rights and</w:t>
      </w:r>
      <w:r>
        <w:rPr>
          <w:rFonts w:ascii="Arial" w:cs="Arial" w:eastAsia="Arial" w:hAnsi="Arial"/>
          <w:sz w:val="16"/>
          <w:szCs w:val="16"/>
          <w:b w:val="1"/>
          <w:bCs w:val="1"/>
          <w:color w:val="auto"/>
        </w:rPr>
        <w:t xml:space="preserve"> </w:t>
      </w:r>
      <w:r>
        <w:rPr>
          <w:rFonts w:ascii="Arial" w:cs="Arial" w:eastAsia="Arial" w:hAnsi="Arial"/>
          <w:sz w:val="20"/>
          <w:szCs w:val="20"/>
          <w:color w:val="auto"/>
        </w:rPr>
        <w:t xml:space="preserve">privileges granted to the 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6"/>
          <w:szCs w:val="16"/>
          <w:u w:val="single" w:color="auto"/>
          <w:color w:val="auto"/>
        </w:rPr>
        <w:t>Section 10</w:t>
      </w:r>
      <w:r>
        <w:rPr>
          <w:rFonts w:ascii="Arial" w:cs="Arial" w:eastAsia="Arial" w:hAnsi="Arial"/>
          <w:sz w:val="20"/>
          <w:szCs w:val="20"/>
          <w:color w:val="auto"/>
        </w:rPr>
        <w:t xml:space="preserve"> shall not be construed as a waiver of any other rights or remedies which the Company may have for damages or otherwise.</w:t>
      </w:r>
    </w:p>
    <w:p>
      <w:pPr>
        <w:spacing w:after="0" w:line="194" w:lineRule="exact"/>
        <w:rPr>
          <w:rFonts w:ascii="Arial" w:cs="Arial" w:eastAsia="Arial" w:hAnsi="Arial"/>
          <w:sz w:val="16"/>
          <w:szCs w:val="16"/>
          <w:b w:val="1"/>
          <w:bCs w:val="1"/>
          <w:color w:val="auto"/>
        </w:rPr>
      </w:pPr>
    </w:p>
    <w:p>
      <w:pPr>
        <w:ind w:left="-8" w:firstLine="8"/>
        <w:spacing w:after="0" w:line="258" w:lineRule="auto"/>
        <w:tabs>
          <w:tab w:leader="none" w:pos="242"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Return of Property</w:t>
      </w:r>
      <w:r>
        <w:rPr>
          <w:rFonts w:ascii="Arial" w:cs="Arial" w:eastAsia="Arial" w:hAnsi="Arial"/>
          <w:sz w:val="21"/>
          <w:szCs w:val="21"/>
          <w:color w:val="auto"/>
        </w:rPr>
        <w:t>. Executive agrees to return, on or before his last day of employment, all property belonging to the Company,</w:t>
      </w:r>
      <w:r>
        <w:rPr>
          <w:rFonts w:ascii="Arial" w:cs="Arial" w:eastAsia="Arial" w:hAnsi="Arial"/>
          <w:sz w:val="17"/>
          <w:szCs w:val="17"/>
          <w:b w:val="1"/>
          <w:bCs w:val="1"/>
          <w:color w:val="auto"/>
        </w:rPr>
        <w:t xml:space="preserve"> </w:t>
      </w:r>
      <w:r>
        <w:rPr>
          <w:rFonts w:ascii="Arial" w:cs="Arial" w:eastAsia="Arial" w:hAnsi="Arial"/>
          <w:sz w:val="21"/>
          <w:szCs w:val="21"/>
          <w:color w:val="auto"/>
        </w:rPr>
        <w:t>including but not limited to computers, PDA, telephone and other credit cards, Company business records, Company automobile (if applicable), etc.</w:t>
      </w:r>
    </w:p>
    <w:p>
      <w:pPr>
        <w:spacing w:after="0" w:line="193" w:lineRule="exact"/>
        <w:rPr>
          <w:rFonts w:ascii="Arial" w:cs="Arial" w:eastAsia="Arial" w:hAnsi="Arial"/>
          <w:sz w:val="17"/>
          <w:szCs w:val="17"/>
          <w:b w:val="1"/>
          <w:bCs w:val="1"/>
          <w:color w:val="auto"/>
        </w:rPr>
      </w:pPr>
    </w:p>
    <w:p>
      <w:pPr>
        <w:ind w:left="-8" w:right="80" w:firstLine="8"/>
        <w:spacing w:after="0" w:line="258" w:lineRule="auto"/>
        <w:tabs>
          <w:tab w:leader="none" w:pos="251"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21"/>
          <w:szCs w:val="21"/>
          <w:color w:val="auto"/>
        </w:rPr>
        <w:t>. If any provision of this Agreement is held to be unenforceable for any reason, it shall be adjusted rather than voided,</w:t>
      </w:r>
      <w:r>
        <w:rPr>
          <w:rFonts w:ascii="Arial" w:cs="Arial" w:eastAsia="Arial" w:hAnsi="Arial"/>
          <w:sz w:val="17"/>
          <w:szCs w:val="17"/>
          <w:b w:val="1"/>
          <w:bCs w:val="1"/>
          <w:color w:val="auto"/>
        </w:rPr>
        <w:t xml:space="preserve"> </w:t>
      </w:r>
      <w:r>
        <w:rPr>
          <w:rFonts w:ascii="Arial" w:cs="Arial" w:eastAsia="Arial" w:hAnsi="Arial"/>
          <w:sz w:val="21"/>
          <w:szCs w:val="21"/>
          <w:color w:val="auto"/>
        </w:rPr>
        <w:t>if possible, to achieve the intent of the parties to the extent possible. In any event, all other provisions of this Agreement shall be deemed valid and enforceable to the extent possible.</w:t>
      </w:r>
    </w:p>
    <w:p>
      <w:pPr>
        <w:spacing w:after="0" w:line="193" w:lineRule="exact"/>
        <w:rPr>
          <w:rFonts w:ascii="Arial" w:cs="Arial" w:eastAsia="Arial" w:hAnsi="Arial"/>
          <w:sz w:val="17"/>
          <w:szCs w:val="17"/>
          <w:b w:val="1"/>
          <w:bCs w:val="1"/>
          <w:color w:val="auto"/>
        </w:rPr>
      </w:pPr>
    </w:p>
    <w:p>
      <w:pPr>
        <w:ind w:left="-8" w:right="40" w:firstLine="8"/>
        <w:spacing w:after="0" w:line="261" w:lineRule="auto"/>
        <w:tabs>
          <w:tab w:leader="none" w:pos="25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Succession</w:t>
      </w:r>
      <w:r>
        <w:rPr>
          <w:rFonts w:ascii="Arial" w:cs="Arial" w:eastAsia="Arial" w:hAnsi="Arial"/>
          <w:sz w:val="20"/>
          <w:szCs w:val="20"/>
          <w:color w:val="auto"/>
        </w:rPr>
        <w:t>. This Agreement shall inure to the benefit of and be binding upon the Company and its successors and assigns and any</w:t>
      </w:r>
      <w:r>
        <w:rPr>
          <w:rFonts w:ascii="Arial" w:cs="Arial" w:eastAsia="Arial" w:hAnsi="Arial"/>
          <w:sz w:val="16"/>
          <w:szCs w:val="16"/>
          <w:b w:val="1"/>
          <w:bCs w:val="1"/>
          <w:color w:val="auto"/>
        </w:rPr>
        <w:t xml:space="preserve"> </w:t>
      </w:r>
      <w:r>
        <w:rPr>
          <w:rFonts w:ascii="Arial" w:cs="Arial" w:eastAsia="Arial" w:hAnsi="Arial"/>
          <w:sz w:val="20"/>
          <w:szCs w:val="20"/>
          <w:color w:val="auto"/>
        </w:rPr>
        <w:t>such successor or 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18" w:right="259" w:bottom="1440" w:gutter="0" w:footer="0" w:header="0"/>
        </w:sectPr>
      </w:pPr>
    </w:p>
    <w:bookmarkStart w:id="129" w:name="page130"/>
    <w:bookmarkEnd w:id="129"/>
    <w:p>
      <w:pPr>
        <w:ind w:right="140" w:firstLine="8"/>
        <w:spacing w:after="0" w:line="274" w:lineRule="auto"/>
        <w:tabs>
          <w:tab w:leader="none" w:pos="259"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21"/>
          <w:szCs w:val="21"/>
          <w:color w:val="auto"/>
        </w:rPr>
        <w:t>. Any notice or other communication provided for in this Agreement shall be in writing and sent if to the Company to its</w:t>
      </w:r>
      <w:r>
        <w:rPr>
          <w:rFonts w:ascii="Arial" w:cs="Arial" w:eastAsia="Arial" w:hAnsi="Arial"/>
          <w:sz w:val="17"/>
          <w:szCs w:val="17"/>
          <w:b w:val="1"/>
          <w:bCs w:val="1"/>
          <w:color w:val="auto"/>
        </w:rPr>
        <w:t xml:space="preserve"> </w:t>
      </w:r>
      <w:r>
        <w:rPr>
          <w:rFonts w:ascii="Arial" w:cs="Arial" w:eastAsia="Arial" w:hAnsi="Arial"/>
          <w:sz w:val="21"/>
          <w:szCs w:val="21"/>
          <w:color w:val="auto"/>
        </w:rPr>
        <w:t>principal office at: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38" w:lineRule="auto"/>
        <w:rPr>
          <w:sz w:val="20"/>
          <w:szCs w:val="20"/>
          <w:color w:val="auto"/>
        </w:rPr>
      </w:pPr>
      <w:r>
        <w:rPr>
          <w:rFonts w:ascii="Arial" w:cs="Arial" w:eastAsia="Arial" w:hAnsi="Arial"/>
          <w:sz w:val="22"/>
          <w:szCs w:val="22"/>
          <w:color w:val="auto"/>
        </w:rPr>
        <w:t>15 Secor Road, PO Box 5226</w:t>
      </w:r>
    </w:p>
    <w:p>
      <w:pPr>
        <w:spacing w:after="0"/>
        <w:rPr>
          <w:sz w:val="20"/>
          <w:szCs w:val="20"/>
          <w:color w:val="auto"/>
        </w:rPr>
      </w:pPr>
      <w:r>
        <w:rPr>
          <w:rFonts w:ascii="Arial" w:cs="Arial" w:eastAsia="Arial" w:hAnsi="Arial"/>
          <w:sz w:val="22"/>
          <w:szCs w:val="22"/>
          <w:color w:val="auto"/>
        </w:rPr>
        <w:t>Brookfield, Connecticut 06804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the Vice President, General Counsel of Photronics, Inc.</w:t>
      </w:r>
    </w:p>
    <w:p>
      <w:pPr>
        <w:spacing w:after="0" w:line="21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17"/>
          <w:szCs w:val="17"/>
          <w:u w:val="single" w:color="auto"/>
          <w:color w:val="auto"/>
        </w:rPr>
        <w:t>Section 14</w:t>
      </w:r>
      <w:r>
        <w:rPr>
          <w:rFonts w:ascii="Arial" w:cs="Arial" w:eastAsia="Arial" w:hAnsi="Arial"/>
          <w:sz w:val="22"/>
          <w:szCs w:val="22"/>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15" w:lineRule="exact"/>
        <w:rPr>
          <w:sz w:val="20"/>
          <w:szCs w:val="20"/>
          <w:color w:val="auto"/>
        </w:rPr>
      </w:pPr>
    </w:p>
    <w:p>
      <w:pPr>
        <w:ind w:right="160" w:firstLine="8"/>
        <w:spacing w:after="0" w:line="287" w:lineRule="auto"/>
        <w:tabs>
          <w:tab w:leader="none" w:pos="259"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Adequate Consideration</w:t>
      </w:r>
      <w:r>
        <w:rPr>
          <w:rFonts w:ascii="Arial" w:cs="Arial" w:eastAsia="Arial" w:hAnsi="Arial"/>
          <w:sz w:val="19"/>
          <w:szCs w:val="19"/>
          <w:color w:val="auto"/>
        </w:rPr>
        <w:t>. Executive acknowledges that the cash severance and other benefits to be provided by the Company to</w:t>
      </w:r>
      <w:r>
        <w:rPr>
          <w:rFonts w:ascii="Arial" w:cs="Arial" w:eastAsia="Arial" w:hAnsi="Arial"/>
          <w:sz w:val="16"/>
          <w:szCs w:val="16"/>
          <w:b w:val="1"/>
          <w:bCs w:val="1"/>
          <w:color w:val="auto"/>
        </w:rPr>
        <w:t xml:space="preserve"> </w:t>
      </w:r>
      <w:r>
        <w:rPr>
          <w:rFonts w:ascii="Arial" w:cs="Arial" w:eastAsia="Arial" w:hAnsi="Arial"/>
          <w:sz w:val="19"/>
          <w:szCs w:val="19"/>
          <w:color w:val="auto"/>
        </w:rPr>
        <w:t xml:space="preserve">Executive are not 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5"/>
          <w:szCs w:val="15"/>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5"/>
          <w:szCs w:val="15"/>
          <w:u w:val="single" w:color="auto"/>
          <w:color w:val="auto"/>
        </w:rPr>
        <w:t>Section 10</w:t>
      </w:r>
      <w:r>
        <w:rPr>
          <w:rFonts w:ascii="Arial" w:cs="Arial" w:eastAsia="Arial" w:hAnsi="Arial"/>
          <w:sz w:val="19"/>
          <w:szCs w:val="19"/>
          <w:color w:val="auto"/>
        </w:rPr>
        <w:t xml:space="preserve"> (Remedies) and </w:t>
      </w:r>
      <w:r>
        <w:rPr>
          <w:rFonts w:ascii="Arial" w:cs="Arial" w:eastAsia="Arial" w:hAnsi="Arial"/>
          <w:sz w:val="15"/>
          <w:szCs w:val="15"/>
          <w:u w:val="single" w:color="auto"/>
          <w:color w:val="auto"/>
        </w:rPr>
        <w:t>Exhibit A</w:t>
      </w:r>
      <w:r>
        <w:rPr>
          <w:rFonts w:ascii="Arial" w:cs="Arial" w:eastAsia="Arial" w:hAnsi="Arial"/>
          <w:sz w:val="19"/>
          <w:szCs w:val="19"/>
          <w:color w:val="auto"/>
        </w:rPr>
        <w:t xml:space="preserve"> (Release).</w:t>
      </w:r>
    </w:p>
    <w:p>
      <w:pPr>
        <w:spacing w:after="0" w:line="170" w:lineRule="exact"/>
        <w:rPr>
          <w:rFonts w:ascii="Arial" w:cs="Arial" w:eastAsia="Arial" w:hAnsi="Arial"/>
          <w:sz w:val="16"/>
          <w:szCs w:val="16"/>
          <w:b w:val="1"/>
          <w:bCs w:val="1"/>
          <w:color w:val="auto"/>
        </w:rPr>
      </w:pPr>
    </w:p>
    <w:p>
      <w:pPr>
        <w:ind w:firstLine="8"/>
        <w:spacing w:after="0" w:line="328" w:lineRule="auto"/>
        <w:tabs>
          <w:tab w:leader="none" w:pos="259"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9"/>
          <w:szCs w:val="19"/>
          <w:color w:val="auto"/>
        </w:rPr>
        <w:t>. This Agreement contains the entire agreement of the parties relating to the subject matter hereof and supersedes</w:t>
      </w:r>
      <w:r>
        <w:rPr>
          <w:rFonts w:ascii="Arial" w:cs="Arial" w:eastAsia="Arial" w:hAnsi="Arial"/>
          <w:sz w:val="16"/>
          <w:szCs w:val="16"/>
          <w:b w:val="1"/>
          <w:bCs w:val="1"/>
          <w:color w:val="auto"/>
        </w:rPr>
        <w:t xml:space="preserve"> </w:t>
      </w:r>
      <w:r>
        <w:rPr>
          <w:rFonts w:ascii="Arial" w:cs="Arial" w:eastAsia="Arial" w:hAnsi="Arial"/>
          <w:sz w:val="19"/>
          <w:szCs w:val="19"/>
          <w:color w:val="auto"/>
        </w:rPr>
        <w:t>any prior agreements, undertakings, commitments and practices relating to Executive’s employment by the Company.</w:t>
      </w:r>
    </w:p>
    <w:p>
      <w:pPr>
        <w:spacing w:after="0" w:line="132" w:lineRule="exact"/>
        <w:rPr>
          <w:rFonts w:ascii="Arial" w:cs="Arial" w:eastAsia="Arial" w:hAnsi="Arial"/>
          <w:sz w:val="16"/>
          <w:szCs w:val="16"/>
          <w:b w:val="1"/>
          <w:bCs w:val="1"/>
          <w:color w:val="auto"/>
        </w:rPr>
      </w:pPr>
    </w:p>
    <w:p>
      <w:pPr>
        <w:ind w:right="40" w:firstLine="8"/>
        <w:spacing w:after="0" w:line="274" w:lineRule="auto"/>
        <w:tabs>
          <w:tab w:leader="none" w:pos="259"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w:t>
      </w:r>
      <w:r>
        <w:rPr>
          <w:rFonts w:ascii="Arial" w:cs="Arial" w:eastAsia="Arial" w:hAnsi="Arial"/>
          <w:sz w:val="21"/>
          <w:szCs w:val="21"/>
          <w:color w:val="auto"/>
        </w:rPr>
        <w:t>. No amendment or modification of the terms of this Agreement shall be valid unless made in writing, duly executed</w:t>
      </w:r>
      <w:r>
        <w:rPr>
          <w:rFonts w:ascii="Arial" w:cs="Arial" w:eastAsia="Arial" w:hAnsi="Arial"/>
          <w:sz w:val="17"/>
          <w:szCs w:val="17"/>
          <w:b w:val="1"/>
          <w:bCs w:val="1"/>
          <w:color w:val="auto"/>
        </w:rPr>
        <w:t xml:space="preserve"> </w:t>
      </w:r>
      <w:r>
        <w:rPr>
          <w:rFonts w:ascii="Arial" w:cs="Arial" w:eastAsia="Arial" w:hAnsi="Arial"/>
          <w:sz w:val="21"/>
          <w:szCs w:val="21"/>
          <w:color w:val="auto"/>
        </w:rPr>
        <w:t>by both parties.</w:t>
      </w:r>
    </w:p>
    <w:p>
      <w:pPr>
        <w:spacing w:after="0" w:line="177" w:lineRule="exact"/>
        <w:rPr>
          <w:rFonts w:ascii="Arial" w:cs="Arial" w:eastAsia="Arial" w:hAnsi="Arial"/>
          <w:sz w:val="17"/>
          <w:szCs w:val="17"/>
          <w:b w:val="1"/>
          <w:bCs w:val="1"/>
          <w:color w:val="auto"/>
        </w:rPr>
      </w:pPr>
    </w:p>
    <w:p>
      <w:pPr>
        <w:ind w:firstLine="8"/>
        <w:spacing w:after="0" w:line="258" w:lineRule="auto"/>
        <w:tabs>
          <w:tab w:leader="none" w:pos="259"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21"/>
          <w:szCs w:val="21"/>
          <w:color w:val="auto"/>
        </w:rPr>
        <w:t>. No failure on the part of any party to exercise or delay in exercising any right hereunder shall be deemed a waiver</w:t>
      </w:r>
      <w:r>
        <w:rPr>
          <w:rFonts w:ascii="Arial" w:cs="Arial" w:eastAsia="Arial" w:hAnsi="Arial"/>
          <w:sz w:val="17"/>
          <w:szCs w:val="17"/>
          <w:b w:val="1"/>
          <w:bCs w:val="1"/>
          <w:color w:val="auto"/>
        </w:rPr>
        <w:t xml:space="preserve"> </w:t>
      </w:r>
      <w:r>
        <w:rPr>
          <w:rFonts w:ascii="Arial" w:cs="Arial" w:eastAsia="Arial" w:hAnsi="Arial"/>
          <w:sz w:val="21"/>
          <w:szCs w:val="21"/>
          <w:color w:val="auto"/>
        </w:rPr>
        <w:t>thereof or of any other right, nor shall any single or partial exercise preclude any further or other exercise of such right or any other right.</w:t>
      </w:r>
    </w:p>
    <w:p>
      <w:pPr>
        <w:spacing w:after="0" w:line="193" w:lineRule="exact"/>
        <w:rPr>
          <w:rFonts w:ascii="Arial" w:cs="Arial" w:eastAsia="Arial" w:hAnsi="Arial"/>
          <w:sz w:val="17"/>
          <w:szCs w:val="17"/>
          <w:b w:val="1"/>
          <w:bCs w:val="1"/>
          <w:color w:val="auto"/>
        </w:rPr>
      </w:pPr>
    </w:p>
    <w:p>
      <w:pPr>
        <w:ind w:right="280" w:firstLine="8"/>
        <w:spacing w:after="0" w:line="258" w:lineRule="auto"/>
        <w:tabs>
          <w:tab w:leader="none" w:pos="259"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21"/>
          <w:szCs w:val="21"/>
          <w:color w:val="auto"/>
        </w:rPr>
        <w:t>. This Agreement, and the legal relations between the parties, shall be governed by and construed in accordance</w:t>
      </w:r>
      <w:r>
        <w:rPr>
          <w:rFonts w:ascii="Arial" w:cs="Arial" w:eastAsia="Arial" w:hAnsi="Arial"/>
          <w:sz w:val="17"/>
          <w:szCs w:val="17"/>
          <w:b w:val="1"/>
          <w:bCs w:val="1"/>
          <w:color w:val="auto"/>
        </w:rPr>
        <w:t xml:space="preserve"> </w:t>
      </w:r>
      <w:r>
        <w:rPr>
          <w:rFonts w:ascii="Arial" w:cs="Arial" w:eastAsia="Arial" w:hAnsi="Arial"/>
          <w:sz w:val="21"/>
          <w:szCs w:val="21"/>
          <w:color w:val="auto"/>
        </w:rPr>
        <w:t>with the laws of the State of Connecticut without regard to conflicts of law doctrines and any court action arising out of this Agreement shall be brought in any court of competent jurisdiction within the State of Connecticut.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0" w:name="page131"/>
    <w:bookmarkEnd w:id="130"/>
    <w:p>
      <w:pPr>
        <w:ind w:right="640" w:firstLine="8"/>
        <w:spacing w:after="0" w:line="274" w:lineRule="auto"/>
        <w:tabs>
          <w:tab w:leader="none" w:pos="259"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21"/>
          <w:szCs w:val="21"/>
          <w:color w:val="auto"/>
        </w:rPr>
        <w:t>. All compensation payable hereunder, including salary and other benefits, shall be subject to applicable taxes,</w:t>
      </w:r>
      <w:r>
        <w:rPr>
          <w:rFonts w:ascii="Arial" w:cs="Arial" w:eastAsia="Arial" w:hAnsi="Arial"/>
          <w:sz w:val="17"/>
          <w:szCs w:val="17"/>
          <w:b w:val="1"/>
          <w:bCs w:val="1"/>
          <w:color w:val="auto"/>
        </w:rPr>
        <w:t xml:space="preserve"> </w:t>
      </w:r>
      <w:r>
        <w:rPr>
          <w:rFonts w:ascii="Arial" w:cs="Arial" w:eastAsia="Arial" w:hAnsi="Arial"/>
          <w:sz w:val="21"/>
          <w:szCs w:val="21"/>
          <w:color w:val="auto"/>
        </w:rPr>
        <w:t>withholding and other required, normal or elected employee deductions.</w:t>
      </w:r>
    </w:p>
    <w:p>
      <w:pPr>
        <w:spacing w:after="0" w:line="178" w:lineRule="exact"/>
        <w:rPr>
          <w:rFonts w:ascii="Arial" w:cs="Arial" w:eastAsia="Arial" w:hAnsi="Arial"/>
          <w:sz w:val="17"/>
          <w:szCs w:val="17"/>
          <w:b w:val="1"/>
          <w:bCs w:val="1"/>
          <w:color w:val="auto"/>
        </w:rPr>
      </w:pPr>
    </w:p>
    <w:p>
      <w:pPr>
        <w:jc w:val="both"/>
        <w:ind w:firstLine="8"/>
        <w:spacing w:after="0" w:line="258" w:lineRule="auto"/>
        <w:tabs>
          <w:tab w:leader="none" w:pos="259"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21"/>
          <w:szCs w:val="21"/>
          <w:color w:val="auto"/>
        </w:rPr>
        <w:t>. This Agreement and any amendment hereto may be executed in one or more counterparts. All of such counterparts</w:t>
      </w:r>
      <w:r>
        <w:rPr>
          <w:rFonts w:ascii="Arial" w:cs="Arial" w:eastAsia="Arial" w:hAnsi="Arial"/>
          <w:sz w:val="17"/>
          <w:szCs w:val="17"/>
          <w:b w:val="1"/>
          <w:bCs w:val="1"/>
          <w:color w:val="auto"/>
        </w:rPr>
        <w:t xml:space="preserve"> </w:t>
      </w:r>
      <w:r>
        <w:rPr>
          <w:rFonts w:ascii="Arial" w:cs="Arial" w:eastAsia="Arial" w:hAnsi="Arial"/>
          <w:sz w:val="21"/>
          <w:szCs w:val="21"/>
          <w:color w:val="auto"/>
        </w:rPr>
        <w:t>shall constitute one and the same agreement and shall become effective when a copy signed by each party has been delivered to the other party.</w:t>
      </w:r>
    </w:p>
    <w:p>
      <w:pPr>
        <w:spacing w:after="0" w:line="193" w:lineRule="exact"/>
        <w:rPr>
          <w:rFonts w:ascii="Arial" w:cs="Arial" w:eastAsia="Arial" w:hAnsi="Arial"/>
          <w:sz w:val="17"/>
          <w:szCs w:val="17"/>
          <w:b w:val="1"/>
          <w:bCs w:val="1"/>
          <w:color w:val="auto"/>
        </w:rPr>
      </w:pPr>
    </w:p>
    <w:p>
      <w:pPr>
        <w:ind w:right="260" w:firstLine="8"/>
        <w:spacing w:after="0" w:line="274" w:lineRule="auto"/>
        <w:tabs>
          <w:tab w:leader="none" w:pos="259"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r>
        <w:rPr>
          <w:rFonts w:ascii="Arial" w:cs="Arial" w:eastAsia="Arial" w:hAnsi="Arial"/>
          <w:sz w:val="21"/>
          <w:szCs w:val="21"/>
          <w:color w:val="auto"/>
        </w:rPr>
        <w:t>. Section and other headings contained in this Agreement are for convenience of reference only and shall not affect in</w:t>
      </w:r>
      <w:r>
        <w:rPr>
          <w:rFonts w:ascii="Arial" w:cs="Arial" w:eastAsia="Arial" w:hAnsi="Arial"/>
          <w:sz w:val="17"/>
          <w:szCs w:val="17"/>
          <w:b w:val="1"/>
          <w:bCs w:val="1"/>
          <w:color w:val="auto"/>
        </w:rPr>
        <w:t xml:space="preserve"> </w:t>
      </w:r>
      <w:r>
        <w:rPr>
          <w:rFonts w:ascii="Arial" w:cs="Arial" w:eastAsia="Arial" w:hAnsi="Arial"/>
          <w:sz w:val="21"/>
          <w:szCs w:val="21"/>
          <w:color w:val="auto"/>
        </w:rPr>
        <w:t>any way the meaning or interpretation of this Agreement.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 WITNESS WHEREOF, the parties have executed this Agreement as of the date and year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PHOTRONICS, INC.</w:t>
      </w:r>
    </w:p>
    <w:p>
      <w:pPr>
        <w:spacing w:after="0" w:line="26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1663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 Constantine S. Macricostas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  Chief Executive Officer and President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Richelle 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097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Name: Richelle E. Burr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Address: 7 Greenknoll Dr.</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Brookfield, CT 06804</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26"/>
          <w:szCs w:val="26"/>
          <w:b w:val="1"/>
          <w:bCs w:val="1"/>
          <w:u w:val="single" w:color="auto"/>
          <w:color w:val="auto"/>
        </w:rPr>
        <w:t>EXHIBIT 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RELEASE</w:t>
      </w:r>
    </w:p>
    <w:p>
      <w:pPr>
        <w:spacing w:after="0" w:line="248" w:lineRule="exact"/>
        <w:rPr>
          <w:sz w:val="20"/>
          <w:szCs w:val="20"/>
          <w:color w:val="auto"/>
        </w:rPr>
      </w:pPr>
    </w:p>
    <w:p>
      <w:pPr>
        <w:ind w:firstLine="8"/>
        <w:spacing w:after="0" w:line="297" w:lineRule="auto"/>
        <w:tabs>
          <w:tab w:leader="none" w:pos="2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I signed an Employment Agreement with Photronics, Inc. (the “Company”), dated ________________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163" w:lineRule="exact"/>
        <w:rPr>
          <w:rFonts w:ascii="Arial" w:cs="Arial" w:eastAsia="Arial" w:hAnsi="Arial"/>
          <w:sz w:val="19"/>
          <w:szCs w:val="19"/>
          <w:color w:val="auto"/>
        </w:rPr>
      </w:pPr>
    </w:p>
    <w:p>
      <w:pPr>
        <w:ind w:left="180" w:hanging="172"/>
        <w:spacing w:after="0"/>
        <w:tabs>
          <w:tab w:leader="none" w:pos="1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 consideration of the severance payments described in the Agreement, I, on behalf of myself, my heirs, agents, representatives, predecessors, successors and</w:t>
      </w:r>
    </w:p>
    <w:p>
      <w:pPr>
        <w:spacing w:after="0" w:line="4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208"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agree not to criticize, denigrate, or otherwise disparage the Company or any other Released Party.</w:t>
      </w:r>
    </w:p>
    <w:p>
      <w:pPr>
        <w:spacing w:after="0" w:line="250" w:lineRule="exact"/>
        <w:rPr>
          <w:rFonts w:ascii="Arial" w:cs="Arial" w:eastAsia="Arial" w:hAnsi="Arial"/>
          <w:sz w:val="17"/>
          <w:szCs w:val="17"/>
          <w:color w:val="auto"/>
        </w:rPr>
      </w:pPr>
    </w:p>
    <w:p>
      <w:pPr>
        <w:ind w:right="40" w:firstLine="8"/>
        <w:spacing w:after="0" w:line="268" w:lineRule="auto"/>
        <w:tabs>
          <w:tab w:leader="none" w:pos="1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0" w:right="299" w:bottom="1440" w:gutter="0" w:footer="0" w:header="0"/>
        </w:sectPr>
      </w:pPr>
    </w:p>
    <w:bookmarkStart w:id="132" w:name="page133"/>
    <w:bookmarkEnd w:id="132"/>
    <w:p>
      <w:pPr>
        <w:ind w:left="172" w:hanging="172"/>
        <w:spacing w:after="0"/>
        <w:tabs>
          <w:tab w:leader="none" w:pos="17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payments to me under this Release shall be net of applicable withholdings and deductions.</w:t>
      </w:r>
    </w:p>
    <w:p>
      <w:pPr>
        <w:spacing w:after="0" w:line="250" w:lineRule="exact"/>
        <w:rPr>
          <w:rFonts w:ascii="Arial" w:cs="Arial" w:eastAsia="Arial" w:hAnsi="Arial"/>
          <w:sz w:val="17"/>
          <w:szCs w:val="17"/>
          <w:color w:val="auto"/>
        </w:rPr>
      </w:pPr>
    </w:p>
    <w:p>
      <w:pPr>
        <w:ind w:left="-8" w:firstLine="8"/>
        <w:spacing w:after="0" w:line="295" w:lineRule="auto"/>
        <w:tabs>
          <w:tab w:leader="none" w:pos="165"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285115</wp:posOffset>
            </wp:positionV>
            <wp:extent cx="18097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285115</wp:posOffset>
            </wp:positionV>
            <wp:extent cx="18180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92"/>
        <w:spacing w:after="0"/>
        <w:tabs>
          <w:tab w:leader="none" w:pos="6972" w:val="left"/>
        </w:tabs>
        <w:rPr>
          <w:sz w:val="20"/>
          <w:szCs w:val="20"/>
          <w:color w:val="auto"/>
        </w:rPr>
      </w:pPr>
      <w:r>
        <w:rPr>
          <w:rFonts w:ascii="Arial" w:cs="Arial" w:eastAsia="Arial" w:hAnsi="Arial"/>
          <w:sz w:val="14"/>
          <w:szCs w:val="14"/>
          <w:color w:val="auto"/>
        </w:rPr>
        <w:t>Print Name</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18180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092"/>
        <w:spacing w:after="0"/>
        <w:rPr>
          <w:sz w:val="20"/>
          <w:szCs w:val="20"/>
          <w:color w:val="auto"/>
        </w:rPr>
      </w:pPr>
      <w:r>
        <w:rPr>
          <w:rFonts w:ascii="Arial" w:cs="Arial" w:eastAsia="Arial" w:hAnsi="Arial"/>
          <w:sz w:val="18"/>
          <w:szCs w:val="18"/>
          <w:color w:val="auto"/>
        </w:rPr>
        <w:t>Signature</w:t>
      </w:r>
    </w:p>
    <w:p>
      <w:pPr>
        <w:spacing w:after="0" w:line="261" w:lineRule="exact"/>
        <w:rPr>
          <w:sz w:val="20"/>
          <w:szCs w:val="20"/>
          <w:color w:val="auto"/>
        </w:rPr>
      </w:pPr>
    </w:p>
    <w:p>
      <w:pPr>
        <w:jc w:val="center"/>
        <w:ind w:right="-151"/>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52"/>
          </w:cols>
          <w:pgMar w:left="248" w:top="120" w:right="3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920" w:type="dxa"/>
            <w:vAlign w:val="bottom"/>
            <w:gridSpan w:val="2"/>
          </w:tcPr>
          <w:p>
            <w:pPr>
              <w:ind w:left="710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920" w:type="dxa"/>
            <w:vAlign w:val="bottom"/>
            <w:gridSpan w:val="2"/>
          </w:tcPr>
          <w:p>
            <w:pPr>
              <w:ind w:left="560"/>
              <w:spacing w:after="0"/>
              <w:rPr>
                <w:sz w:val="20"/>
                <w:szCs w:val="20"/>
                <w:color w:val="auto"/>
              </w:rPr>
            </w:pPr>
            <w:r>
              <w:rPr>
                <w:rFonts w:ascii="Arial" w:cs="Arial" w:eastAsia="Arial" w:hAnsi="Arial"/>
                <w:sz w:val="18"/>
                <w:szCs w:val="18"/>
                <w:b w:val="1"/>
                <w:bCs w:val="1"/>
                <w:color w:val="auto"/>
              </w:rPr>
              <w:t>SUBSIDIARIES OF PHOTRONICS, INC.</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920" w:type="dxa"/>
            <w:vAlign w:val="bottom"/>
            <w:gridSpan w:val="2"/>
          </w:tcPr>
          <w:p>
            <w:pPr>
              <w:ind w:left="5480"/>
              <w:spacing w:after="0"/>
              <w:rPr>
                <w:sz w:val="20"/>
                <w:szCs w:val="20"/>
                <w:color w:val="auto"/>
              </w:rPr>
            </w:pPr>
            <w:r>
              <w:rPr>
                <w:rFonts w:ascii="Arial" w:cs="Arial" w:eastAsia="Arial" w:hAnsi="Arial"/>
                <w:sz w:val="18"/>
                <w:szCs w:val="18"/>
                <w:color w:val="auto"/>
              </w:rPr>
              <w:t>State or Jurisdiction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920" w:type="dxa"/>
            <w:vAlign w:val="bottom"/>
            <w:gridSpan w:val="2"/>
          </w:tcPr>
          <w:p>
            <w:pPr>
              <w:ind w:left="5020"/>
              <w:spacing w:after="0"/>
              <w:rPr>
                <w:sz w:val="20"/>
                <w:szCs w:val="20"/>
                <w:color w:val="auto"/>
              </w:rPr>
            </w:pPr>
            <w:r>
              <w:rPr>
                <w:rFonts w:ascii="Arial" w:cs="Arial" w:eastAsia="Arial" w:hAnsi="Arial"/>
                <w:sz w:val="18"/>
                <w:szCs w:val="18"/>
                <w:color w:val="auto"/>
              </w:rPr>
              <w:t>of Incorporation or Organization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Ltd.</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Photronics (Wales) Limited</w:t>
            </w:r>
          </w:p>
        </w:tc>
        <w:tc>
          <w:tcPr>
            <w:tcW w:w="7900" w:type="dxa"/>
            <w:vAlign w:val="bottom"/>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B.V.</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California, Inc.</w:t>
            </w:r>
          </w:p>
        </w:tc>
        <w:tc>
          <w:tcPr>
            <w:tcW w:w="7900" w:type="dxa"/>
            <w:vAlign w:val="bottom"/>
          </w:tcPr>
          <w:p>
            <w:pPr>
              <w:ind w:left="4800"/>
              <w:spacing w:after="0"/>
              <w:rPr>
                <w:sz w:val="20"/>
                <w:szCs w:val="20"/>
                <w:color w:val="auto"/>
              </w:rPr>
            </w:pPr>
            <w:r>
              <w:rPr>
                <w:rFonts w:ascii="Arial" w:cs="Arial" w:eastAsia="Arial" w:hAnsi="Arial"/>
                <w:sz w:val="18"/>
                <w:szCs w:val="18"/>
                <w:color w:val="auto"/>
              </w:rPr>
              <w:t>(California,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Idaho, Inc.</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(Idaho,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Texas Allen, Inc.</w:t>
            </w:r>
          </w:p>
        </w:tc>
        <w:tc>
          <w:tcPr>
            <w:tcW w:w="7900" w:type="dxa"/>
            <w:vAlign w:val="bottom"/>
          </w:tcPr>
          <w:p>
            <w:pPr>
              <w:ind w:left="4800"/>
              <w:spacing w:after="0"/>
              <w:rPr>
                <w:sz w:val="20"/>
                <w:szCs w:val="20"/>
                <w:color w:val="auto"/>
              </w:rPr>
            </w:pPr>
            <w:r>
              <w:rPr>
                <w:rFonts w:ascii="Arial" w:cs="Arial" w:eastAsia="Arial" w:hAnsi="Arial"/>
                <w:sz w:val="18"/>
                <w:szCs w:val="18"/>
                <w:color w:val="auto"/>
              </w:rPr>
              <w:t>(Texas,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MZD, GmbH</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Advanced Mask Corporation</w:t>
            </w:r>
          </w:p>
        </w:tc>
        <w:tc>
          <w:tcPr>
            <w:tcW w:w="7900" w:type="dxa"/>
            <w:vAlign w:val="bottom"/>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Photronics DNP Mask Corporation (1)</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Switzerland, S.a.r.L</w:t>
            </w:r>
          </w:p>
        </w:tc>
        <w:tc>
          <w:tcPr>
            <w:tcW w:w="7900" w:type="dxa"/>
            <w:vAlign w:val="bottom"/>
          </w:tcPr>
          <w:p>
            <w:pPr>
              <w:ind w:left="48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Singapore Pte, Ltd.</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UK, Ltd.</w:t>
            </w:r>
          </w:p>
        </w:tc>
        <w:tc>
          <w:tcPr>
            <w:tcW w:w="7900" w:type="dxa"/>
            <w:vAlign w:val="bottom"/>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PK, Ltd. (2)</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PKLT</w:t>
            </w:r>
          </w:p>
        </w:tc>
        <w:tc>
          <w:tcPr>
            <w:tcW w:w="7900" w:type="dxa"/>
            <w:vAlign w:val="bottom"/>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Trianja Technologies, Inc.</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(Texas,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r>
    </w:p>
    <w:p>
      <w:pPr>
        <w:ind w:right="220"/>
        <w:spacing w:after="0" w:line="277"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9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50.01% owned by Photronics, Inc. and 49.99% owned by DNPJ</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90.14% owned by Photronics, Inc., and 9.63%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333-160235 and 333-161857 on Form S-3 and Registration Statement Nos. 333-169296, 333-169295, 333-02245, 333-42010, 333-50809, 333-86846, 333-78102, 333-151763 and 333-197890 on Form S-8 of our reports dated January 7, 2016, relating to the consolidated financial statements and financial statement schedule of Photronics, Inc. and subsidiaries and the effectiveness of Photronics, Inc. and its subsidiaries’ internal control over financial reporting appearing in this Annual Report on Form 10-K of Photronics, Inc. and its subsidiaries for the year ended November 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310" w:right="3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6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80" w:hanging="484"/>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60" w:hanging="484"/>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40" w:hanging="484"/>
        <w:spacing w:after="0" w:line="342" w:lineRule="auto"/>
        <w:tabs>
          <w:tab w:leader="none" w:pos="11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ind w:left="1140" w:right="120" w:hanging="484"/>
        <w:spacing w:after="0" w:line="264"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484"/>
        <w:spacing w:after="0" w:line="308" w:lineRule="auto"/>
        <w:tabs>
          <w:tab w:leader="none" w:pos="11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520" w:hanging="484"/>
        <w:spacing w:after="0" w:line="27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6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80" w:hanging="484"/>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60" w:hanging="484"/>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40" w:hanging="484"/>
        <w:spacing w:after="0" w:line="342" w:lineRule="auto"/>
        <w:tabs>
          <w:tab w:leader="none" w:pos="11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ind w:left="1140" w:right="120" w:hanging="484"/>
        <w:spacing w:after="0" w:line="264"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60" w:hanging="644"/>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Peter S. Kirlin, Chief Executive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1300" w:hanging="1292"/>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1, 2015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500" w:hanging="1292"/>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1300" w:hanging="1292"/>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1, 2015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500" w:hanging="1292"/>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21"/>
    </w:lvl>
  </w:abstractNum>
  <w:abstractNum w:abstractNumId="9">
    <w:nsid w:val="5072367"/>
    <w:multiLevelType w:val="hybridMultilevel"/>
    <w:lvl w:ilvl="0">
      <w:lvlJc w:val="left"/>
      <w:lvlText w:val="%1"/>
      <w:numFmt w:val="decimal"/>
      <w:start w:val="23"/>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2463B9EA"/>
    <w:multiLevelType w:val="hybridMultilevel"/>
    <w:lvl w:ilvl="0">
      <w:lvlJc w:val="left"/>
      <w:lvlText w:val="%1"/>
      <w:numFmt w:val="lowerRoman"/>
      <w:start w:val="1"/>
    </w:lvl>
    <w:lvl w:ilvl="1">
      <w:lvlJc w:val="left"/>
      <w:lvlText w:val="(%2)"/>
      <w:numFmt w:val="upperLetter"/>
      <w:start w:val="2"/>
    </w:lvl>
  </w:abstractNum>
  <w:abstractNum w:abstractNumId="15">
    <w:nsid w:val="5E884ADC"/>
    <w:multiLevelType w:val="hybridMultilevel"/>
    <w:lvl w:ilvl="0">
      <w:lvlJc w:val="left"/>
      <w:lvlText w:val="(%1)"/>
      <w:numFmt w:val="lowerRoman"/>
      <w:start w:val="10"/>
    </w:lvl>
    <w:lvl w:ilvl="1">
      <w:lvlJc w:val="left"/>
      <w:lvlText w:val="%2"/>
      <w:numFmt w:val="upperLetter"/>
      <w:start w:val="1"/>
    </w:lvl>
  </w:abstractNum>
  <w:abstractNum w:abstractNumId="16">
    <w:nsid w:val="51EAD36B"/>
    <w:multiLevelType w:val="hybridMultilevel"/>
    <w:lvl w:ilvl="0">
      <w:lvlJc w:val="left"/>
      <w:lvlText w:val="(%1)"/>
      <w:numFmt w:val="lowerLetter"/>
      <w:start w:val="2"/>
    </w:lvl>
  </w:abstractNum>
  <w:abstractNum w:abstractNumId="17">
    <w:nsid w:val="2D517796"/>
    <w:multiLevelType w:val="hybridMultilevel"/>
    <w:lvl w:ilvl="0">
      <w:lvlJc w:val="left"/>
      <w:lvlText w:val="(%1)"/>
      <w:numFmt w:val="lowerRoman"/>
      <w:start w:val="1"/>
    </w:lvl>
  </w:abstractNum>
  <w:abstractNum w:abstractNumId="18">
    <w:nsid w:val="580BD78F"/>
    <w:multiLevelType w:val="hybridMultilevel"/>
    <w:lvl w:ilvl="0">
      <w:lvlJc w:val="left"/>
      <w:lvlText w:val="(%1)"/>
      <w:numFmt w:val="lowerLetter"/>
      <w:start w:val="3"/>
    </w:lvl>
  </w:abstractNum>
  <w:abstractNum w:abstractNumId="19">
    <w:nsid w:val="153EA438"/>
    <w:multiLevelType w:val="hybridMultilevel"/>
    <w:lvl w:ilvl="0">
      <w:lvlJc w:val="left"/>
      <w:lvlText w:val="(%1)"/>
      <w:numFmt w:val="lowerLetter"/>
      <w:start w:val="4"/>
    </w:lvl>
  </w:abstractNum>
  <w:abstractNum w:abstractNumId="20">
    <w:nsid w:val="3855585C"/>
    <w:multiLevelType w:val="hybridMultilevel"/>
    <w:lvl w:ilvl="0">
      <w:lvlJc w:val="left"/>
      <w:lvlText w:val="[%1]"/>
      <w:numFmt w:val="lowerLetter"/>
      <w:start w:val="3"/>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lowerRoman"/>
      <w:start w:val="1"/>
    </w:lvl>
    <w:lvl w:ilvl="1">
      <w:lvlJc w:val="left"/>
      <w:lvlText w:val="(%2)"/>
      <w:numFmt w:val="lowerRoman"/>
      <w:start w:val="2"/>
    </w:lvl>
  </w:abstractNum>
  <w:abstractNum w:abstractNumId="23">
    <w:nsid w:val="2A487CB0"/>
    <w:multiLevelType w:val="hybridMultilevel"/>
    <w:lvl w:ilvl="0">
      <w:lvlJc w:val="left"/>
      <w:lvlText w:val="(%1)"/>
      <w:numFmt w:val="lowerRoman"/>
      <w:start w:val="3"/>
    </w:lvl>
    <w:lvl w:ilvl="1">
      <w:lvlJc w:val="left"/>
      <w:lvlText w:val="(%2)"/>
      <w:numFmt w:val="lowerRoman"/>
      <w:start w:val="4"/>
    </w:lvl>
  </w:abstractNum>
  <w:abstractNum w:abstractNumId="24">
    <w:nsid w:val="1D4ED43B"/>
    <w:multiLevelType w:val="hybridMultilevel"/>
    <w:lvl w:ilvl="0">
      <w:lvlJc w:val="left"/>
      <w:lvlText w:val="(%1)"/>
      <w:numFmt w:val="lowerRoman"/>
      <w:start w:val="5"/>
    </w:lvl>
  </w:abstractNum>
  <w:abstractNum w:abstractNumId="25">
    <w:nsid w:val="725A06FB"/>
    <w:multiLevelType w:val="hybridMultilevel"/>
    <w:lvl w:ilvl="0">
      <w:lvlJc w:val="left"/>
      <w:lvlText w:val="(%1)"/>
      <w:numFmt w:val="lowerLetter"/>
      <w:start w:val="4"/>
    </w:lvl>
  </w:abstractNum>
  <w:abstractNum w:abstractNumId="26">
    <w:nsid w:val="2CD89A32"/>
    <w:multiLevelType w:val="hybridMultilevel"/>
    <w:lvl w:ilvl="0">
      <w:lvlJc w:val="left"/>
      <w:lvlText w:val="(%1)"/>
      <w:numFmt w:val="lowerRoman"/>
      <w:start w:val="2"/>
    </w:lvl>
  </w:abstractNum>
  <w:abstractNum w:abstractNumId="27">
    <w:nsid w:val="57E4CCAF"/>
    <w:multiLevelType w:val="hybridMultilevel"/>
    <w:lvl w:ilvl="0">
      <w:lvlJc w:val="left"/>
      <w:lvlText w:val="(%1)"/>
      <w:numFmt w:val="lowerRoman"/>
      <w:start w:val="5"/>
    </w:lvl>
  </w:abstractNum>
  <w:abstractNum w:abstractNumId="28">
    <w:nsid w:val="7A6D8D3C"/>
    <w:multiLevelType w:val="hybridMultilevel"/>
    <w:lvl w:ilvl="0">
      <w:lvlJc w:val="left"/>
      <w:lvlText w:val="%1."/>
      <w:numFmt w:val="decimal"/>
      <w:start w:val="1"/>
    </w:lvl>
    <w:lvl w:ilvl="1">
      <w:lvlJc w:val="left"/>
      <w:lvlText w:val="(%2)"/>
      <w:numFmt w:val="lowerLetter"/>
      <w:start w:val="1"/>
    </w:lvl>
  </w:abstractNum>
  <w:abstractNum w:abstractNumId="29">
    <w:nsid w:val="4B588F54"/>
    <w:multiLevelType w:val="hybridMultilevel"/>
    <w:lvl w:ilvl="0">
      <w:lvlJc w:val="left"/>
      <w:lvlText w:val="%1."/>
      <w:numFmt w:val="decimal"/>
      <w:start w:val="4"/>
    </w:lvl>
    <w:lvl w:ilvl="1">
      <w:lvlJc w:val="left"/>
      <w:lvlText w:val="(%2)"/>
      <w:numFmt w:val="lowerLetter"/>
      <w:start w:val="1"/>
    </w:lvl>
  </w:abstractNum>
  <w:abstractNum w:abstractNumId="30">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1">
    <w:nsid w:val="6DE91B18"/>
    <w:multiLevelType w:val="hybridMultilevel"/>
    <w:lvl w:ilvl="0">
      <w:lvlJc w:val="left"/>
      <w:lvlText w:val="(%1)"/>
      <w:numFmt w:val="lowerRoman"/>
      <w:start w:val="3"/>
    </w:lvl>
    <w:lvl w:ilvl="1">
      <w:lvlJc w:val="left"/>
      <w:lvlText w:val="(%2)"/>
      <w:numFmt w:val="decimal"/>
      <w:start w:val="1"/>
    </w:lvl>
  </w:abstractNum>
  <w:abstractNum w:abstractNumId="32">
    <w:nsid w:val="38437FDB"/>
    <w:multiLevelType w:val="hybridMultilevel"/>
    <w:lvl w:ilvl="0">
      <w:lvlJc w:val="left"/>
      <w:lvlText w:val="(%1)"/>
      <w:numFmt w:val="decimal"/>
      <w:start w:val="3"/>
    </w:lvl>
    <w:lvl w:ilvl="1">
      <w:lvlJc w:val="left"/>
      <w:lvlText w:val="(%2)"/>
      <w:numFmt w:val="decimal"/>
      <w:start w:val="4"/>
    </w:lvl>
  </w:abstractNum>
  <w:abstractNum w:abstractNumId="33">
    <w:nsid w:val="7644A45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7"/>
    </w:lvl>
    <w:lvl w:ilvl="3">
      <w:lvlJc w:val="left"/>
      <w:lvlText w:val="(%4)"/>
      <w:numFmt w:val="decimal"/>
      <w:start w:val="8"/>
    </w:lvl>
  </w:abstractNum>
  <w:abstractNum w:abstractNumId="34">
    <w:nsid w:val="32FFF902"/>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lvl w:ilvl="3">
      <w:lvlJc w:val="left"/>
      <w:lvlText w:val="%4"/>
      <w:numFmt w:val="decimal"/>
      <w:start w:val="1"/>
    </w:lvl>
  </w:abstractNum>
  <w:abstractNum w:abstractNumId="35">
    <w:nsid w:val="684A481A"/>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6">
    <w:nsid w:val="579478FE"/>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37">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38">
    <w:nsid w:val="3DC240FB"/>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39">
    <w:nsid w:val="1BA026FA"/>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40">
    <w:nsid w:val="79A1DEAA"/>
    <w:multiLevelType w:val="hybridMultilevel"/>
    <w:lvl w:ilvl="0">
      <w:lvlJc w:val="left"/>
      <w:lvlText w:val="%1"/>
      <w:numFmt w:val="decimal"/>
      <w:start w:val="1"/>
    </w:lvl>
    <w:lvl w:ilvl="1">
      <w:lvlJc w:val="left"/>
      <w:lvlText w:val="(%2)"/>
      <w:numFmt w:val="lowerRoman"/>
      <w:start w:val="2"/>
    </w:lvl>
  </w:abstractNum>
  <w:abstractNum w:abstractNumId="41">
    <w:nsid w:val="75C6C33A"/>
    <w:multiLevelType w:val="hybridMultilevel"/>
    <w:lvl w:ilvl="0">
      <w:lvlJc w:val="left"/>
      <w:lvlText w:val="(%1)"/>
      <w:numFmt w:val="decimal"/>
      <w:start w:val="2"/>
    </w:lvl>
    <w:lvl w:ilvl="1">
      <w:lvlJc w:val="left"/>
      <w:lvlText w:val="%2"/>
      <w:numFmt w:val="lowerRoman"/>
      <w:start w:val="1"/>
    </w:lvl>
  </w:abstractNum>
  <w:abstractNum w:abstractNumId="42">
    <w:nsid w:val="12E685FB"/>
    <w:multiLevelType w:val="hybridMultilevel"/>
    <w:lvl w:ilvl="0">
      <w:lvlJc w:val="left"/>
      <w:lvlText w:val="(%1)"/>
      <w:numFmt w:val="lowerLetter"/>
      <w:start w:val="7"/>
    </w:lvl>
    <w:lvl w:ilvl="1">
      <w:lvlJc w:val="left"/>
      <w:lvlText w:val="(%2)"/>
      <w:numFmt w:val="lowerRoman"/>
      <w:start w:val="1"/>
    </w:lvl>
  </w:abstractNum>
  <w:abstractNum w:abstractNumId="43">
    <w:nsid w:val="70C6A529"/>
    <w:multiLevelType w:val="hybridMultilevel"/>
    <w:lvl w:ilvl="0">
      <w:lvlJc w:val="left"/>
      <w:lvlText w:val="%1"/>
      <w:numFmt w:val="decimal"/>
      <w:start w:val="1"/>
    </w:lvl>
    <w:lvl w:ilvl="1">
      <w:lvlJc w:val="left"/>
      <w:lvlText w:val="(%2)"/>
      <w:numFmt w:val="lowerLetter"/>
      <w:start w:val="8"/>
    </w:lvl>
  </w:abstractNum>
  <w:abstractNum w:abstractNumId="44">
    <w:nsid w:val="520EEDD1"/>
    <w:multiLevelType w:val="hybridMultilevel"/>
    <w:lvl w:ilvl="0">
      <w:lvlJc w:val="left"/>
      <w:lvlText w:val="%1."/>
      <w:numFmt w:val="decimal"/>
      <w:start w:val="6"/>
    </w:lvl>
    <w:lvl w:ilvl="1">
      <w:lvlJc w:val="left"/>
      <w:lvlText w:val="(%2)"/>
      <w:numFmt w:val="lowerLetter"/>
      <w:start w:val="1"/>
    </w:lvl>
  </w:abstractNum>
  <w:abstractNum w:abstractNumId="45">
    <w:nsid w:val="374A3FE6"/>
    <w:multiLevelType w:val="hybridMultilevel"/>
    <w:lvl w:ilvl="0">
      <w:lvlJc w:val="left"/>
      <w:lvlText w:val="%1"/>
      <w:numFmt w:val="lowerLetter"/>
      <w:start w:val="1"/>
    </w:lvl>
    <w:lvl w:ilvl="1">
      <w:lvlJc w:val="left"/>
      <w:lvlText w:val="(%2)"/>
      <w:numFmt w:val="lowerLetter"/>
      <w:start w:val="2"/>
    </w:lvl>
  </w:abstractNum>
  <w:abstractNum w:abstractNumId="46">
    <w:nsid w:val="4F4EF005"/>
    <w:multiLevelType w:val="hybridMultilevel"/>
    <w:lvl w:ilvl="0">
      <w:lvlJc w:val="left"/>
      <w:lvlText w:val="(%1)"/>
      <w:numFmt w:val="lowerLetter"/>
      <w:start w:val="61"/>
    </w:lvl>
    <w:lvl w:ilvl="1">
      <w:lvlJc w:val="left"/>
      <w:lvlText w:val="%2"/>
      <w:numFmt w:val="lowerLetter"/>
      <w:start w:val="1"/>
    </w:lvl>
  </w:abstractNum>
  <w:abstractNum w:abstractNumId="47">
    <w:nsid w:val="23F9C13C"/>
    <w:multiLevelType w:val="hybridMultilevel"/>
    <w:lvl w:ilvl="0">
      <w:lvlJc w:val="left"/>
      <w:lvlText w:val="%1."/>
      <w:numFmt w:val="decimal"/>
      <w:start w:val="8"/>
    </w:lvl>
    <w:lvl w:ilvl="1">
      <w:lvlJc w:val="left"/>
      <w:lvlText w:val="(%2)"/>
      <w:numFmt w:val="lowerLetter"/>
      <w:start w:val="1"/>
    </w:lvl>
  </w:abstractNum>
  <w:abstractNum w:abstractNumId="48">
    <w:nsid w:val="649BB77C"/>
    <w:multiLevelType w:val="hybridMultilevel"/>
    <w:lvl w:ilvl="0">
      <w:lvlJc w:val="left"/>
      <w:lvlText w:val="%1"/>
      <w:numFmt w:val="decimal"/>
      <w:start w:val="1"/>
    </w:lvl>
    <w:lvl w:ilvl="1">
      <w:lvlJc w:val="left"/>
      <w:lvlText w:val="(%2)"/>
      <w:numFmt w:val="lowerLetter"/>
      <w:start w:val="4"/>
    </w:lvl>
  </w:abstractNum>
  <w:abstractNum w:abstractNumId="49">
    <w:nsid w:val="275AC794"/>
    <w:multiLevelType w:val="hybridMultilevel"/>
    <w:lvl w:ilvl="0">
      <w:lvlJc w:val="left"/>
      <w:lvlText w:val="%1."/>
      <w:numFmt w:val="decimal"/>
      <w:start w:val="9"/>
    </w:lvl>
    <w:lvl w:ilvl="1">
      <w:lvlJc w:val="left"/>
      <w:lvlText w:val="(%2)"/>
      <w:numFmt w:val="lowerLetter"/>
      <w:start w:val="1"/>
    </w:lvl>
  </w:abstractNum>
  <w:abstractNum w:abstractNumId="50">
    <w:nsid w:val="39386575"/>
    <w:multiLevelType w:val="hybridMultilevel"/>
    <w:lvl w:ilvl="0">
      <w:lvlJc w:val="left"/>
      <w:lvlText w:val="%1."/>
      <w:numFmt w:val="decimal"/>
      <w:start w:val="10"/>
    </w:lvl>
  </w:abstractNum>
  <w:abstractNum w:abstractNumId="51">
    <w:nsid w:val="1CF10FD8"/>
    <w:multiLevelType w:val="hybridMultilevel"/>
    <w:lvl w:ilvl="0">
      <w:lvlJc w:val="left"/>
      <w:lvlText w:val="%1."/>
      <w:numFmt w:val="decimal"/>
      <w:start w:val="14"/>
    </w:lvl>
  </w:abstractNum>
  <w:abstractNum w:abstractNumId="52">
    <w:nsid w:val="180115BE"/>
    <w:multiLevelType w:val="hybridMultilevel"/>
    <w:lvl w:ilvl="0">
      <w:lvlJc w:val="left"/>
      <w:lvlText w:val="%1."/>
      <w:numFmt w:val="decimal"/>
      <w:start w:val="15"/>
    </w:lvl>
  </w:abstractNum>
  <w:abstractNum w:abstractNumId="53">
    <w:nsid w:val="235BA861"/>
    <w:multiLevelType w:val="hybridMultilevel"/>
    <w:lvl w:ilvl="0">
      <w:lvlJc w:val="left"/>
      <w:lvlText w:val="%1."/>
      <w:numFmt w:val="decimal"/>
      <w:start w:val="20"/>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decimal"/>
      <w:start w:val="5"/>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2019-12-29T14:01:24Z</dcterms:created>
  <dcterms:modified xsi:type="dcterms:W3CDTF">2019-12-29T14:01:24Z</dcterms:modified>
</cp:coreProperties>
</file>