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60363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631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159385</wp:posOffset>
            </wp:positionV>
            <wp:extent cx="6036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6310"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jc w:val="center"/>
        <w:ind w:right="-19"/>
        <w:spacing w:after="0" w:line="217" w:lineRule="auto"/>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28" w:lineRule="exact"/>
        <w:rPr>
          <w:sz w:val="24"/>
          <w:szCs w:val="24"/>
          <w:color w:val="auto"/>
        </w:rPr>
      </w:pPr>
    </w:p>
    <w:p>
      <w:pPr>
        <w:ind w:left="3380" w:right="1280" w:hanging="3379"/>
        <w:spacing w:after="0" w:line="341" w:lineRule="auto"/>
        <w:tabs>
          <w:tab w:leader="none" w:pos="35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October 31, 2018</w:t>
      </w:r>
    </w:p>
    <w:p>
      <w:pPr>
        <w:ind w:left="46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25" w:lineRule="exact"/>
        <w:rPr>
          <w:sz w:val="24"/>
          <w:szCs w:val="24"/>
          <w:color w:val="auto"/>
        </w:rPr>
      </w:pPr>
    </w:p>
    <w:p>
      <w:pPr>
        <w:ind w:left="340" w:hanging="336"/>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4"/>
          <w:szCs w:val="24"/>
          <w:color w:val="auto"/>
        </w:rPr>
      </w:pPr>
    </w:p>
    <w:p>
      <w:pPr>
        <w:ind w:left="3440"/>
        <w:spacing w:after="0"/>
        <w:tabs>
          <w:tab w:leader="none" w:pos="56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3420745</wp:posOffset>
            </wp:positionH>
            <wp:positionV relativeFrom="paragraph">
              <wp:posOffset>-7620</wp:posOffset>
            </wp:positionV>
            <wp:extent cx="15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-7620</wp:posOffset>
            </wp:positionV>
            <wp:extent cx="15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47"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2847975</wp:posOffset>
            </wp:positionH>
            <wp:positionV relativeFrom="paragraph">
              <wp:posOffset>53975</wp:posOffset>
            </wp:positionV>
            <wp:extent cx="315595" cy="35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5595" cy="358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PHOTRONICS, INC.</w:t>
      </w: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9500"/>
          </w:cols>
          <w:pgMar w:left="1200" w:top="238" w:right="1199" w:bottom="1440" w:gutter="0" w:footer="0" w:header="0"/>
        </w:sectPr>
      </w:pPr>
    </w:p>
    <w:p>
      <w:pPr>
        <w:spacing w:after="0" w:line="67" w:lineRule="exact"/>
        <w:rPr>
          <w:sz w:val="24"/>
          <w:szCs w:val="24"/>
          <w:color w:val="auto"/>
        </w:rPr>
      </w:pPr>
    </w:p>
    <w:p>
      <w:pPr>
        <w:ind w:left="1860"/>
        <w:spacing w:after="0"/>
        <w:rPr>
          <w:sz w:val="20"/>
          <w:szCs w:val="20"/>
          <w:color w:val="auto"/>
        </w:rPr>
      </w:pPr>
      <w:r>
        <w:rPr>
          <w:rFonts w:ascii="Arial" w:cs="Arial" w:eastAsia="Arial" w:hAnsi="Arial"/>
          <w:sz w:val="14"/>
          <w:szCs w:val="14"/>
          <w:b w:val="1"/>
          <w:bCs w:val="1"/>
          <w:color w:val="auto"/>
        </w:rPr>
        <w:t>Connecticut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06-0854886</w:t>
      </w:r>
    </w:p>
    <w:p>
      <w:pPr>
        <w:spacing w:after="0" w:line="71" w:lineRule="exact"/>
        <w:rPr>
          <w:sz w:val="24"/>
          <w:szCs w:val="24"/>
          <w:color w:val="auto"/>
        </w:rPr>
      </w:pPr>
    </w:p>
    <w:p>
      <w:pPr>
        <w:sectPr>
          <w:pgSz w:w="11900" w:h="16838" w:orient="portrait"/>
          <w:cols w:equalWidth="0" w:num="2">
            <w:col w:w="6020" w:space="720"/>
            <w:col w:w="2760"/>
          </w:cols>
          <w:pgMar w:left="1200" w:top="238" w:right="1199" w:bottom="1440" w:gutter="0" w:footer="0" w:header="0"/>
          <w:type w:val="continuous"/>
        </w:sectPr>
      </w:pPr>
    </w:p>
    <w:p>
      <w:pPr>
        <w:ind w:left="320"/>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90" w:lineRule="exact"/>
        <w:rPr>
          <w:sz w:val="24"/>
          <w:szCs w:val="24"/>
          <w:color w:val="auto"/>
        </w:rPr>
      </w:pPr>
    </w:p>
    <w:p>
      <w:pPr>
        <w:sectPr>
          <w:pgSz w:w="11900" w:h="16838" w:orient="portrait"/>
          <w:cols w:equalWidth="0" w:num="2">
            <w:col w:w="5320" w:space="720"/>
            <w:col w:w="3460"/>
          </w:cols>
          <w:pgMar w:left="1200" w:top="238" w:right="1199" w:bottom="1440" w:gutter="0" w:footer="0" w:header="0"/>
          <w:type w:val="continuous"/>
        </w:sectPr>
      </w:pPr>
    </w:p>
    <w:p>
      <w:pPr>
        <w:ind w:left="3180"/>
        <w:spacing w:after="0"/>
        <w:rPr>
          <w:sz w:val="20"/>
          <w:szCs w:val="20"/>
          <w:color w:val="auto"/>
        </w:rPr>
      </w:pPr>
      <w:r>
        <w:rPr>
          <w:rFonts w:ascii="Arial" w:cs="Arial" w:eastAsia="Arial" w:hAnsi="Arial"/>
          <w:sz w:val="15"/>
          <w:szCs w:val="15"/>
          <w:b w:val="1"/>
          <w:bCs w:val="1"/>
          <w:color w:val="auto"/>
        </w:rPr>
        <w:t>15 Secor Road, Brookfield, Connecticut 06804</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5"/>
          <w:szCs w:val="15"/>
          <w:i w:val="1"/>
          <w:iCs w:val="1"/>
          <w:color w:val="auto"/>
        </w:rPr>
        <w:t>(Address of principal executive offices)(Zip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(203) 775-9000</w:t>
      </w: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Securities registered pursuant to Section 12(b) of the Act:</w:t>
      </w:r>
    </w:p>
    <w:p>
      <w:pPr>
        <w:sectPr>
          <w:pgSz w:w="11900" w:h="16838" w:orient="portrait"/>
          <w:cols w:equalWidth="0" w:num="1">
            <w:col w:w="9500"/>
          </w:cols>
          <w:pgMar w:left="1200" w:top="238" w:right="1199" w:bottom="1440" w:gutter="0" w:footer="0" w:header="0"/>
          <w:type w:val="continuous"/>
        </w:sectPr>
      </w:pPr>
    </w:p>
    <w:p>
      <w:pPr>
        <w:spacing w:after="0" w:line="104" w:lineRule="exact"/>
        <w:rPr>
          <w:sz w:val="24"/>
          <w:szCs w:val="24"/>
          <w:color w:val="auto"/>
        </w:rPr>
      </w:pPr>
    </w:p>
    <w:p>
      <w:pPr>
        <w:ind w:left="16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1" w:lineRule="exact"/>
        <w:rPr>
          <w:sz w:val="24"/>
          <w:szCs w:val="24"/>
          <w:color w:val="auto"/>
        </w:rPr>
      </w:pPr>
    </w:p>
    <w:p>
      <w:pPr>
        <w:sectPr>
          <w:pgSz w:w="11900" w:h="16838" w:orient="portrait"/>
          <w:cols w:equalWidth="0" w:num="2">
            <w:col w:w="4920" w:space="720"/>
            <w:col w:w="3860"/>
          </w:cols>
          <w:pgMar w:left="1200" w:top="238" w:right="1199" w:bottom="1440" w:gutter="0" w:footer="0" w:header="0"/>
          <w:type w:val="continuous"/>
        </w:sectPr>
      </w:pPr>
    </w:p>
    <w:p>
      <w:pPr>
        <w:ind w:left="1280"/>
        <w:spacing w:after="0"/>
        <w:rPr>
          <w:sz w:val="20"/>
          <w:szCs w:val="20"/>
          <w:color w:val="auto"/>
        </w:rPr>
      </w:pPr>
      <w:r>
        <w:rPr>
          <w:rFonts w:ascii="Arial" w:cs="Arial" w:eastAsia="Arial" w:hAnsi="Arial"/>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74" w:lineRule="exact"/>
        <w:rPr>
          <w:sz w:val="24"/>
          <w:szCs w:val="24"/>
          <w:color w:val="auto"/>
        </w:rPr>
      </w:pPr>
    </w:p>
    <w:p>
      <w:pPr>
        <w:sectPr>
          <w:pgSz w:w="11900" w:h="16838" w:orient="portrait"/>
          <w:cols w:equalWidth="0" w:num="2">
            <w:col w:w="5380" w:space="720"/>
            <w:col w:w="3400"/>
          </w:cols>
          <w:pgMar w:left="1200" w:top="238" w:right="119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Securities registered pursuant to Section 12(g) of the Act:</w:t>
      </w:r>
    </w:p>
    <w:p>
      <w:pPr>
        <w:jc w:val="center"/>
        <w:spacing w:after="0"/>
        <w:rPr>
          <w:sz w:val="20"/>
          <w:szCs w:val="20"/>
          <w:color w:val="auto"/>
        </w:rPr>
      </w:pPr>
      <w:r>
        <w:rPr>
          <w:rFonts w:ascii="Arial" w:cs="Arial" w:eastAsia="Arial" w:hAnsi="Arial"/>
          <w:sz w:val="16"/>
          <w:szCs w:val="16"/>
          <w:b w:val="1"/>
          <w:bCs w:val="1"/>
          <w:color w:val="auto"/>
        </w:rPr>
        <w:t>None</w:t>
      </w:r>
    </w:p>
    <w:p>
      <w:pPr>
        <w:spacing w:after="0" w:line="2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71" w:lineRule="exact"/>
        <w:rPr>
          <w:sz w:val="24"/>
          <w:szCs w:val="24"/>
          <w:color w:val="auto"/>
        </w:rPr>
      </w:pPr>
    </w:p>
    <w:p>
      <w:pPr>
        <w:ind w:right="1780"/>
        <w:spacing w:after="0" w:line="192"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1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7" w:lineRule="exact"/>
        <w:rPr>
          <w:sz w:val="24"/>
          <w:szCs w:val="24"/>
          <w:color w:val="auto"/>
        </w:rPr>
      </w:pPr>
    </w:p>
    <w:p>
      <w:pPr>
        <w:jc w:val="both"/>
        <w:spacing w:after="0" w:line="21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7" w:lineRule="exact"/>
        <w:rPr>
          <w:sz w:val="24"/>
          <w:szCs w:val="24"/>
          <w:color w:val="auto"/>
        </w:rPr>
      </w:pPr>
    </w:p>
    <w:p>
      <w:pPr>
        <w:jc w:val="both"/>
        <w:spacing w:after="0" w:line="182"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116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r>
        <w:trPr>
          <w:trHeight w:val="21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1680" w:type="dxa"/>
            <w:vAlign w:val="bottom"/>
          </w:tcPr>
          <w:p>
            <w:pPr>
              <w:ind w:left="380"/>
              <w:spacing w:after="0"/>
              <w:rPr>
                <w:sz w:val="20"/>
                <w:szCs w:val="20"/>
                <w:color w:val="auto"/>
              </w:rPr>
            </w:pPr>
            <w:r>
              <w:rPr>
                <w:rFonts w:ascii="Arial" w:cs="Arial" w:eastAsia="Arial" w:hAnsi="Arial"/>
                <w:sz w:val="16"/>
                <w:szCs w:val="16"/>
                <w:color w:val="auto"/>
              </w:rPr>
              <w:t>o</w:t>
            </w:r>
          </w:p>
        </w:tc>
        <w:tc>
          <w:tcPr>
            <w:tcW w:w="334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r>
        <w:trPr>
          <w:trHeight w:val="228"/>
        </w:trPr>
        <w:tc>
          <w:tcPr>
            <w:tcW w:w="1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4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o</w:t>
            </w:r>
          </w:p>
        </w:tc>
      </w:tr>
    </w:tbl>
    <w:p>
      <w:pPr>
        <w:spacing w:after="0" w:line="23" w:lineRule="exact"/>
        <w:rPr>
          <w:sz w:val="24"/>
          <w:szCs w:val="24"/>
          <w:color w:val="auto"/>
        </w:rPr>
      </w:pPr>
    </w:p>
    <w:p>
      <w:pPr>
        <w:jc w:val="both"/>
        <w:spacing w:after="0" w:line="23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71" w:lineRule="exact"/>
        <w:rPr>
          <w:sz w:val="24"/>
          <w:szCs w:val="24"/>
          <w:color w:val="auto"/>
        </w:rPr>
      </w:pPr>
    </w:p>
    <w:p>
      <w:pPr>
        <w:jc w:val="both"/>
        <w:spacing w:after="0" w:line="229" w:lineRule="auto"/>
        <w:rPr>
          <w:sz w:val="20"/>
          <w:szCs w:val="20"/>
          <w:color w:val="auto"/>
        </w:rPr>
      </w:pPr>
      <w:r>
        <w:rPr>
          <w:rFonts w:ascii="Arial" w:cs="Arial" w:eastAsia="Arial" w:hAnsi="Arial"/>
          <w:sz w:val="16"/>
          <w:szCs w:val="16"/>
          <w:color w:val="auto"/>
        </w:rPr>
        <w:t>As of April 29, 2018, which was the last business day of the registrant’s most recently completed second fiscal quarter, the aggregate market value of the shares of the registrant’s common stock held by non-affiliates was approximately $534,704,024 (based upon the closing price of $7.80 per share as reported by the NASDAQ Global Select Market on that date).</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13, 2018, 66,987,737 shares of the registrant’s common stock were outstanding.</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7000" w:type="dxa"/>
            <w:vAlign w:val="bottom"/>
          </w:tcPr>
          <w:p>
            <w:pPr>
              <w:jc w:val="right"/>
              <w:ind w:right="2819"/>
              <w:spacing w:after="0"/>
              <w:rPr>
                <w:sz w:val="20"/>
                <w:szCs w:val="20"/>
                <w:color w:val="auto"/>
              </w:rPr>
            </w:pPr>
            <w:r>
              <w:rPr>
                <w:rFonts w:ascii="Arial" w:cs="Arial" w:eastAsia="Arial" w:hAnsi="Arial"/>
                <w:sz w:val="16"/>
                <w:szCs w:val="16"/>
                <w:b w:val="1"/>
                <w:bCs w:val="1"/>
                <w:color w:val="auto"/>
              </w:rPr>
              <w:t>DOCUMENTS INCORPORATED BY REFERENCE</w:t>
            </w:r>
          </w:p>
        </w:tc>
      </w:tr>
      <w:tr>
        <w:trPr>
          <w:trHeight w:val="264"/>
        </w:trPr>
        <w:tc>
          <w:tcPr>
            <w:tcW w:w="2500" w:type="dxa"/>
            <w:vAlign w:val="bottom"/>
          </w:tcPr>
          <w:p>
            <w:pPr>
              <w:spacing w:after="0"/>
              <w:rPr>
                <w:sz w:val="20"/>
                <w:szCs w:val="20"/>
                <w:color w:val="auto"/>
              </w:rPr>
            </w:pPr>
            <w:r>
              <w:rPr>
                <w:rFonts w:ascii="Arial" w:cs="Arial" w:eastAsia="Arial" w:hAnsi="Arial"/>
                <w:sz w:val="16"/>
                <w:szCs w:val="16"/>
                <w:color w:val="auto"/>
              </w:rPr>
              <w:t>Proxy Statement for the 2019</w:t>
            </w:r>
          </w:p>
        </w:tc>
        <w:tc>
          <w:tcPr>
            <w:tcW w:w="7000" w:type="dxa"/>
            <w:vAlign w:val="bottom"/>
          </w:tcPr>
          <w:p>
            <w:pPr>
              <w:spacing w:after="0"/>
              <w:rPr>
                <w:sz w:val="22"/>
                <w:szCs w:val="22"/>
                <w:color w:val="auto"/>
              </w:rPr>
            </w:pPr>
          </w:p>
        </w:tc>
      </w:tr>
      <w:tr>
        <w:trPr>
          <w:trHeight w:val="201"/>
        </w:trPr>
        <w:tc>
          <w:tcPr>
            <w:tcW w:w="2500" w:type="dxa"/>
            <w:vAlign w:val="bottom"/>
          </w:tcPr>
          <w:p>
            <w:pPr>
              <w:spacing w:after="0"/>
              <w:rPr>
                <w:sz w:val="20"/>
                <w:szCs w:val="20"/>
                <w:color w:val="auto"/>
              </w:rPr>
            </w:pPr>
            <w:r>
              <w:rPr>
                <w:rFonts w:ascii="Arial" w:cs="Arial" w:eastAsia="Arial" w:hAnsi="Arial"/>
                <w:sz w:val="16"/>
                <w:szCs w:val="16"/>
                <w:color w:val="auto"/>
              </w:rPr>
              <w:t>Annual Meeting of Shareholders</w:t>
            </w:r>
          </w:p>
        </w:tc>
        <w:tc>
          <w:tcPr>
            <w:tcW w:w="7000" w:type="dxa"/>
            <w:vAlign w:val="bottom"/>
          </w:tcPr>
          <w:p>
            <w:pPr>
              <w:jc w:val="right"/>
              <w:spacing w:after="0"/>
              <w:rPr>
                <w:sz w:val="20"/>
                <w:szCs w:val="20"/>
                <w:color w:val="auto"/>
              </w:rPr>
            </w:pPr>
            <w:r>
              <w:rPr>
                <w:rFonts w:ascii="Arial" w:cs="Arial" w:eastAsia="Arial" w:hAnsi="Arial"/>
                <w:sz w:val="16"/>
                <w:szCs w:val="16"/>
                <w:color w:val="auto"/>
              </w:rPr>
              <w:t>Incorporated into Part III</w:t>
            </w: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to be held on March 25, 2019</w:t>
            </w:r>
          </w:p>
        </w:tc>
        <w:tc>
          <w:tcPr>
            <w:tcW w:w="7000" w:type="dxa"/>
            <w:vAlign w:val="bottom"/>
          </w:tcPr>
          <w:p>
            <w:pPr>
              <w:jc w:val="right"/>
              <w:spacing w:after="0"/>
              <w:rPr>
                <w:sz w:val="20"/>
                <w:szCs w:val="20"/>
                <w:color w:val="auto"/>
              </w:rPr>
            </w:pPr>
            <w:r>
              <w:rPr>
                <w:rFonts w:ascii="Arial" w:cs="Arial" w:eastAsia="Arial" w:hAnsi="Arial"/>
                <w:sz w:val="16"/>
                <w:szCs w:val="16"/>
                <w:color w:val="auto"/>
              </w:rPr>
              <w:t>of this Form 10-K</w:t>
            </w:r>
          </w:p>
        </w:tc>
      </w:tr>
      <w:tr>
        <w:trPr>
          <w:trHeight w:val="86"/>
        </w:trPr>
        <w:tc>
          <w:tcPr>
            <w:tcW w:w="250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r>
      <w:tr>
        <w:trPr>
          <w:trHeight w:val="54"/>
        </w:trPr>
        <w:tc>
          <w:tcPr>
            <w:tcW w:w="2500" w:type="dxa"/>
            <w:vAlign w:val="bottom"/>
            <w:tcBorders>
              <w:bottom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r>
      <w:tr>
        <w:trPr>
          <w:trHeight w:val="457"/>
        </w:trPr>
        <w:tc>
          <w:tcPr>
            <w:tcW w:w="250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67"/>
        </w:trPr>
        <w:tc>
          <w:tcPr>
            <w:tcW w:w="2500" w:type="dxa"/>
            <w:vAlign w:val="bottom"/>
            <w:shd w:val="clear" w:color="auto" w:fill="000000"/>
          </w:tcPr>
          <w:p>
            <w:pPr>
              <w:spacing w:after="0"/>
              <w:rPr>
                <w:sz w:val="5"/>
                <w:szCs w:val="5"/>
                <w:color w:val="auto"/>
              </w:rPr>
            </w:pPr>
          </w:p>
        </w:tc>
        <w:tc>
          <w:tcPr>
            <w:tcW w:w="7000" w:type="dxa"/>
            <w:vAlign w:val="bottom"/>
            <w:shd w:val="clear" w:color="auto" w:fill="000000"/>
          </w:tcPr>
          <w:p>
            <w:pPr>
              <w:spacing w:after="0"/>
              <w:rPr>
                <w:sz w:val="5"/>
                <w:szCs w:val="5"/>
                <w:color w:val="auto"/>
              </w:rPr>
            </w:pPr>
          </w:p>
        </w:tc>
      </w:tr>
    </w:tbl>
    <w:p>
      <w:pPr>
        <w:sectPr>
          <w:pgSz w:w="11900" w:h="16838" w:orient="portrait"/>
          <w:cols w:equalWidth="0" w:num="1">
            <w:col w:w="9500"/>
          </w:cols>
          <w:pgMar w:left="1200" w:top="238" w:right="11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jc w:val="both"/>
        <w:ind w:firstLine="358"/>
        <w:spacing w:after="0" w:line="28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jc w:val="both"/>
        <w:ind w:firstLine="358"/>
        <w:spacing w:after="0" w:line="269" w:lineRule="auto"/>
        <w:rPr>
          <w:sz w:val="20"/>
          <w:szCs w:val="20"/>
          <w:color w:val="auto"/>
        </w:rPr>
      </w:pPr>
      <w:r>
        <w:rPr>
          <w:rFonts w:ascii="Arial" w:cs="Arial" w:eastAsia="Arial" w:hAnsi="Arial"/>
          <w:sz w:val="17"/>
          <w:szCs w:val="17"/>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We currently operate principally from nine manufacturing facilities; two of which are located in Europe, three in Taiwan, one in Korea and three in the United States. We are building two manufacturing facilities in China and anticipate production to begin at these facilities during the first half of 2019.</w:t>
      </w:r>
    </w:p>
    <w:p>
      <w:pPr>
        <w:spacing w:after="0" w:line="73"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Photronics is a Connecticut corporation, organized in 1969. Our principal executive offices are located at 15 Secor Road, Brookfield, Connecticut 06804, telephone (203) 775-9000. Our website address is http://www.photronics.com. We make available, free of charge through our website, our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119"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manufacture photomasks, which are used as masters to transfer circuit patterns onto semiconductor wafers and flat panel display substrates. Photomasks are manufactured in accordance with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display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any required pellicles (protective translucent cellulose membranes) are applied and, after final inspection, the photomask is shipped to the customer.</w:t>
      </w:r>
    </w:p>
    <w:p>
      <w:pPr>
        <w:spacing w:after="0" w:line="82"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currently support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the large majority of higher cost critical layer photomasks are fabricated using electron beam technologies, while photomasks produced using laser-based systems are less expensive and less precise. End markets served with IC photomasks include devices used for microprocessors, memory, telecommunications and related applications. We currently own a number of both high-end and mature electron beam and laser-based systems.</w:t>
      </w:r>
    </w:p>
    <w:p>
      <w:pPr>
        <w:spacing w:after="0" w:line="8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first several layers of photomasks are sometimes required to be delivered by us within 24 hours from the time we receive customers’ design data. The ability to manufacture high 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our manufacturing processes and reduce cycle times.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inspect and repair photomasks to ensure that customer specifications are met.</w:t>
      </w:r>
    </w:p>
    <w:p>
      <w:pPr>
        <w:spacing w:after="0" w:line="82"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The majority of IC photomasks produced for the semiconductor industry employ geometries larger than 28 nanometers. At these geometries, we can produce full lines of photomasks and there is no significant technology employed by our competitors that is not also available to us. We are also capable of producing full lines of photomasks for high-end IC and FPD applications. In the case of ICs, this includes photomasks at and below the 28 nanometer technology node and, for FPDs, at and above the Generation 8 technology node and active-matrix organic light-emitting diode (AMOLED) display screens. We hold customer-qualified manufacturing capability and own, or have access to, technology that enables us to compete in the high-end markets that serve IC and FPD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19"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The market for photomasks primarily consists of domestic and non-US semiconductor and FPD manufacturers and designers. Photomasks are manufactured by independent merchant manufacturers like Photronics, and by semiconductor and FPD manufacturers that produce photomasks for their own use (captive manufacturers). In some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some captive mask facilities have been investing at faster rates than independent manufacturers to reach certain roadmap milestones, particularly in the foundry logic and memory spaces. Nevertheless, most captive manufacturers maintain business and technology relationships with independent photomask manufacturers for ongoing support.</w:t>
      </w:r>
    </w:p>
    <w:p>
      <w:pPr>
        <w:spacing w:after="0" w:line="6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Generally, Photronics and each of its customers engage in a qualification and correlation process before one becomes an approved supplier. Thereafter, based on the customer’s expectations, we typically negotiate pricing parameters for a customer’s order. Some prices may remain in effect for an extended period of time. In many instances, we enter into sales arrangements with an understanding that, as long as our performance is competitive, we will receive a specified percentage of that customer’s photomask requirements.</w:t>
      </w:r>
    </w:p>
    <w:p>
      <w:pPr>
        <w:spacing w:after="0" w:line="82"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6"/>
          <w:szCs w:val="16"/>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We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 13 to our consolidated financial statements for the amount of revenue and long-lived assets attributable to each of our geographic areas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9"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We sell our products primarily to leading semiconductor and FPD manufacturers. During fiscal year 2018, we sold our products to approximately 600 customers. Revenue from Samsung Electronics Co. Ltd. accounted for approximately 16%, 16% and 19% of our total revenues, and revenue from United Microelectronics Corp. Co. Ltd. accounted for approximately 15%, 16% and 17% of our total revenues in fiscal years 2018, 2017 and 2016, respectively. Our five largest customers, in the aggregate, accounted for approximately 47%, 43% and 50% of our revenue in fiscal years 2018, 2017 and 2016, respectively. A significant decrease in the amount of revenue from any of these customers could have a material adverse effect on our financial performance and business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9" w:lineRule="exact"/>
        <w:rPr>
          <w:sz w:val="20"/>
          <w:szCs w:val="20"/>
          <w:color w:val="auto"/>
        </w:rPr>
      </w:pPr>
    </w:p>
    <w:p>
      <w:pPr>
        <w:jc w:val="both"/>
        <w:ind w:firstLine="358"/>
        <w:spacing w:after="0" w:line="339" w:lineRule="auto"/>
        <w:rPr>
          <w:sz w:val="20"/>
          <w:szCs w:val="20"/>
          <w:color w:val="auto"/>
        </w:rPr>
      </w:pPr>
      <w:r>
        <w:rPr>
          <w:rFonts w:ascii="Arial" w:cs="Arial" w:eastAsia="Arial" w:hAnsi="Arial"/>
          <w:sz w:val="16"/>
          <w:szCs w:val="16"/>
          <w:color w:val="auto"/>
        </w:rPr>
        <w:t>Our business is typically impacted during the first, and sometimes the second, quarter of our fiscal year by the North American, European, and Asian holiday periods, as some customers reduce their development and buying activities during those periods.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9" w:lineRule="exact"/>
        <w:rPr>
          <w:sz w:val="20"/>
          <w:szCs w:val="20"/>
          <w:color w:val="auto"/>
        </w:rPr>
      </w:pPr>
    </w:p>
    <w:p>
      <w:pPr>
        <w:jc w:val="both"/>
        <w:ind w:firstLine="358"/>
        <w:spacing w:after="0" w:line="266" w:lineRule="auto"/>
        <w:rPr>
          <w:sz w:val="20"/>
          <w:szCs w:val="20"/>
          <w:color w:val="auto"/>
        </w:rPr>
      </w:pPr>
      <w:r>
        <w:rPr>
          <w:rFonts w:ascii="Arial" w:cs="Arial" w:eastAsia="Arial" w:hAnsi="Arial"/>
          <w:sz w:val="17"/>
          <w:szCs w:val="17"/>
          <w:color w:val="auto"/>
        </w:rPr>
        <w:t>We conduct research and development activities for IC photomasks at our U.S. nanoFab, which is located in Boise, Idaho, as well as at PK, Ltd. (“PKL”), our subsidiary in Korea and Photronics DNP Mask Corporation (“PDMC”), one of our subsidiaries in Taiwan. Research and development for FPD photomasks is conducted at PKL. Additionally, we conduct site-specific research and development programs to support strategic customers. These research and development programs and activities are undertaken to advance our competitiveness in technology and manufacturing efficiency. We also conduct application-oriented research and development activities to support the early adoption of new photomask or supporting data and services technology into our customers’ applications. Currently, research and development photomask activities for ICs are focused on masks with wafer geometrics of 20 nanometer node and below and, for FPDs, on Generations 8 and 10.5+ substrate size mask process enhancements and mask technology for complex FPD masks used in the manufacture of advanced mobile displays, such as AMOLED. We believe these core competencies will continue to be a critical part of semiconductor and FPD manufacturing, as optical lithography continues to scale capabilities on high-end devices. We incurred research and development expenses of $14.5 million, $15.9 million, and $21.7 million in fiscal years 2018, 2017, and 2016, respectively. It is our belief that we own, control, or license the proprietary information, including trade secrets and patents, that is necessary for our business, as it is presently conducted. We also believe that our intellectual property and trade secret know-how will continue to be important to our maintaining technical leadership in the field of photomasks.</w:t>
      </w:r>
    </w:p>
    <w:p>
      <w:pPr>
        <w:spacing w:after="0" w:line="80"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On May 5, 2016, we sold our investment in MP Mask to Micron for $93.1 million and recorded a gain on the sale of $0.1 million, which is included in interest income and other income (expense) in our 2016 consolidated statements of income. On that same date a supply agreement commenced between Photronics and Micron, which provided that we would be the majority outsourced supplier of Micron’s photomasks and related services. The supply agreement had a one year term, and expired in May 2017. Photronics has unlimited rights to use the technology it acquired under its prior technology license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We have ownership interests in approximately 42 issued U.S. patents. The subject matter of these patents, which are registered in various countries, generally relates to the manufacture of IC photomasks or the use of photomasks to manufacture other products. The expiration dates of these patents range from 2019 to 2034. We also have a number of trademarks and trademark registrations in the United States and in other countries.</w:t>
      </w:r>
    </w:p>
    <w:p>
      <w:pPr>
        <w:spacing w:after="0" w:line="80"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While we believe that our intellectual property is, and will continue to be, important to our technical leadership in the field of photomasks, our operations are not dependent on any one individual patent. We protect our intellectual property rights and proprietary processes by utilizing patents and non-disclosure agreements with employees, customers and vendors.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1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82"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rely on a limited number of equipment suppliers to develop and supply the equipment used in the photomask manufacturing process. Although, historically, we have been able to obtain equipment on a timely basis, an inability to obtain equipment when required could adversely affect our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our revenue, the dollar amount of our current backlog is not considered to be a reliable indicator of future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Revenues from our non-U.S. operations were approximately 79%, 77% and 76% of our total revenues in fiscal 2018, 2017 and 2016, respectively. We believe that our ability to serve non-US markets is enhanced by our having, among other things, a local presence in the markets that we serve. This requires significant investments in financial, managerial, operational, and other resources.</w:t>
      </w:r>
    </w:p>
    <w:p>
      <w:pPr>
        <w:spacing w:after="0" w:line="80"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 13 of the notes to our consolidated financial statements presents revenue and long-lived assets by geographic area.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firstLine="358"/>
        <w:spacing w:after="0" w:line="269" w:lineRule="auto"/>
        <w:rPr>
          <w:sz w:val="20"/>
          <w:szCs w:val="20"/>
          <w:color w:val="auto"/>
        </w:rPr>
      </w:pPr>
      <w:r>
        <w:rPr>
          <w:rFonts w:ascii="Arial" w:cs="Arial" w:eastAsia="Arial" w:hAnsi="Arial"/>
          <w:sz w:val="17"/>
          <w:szCs w:val="17"/>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technical, sales, marketing or other resources than Photronics, we believe that we are able to compete effectively because of our dedication to customer service, investments in state-of-the-art photomask equipment and facilities, and experienced technical employees.</w:t>
      </w:r>
    </w:p>
    <w:p>
      <w:pPr>
        <w:spacing w:after="0" w:line="73"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estimate that, for the types of photomasks we manufacture (IC and FPD), the size of the total market (captive and merchant) is approximately $4.7 billion. Our competitors include Compugraphics International, Ltd., Dai Nippon Printing Co., Ltd (outside of Taiwan and China), Hoya Corporation, SK-Electronics Co. Ltd., Taiwan Mask Corporation, Toppan Printing Co., Ltd., Supermask Co. Ltd., and Chengdu NeWay Photomask Making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and we expect such pressure to continue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As of October 31, 2018, we had approximately 1,575 employees. We believe we offer competitive compensation and other benefits, and that our employee relations are good.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119"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6"/>
          <w:szCs w:val="16"/>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We have technology and information security processes and disaster recovery plans in place to mitigate our risks to these vulnerabilities. However, these measures may not be adequate to ensure that our operations will not be disrupted, should such an event occur.</w:t>
      </w:r>
    </w:p>
    <w:p>
      <w:pPr>
        <w:spacing w:after="0" w:line="53"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fines and sanctions for violations. It is possible that the GDPR may be interpreted or applied in a manner that is adverse to us, unforeseen by us, or otherwise inconsistent with our practices; or that we may otherwise fail to construe its requirements in ways that are satisfactory to the EU authorities.</w:t>
      </w:r>
    </w:p>
    <w:p>
      <w:pPr>
        <w:spacing w:after="0" w:line="74"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Any failure, or perceived failure, by us to comply with the GDPR, or with any applicable regulatory requirements or orders, including but not limited to privacy, data protection, information security, or consumer protection-related privacy laws and regulations, in one or more jurisdictions within the EU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7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color w:val="auto"/>
        </w:rPr>
        <w:t>The risk of loss of the Company’s intellectual property, trade secrets or other sensitive business or customer confidential information or disruption of operations due to breaches of cybersecurity could negatively impact the Company’s financial results.</w:t>
      </w:r>
    </w:p>
    <w:p>
      <w:pPr>
        <w:spacing w:after="0" w:line="81"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Cyber-attacks or security breaches could compromise confidential, business critical information, cause a disruption in the Company’s operations or harm the Company’s reputation. The Company has important assets, including intellectual property, trade secrets and other sensitive, business critical and/or confidential information. While the Company has a comprehensive cybersecurity program that is continuously reviewed, maintained and upgraded, a significant cyber-attack could result in the loss of critical business or confidential information and/or could negatively impact operations, which could have a negative impact on the Company’s financial results.</w:t>
      </w:r>
    </w:p>
    <w:p>
      <w:pPr>
        <w:spacing w:after="0" w:line="17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color w:val="auto"/>
        </w:rPr>
        <w:t>Our dependency on the microelectronics industry, which as a whole is volatile, could have a negative material impact on our business.</w:t>
      </w:r>
    </w:p>
    <w:p>
      <w:pPr>
        <w:spacing w:after="0" w:line="73"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We sell substantially all of our photomasks to semiconductor or flat panel display designers, manufacturers and foundries, as well as to other high 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semiconductor industry has been volatile, with sharp periodic downturns and slowdowns. These downturns have been characterized by, among other things, diminished product demand, excess production capacity and accelerated erosion of selling prices with a concomitant effect on revenue and profitability.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Although we have been profitable since fiscal 2010, we have, in the past, incurred net losses. We cannot provide assurance that we will not incur net losses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w:t>
      </w:r>
    </w:p>
    <w:p>
      <w:pPr>
        <w:spacing w:after="0" w:line="119"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As a consequence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119"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6"/>
          <w:szCs w:val="16"/>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We operate in a high fixed-cost environment and, should our revenues and asset utilization decrease, our operating margins could be negatively impacted.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Our customers generally order photomasks on an as-needed basis, and our revenue in any quarter is dependent on orders received during that quarter. Since we operate with little backlog, and the rate of new orders may vary significantly from quarter-to-quarter, our capital expenditures and, to some extent, expense levels are based primarily on sales forecasts and technological advancements in photomask manufacturing equipment. Consequently, if anticipated revenues in any quarter do not occur when expected, capital expenditures could be higher than needed, resulting in underutilized capacity and disproportionately high expense levels, causing operating results to be adversely affected. Due to the foregoing factors, we believe that quarter-to-quarter comparisons of our operating results cannot be relied upon as indicators of future performance. In addition, in future quarters, our operating results could be below any guidance we may provide as well as the expectations of public market analysts and investors, which, in turn, could have a material adverse effect on the market price of our common stock.</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The photomask industry is subject to rapid technological change, and we might fail to remain competitive, which could have a material adverse effect on our business and results of operations.</w:t>
      </w:r>
    </w:p>
    <w:p>
      <w:pPr>
        <w:spacing w:after="0" w:line="59" w:lineRule="exact"/>
        <w:rPr>
          <w:sz w:val="20"/>
          <w:szCs w:val="20"/>
          <w:color w:val="auto"/>
        </w:rPr>
      </w:pPr>
    </w:p>
    <w:p>
      <w:pPr>
        <w:jc w:val="both"/>
        <w:ind w:firstLine="358"/>
        <w:spacing w:after="0" w:line="266"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of increasing complexity in both traditional and emerging markets that we serve. In particular, we believe that, as semiconductor geometries continue to become smaller and FPDs become larger or otherwise more advanced, we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2018,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17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provide or obtain funding.</w:t>
      </w:r>
    </w:p>
    <w:p>
      <w:pPr>
        <w:spacing w:after="0" w:line="73"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6"/>
          <w:szCs w:val="16"/>
          <w:color w:val="auto"/>
        </w:rPr>
        <w:t>The manufacture of photomasks requires us to make substantial investments in high-end manufacturing capability. We expect that we will be required to continue to make substantial capital expenditures to meet the technological demands of our customers and to position us for future growth. Our capital expenditure payments for fiscal 2019 are expected to be approximately $210 million, of which $30 million was included in accounts payable on our October 31, 2018, consolidated balance sheet. We cannot provide assurance that we will be able to obtain the additional capital required to fund our operations on reasonable terms, if at all, or that any such inability will not have a material adverse effect on our business and results of operations.</w:t>
      </w:r>
    </w:p>
    <w:p>
      <w:pPr>
        <w:spacing w:after="0" w:line="143" w:lineRule="exact"/>
        <w:rPr>
          <w:sz w:val="20"/>
          <w:szCs w:val="20"/>
          <w:color w:val="auto"/>
        </w:rPr>
      </w:pPr>
    </w:p>
    <w:p>
      <w:pPr>
        <w:ind w:right="140"/>
        <w:spacing w:after="0" w:line="346" w:lineRule="auto"/>
        <w:rPr>
          <w:sz w:val="20"/>
          <w:szCs w:val="20"/>
          <w:color w:val="auto"/>
        </w:rPr>
      </w:pPr>
      <w:r>
        <w:rPr>
          <w:rFonts w:ascii="Arial" w:cs="Arial" w:eastAsia="Arial" w:hAnsi="Arial"/>
          <w:sz w:val="15"/>
          <w:szCs w:val="15"/>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3"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Historically, we have sold a significant proportion of photomasks to a limited number of IC and FPD manufacturers. During fiscal years 2018, 2017 and 2016 our two largest customers accounted for 31%, 32% and 36%, respectively, of our revenue. Our five largest customers accounted for 47%, 43% and 50% of our revenue in fiscal years 2018, 2017 and 2016 respectively. The loss of a significant customer or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93" w:lineRule="exact"/>
        <w:rPr>
          <w:sz w:val="20"/>
          <w:szCs w:val="20"/>
          <w:color w:val="auto"/>
        </w:rPr>
      </w:pPr>
    </w:p>
    <w:p>
      <w:pPr>
        <w:jc w:val="both"/>
        <w:ind w:right="200"/>
        <w:spacing w:after="0" w:line="235" w:lineRule="auto"/>
        <w:rPr>
          <w:sz w:val="20"/>
          <w:szCs w:val="20"/>
          <w:color w:val="auto"/>
        </w:rPr>
      </w:pPr>
      <w:r>
        <w:rPr>
          <w:rFonts w:ascii="Arial" w:cs="Arial" w:eastAsia="Arial" w:hAnsi="Arial"/>
          <w:sz w:val="18"/>
          <w:szCs w:val="18"/>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81"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We rely on a limited number of photomask equipment manufacturers to develop and supply the equipment we use. These equipment manufacturers currently require lead times of up to twelve months or longer between the order and the delivery of certain photomask imaging and inspection equipment. The failure of our suppliers to develop or deliver such equipment on a timely basis could have a material adverse effect on our business and results of operations. In addition, the manufacturing equipment necessary to produce advanced photomasks could become prohibitively expensive, which could similarly affect us.</w:t>
      </w:r>
    </w:p>
    <w:p>
      <w:pPr>
        <w:spacing w:after="0" w:line="66"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We use high precision quartz photomask blanks, pellicles, and electronic grade chemicals in our manufacturing processes. There are a limited number of suppliers of these raw materials and we have no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5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81"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could otherwise have a material adverse effect on our business and results of operations.</w:t>
      </w:r>
    </w:p>
    <w:p>
      <w:pPr>
        <w:spacing w:after="0" w:line="16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73"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Our products provide important performance attributes to our customers’ products. If a product fails to perform in a manner consistent with quality specifications, or has a shorter useful life than warranted, a customer could seek replacement of the product or damages for costs incurred as a result of the product failing to perform, particularly if such products are sold under agreements that contain limited performance and life cycle warrantees. Our customers often require us to represent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color w:val="auto"/>
        </w:rPr>
        <w:t>Our credit agreements restrict our business activities, limit our ability to obtain additional financing and may obligate us to repay debt before its maturity.</w:t>
      </w:r>
    </w:p>
    <w:p>
      <w:pPr>
        <w:spacing w:after="0" w:line="73"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Financial covenants related to our credit facility, which expires in September 2023, include a Total Leverage Ratio, a Minimum Interest Coverage Ratio, and Minimum Unrestricted Cash Balances. Our credit facility may also limit our flexibility in planning for, or reacting to, changes in our business and industry, which may place us at a competitive disadvantage compared with our competitors. We are also subject to covenants that limit our operating flexibility, such as limiting our ability to repurchase shares of our common stock. Existing covenant restrictions limit our ability to obtain additional debt financing and, should we be unable to meet one or more of these covenants, our lenders may require us to repay any outstanding balance prior to the expiration date of the agreements. Our ability to comply with the financial and other covenants in our credit agreements may be affected by worsening economic or business conditions, or other events. We cannot assure that, under such circumstances, additional sources of financing would be available to fund operating requirements or pay off any long-term borrowings, so as to avoid default.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93" w:lineRule="exact"/>
        <w:rPr>
          <w:sz w:val="20"/>
          <w:szCs w:val="20"/>
          <w:color w:val="auto"/>
        </w:rPr>
      </w:pPr>
    </w:p>
    <w:p>
      <w:pPr>
        <w:ind w:right="260"/>
        <w:spacing w:after="0" w:line="309" w:lineRule="auto"/>
        <w:rPr>
          <w:sz w:val="20"/>
          <w:szCs w:val="20"/>
          <w:color w:val="auto"/>
        </w:rPr>
      </w:pPr>
      <w:r>
        <w:rPr>
          <w:rFonts w:ascii="Arial" w:cs="Arial" w:eastAsia="Arial" w:hAnsi="Arial"/>
          <w:sz w:val="16"/>
          <w:szCs w:val="16"/>
          <w:b w:val="1"/>
          <w:bCs w:val="1"/>
          <w:color w:val="auto"/>
        </w:rPr>
        <w:t>Joint ventures may not operate according to their business plans if our partners fail to fulfill their obligations, which may adversely affect our results of operations and may force us to dedicate additional resources to these joint ventures.</w:t>
      </w:r>
    </w:p>
    <w:p>
      <w:pPr>
        <w:spacing w:after="0" w:line="27"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according to its business plan. Should that be the case, our results of operations may be adversely affected and we may be required to increase the level of our commitment to the joint venture. Also, differences in views among joint venture participants may result in delayed decisions or failures to agree on major issues. If these differences cause the joint ventures to deviate from their business plans, our results of operations could be adversely affected.</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color w:val="auto"/>
        </w:rPr>
        <w:t>We may not be able to consummate future acquisitions or joint ventures or integrate acquisitions into our business, which could result in unanticipated expenses and losses.</w:t>
      </w:r>
    </w:p>
    <w:p>
      <w:pPr>
        <w:spacing w:after="0" w:line="73"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As part of our business growth strategy, we have acquired businesses and entered into joint ventures in the past, and we may pursue acquisitions and joint venture opportunities in the future.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55"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and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businesses’ standards, processes, procedures and controls with our operations; variability in financial information arising from the implementation of purchase price accounting; inability to coordinate new product and process development; loss of senior managers and other critical personnel and problems with new labor unions; and challenges arising from the increased scope, geographic diversity and complexity of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expansion into China entails substantial risks.</w:t>
      </w:r>
    </w:p>
    <w:p>
      <w:pPr>
        <w:spacing w:after="0" w:line="119"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are currently building two manufacturing facilities in China. These investments are subject to substantial risks which may include, but are not limited to: delays in or the inability to obtain necessary permits that are needed to enable us to construct our facilities or conduct our ongoing business;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 us to a significant additional foreign currency exchange risk, which we have not been subject to in recent years. These and other risks may result in our not realizing a return on, or losing some, or all, of our planned investments in China, which would have a material adverse effect on our financial condition and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cash flows from operations and current holdings of cash may not be adequate for our current and long-term needs.</w:t>
      </w:r>
    </w:p>
    <w:p>
      <w:pPr>
        <w:spacing w:after="0" w:line="129" w:lineRule="exact"/>
        <w:rPr>
          <w:sz w:val="20"/>
          <w:szCs w:val="20"/>
          <w:color w:val="auto"/>
        </w:rPr>
      </w:pPr>
    </w:p>
    <w:p>
      <w:pPr>
        <w:jc w:val="both"/>
        <w:ind w:firstLine="358"/>
        <w:spacing w:after="0" w:line="269" w:lineRule="auto"/>
        <w:rPr>
          <w:sz w:val="20"/>
          <w:szCs w:val="20"/>
          <w:color w:val="auto"/>
        </w:rPr>
      </w:pPr>
      <w:r>
        <w:rPr>
          <w:rFonts w:ascii="Arial" w:cs="Arial" w:eastAsia="Arial" w:hAnsi="Arial"/>
          <w:sz w:val="17"/>
          <w:szCs w:val="17"/>
          <w:color w:val="auto"/>
        </w:rPr>
        <w:t>Our liquidity, as we operate in a high fixed 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operating cash flow and cash available under our credit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or restructurings.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cannot provide assurance that there will not be facility closures or restructurings in the near or long-term, nor can we assure that we will not incur significant charges should there be any future facility closures or restructurings.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37" w:lineRule="exact"/>
        <w:rPr>
          <w:sz w:val="20"/>
          <w:szCs w:val="20"/>
          <w:color w:val="auto"/>
        </w:rPr>
      </w:pPr>
    </w:p>
    <w:p>
      <w:pPr>
        <w:jc w:val="both"/>
        <w:ind w:firstLine="358"/>
        <w:spacing w:after="0" w:line="285"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Our competitors include Compugraphics International, Ltd., DNP (outside of Taiwan and China), Hoya Corporation, SK-Electronics Co., Ltd., Taiwan Mask Corporation and Toppan Printing Co., Ltd. We also compete with semiconductor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technical, sales, marketing or other resources than we do. Also, when producing smaller geometry photomasks, some of our competitors may be able to more rapidly develop, produce, and achieve higher manufacturing yields than we can. We believe that consistency of product quality and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global, competitive environment which gives rise to operating and market risk exposure.</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and duties and tariffs. The imposition of additional regulations, controls including export controls and duties and tariffs or changes to bilateral and regional trade agreements could negatively impact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119"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Revenues from our non-U.S. operations were approximately 79%, 77% and 76% of our total revenues in fiscal years 2018, 2017 and 2016,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acquiring majority equity interests in photomask manufacturing operations in Korea and Taiwan and building a manufacturing facility for FPD photomasks in Taiwan. Currently, we are building two manufacturing facilities in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may result in the opening or closing of facilities.</w:t>
      </w:r>
    </w:p>
    <w:p>
      <w:pPr>
        <w:spacing w:after="0" w:line="61"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changes in economic alliances, unexpected changes in regulatory requirements, compliance with: a variety of burdensome foreign laws and regulations, with anti-bribery and anti-corruption laws (such as the Foreign Corrupt Practices Act), as well as anti-money-laundering laws may be costly, tariffs and other trade barriers, difficulties in staffing and managing international operations, longer accounts receivable payment cycles, foreign countries may adopt other restrictions on foreign trade or investment, including currency exchange controls, trade sanctions could result in losing access to customers and suppliers in those countries, agreements may be difficult to enforce and receivables difficult to collect and potentially adverse tax consequences. These factors may have a material adverse effect on our ability to generate revenues outside of the United States and, consequently, on our business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suffer as a result of the United Kingdom’s decision to end its membership in the European Union.</w:t>
      </w:r>
    </w:p>
    <w:p>
      <w:pPr>
        <w:spacing w:after="0" w:line="129"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The decision of the United Kingdom to exit from the European Union (generally referred to as “BREXIT”) could cause disruptions to and create uncertainty surrounding our business, including affecting our relationships with existing and potential customers, suppliers, and employees. The effects of BREXIT will depend on any agreements the United Kingdom makes to retain access to European Union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United Kingdom determines which European Union laws to replace or replicate. BREXIT also may create global economic uncertainty, which may cause our customers and potential customers to monitor their costs and reduce their budgets for either our products or other products that incorporate our products. Any of these effects of BREXIT, among others, could materially adversely affect our business, business opportunities, results of operations, financial condition, and cash flows.</w:t>
      </w:r>
    </w:p>
    <w:p>
      <w:pPr>
        <w:spacing w:after="0" w:line="153"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our results of operations, financial condition or cash flows.</w:t>
      </w:r>
    </w:p>
    <w:p>
      <w:pPr>
        <w:spacing w:after="0" w:line="73"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(U.S. GAAP) and are reported in U.S. dollars. Our operations have transactions and balances denominated in currencies other than the U.S. dollar; primarily the Korean won, New Taiwan dollar, Japanese yen, Chinese renminbi, euro, Singapore dollar, and the pound sterling. In fiscal year 2018, we recorded a net gain from changes in foreign currency exchange rates of $0.4 million in our statement of income, while our net assets were decreased by $16.7 million as a result of the translation of foreign currency financial statements to U.S. dollars. Significant foreign currency fluctuations may adversely affect our results of operations, financial condition or cash flows.</w:t>
      </w:r>
    </w:p>
    <w:p>
      <w:pPr>
        <w:spacing w:after="0" w:line="174"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73"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Our success depends, in part, upon key managerial and technical personnel, as well as our ability to continue to attract and retain additional qualified personnel. The loss of certain key personnel could have a material adverse effect on our business and results of operations. There can be no assurance that we can retain our key managerial and technical employees, or that we can attract similar additional employees in the future.</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81"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74" w:lineRule="exact"/>
        <w:rPr>
          <w:sz w:val="20"/>
          <w:szCs w:val="20"/>
          <w:color w:val="auto"/>
        </w:rPr>
      </w:pPr>
    </w:p>
    <w:p>
      <w:pPr>
        <w:ind w:left="700" w:hanging="35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our intellectual property rights.</w:t>
      </w:r>
    </w:p>
    <w:p>
      <w:pPr>
        <w:spacing w:after="0" w:line="115"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41" w:lineRule="exact"/>
        <w:rPr>
          <w:sz w:val="20"/>
          <w:szCs w:val="20"/>
          <w:color w:val="auto"/>
        </w:rPr>
      </w:pPr>
    </w:p>
    <w:p>
      <w:pPr>
        <w:ind w:right="940"/>
        <w:spacing w:after="0" w:line="248" w:lineRule="auto"/>
        <w:rPr>
          <w:sz w:val="20"/>
          <w:szCs w:val="20"/>
          <w:color w:val="auto"/>
        </w:rPr>
      </w:pPr>
      <w:r>
        <w:rPr>
          <w:rFonts w:ascii="Arial" w:cs="Arial" w:eastAsia="Arial" w:hAnsi="Arial"/>
          <w:sz w:val="18"/>
          <w:szCs w:val="18"/>
          <w:b w:val="1"/>
          <w:bCs w:val="1"/>
          <w:color w:val="auto"/>
        </w:rPr>
        <w:t>We may be unprepared for changes to environmental laws and regulations and may incur liabilities arising from environmental matters.</w:t>
      </w:r>
    </w:p>
    <w:p>
      <w:pPr>
        <w:spacing w:after="0" w:line="73"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7" w:lineRule="exact"/>
        <w:rPr>
          <w:sz w:val="20"/>
          <w:szCs w:val="20"/>
          <w:color w:val="auto"/>
        </w:rPr>
      </w:pPr>
    </w:p>
    <w:p>
      <w:pPr>
        <w:jc w:val="both"/>
        <w:ind w:firstLine="358"/>
        <w:spacing w:after="0" w:line="285" w:lineRule="auto"/>
        <w:rPr>
          <w:sz w:val="20"/>
          <w:szCs w:val="20"/>
          <w:color w:val="auto"/>
        </w:rPr>
      </w:pPr>
      <w:r>
        <w:rPr>
          <w:rFonts w:ascii="Arial" w:cs="Arial" w:eastAsia="Arial" w:hAnsi="Arial"/>
          <w:sz w:val="16"/>
          <w:szCs w:val="16"/>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50" w:lineRule="exact"/>
        <w:rPr>
          <w:sz w:val="20"/>
          <w:szCs w:val="20"/>
          <w:color w:val="auto"/>
        </w:rPr>
      </w:pPr>
    </w:p>
    <w:p>
      <w:pPr>
        <w:ind w:right="720"/>
        <w:spacing w:after="0" w:line="248" w:lineRule="auto"/>
        <w:rPr>
          <w:sz w:val="20"/>
          <w:szCs w:val="20"/>
          <w:color w:val="auto"/>
        </w:rPr>
      </w:pPr>
      <w:r>
        <w:rPr>
          <w:rFonts w:ascii="Arial" w:cs="Arial" w:eastAsia="Arial" w:hAnsi="Arial"/>
          <w:sz w:val="18"/>
          <w:szCs w:val="18"/>
          <w:b w:val="1"/>
          <w:bCs w:val="1"/>
          <w:color w:val="auto"/>
        </w:rPr>
        <w:t>Our production facilities could be damaged or disrupted by natural disasters or labor strikes, either of which could adversely affect our financial position, results of operations and cash flows.</w:t>
      </w:r>
    </w:p>
    <w:p>
      <w:pPr>
        <w:spacing w:after="0" w:line="7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A major catastrophe, such as an earthquake or other natural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 active area.</w:t>
      </w:r>
    </w:p>
    <w:p>
      <w:pPr>
        <w:spacing w:after="0" w:line="172"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b w:val="1"/>
          <w:bCs w:val="1"/>
          <w:color w:val="auto"/>
        </w:rPr>
        <w:t>Our sales can be impacted by the health and stability of the general economy, which could adversely affect our results of operations and cash flows.</w:t>
      </w:r>
    </w:p>
    <w:p>
      <w:pPr>
        <w:spacing w:after="0" w:line="73"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119"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Our business could be adversely affected by terrorist acts, major natural disasters, widespread outbreaks of infectious diseases, or the outbreak or escalation of wars, especially in the Asian markets, where we generate a significant portion of our sales, and in Japan where we purchase raw materials and capital equipment. Such events in the geographic regions in which we do business, including escalations of political tensions and military operations within the Korean Peninsula, where a significant portion of our foreign operations are located, could have material adverse impacts on our revenue, cost and availability of raw materials, results of operations, cash flows and financial condition.</w:t>
      </w:r>
    </w:p>
    <w:p>
      <w:pPr>
        <w:spacing w:after="0" w:line="15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color w:val="auto"/>
        </w:rPr>
        <w:t>Servicing our debt requires a significant amount of cash, and we may not generate sufficient cash flows from our operations to pay our indebtedness.</w:t>
      </w:r>
    </w:p>
    <w:p>
      <w:pPr>
        <w:spacing w:after="0" w:line="73"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Our ability to make scheduled payments of debt principal and interest, or to refinance our indebtedness, depends on our future performance, which is subject to economic, financial, competitive and other factors beyond our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not continue to generate sufficient cash flows from operations to both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119"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We may enter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transactions, our results of operations and cash flows could be volatile, as well as negatively impacted.</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The market price of our common stock is subject to volatility and could fluctuate widely in response to various factors, many of which are beyond our control.</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influence the price of our common stock include, but are not limited to, the following:</w:t>
      </w:r>
    </w:p>
    <w:p>
      <w:pPr>
        <w:spacing w:after="0" w:line="115" w:lineRule="exact"/>
        <w:rPr>
          <w:sz w:val="20"/>
          <w:szCs w:val="20"/>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of our key customers or suppliers;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sales of common stock;</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but not limited to, our expansion into China;</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and consummations of business acquisitions;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or repurchases of our common stock;</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 or disclosures by competitors or customers;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divestitures or bankruptcies by customers, suppliers or competitors;</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115" w:lineRule="exact"/>
        <w:rPr>
          <w:rFonts w:ascii="Arial" w:cs="Arial" w:eastAsia="Arial" w:hAnsi="Arial"/>
          <w:sz w:val="18"/>
          <w:szCs w:val="18"/>
          <w:color w:val="auto"/>
        </w:rPr>
      </w:pPr>
    </w:p>
    <w:p>
      <w:pPr>
        <w:ind w:left="700" w:hanging="3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15"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In addition, securities markets have from time to 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or low trading volume which can magnify the effects of a small number of transactions on the price of a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Ineffective Internal Controls could impact our Business and Operating Results.</w:t>
      </w:r>
    </w:p>
    <w:p>
      <w:pPr>
        <w:spacing w:after="0" w:line="1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478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Type of Interest</w:t>
            </w:r>
          </w:p>
        </w:tc>
      </w:tr>
      <w:tr>
        <w:trPr>
          <w:trHeight w:val="235"/>
        </w:trPr>
        <w:tc>
          <w:tcPr>
            <w:tcW w:w="46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Allen, Texas</w:t>
            </w:r>
          </w:p>
        </w:tc>
        <w:tc>
          <w:tcPr>
            <w:tcW w:w="120" w:type="dxa"/>
            <w:vAlign w:val="bottom"/>
            <w:shd w:val="clear" w:color="auto" w:fill="CCEDFF"/>
          </w:tcPr>
          <w:p>
            <w:pPr>
              <w:spacing w:after="0"/>
              <w:rPr>
                <w:sz w:val="20"/>
                <w:szCs w:val="20"/>
                <w:color w:val="auto"/>
              </w:rPr>
            </w:pPr>
          </w:p>
        </w:tc>
        <w:tc>
          <w:tcPr>
            <w:tcW w:w="4780" w:type="dxa"/>
            <w:vAlign w:val="bottom"/>
            <w:shd w:val="clear" w:color="auto" w:fill="CCEDFF"/>
          </w:tcPr>
          <w:p>
            <w:pPr>
              <w:ind w:left="40"/>
              <w:spacing w:after="0"/>
              <w:rPr>
                <w:sz w:val="20"/>
                <w:szCs w:val="20"/>
                <w:color w:val="auto"/>
              </w:rPr>
            </w:pPr>
            <w:r>
              <w:rPr>
                <w:rFonts w:ascii="Arial" w:cs="Arial" w:eastAsia="Arial" w:hAnsi="Arial"/>
                <w:sz w:val="18"/>
                <w:szCs w:val="18"/>
                <w:color w:val="auto"/>
              </w:rPr>
              <w:t>Owned</w:t>
            </w:r>
          </w:p>
        </w:tc>
      </w:tr>
      <w:tr>
        <w:trPr>
          <w:trHeight w:val="236"/>
        </w:trPr>
        <w:tc>
          <w:tcPr>
            <w:tcW w:w="4600" w:type="dxa"/>
            <w:vAlign w:val="bottom"/>
            <w:gridSpan w:val="2"/>
          </w:tcPr>
          <w:p>
            <w:pPr>
              <w:spacing w:after="0"/>
              <w:rPr>
                <w:sz w:val="20"/>
                <w:szCs w:val="20"/>
                <w:color w:val="auto"/>
              </w:rPr>
            </w:pPr>
            <w:r>
              <w:rPr>
                <w:rFonts w:ascii="Arial" w:cs="Arial" w:eastAsia="Arial" w:hAnsi="Arial"/>
                <w:sz w:val="18"/>
                <w:szCs w:val="18"/>
                <w:color w:val="auto"/>
              </w:rPr>
              <w:t>Boise, Idaho</w:t>
            </w:r>
          </w:p>
        </w:tc>
        <w:tc>
          <w:tcPr>
            <w:tcW w:w="120" w:type="dxa"/>
            <w:vAlign w:val="bottom"/>
          </w:tcPr>
          <w:p>
            <w:pPr>
              <w:spacing w:after="0"/>
              <w:rPr>
                <w:sz w:val="20"/>
                <w:szCs w:val="20"/>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Owned</w:t>
            </w:r>
          </w:p>
        </w:tc>
      </w:tr>
      <w:tr>
        <w:trPr>
          <w:trHeight w:val="248"/>
        </w:trPr>
        <w:tc>
          <w:tcPr>
            <w:tcW w:w="46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Brookfield, Connecticut</w:t>
            </w:r>
          </w:p>
        </w:tc>
        <w:tc>
          <w:tcPr>
            <w:tcW w:w="120" w:type="dxa"/>
            <w:vAlign w:val="bottom"/>
            <w:shd w:val="clear" w:color="auto" w:fill="CCEDFF"/>
          </w:tcPr>
          <w:p>
            <w:pPr>
              <w:spacing w:after="0"/>
              <w:rPr>
                <w:sz w:val="21"/>
                <w:szCs w:val="21"/>
                <w:color w:val="auto"/>
              </w:rPr>
            </w:pPr>
          </w:p>
        </w:tc>
        <w:tc>
          <w:tcPr>
            <w:tcW w:w="4780" w:type="dxa"/>
            <w:vAlign w:val="bottom"/>
            <w:shd w:val="clear" w:color="auto" w:fill="CCEDFF"/>
          </w:tcPr>
          <w:p>
            <w:pPr>
              <w:ind w:left="40"/>
              <w:spacing w:after="0"/>
              <w:rPr>
                <w:sz w:val="20"/>
                <w:szCs w:val="20"/>
                <w:color w:val="auto"/>
              </w:rPr>
            </w:pPr>
            <w:r>
              <w:rPr>
                <w:rFonts w:ascii="Arial" w:cs="Arial" w:eastAsia="Arial" w:hAnsi="Arial"/>
                <w:sz w:val="18"/>
                <w:szCs w:val="18"/>
                <w:color w:val="auto"/>
              </w:rPr>
              <w:t>Owned</w:t>
            </w:r>
          </w:p>
        </w:tc>
      </w:tr>
      <w:tr>
        <w:trPr>
          <w:trHeight w:val="236"/>
        </w:trPr>
        <w:tc>
          <w:tcPr>
            <w:tcW w:w="4600" w:type="dxa"/>
            <w:vAlign w:val="bottom"/>
            <w:gridSpan w:val="2"/>
          </w:tcPr>
          <w:p>
            <w:pPr>
              <w:spacing w:after="0"/>
              <w:rPr>
                <w:sz w:val="20"/>
                <w:szCs w:val="20"/>
                <w:color w:val="auto"/>
              </w:rPr>
            </w:pPr>
            <w:r>
              <w:rPr>
                <w:rFonts w:ascii="Arial" w:cs="Arial" w:eastAsia="Arial" w:hAnsi="Arial"/>
                <w:sz w:val="18"/>
                <w:szCs w:val="18"/>
                <w:color w:val="auto"/>
              </w:rPr>
              <w:t>Bridgend, Wales</w:t>
            </w:r>
          </w:p>
        </w:tc>
        <w:tc>
          <w:tcPr>
            <w:tcW w:w="120" w:type="dxa"/>
            <w:vAlign w:val="bottom"/>
          </w:tcPr>
          <w:p>
            <w:pPr>
              <w:spacing w:after="0"/>
              <w:rPr>
                <w:sz w:val="20"/>
                <w:szCs w:val="20"/>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Leased</w:t>
            </w:r>
          </w:p>
        </w:tc>
      </w:tr>
      <w:tr>
        <w:trPr>
          <w:trHeight w:val="248"/>
        </w:trPr>
        <w:tc>
          <w:tcPr>
            <w:tcW w:w="46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Cheonan, Korea</w:t>
            </w:r>
          </w:p>
        </w:tc>
        <w:tc>
          <w:tcPr>
            <w:tcW w:w="120" w:type="dxa"/>
            <w:vAlign w:val="bottom"/>
            <w:shd w:val="clear" w:color="auto" w:fill="CCEDFF"/>
          </w:tcPr>
          <w:p>
            <w:pPr>
              <w:spacing w:after="0"/>
              <w:rPr>
                <w:sz w:val="21"/>
                <w:szCs w:val="21"/>
                <w:color w:val="auto"/>
              </w:rPr>
            </w:pPr>
          </w:p>
        </w:tc>
        <w:tc>
          <w:tcPr>
            <w:tcW w:w="4780" w:type="dxa"/>
            <w:vAlign w:val="bottom"/>
            <w:shd w:val="clear" w:color="auto" w:fill="CCEDFF"/>
          </w:tcPr>
          <w:p>
            <w:pPr>
              <w:ind w:left="40"/>
              <w:spacing w:after="0"/>
              <w:rPr>
                <w:sz w:val="20"/>
                <w:szCs w:val="20"/>
                <w:color w:val="auto"/>
              </w:rPr>
            </w:pPr>
            <w:r>
              <w:rPr>
                <w:rFonts w:ascii="Arial" w:cs="Arial" w:eastAsia="Arial" w:hAnsi="Arial"/>
                <w:sz w:val="18"/>
                <w:szCs w:val="18"/>
                <w:color w:val="auto"/>
              </w:rPr>
              <w:t>Owned</w:t>
            </w:r>
          </w:p>
        </w:tc>
      </w:tr>
      <w:tr>
        <w:trPr>
          <w:trHeight w:val="236"/>
        </w:trPr>
        <w:tc>
          <w:tcPr>
            <w:tcW w:w="4600" w:type="dxa"/>
            <w:vAlign w:val="bottom"/>
            <w:gridSpan w:val="2"/>
          </w:tcPr>
          <w:p>
            <w:pPr>
              <w:spacing w:after="0"/>
              <w:rPr>
                <w:sz w:val="20"/>
                <w:szCs w:val="20"/>
                <w:color w:val="auto"/>
              </w:rPr>
            </w:pPr>
            <w:r>
              <w:rPr>
                <w:rFonts w:ascii="Arial" w:cs="Arial" w:eastAsia="Arial" w:hAnsi="Arial"/>
                <w:sz w:val="18"/>
                <w:szCs w:val="18"/>
                <w:color w:val="auto"/>
              </w:rPr>
              <w:t>Dresden, Germany</w:t>
            </w:r>
          </w:p>
        </w:tc>
        <w:tc>
          <w:tcPr>
            <w:tcW w:w="120" w:type="dxa"/>
            <w:vAlign w:val="bottom"/>
          </w:tcPr>
          <w:p>
            <w:pPr>
              <w:spacing w:after="0"/>
              <w:rPr>
                <w:sz w:val="20"/>
                <w:szCs w:val="20"/>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Leased</w:t>
            </w:r>
          </w:p>
        </w:tc>
      </w:tr>
      <w:tr>
        <w:trPr>
          <w:trHeight w:val="248"/>
        </w:trPr>
        <w:tc>
          <w:tcPr>
            <w:tcW w:w="46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Hsinchu, Taiwan</w:t>
            </w:r>
          </w:p>
        </w:tc>
        <w:tc>
          <w:tcPr>
            <w:tcW w:w="120" w:type="dxa"/>
            <w:vAlign w:val="bottom"/>
            <w:shd w:val="clear" w:color="auto" w:fill="CCEDFF"/>
          </w:tcPr>
          <w:p>
            <w:pPr>
              <w:spacing w:after="0"/>
              <w:rPr>
                <w:sz w:val="21"/>
                <w:szCs w:val="21"/>
                <w:color w:val="auto"/>
              </w:rPr>
            </w:pPr>
          </w:p>
        </w:tc>
        <w:tc>
          <w:tcPr>
            <w:tcW w:w="4780" w:type="dxa"/>
            <w:vAlign w:val="bottom"/>
            <w:shd w:val="clear" w:color="auto" w:fill="CCEDFF"/>
          </w:tcPr>
          <w:p>
            <w:pPr>
              <w:ind w:left="40"/>
              <w:spacing w:after="0" w:line="247" w:lineRule="exact"/>
              <w:rPr>
                <w:sz w:val="20"/>
                <w:szCs w:val="20"/>
                <w:color w:val="auto"/>
              </w:rPr>
            </w:pPr>
            <w:r>
              <w:rPr>
                <w:rFonts w:ascii="Arial" w:cs="Arial" w:eastAsia="Arial" w:hAnsi="Arial"/>
                <w:sz w:val="17"/>
                <w:szCs w:val="17"/>
                <w:color w:val="auto"/>
              </w:rPr>
              <w:t>Owned</w:t>
            </w:r>
            <w:r>
              <w:rPr>
                <w:rFonts w:ascii="Arial" w:cs="Arial" w:eastAsia="Arial" w:hAnsi="Arial"/>
                <w:sz w:val="28"/>
                <w:szCs w:val="28"/>
                <w:color w:val="auto"/>
                <w:vertAlign w:val="superscript"/>
              </w:rPr>
              <w:t>(1)</w:t>
            </w:r>
          </w:p>
        </w:tc>
      </w:tr>
      <w:tr>
        <w:trPr>
          <w:trHeight w:val="236"/>
        </w:trPr>
        <w:tc>
          <w:tcPr>
            <w:tcW w:w="4600" w:type="dxa"/>
            <w:vAlign w:val="bottom"/>
            <w:gridSpan w:val="2"/>
          </w:tcPr>
          <w:p>
            <w:pPr>
              <w:spacing w:after="0"/>
              <w:rPr>
                <w:sz w:val="20"/>
                <w:szCs w:val="20"/>
                <w:color w:val="auto"/>
              </w:rPr>
            </w:pPr>
            <w:r>
              <w:rPr>
                <w:rFonts w:ascii="Arial" w:cs="Arial" w:eastAsia="Arial" w:hAnsi="Arial"/>
                <w:sz w:val="18"/>
                <w:szCs w:val="18"/>
                <w:color w:val="auto"/>
              </w:rPr>
              <w:t>Hsinchu, Taiwan</w:t>
            </w:r>
          </w:p>
        </w:tc>
        <w:tc>
          <w:tcPr>
            <w:tcW w:w="120" w:type="dxa"/>
            <w:vAlign w:val="bottom"/>
          </w:tcPr>
          <w:p>
            <w:pPr>
              <w:spacing w:after="0"/>
              <w:rPr>
                <w:sz w:val="20"/>
                <w:szCs w:val="20"/>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Leased</w:t>
            </w:r>
          </w:p>
        </w:tc>
      </w:tr>
      <w:tr>
        <w:trPr>
          <w:trHeight w:val="248"/>
        </w:trPr>
        <w:tc>
          <w:tcPr>
            <w:tcW w:w="46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Taichung, Taiwan</w:t>
            </w:r>
          </w:p>
        </w:tc>
        <w:tc>
          <w:tcPr>
            <w:tcW w:w="120" w:type="dxa"/>
            <w:vAlign w:val="bottom"/>
            <w:shd w:val="clear" w:color="auto" w:fill="CCEDFF"/>
          </w:tcPr>
          <w:p>
            <w:pPr>
              <w:spacing w:after="0"/>
              <w:rPr>
                <w:sz w:val="21"/>
                <w:szCs w:val="21"/>
                <w:color w:val="auto"/>
              </w:rPr>
            </w:pPr>
          </w:p>
        </w:tc>
        <w:tc>
          <w:tcPr>
            <w:tcW w:w="4780" w:type="dxa"/>
            <w:vAlign w:val="bottom"/>
            <w:shd w:val="clear" w:color="auto" w:fill="CCEDFF"/>
          </w:tcPr>
          <w:p>
            <w:pPr>
              <w:ind w:left="40"/>
              <w:spacing w:after="0" w:line="247" w:lineRule="exact"/>
              <w:rPr>
                <w:sz w:val="20"/>
                <w:szCs w:val="20"/>
                <w:color w:val="auto"/>
              </w:rPr>
            </w:pPr>
            <w:r>
              <w:rPr>
                <w:rFonts w:ascii="Arial" w:cs="Arial" w:eastAsia="Arial" w:hAnsi="Arial"/>
                <w:sz w:val="17"/>
                <w:szCs w:val="17"/>
                <w:color w:val="auto"/>
              </w:rPr>
              <w:t>Owned</w:t>
            </w:r>
            <w:r>
              <w:rPr>
                <w:rFonts w:ascii="Arial" w:cs="Arial" w:eastAsia="Arial" w:hAnsi="Arial"/>
                <w:sz w:val="28"/>
                <w:szCs w:val="28"/>
                <w:color w:val="auto"/>
                <w:vertAlign w:val="superscript"/>
              </w:rPr>
              <w:t>(1)</w:t>
            </w:r>
          </w:p>
        </w:tc>
      </w:tr>
      <w:tr>
        <w:trPr>
          <w:trHeight w:val="188"/>
        </w:trPr>
        <w:tc>
          <w:tcPr>
            <w:tcW w:w="142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r>
    </w:tbl>
    <w:p>
      <w:pPr>
        <w:spacing w:after="0" w:line="102" w:lineRule="exact"/>
        <w:rPr>
          <w:sz w:val="20"/>
          <w:szCs w:val="20"/>
          <w:color w:val="auto"/>
        </w:rPr>
      </w:pPr>
    </w:p>
    <w:p>
      <w:pPr>
        <w:ind w:left="340" w:hanging="339"/>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owns its manufacturing facility in Taichung and one of its manufacturing facilities in Hsinchu. However, it leases the related land.</w:t>
      </w:r>
    </w:p>
    <w:p>
      <w:pPr>
        <w:spacing w:after="0" w:line="99" w:lineRule="exact"/>
        <w:rPr>
          <w:sz w:val="20"/>
          <w:szCs w:val="20"/>
          <w:color w:val="auto"/>
        </w:rPr>
      </w:pPr>
    </w:p>
    <w:p>
      <w:pPr>
        <w:ind w:right="1540" w:firstLine="358"/>
        <w:spacing w:after="0" w:line="373" w:lineRule="auto"/>
        <w:rPr>
          <w:sz w:val="20"/>
          <w:szCs w:val="20"/>
          <w:color w:val="auto"/>
        </w:rPr>
      </w:pPr>
      <w:r>
        <w:rPr>
          <w:rFonts w:ascii="Arial" w:cs="Arial" w:eastAsia="Arial" w:hAnsi="Arial"/>
          <w:sz w:val="18"/>
          <w:szCs w:val="18"/>
          <w:color w:val="auto"/>
        </w:rPr>
        <w:t xml:space="preserve">We are currently building two manufacturing facilities on lands that we lease in Xiamen and Hefei, China.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or in the aggregate, will not have a material adverse effect on our business.</w:t>
      </w:r>
    </w:p>
    <w:p>
      <w:pPr>
        <w:spacing w:after="0" w:line="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5" w:lineRule="exact"/>
        <w:rPr>
          <w:sz w:val="20"/>
          <w:szCs w:val="20"/>
          <w:color w:val="auto"/>
        </w:rPr>
      </w:pPr>
    </w:p>
    <w:p>
      <w:pPr>
        <w:ind w:left="880" w:right="560" w:hanging="885"/>
        <w:spacing w:after="0" w:line="279" w:lineRule="auto"/>
        <w:tabs>
          <w:tab w:leader="none" w:pos="86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60"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Common Stock of the Company is traded on the NASDAQ Global Select Market (“NASDAQ”) under the symbol PLAB. On December 13, 2018, the closing sale price of our Common Stock, per the NASDAQ Global Select Market, was $10.02. Based on available information, we estimate that we have approximately 8,000 shareholders.</w:t>
      </w:r>
    </w:p>
    <w:p>
      <w:pPr>
        <w:spacing w:after="0" w:line="74"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To date, we have not paid any cash dividends on PLAB shares, and, for the foreseeable future, we anticipate that earnings will continue to be retained for use in our business. Further, our credit facility limits the amount that can be paid as cash dividends on Photronics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9"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In July 2018 and October 2018, the Company’s Board of Directors authorized the repurchase of up to $20 million and $25 million, respectively, of its common stock, to be executed in open-market transactions or in accordance with a repurchase plan under rule 10b5-1 of the Securities Act of 1933 (as amended). The authorization does not obligate us to repurchase any dollar amount or number of shares of common stock, and the repurchase program may be suspended or discontinued at any time.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Dollar Value of</w:t>
            </w:r>
          </w:p>
        </w:tc>
      </w:tr>
      <w:tr>
        <w:trPr>
          <w:trHeight w:val="161"/>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Average Price</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Purchased as Part of</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Shares That May</w:t>
            </w:r>
          </w:p>
        </w:tc>
      </w:tr>
      <w:tr>
        <w:trPr>
          <w:trHeight w:val="161"/>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Paid</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Publicly Announced</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Yet Be Purchased</w:t>
            </w:r>
          </w:p>
        </w:tc>
      </w:tr>
      <w:tr>
        <w:trPr>
          <w:trHeight w:val="177"/>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Per share</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Program (in millions)</w:t>
            </w:r>
          </w:p>
        </w:tc>
        <w:tc>
          <w:tcPr>
            <w:tcW w:w="10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r>
      <w:tr>
        <w:trPr>
          <w:trHeight w:val="222"/>
        </w:trPr>
        <w:tc>
          <w:tcPr>
            <w:tcW w:w="10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Period</w:t>
            </w:r>
          </w:p>
        </w:tc>
        <w:tc>
          <w:tcPr>
            <w:tcW w:w="2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2"/>
        </w:trPr>
        <w:tc>
          <w:tcPr>
            <w:tcW w:w="500" w:type="dxa"/>
            <w:vAlign w:val="bottom"/>
            <w:tcBorders>
              <w:top w:val="single" w:sz="8" w:color="auto"/>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9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2"/>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July 10, 2018</w:t>
            </w:r>
          </w:p>
        </w:tc>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July 29,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36"/>
        </w:trPr>
        <w:tc>
          <w:tcPr>
            <w:tcW w:w="1000" w:type="dxa"/>
            <w:vAlign w:val="bottom"/>
            <w:gridSpan w:val="2"/>
          </w:tcPr>
          <w:p>
            <w:pPr>
              <w:spacing w:after="0"/>
              <w:rPr>
                <w:sz w:val="20"/>
                <w:szCs w:val="20"/>
                <w:color w:val="auto"/>
              </w:rPr>
            </w:pPr>
            <w:r>
              <w:rPr>
                <w:rFonts w:ascii="Arial" w:cs="Arial" w:eastAsia="Arial" w:hAnsi="Arial"/>
                <w:sz w:val="18"/>
                <w:szCs w:val="18"/>
                <w:color w:val="auto"/>
                <w:w w:val="91"/>
              </w:rPr>
              <w:t>July 30, 2018</w:t>
            </w: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 August 26, 2018</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r>
      <w:tr>
        <w:trPr>
          <w:trHeight w:val="241"/>
        </w:trPr>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September 23, 2018 – October 31, 2018</w:t>
            </w:r>
          </w:p>
        </w:tc>
        <w:tc>
          <w:tcPr>
            <w:tcW w:w="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r>
      <w:tr>
        <w:trPr>
          <w:trHeight w:val="228"/>
        </w:trPr>
        <w:tc>
          <w:tcPr>
            <w:tcW w:w="1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5"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information regarding our equity compensation required to be disclosed by Item 201(d) of Regulation S-K is incorporated by reference from the Photronics, Inc. 2019 definitive Proxy Statement in Item 12 of Part III of this report. The 2019 Proxy Statement will be filed within 120 days after our fiscal year ended October 31,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following selected financial data (in thousands, except per share amounts) is derived from our audited consolidated financial statements. The data should be read in conjunction with the audited consolidated financial statements and notes thereto, and other financial information included elsewhere in this Annual Report on Form 10-K.</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30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3"/>
                <w:szCs w:val="13"/>
                <w:color w:val="auto"/>
              </w:rPr>
            </w:pPr>
          </w:p>
        </w:tc>
        <w:tc>
          <w:tcPr>
            <w:tcW w:w="108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3"/>
              </w:rPr>
              <w:t>October 29,</w:t>
            </w: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October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80"/>
              <w:spacing w:after="0" w:line="159" w:lineRule="exact"/>
              <w:rPr>
                <w:sz w:val="20"/>
                <w:szCs w:val="20"/>
                <w:color w:val="auto"/>
              </w:rPr>
            </w:pPr>
            <w:r>
              <w:rPr>
                <w:rFonts w:ascii="Arial" w:cs="Arial" w:eastAsia="Arial" w:hAnsi="Arial"/>
                <w:sz w:val="14"/>
                <w:szCs w:val="14"/>
                <w:b w:val="1"/>
                <w:bCs w:val="1"/>
                <w:color w:val="auto"/>
                <w:w w:val="92"/>
              </w:rPr>
              <w:t>November 1,</w:t>
            </w:r>
          </w:p>
        </w:tc>
        <w:tc>
          <w:tcPr>
            <w:tcW w:w="100" w:type="dxa"/>
            <w:vAlign w:val="bottom"/>
          </w:tcPr>
          <w:p>
            <w:pPr>
              <w:spacing w:after="0"/>
              <w:rPr>
                <w:sz w:val="13"/>
                <w:szCs w:val="13"/>
                <w:color w:val="auto"/>
              </w:rPr>
            </w:pPr>
          </w:p>
        </w:tc>
        <w:tc>
          <w:tcPr>
            <w:tcW w:w="110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92"/>
              </w:rPr>
              <w:t>November 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213"/>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535,276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483,456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524,206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455,527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(403,773)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(359,363)</w:t>
            </w:r>
          </w:p>
        </w:tc>
        <w:tc>
          <w:tcPr>
            <w:tcW w:w="1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(364,750)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(381,070)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(355,181)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131,503</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91,315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118,706</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143,136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100,346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(51,395)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(43,585)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(44,577)</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(48,983)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center"/>
              <w:ind w:right="160"/>
              <w:spacing w:after="0" w:line="242" w:lineRule="exact"/>
              <w:rPr>
                <w:sz w:val="20"/>
                <w:szCs w:val="20"/>
                <w:color w:val="auto"/>
              </w:rPr>
            </w:pPr>
            <w:r>
              <w:rPr>
                <w:rFonts w:ascii="Arial" w:cs="Arial" w:eastAsia="Arial" w:hAnsi="Arial"/>
                <w:sz w:val="17"/>
                <w:szCs w:val="17"/>
                <w:color w:val="auto"/>
                <w:w w:val="90"/>
              </w:rPr>
              <w:t>(49,638)</w:t>
            </w:r>
            <w:r>
              <w:rPr>
                <w:rFonts w:ascii="Arial" w:cs="Arial" w:eastAsia="Arial" w:hAnsi="Arial"/>
                <w:sz w:val="28"/>
                <w:szCs w:val="28"/>
                <w:color w:val="auto"/>
                <w:w w:val="90"/>
                <w:vertAlign w:val="superscript"/>
              </w:rPr>
              <w:t>(e)</w:t>
            </w:r>
          </w:p>
        </w:tc>
        <w:tc>
          <w:tcPr>
            <w:tcW w:w="0" w:type="dxa"/>
            <w:vAlign w:val="bottom"/>
          </w:tcPr>
          <w:p>
            <w:pPr>
              <w:spacing w:after="0"/>
              <w:rPr>
                <w:sz w:val="1"/>
                <w:szCs w:val="1"/>
                <w:color w:val="auto"/>
              </w:rPr>
            </w:pPr>
          </w:p>
        </w:tc>
      </w:tr>
      <w:tr>
        <w:trPr>
          <w:trHeight w:val="242"/>
        </w:trPr>
        <w:tc>
          <w:tcPr>
            <w:tcW w:w="3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(14,481)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(15,862)</w:t>
            </w:r>
          </w:p>
        </w:tc>
        <w:tc>
          <w:tcPr>
            <w:tcW w:w="1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(21,654)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(21,913)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65,627</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31,868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52,475</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72,233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28,795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180"/>
              <w:spacing w:after="0"/>
              <w:rPr>
                <w:sz w:val="20"/>
                <w:szCs w:val="20"/>
                <w:color w:val="auto"/>
              </w:rPr>
            </w:pPr>
            <w:r>
              <w:rPr>
                <w:rFonts w:ascii="Arial" w:cs="Arial" w:eastAsia="Arial" w:hAnsi="Arial"/>
                <w:sz w:val="18"/>
                <w:szCs w:val="18"/>
                <w:color w:val="auto"/>
                <w:w w:val="99"/>
              </w:rPr>
              <w:t>Interest and other income (expense), net</w:t>
            </w:r>
          </w:p>
        </w:tc>
        <w:tc>
          <w:tcPr>
            <w:tcW w:w="100" w:type="dxa"/>
            <w:vAlign w:val="bottom"/>
          </w:tcPr>
          <w:p>
            <w:pPr>
              <w:spacing w:after="0"/>
              <w:rPr>
                <w:sz w:val="21"/>
                <w:szCs w:val="21"/>
                <w:color w:val="auto"/>
              </w:rPr>
            </w:pPr>
          </w:p>
        </w:tc>
        <w:tc>
          <w:tcPr>
            <w:tcW w:w="1040" w:type="dxa"/>
            <w:vAlign w:val="bottom"/>
            <w:gridSpan w:val="3"/>
          </w:tcPr>
          <w:p>
            <w:pPr>
              <w:jc w:val="right"/>
              <w:ind w:right="140"/>
              <w:spacing w:after="0" w:line="242" w:lineRule="exact"/>
              <w:rPr>
                <w:sz w:val="20"/>
                <w:szCs w:val="20"/>
                <w:color w:val="auto"/>
              </w:rPr>
            </w:pPr>
            <w:r>
              <w:rPr>
                <w:rFonts w:ascii="Arial" w:cs="Arial" w:eastAsia="Arial" w:hAnsi="Arial"/>
                <w:sz w:val="17"/>
                <w:szCs w:val="17"/>
                <w:color w:val="auto"/>
              </w:rPr>
              <w:t>5,206</w:t>
            </w:r>
            <w:r>
              <w:rPr>
                <w:rFonts w:ascii="Arial" w:cs="Arial" w:eastAsia="Arial" w:hAnsi="Arial"/>
                <w:sz w:val="28"/>
                <w:szCs w:val="28"/>
                <w:color w:val="auto"/>
                <w:vertAlign w:val="superscript"/>
              </w:rPr>
              <w:t>(a)</w:t>
            </w: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140"/>
              <w:spacing w:after="0" w:line="242" w:lineRule="exact"/>
              <w:rPr>
                <w:sz w:val="20"/>
                <w:szCs w:val="20"/>
                <w:color w:val="auto"/>
              </w:rPr>
            </w:pPr>
            <w:r>
              <w:rPr>
                <w:rFonts w:ascii="Arial" w:cs="Arial" w:eastAsia="Arial" w:hAnsi="Arial"/>
                <w:sz w:val="17"/>
                <w:szCs w:val="17"/>
                <w:color w:val="auto"/>
              </w:rPr>
              <w:t>2,797</w:t>
            </w:r>
            <w:r>
              <w:rPr>
                <w:rFonts w:ascii="Arial" w:cs="Arial" w:eastAsia="Arial" w:hAnsi="Arial"/>
                <w:sz w:val="28"/>
                <w:szCs w:val="28"/>
                <w:color w:val="auto"/>
                <w:vertAlign w:val="superscript"/>
              </w:rPr>
              <w:t>(d)</w:t>
            </w:r>
          </w:p>
        </w:tc>
        <w:tc>
          <w:tcPr>
            <w:tcW w:w="10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(3,365)</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180"/>
              <w:spacing w:after="0"/>
              <w:rPr>
                <w:sz w:val="20"/>
                <w:szCs w:val="20"/>
                <w:color w:val="auto"/>
              </w:rPr>
            </w:pPr>
            <w:r>
              <w:rPr>
                <w:rFonts w:ascii="Arial" w:cs="Arial" w:eastAsia="Arial" w:hAnsi="Arial"/>
                <w:sz w:val="18"/>
                <w:szCs w:val="18"/>
                <w:color w:val="auto"/>
              </w:rPr>
              <w:t>Gains on sales of investments</w:t>
            </w:r>
          </w:p>
        </w:tc>
        <w:tc>
          <w:tcPr>
            <w:tcW w:w="100" w:type="dxa"/>
            <w:vAlign w:val="bottom"/>
          </w:tcPr>
          <w:p>
            <w:pPr>
              <w:spacing w:after="0"/>
              <w:rPr>
                <w:sz w:val="21"/>
                <w:szCs w:val="21"/>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center"/>
              <w:spacing w:after="0" w:line="242" w:lineRule="exact"/>
              <w:rPr>
                <w:sz w:val="20"/>
                <w:szCs w:val="20"/>
                <w:color w:val="auto"/>
              </w:rPr>
            </w:pPr>
            <w:r>
              <w:rPr>
                <w:rFonts w:ascii="Arial" w:cs="Arial" w:eastAsia="Arial" w:hAnsi="Arial"/>
                <w:sz w:val="17"/>
                <w:szCs w:val="17"/>
                <w:color w:val="auto"/>
                <w:w w:val="88"/>
              </w:rPr>
              <w:t>8,940</w:t>
            </w:r>
            <w:r>
              <w:rPr>
                <w:rFonts w:ascii="Arial" w:cs="Arial" w:eastAsia="Arial" w:hAnsi="Arial"/>
                <w:sz w:val="28"/>
                <w:szCs w:val="28"/>
                <w:color w:val="auto"/>
                <w:w w:val="88"/>
                <w:vertAlign w:val="superscript"/>
              </w:rPr>
              <w:t>(b)</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acquisition</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gridSpan w:val="2"/>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3"/>
              </w:rPr>
              <w:t>16,372</w:t>
            </w:r>
            <w:r>
              <w:rPr>
                <w:rFonts w:ascii="Arial" w:cs="Arial" w:eastAsia="Arial" w:hAnsi="Arial"/>
                <w:sz w:val="14"/>
                <w:szCs w:val="14"/>
                <w:color w:val="auto"/>
                <w:w w:val="93"/>
              </w:rPr>
              <w:t>(f)</w:t>
            </w:r>
          </w:p>
        </w:tc>
        <w:tc>
          <w:tcPr>
            <w:tcW w:w="0" w:type="dxa"/>
            <w:vAlign w:val="bottom"/>
          </w:tcPr>
          <w:p>
            <w:pPr>
              <w:spacing w:after="0"/>
              <w:rPr>
                <w:sz w:val="1"/>
                <w:szCs w:val="1"/>
                <w:color w:val="auto"/>
              </w:rPr>
            </w:pPr>
          </w:p>
        </w:tc>
      </w:tr>
      <w:tr>
        <w:trPr>
          <w:trHeight w:val="20"/>
        </w:trPr>
        <w:tc>
          <w:tcPr>
            <w:tcW w:w="3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26,565</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60,474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70,040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spacing w:after="0" w:line="247" w:lineRule="exact"/>
              <w:rPr>
                <w:sz w:val="20"/>
                <w:szCs w:val="20"/>
                <w:color w:val="auto"/>
              </w:rPr>
            </w:pPr>
            <w:r>
              <w:rPr>
                <w:rFonts w:ascii="Arial" w:cs="Arial" w:eastAsia="Arial" w:hAnsi="Arial"/>
                <w:sz w:val="17"/>
                <w:szCs w:val="17"/>
                <w:color w:val="auto"/>
                <w:w w:val="92"/>
              </w:rPr>
              <w:t>(4,798)</w:t>
            </w:r>
            <w:r>
              <w:rPr>
                <w:rFonts w:ascii="Arial" w:cs="Arial" w:eastAsia="Arial" w:hAnsi="Arial"/>
                <w:sz w:val="28"/>
                <w:szCs w:val="28"/>
                <w:color w:val="auto"/>
                <w:w w:val="92"/>
                <w:vertAlign w:val="superscript"/>
              </w:rPr>
              <w:t>(c)</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(13,181)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040" w:type="dxa"/>
            <w:vAlign w:val="bottom"/>
            <w:gridSpan w:val="3"/>
          </w:tcPr>
          <w:p>
            <w:pPr>
              <w:jc w:val="right"/>
              <w:ind w:right="140"/>
              <w:spacing w:after="0" w:line="235" w:lineRule="exact"/>
              <w:rPr>
                <w:sz w:val="20"/>
                <w:szCs w:val="20"/>
                <w:color w:val="auto"/>
              </w:rPr>
            </w:pPr>
            <w:r>
              <w:rPr>
                <w:rFonts w:ascii="Arial" w:cs="Arial" w:eastAsia="Arial" w:hAnsi="Arial"/>
                <w:sz w:val="17"/>
                <w:szCs w:val="17"/>
                <w:color w:val="auto"/>
              </w:rPr>
              <w:t>61,236</w:t>
            </w:r>
            <w:r>
              <w:rPr>
                <w:rFonts w:ascii="Arial" w:cs="Arial" w:eastAsia="Arial" w:hAnsi="Arial"/>
                <w:sz w:val="27"/>
                <w:szCs w:val="27"/>
                <w:color w:val="auto"/>
                <w:vertAlign w:val="superscript"/>
              </w:rPr>
              <w:t>(a)</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55,676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140"/>
              <w:spacing w:after="0" w:line="235" w:lineRule="exact"/>
              <w:rPr>
                <w:sz w:val="20"/>
                <w:szCs w:val="20"/>
                <w:color w:val="auto"/>
              </w:rPr>
            </w:pPr>
            <w:r>
              <w:rPr>
                <w:rFonts w:ascii="Arial" w:cs="Arial" w:eastAsia="Arial" w:hAnsi="Arial"/>
                <w:sz w:val="17"/>
                <w:szCs w:val="17"/>
                <w:color w:val="auto"/>
              </w:rPr>
              <w:t>56,859</w:t>
            </w:r>
            <w:r>
              <w:rPr>
                <w:rFonts w:ascii="Arial" w:cs="Arial" w:eastAsia="Arial" w:hAnsi="Arial"/>
                <w:sz w:val="27"/>
                <w:szCs w:val="27"/>
                <w:color w:val="auto"/>
                <w:vertAlign w:val="superscript"/>
              </w:rPr>
              <w:t>(d)</w:t>
            </w:r>
          </w:p>
        </w:tc>
        <w:tc>
          <w:tcPr>
            <w:tcW w:w="100" w:type="dxa"/>
            <w:vAlign w:val="bottom"/>
          </w:tcPr>
          <w:p>
            <w:pPr>
              <w:spacing w:after="0"/>
              <w:rPr>
                <w:sz w:val="20"/>
                <w:szCs w:val="20"/>
                <w:color w:val="auto"/>
              </w:rPr>
            </w:pPr>
          </w:p>
        </w:tc>
        <w:tc>
          <w:tcPr>
            <w:tcW w:w="1100" w:type="dxa"/>
            <w:vAlign w:val="bottom"/>
            <w:gridSpan w:val="3"/>
          </w:tcPr>
          <w:p>
            <w:pPr>
              <w:jc w:val="right"/>
              <w:ind w:right="140"/>
              <w:spacing w:after="0" w:line="235" w:lineRule="exact"/>
              <w:rPr>
                <w:sz w:val="20"/>
                <w:szCs w:val="20"/>
                <w:color w:val="auto"/>
              </w:rPr>
            </w:pPr>
            <w:r>
              <w:rPr>
                <w:rFonts w:ascii="Arial" w:cs="Arial" w:eastAsia="Arial" w:hAnsi="Arial"/>
                <w:sz w:val="17"/>
                <w:szCs w:val="17"/>
                <w:color w:val="auto"/>
              </w:rPr>
              <w:t>32,035</w:t>
            </w:r>
            <w:r>
              <w:rPr>
                <w:rFonts w:ascii="Arial" w:cs="Arial" w:eastAsia="Arial" w:hAnsi="Arial"/>
                <w:sz w:val="27"/>
                <w:szCs w:val="27"/>
                <w:color w:val="auto"/>
                <w:vertAlign w:val="superscript"/>
              </w:rPr>
              <w:t>(e)(f)</w:t>
            </w:r>
          </w:p>
        </w:tc>
        <w:tc>
          <w:tcPr>
            <w:tcW w:w="0" w:type="dxa"/>
            <w:vAlign w:val="bottom"/>
          </w:tcPr>
          <w:p>
            <w:pPr>
              <w:spacing w:after="0"/>
              <w:rPr>
                <w:sz w:val="1"/>
                <w:szCs w:val="1"/>
                <w:color w:val="auto"/>
              </w:rPr>
            </w:pPr>
          </w:p>
        </w:tc>
      </w:tr>
      <w:tr>
        <w:trPr>
          <w:trHeight w:val="214"/>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w:t>
            </w:r>
          </w:p>
        </w:tc>
        <w:tc>
          <w:tcPr>
            <w:tcW w:w="1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(19,181)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(9,476)</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(12,234)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(6,039)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42,055</w:t>
            </w:r>
            <w:r>
              <w:rPr>
                <w:rFonts w:ascii="Arial" w:cs="Arial" w:eastAsia="Arial" w:hAnsi="Arial"/>
                <w:sz w:val="14"/>
                <w:szCs w:val="14"/>
                <w:color w:val="auto"/>
              </w:rPr>
              <w:t>(a)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13,130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46,200</w:t>
            </w:r>
            <w:r>
              <w:rPr>
                <w:rFonts w:ascii="Arial" w:cs="Arial" w:eastAsia="Arial" w:hAnsi="Arial"/>
                <w:sz w:val="14"/>
                <w:szCs w:val="14"/>
                <w:color w:val="auto"/>
              </w:rPr>
              <w:t>(b)(c)</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44,625</w:t>
            </w:r>
            <w:r>
              <w:rPr>
                <w:rFonts w:ascii="Arial" w:cs="Arial" w:eastAsia="Arial" w:hAnsi="Arial"/>
                <w:sz w:val="14"/>
                <w:szCs w:val="14"/>
                <w:color w:val="auto"/>
              </w:rPr>
              <w:t>(d)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25,996</w:t>
            </w:r>
            <w:r>
              <w:rPr>
                <w:rFonts w:ascii="Arial" w:cs="Arial" w:eastAsia="Arial" w:hAnsi="Arial"/>
                <w:sz w:val="14"/>
                <w:szCs w:val="14"/>
                <w:color w:val="auto"/>
              </w:rPr>
              <w:t>(e)(f)</w:t>
            </w:r>
          </w:p>
        </w:tc>
        <w:tc>
          <w:tcPr>
            <w:tcW w:w="0" w:type="dxa"/>
            <w:vAlign w:val="bottom"/>
          </w:tcPr>
          <w:p>
            <w:pPr>
              <w:spacing w:after="0"/>
              <w:rPr>
                <w:sz w:val="1"/>
                <w:szCs w:val="1"/>
                <w:color w:val="auto"/>
              </w:rPr>
            </w:pPr>
          </w:p>
        </w:tc>
      </w:tr>
      <w:tr>
        <w:trPr>
          <w:trHeight w:val="263"/>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00" w:type="dxa"/>
            <w:vAlign w:val="bottom"/>
            <w:vMerge w:val="continue"/>
            <w:shd w:val="clear" w:color="auto" w:fill="CCEEFF"/>
          </w:tcPr>
          <w:p>
            <w:pPr>
              <w:spacing w:after="0"/>
              <w:rPr>
                <w:sz w:val="22"/>
                <w:szCs w:val="22"/>
                <w:color w:val="auto"/>
              </w:rPr>
            </w:pPr>
          </w:p>
        </w:tc>
        <w:tc>
          <w:tcPr>
            <w:tcW w:w="1040" w:type="dxa"/>
            <w:vAlign w:val="bottom"/>
            <w:tcBorders>
              <w:right w:val="single" w:sz="8" w:color="CCEEFF"/>
            </w:tcBorders>
            <w:gridSpan w:val="3"/>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8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80" w:type="dxa"/>
            <w:vAlign w:val="bottom"/>
            <w:gridSpan w:val="2"/>
            <w:vMerge w:val="continue"/>
            <w:shd w:val="clear" w:color="auto" w:fill="CCEEFF"/>
          </w:tcPr>
          <w:p>
            <w:pPr>
              <w:spacing w:after="0"/>
              <w:rPr>
                <w:sz w:val="22"/>
                <w:szCs w:val="22"/>
                <w:color w:val="auto"/>
              </w:rPr>
            </w:pPr>
          </w:p>
        </w:tc>
        <w:tc>
          <w:tcPr>
            <w:tcW w:w="1080" w:type="dxa"/>
            <w:vAlign w:val="bottom"/>
            <w:tcBorders>
              <w:right w:val="single" w:sz="8" w:color="CCEEFF"/>
            </w:tcBorders>
            <w:gridSpan w:val="3"/>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100" w:type="dxa"/>
            <w:vAlign w:val="bottom"/>
            <w:gridSpan w:val="3"/>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4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46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0.61</w:t>
            </w:r>
            <w:r>
              <w:rPr>
                <w:rFonts w:ascii="Arial" w:cs="Arial" w:eastAsia="Arial" w:hAnsi="Arial"/>
                <w:sz w:val="14"/>
                <w:szCs w:val="14"/>
                <w:color w:val="auto"/>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r>
              <w:rPr>
                <w:rFonts w:ascii="Arial" w:cs="Arial" w:eastAsia="Arial" w:hAnsi="Arial"/>
                <w:sz w:val="14"/>
                <w:szCs w:val="14"/>
                <w:color w:val="auto"/>
              </w:rPr>
              <w:t>(b)(c)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0.67</w:t>
            </w:r>
            <w:r>
              <w:rPr>
                <w:rFonts w:ascii="Arial" w:cs="Arial" w:eastAsia="Arial" w:hAnsi="Arial"/>
                <w:sz w:val="14"/>
                <w:szCs w:val="14"/>
                <w:color w:val="auto"/>
              </w:rPr>
              <w:t>(d)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0.42</w:t>
            </w:r>
            <w:r>
              <w:rPr>
                <w:rFonts w:ascii="Arial" w:cs="Arial" w:eastAsia="Arial" w:hAnsi="Arial"/>
                <w:sz w:val="14"/>
                <w:szCs w:val="14"/>
                <w:color w:val="auto"/>
              </w:rPr>
              <w:t>(e)(f)</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0.59</w:t>
            </w:r>
            <w:r>
              <w:rPr>
                <w:rFonts w:ascii="Arial" w:cs="Arial" w:eastAsia="Arial" w:hAnsi="Arial"/>
                <w:sz w:val="14"/>
                <w:szCs w:val="14"/>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0.64</w:t>
            </w:r>
            <w:r>
              <w:rPr>
                <w:rFonts w:ascii="Arial" w:cs="Arial" w:eastAsia="Arial" w:hAnsi="Arial"/>
                <w:sz w:val="14"/>
                <w:szCs w:val="14"/>
                <w:color w:val="auto"/>
              </w:rPr>
              <w:t>(b)(c)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0.63</w:t>
            </w:r>
            <w:r>
              <w:rPr>
                <w:rFonts w:ascii="Arial" w:cs="Arial" w:eastAsia="Arial" w:hAnsi="Arial"/>
                <w:sz w:val="14"/>
                <w:szCs w:val="14"/>
                <w:color w:val="auto"/>
              </w:rPr>
              <w: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0.41</w:t>
            </w:r>
            <w:r>
              <w:rPr>
                <w:rFonts w:ascii="Arial" w:cs="Arial" w:eastAsia="Arial" w:hAnsi="Arial"/>
                <w:sz w:val="14"/>
                <w:szCs w:val="14"/>
                <w:color w:val="auto"/>
              </w:rPr>
              <w:t>(e)(f)</w:t>
            </w:r>
          </w:p>
        </w:tc>
        <w:tc>
          <w:tcPr>
            <w:tcW w:w="0" w:type="dxa"/>
            <w:vAlign w:val="bottom"/>
          </w:tcPr>
          <w:p>
            <w:pPr>
              <w:spacing w:after="0"/>
              <w:rPr>
                <w:sz w:val="1"/>
                <w:szCs w:val="1"/>
                <w:color w:val="auto"/>
              </w:rPr>
            </w:pPr>
          </w:p>
        </w:tc>
      </w:tr>
      <w:tr>
        <w:trPr>
          <w:trHeight w:val="27"/>
        </w:trPr>
        <w:tc>
          <w:tcPr>
            <w:tcW w:w="34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200" w:top="278" w:right="1199" w:bottom="1440" w:gutter="0" w:footer="0" w:header="0"/>
        </w:sectPr>
      </w:pPr>
    </w:p>
    <w:p>
      <w:pPr>
        <w:spacing w:after="0" w:line="41" w:lineRule="exact"/>
        <w:rPr>
          <w:sz w:val="20"/>
          <w:szCs w:val="20"/>
          <w:color w:val="auto"/>
        </w:rPr>
      </w:pPr>
    </w:p>
    <w:p>
      <w:pPr>
        <w:ind w:left="180" w:hanging="178"/>
        <w:spacing w:after="0" w:line="272" w:lineRule="auto"/>
        <w:rPr>
          <w:sz w:val="20"/>
          <w:szCs w:val="20"/>
          <w:color w:val="auto"/>
        </w:rPr>
      </w:pPr>
      <w:r>
        <w:rPr>
          <w:rFonts w:ascii="Arial" w:cs="Arial" w:eastAsia="Arial" w:hAnsi="Arial"/>
          <w:sz w:val="18"/>
          <w:szCs w:val="18"/>
          <w:color w:val="auto"/>
        </w:rPr>
        <w:t>Weighted-average number of common shares outstanding:</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jc w:val="right"/>
              <w:spacing w:after="0"/>
              <w:rPr>
                <w:sz w:val="20"/>
                <w:szCs w:val="20"/>
                <w:color w:val="auto"/>
              </w:rPr>
            </w:pPr>
            <w:r>
              <w:rPr>
                <w:rFonts w:ascii="Arial" w:cs="Arial" w:eastAsia="Arial" w:hAnsi="Arial"/>
                <w:sz w:val="18"/>
                <w:szCs w:val="18"/>
                <w:color w:val="auto"/>
              </w:rPr>
              <w:t>68,829</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68,436</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67,539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66,331</w:t>
            </w:r>
          </w:p>
        </w:tc>
        <w:tc>
          <w:tcPr>
            <w:tcW w:w="760" w:type="dxa"/>
            <w:vAlign w:val="bottom"/>
          </w:tcPr>
          <w:p>
            <w:pPr>
              <w:jc w:val="right"/>
              <w:spacing w:after="0"/>
              <w:rPr>
                <w:sz w:val="20"/>
                <w:szCs w:val="20"/>
                <w:color w:val="auto"/>
              </w:rPr>
            </w:pPr>
            <w:r>
              <w:rPr>
                <w:rFonts w:ascii="Arial" w:cs="Arial" w:eastAsia="Arial" w:hAnsi="Arial"/>
                <w:sz w:val="18"/>
                <w:szCs w:val="18"/>
                <w:color w:val="auto"/>
              </w:rPr>
              <w:t>61,779</w:t>
            </w: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80" w:type="dxa"/>
            <w:vAlign w:val="bottom"/>
          </w:tcPr>
          <w:p>
            <w:pPr>
              <w:jc w:val="right"/>
              <w:spacing w:after="0"/>
              <w:rPr>
                <w:sz w:val="20"/>
                <w:szCs w:val="20"/>
                <w:color w:val="auto"/>
              </w:rPr>
            </w:pPr>
            <w:r>
              <w:rPr>
                <w:rFonts w:ascii="Arial" w:cs="Arial" w:eastAsia="Arial" w:hAnsi="Arial"/>
                <w:sz w:val="18"/>
                <w:szCs w:val="18"/>
                <w:color w:val="auto"/>
              </w:rPr>
              <w:t>74,821</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69,288</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76,354</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78,383</w:t>
            </w:r>
          </w:p>
        </w:tc>
        <w:tc>
          <w:tcPr>
            <w:tcW w:w="760" w:type="dxa"/>
            <w:vAlign w:val="bottom"/>
          </w:tcPr>
          <w:p>
            <w:pPr>
              <w:jc w:val="right"/>
              <w:spacing w:after="0"/>
              <w:rPr>
                <w:sz w:val="20"/>
                <w:szCs w:val="20"/>
                <w:color w:val="auto"/>
              </w:rPr>
            </w:pPr>
            <w:r>
              <w:rPr>
                <w:rFonts w:ascii="Arial" w:cs="Arial" w:eastAsia="Arial" w:hAnsi="Arial"/>
                <w:sz w:val="18"/>
                <w:szCs w:val="18"/>
                <w:color w:val="auto"/>
              </w:rPr>
              <w:t>66,679</w:t>
            </w: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-655955</wp:posOffset>
            </wp:positionV>
            <wp:extent cx="6036310" cy="290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6310" cy="29019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-178435</wp:posOffset>
            </wp:positionV>
            <wp:extent cx="6036310" cy="187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6310" cy="187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180"/>
            <w:col w:w="6080"/>
          </w:cols>
          <w:pgMar w:left="1200" w:top="278" w:right="119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318770</wp:posOffset>
            </wp:positionV>
            <wp:extent cx="603631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October 29,</w:t>
            </w: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October 30,</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2,</w:t>
            </w:r>
          </w:p>
        </w:tc>
      </w:tr>
      <w:tr>
        <w:trPr>
          <w:trHeight w:val="177"/>
        </w:trPr>
        <w:tc>
          <w:tcPr>
            <w:tcW w:w="1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242"/>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311,655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360,269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190,152</w:t>
            </w:r>
          </w:p>
        </w:tc>
        <w:tc>
          <w:tcPr>
            <w:tcW w:w="80" w:type="dxa"/>
            <w:vAlign w:val="bottom"/>
            <w:shd w:val="clear" w:color="auto" w:fill="CCEEFF"/>
          </w:tcPr>
          <w:p>
            <w:pPr>
              <w:spacing w:after="0"/>
              <w:rPr>
                <w:sz w:val="21"/>
                <w:szCs w:val="21"/>
                <w:color w:val="auto"/>
              </w:rPr>
            </w:pPr>
          </w:p>
        </w:tc>
      </w:tr>
      <w:tr>
        <w:trPr>
          <w:trHeight w:val="236"/>
        </w:trPr>
        <w:tc>
          <w:tcPr>
            <w:tcW w:w="38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571,781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535,197</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506,434</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547,284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550,069</w:t>
            </w:r>
          </w:p>
        </w:tc>
        <w:tc>
          <w:tcPr>
            <w:tcW w:w="80" w:type="dxa"/>
            <w:vAlign w:val="bottom"/>
          </w:tcPr>
          <w:p>
            <w:pPr>
              <w:spacing w:after="0"/>
              <w:rPr>
                <w:sz w:val="20"/>
                <w:szCs w:val="20"/>
                <w:color w:val="auto"/>
              </w:rPr>
            </w:pPr>
          </w:p>
        </w:tc>
      </w:tr>
      <w:tr>
        <w:trPr>
          <w:trHeight w:val="248"/>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1,110,009</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1,020,794</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987,988</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1,042,811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1,025,564</w:t>
            </w:r>
          </w:p>
        </w:tc>
        <w:tc>
          <w:tcPr>
            <w:tcW w:w="80" w:type="dxa"/>
            <w:vAlign w:val="bottom"/>
            <w:shd w:val="clear" w:color="auto" w:fill="CCEEFF"/>
          </w:tcPr>
          <w:p>
            <w:pPr>
              <w:spacing w:after="0"/>
              <w:rPr>
                <w:sz w:val="21"/>
                <w:szCs w:val="21"/>
                <w:color w:val="auto"/>
              </w:rPr>
            </w:pPr>
          </w:p>
        </w:tc>
      </w:tr>
      <w:tr>
        <w:trPr>
          <w:trHeight w:val="236"/>
        </w:trPr>
        <w:tc>
          <w:tcPr>
            <w:tcW w:w="3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57,453</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61,976</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67,288</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132,219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141,011</w:t>
            </w:r>
          </w:p>
        </w:tc>
        <w:tc>
          <w:tcPr>
            <w:tcW w:w="80" w:type="dxa"/>
            <w:vAlign w:val="bottom"/>
          </w:tcPr>
          <w:p>
            <w:pPr>
              <w:spacing w:after="0"/>
              <w:rPr>
                <w:sz w:val="20"/>
                <w:szCs w:val="20"/>
                <w:color w:val="auto"/>
              </w:rPr>
            </w:pPr>
          </w:p>
        </w:tc>
      </w:tr>
      <w:tr>
        <w:trPr>
          <w:trHeight w:val="248"/>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759,671</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744,564</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710,363</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646,555</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628,050</w:t>
            </w:r>
          </w:p>
        </w:tc>
        <w:tc>
          <w:tcPr>
            <w:tcW w:w="80" w:type="dxa"/>
            <w:vAlign w:val="bottom"/>
            <w:shd w:val="clear" w:color="auto" w:fill="CCEEFF"/>
          </w:tcPr>
          <w:p>
            <w:pPr>
              <w:spacing w:after="0"/>
              <w:rPr>
                <w:sz w:val="21"/>
                <w:szCs w:val="2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2" w:lineRule="exact"/>
        <w:rPr>
          <w:sz w:val="20"/>
          <w:szCs w:val="20"/>
          <w:color w:val="auto"/>
        </w:rPr>
      </w:pPr>
    </w:p>
    <w:p>
      <w:pPr>
        <w:ind w:left="340" w:hanging="339"/>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$0.6 million gain on sale of assets.</w:t>
      </w:r>
    </w:p>
    <w:p>
      <w:pPr>
        <w:spacing w:after="0" w:line="107" w:lineRule="exact"/>
        <w:rPr>
          <w:rFonts w:ascii="Arial" w:cs="Arial" w:eastAsia="Arial" w:hAnsi="Arial"/>
          <w:sz w:val="14"/>
          <w:szCs w:val="14"/>
          <w:color w:val="auto"/>
        </w:rPr>
      </w:pPr>
    </w:p>
    <w:p>
      <w:pPr>
        <w:ind w:left="340" w:hanging="339"/>
        <w:spacing w:after="0" w:line="27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$8.8 million gain on sale of investment in a foreign entity and $0.2 million gain on the sale of the Company’s 49.99% interest in the MP Mask joint venture.</w:t>
      </w:r>
    </w:p>
    <w:p>
      <w:pPr>
        <w:spacing w:after="0" w:line="67" w:lineRule="exact"/>
        <w:rPr>
          <w:rFonts w:ascii="Arial" w:cs="Arial" w:eastAsia="Arial" w:hAnsi="Arial"/>
          <w:sz w:val="14"/>
          <w:szCs w:val="14"/>
          <w:color w:val="auto"/>
        </w:rPr>
      </w:pPr>
    </w:p>
    <w:p>
      <w:pPr>
        <w:ind w:left="340" w:hanging="339"/>
        <w:spacing w:after="0" w:line="27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tax benefits in Taiwan of $4.8 million primarily related to the recognition of prior period tax benefits and other tax positions no longer deemed necessary.</w:t>
      </w:r>
    </w:p>
    <w:p>
      <w:pPr>
        <w:spacing w:after="0" w:line="67" w:lineRule="exact"/>
        <w:rPr>
          <w:rFonts w:ascii="Arial" w:cs="Arial" w:eastAsia="Arial" w:hAnsi="Arial"/>
          <w:sz w:val="14"/>
          <w:szCs w:val="14"/>
          <w:color w:val="auto"/>
        </w:rPr>
      </w:pPr>
    </w:p>
    <w:p>
      <w:pPr>
        <w:ind w:left="340" w:hanging="339"/>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$0.9 million of financing expenses related to the exchange of $57.5 million of 3.25% convertible senior notes.</w:t>
      </w:r>
    </w:p>
    <w:p>
      <w:pPr>
        <w:spacing w:after="0" w:line="107" w:lineRule="exact"/>
        <w:rPr>
          <w:rFonts w:ascii="Arial" w:cs="Arial" w:eastAsia="Arial" w:hAnsi="Arial"/>
          <w:sz w:val="14"/>
          <w:szCs w:val="14"/>
          <w:color w:val="auto"/>
        </w:rPr>
      </w:pPr>
    </w:p>
    <w:p>
      <w:pPr>
        <w:ind w:left="340" w:hanging="339"/>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$2.5 million, net of tax, of expenses related to the acquisition of DPTT.</w:t>
      </w:r>
    </w:p>
    <w:p>
      <w:pPr>
        <w:spacing w:after="0" w:line="107" w:lineRule="exact"/>
        <w:rPr>
          <w:rFonts w:ascii="Arial" w:cs="Arial" w:eastAsia="Arial" w:hAnsi="Arial"/>
          <w:sz w:val="14"/>
          <w:szCs w:val="14"/>
          <w:color w:val="auto"/>
        </w:rPr>
      </w:pPr>
    </w:p>
    <w:p>
      <w:pPr>
        <w:ind w:left="340" w:hanging="339"/>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non-cash gain of $16.4 million, net of tax, on acquisition of DPTT.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880" w:right="580" w:hanging="885"/>
        <w:spacing w:after="0" w:line="279" w:lineRule="auto"/>
        <w:tabs>
          <w:tab w:leader="none" w:pos="86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56" w:lineRule="exact"/>
        <w:rPr>
          <w:sz w:val="20"/>
          <w:szCs w:val="20"/>
          <w:color w:val="auto"/>
        </w:rPr>
      </w:pPr>
    </w:p>
    <w:p>
      <w:pPr>
        <w:ind w:right="1880"/>
        <w:spacing w:after="0" w:line="375" w:lineRule="auto"/>
        <w:rPr>
          <w:sz w:val="20"/>
          <w:szCs w:val="20"/>
          <w:color w:val="auto"/>
        </w:rPr>
      </w:pPr>
      <w:r>
        <w:rPr>
          <w:rFonts w:ascii="Arial" w:cs="Arial" w:eastAsia="Arial" w:hAnsi="Arial"/>
          <w:sz w:val="18"/>
          <w:szCs w:val="18"/>
          <w:b w:val="1"/>
          <w:bCs w:val="1"/>
          <w:color w:val="auto"/>
        </w:rPr>
        <w:t>Results of Operations for the Years Ended October 31, 2018, October 29, 2017 and October 30, 2016 Overview</w:t>
      </w:r>
    </w:p>
    <w:p>
      <w:pPr>
        <w:spacing w:after="0" w:line="2"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designs and flat panel display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64"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our having a minimal level of backlog orders, typically one to two weeks of backlog for IC photomasks and two to three weeks of backlog for FPD photomasks.</w:t>
      </w:r>
    </w:p>
    <w:p>
      <w:pPr>
        <w:spacing w:after="0" w:line="74"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The global semiconductor industry is driven by end markets which have been closely tied to consumer driven applications of high performance semiconductor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87"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We are focused on improving our competitiveness by advancing our technology and reducing costs and, in connection therewith, have invested and plan to continue to invest in manufacturing equipment to serve the high-end markets. As we face challenges in the current and near term that require us to make significant improvements in our competitiveness, we continue to evaluate further cost reduction initiatives.</w:t>
      </w:r>
    </w:p>
    <w:p>
      <w:pPr>
        <w:spacing w:after="0" w:line="80"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As of December 2018, state-of-the-art production for semiconductor masks is considered to be 28 nanometer and smaller for ICs and Generation 8 and above and AMOLED display-based process technologies for FPDs. However, 32 nanometer and above geometries for semiconductors and Generation 7 and below, excluding AMOLED, process technologies for FPDs constitute the majority of designs currently being fabricated in volume. At these geometries, we can produce full lines of photomasks, and there is no significant technology employed by our competitors that is not available to us. We expect 28 nanometer and below designs to continue to move to wafer fabrication throughout fiscal 2019, and we believe we are well positioned to service an increasing volume of this business as a result of our investments in manufacturing processes and technology in the regions where our customers are located.</w:t>
      </w:r>
    </w:p>
    <w:p>
      <w:pPr>
        <w:spacing w:after="0" w:line="87"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FPD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used, such as changes in semiconductor demand that favor field-programmable gate arrays and other semiconductor designs that replace application-specific ICs, or the use of certain chip 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year 2018, one alternative method, direct-write lithography, has not been proven to be a commercially viable alternative to photomasks, as it is considered to be too slow for high 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63"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Both our revenues and costs have been affected by the increased demand for high-end technology photomasks that require more advanced manufacturing capabilities, but generally command higher average selling prices (“ASPs”). Our capital expenditure payments aggregated approximately $235 million for the three fiscal years ended October 31, 2018, which has significantly contributed to our cost of goods sold. We intend to continue to make the required investments to support the technological demands of our customers that we believe will position the Company for future growth. In support of this effort, we expect capital expenditure payments to be approximately $210 million in fiscal year 2019.</w:t>
      </w:r>
    </w:p>
    <w:p>
      <w:pPr>
        <w:spacing w:after="0" w:line="67"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which will expand to eleven manufacturing sites in 2019,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82"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the first quarter of fiscal 2019, PDMC, the Company’s majority owned subsidiary in Taiwan, paid a dividend of which 49.99%, or approximately $26.0 million, was paid to noncontrolling interests.</w:t>
      </w:r>
    </w:p>
    <w:p>
      <w:pPr>
        <w:spacing w:after="0" w:line="63"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In November FY2019, Xiamen American Japan Photronics Mask Co., Ltd. (“PDMCX”), an indirect majority owned joint venture subsidiary of Photronics, Inc., entered into a commitment letter for an 8-year term loan agreement under which it can borrow up to approximately $50.0 million (“the Project Loan”). PDMCX will use the Project Loan to finance certain capital expenditures in China. PDMCX will grant a lien on the land, building and equipment owned by PDMCX as collateral for the Project Loan. The interest rate of the Project Loan is based on the benchmark lending rate (as defined in the Project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5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On November 7, 2018, PDMCX entered into a working capital loan agreement with a maximum borrowing limit of approximately $25.0 million, (“the Working Capital Loan”). In November 2018, we borrowed $2.2 million against this loan. PDMCX will use the Working Capital Loan for general financing purposes including for the payment of import and value added taxes. The term of the Working Capital Loan will not exceed three years, and no guarantees were required under the terms of the Working Capital Loan. The interest rate of the Working Capital Loan is based on the benchmark lending rate (as defined in the Working Capital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87"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In the fourth quarter of fiscal 2018, we entered into an amendment to our credit agreement (the “credit agreement”) which allows us to sell, transfer, lease, or otherwise dispose of our assets to a subsidiary guarantor. Subsequently, in that same fiscal quarter, we entered into an amended and restated credit agreement (“the new agreement”) that expires in September 2023, which carried forward the amendment made to the credit agreement. The new agreement, which replaced our prior credit agreement, has a $50 million borrowing limit, and a $50 million expansion capacity, which represents a $25 million increase over the previous credit agreement. The new agreement is secured by substantially all of our assets located in the United States and common stock we own in certain of our foreign subsidiaries, and limits the amount we can pay in cash dividends on Photronics, Inc. stock. The new agreement contains the following financial covenants: minimum interest coverage ratio, total leverage ratio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minimum unrestricted cash balance, all of which we were in compliance with at October 31, 2018. We had no outstanding borrowings against the new agreement at October 31, 2018, and $50 million was available for borrowing. The interest rate on the new agreement (2.30% at October 31, 2018) is based on our total leverage ratio at LIBOR plus a spread, as defined in the credit agreement.</w:t>
      </w:r>
    </w:p>
    <w:p>
      <w:pPr>
        <w:spacing w:after="0" w:line="8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be executed in open-market transactions or in accordance with a repurchase plan under rule 10b5-1 of the Securities Act of 1933 (as amended). The share repurchase program commenced, under 10b5-1, on October 22, 2018, and will expire no later than October 21, 2019. As of October 31, 2018, we had repurchased a combined 2.6 million shares at a cost of $23.1 million (an average of $9.04 per share) under this and our share repurchase program that commenced in the third quarter of fiscal 2018 (discussed below). The volume of shares repurchased are subject to market conditions, and our continual evaluation of the optimal use of our cash.</w:t>
      </w:r>
    </w:p>
    <w:p>
      <w:pPr>
        <w:spacing w:after="0" w:line="84"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In the third quarter of fiscal 2018, the Company’s Board of Directors authorized the repurchase of up to $20 million of its common stock, to be effectuated in open-market transactions or in accordance with a repurchase plan under rule 10b5-1 of the Securities Act of 1933 (as amended). The share repurchase program commenced on July 10, 2018, and was completed in October 2018.</w:t>
      </w:r>
    </w:p>
    <w:p>
      <w:pPr>
        <w:spacing w:after="0" w:line="80"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the third quarters of fiscal years 2018, 2017, and 2016, our majority owned IC facility in Taiwan paid dividends of $8.2 million, $8.3 million, and $11.9 million, respectively, to its noncontrolling interest.</w:t>
      </w:r>
    </w:p>
    <w:p>
      <w:pPr>
        <w:spacing w:after="0" w:line="63"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In the first quarter of fiscal 2018, we announced the successful closing of the China joint venture agreement with Dai Nippon Printing Co., Ltd. (“DNP”), which we had agreed to enter into and announced in the third quarter of fiscal 2017 (see discussion below). Under the agreement, our wholly-owned Singapore subsidiary owns 50.01% of the joint venture, which is named Photronics DNP Mask Corporation Xiamen (PDMCX), and a subsidiary of DNP owns the remaining 49.99%. The financial results of the joint venture are included in the Photronics, Inc. consolidated financial statements. See Note 4 of the condensed consolidated financial statements for additional information on the joint venture.</w:t>
      </w:r>
    </w:p>
    <w:p>
      <w:pPr>
        <w:spacing w:after="0" w:line="67"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In the fourth quarter of fiscal 2017, we announced that Photronics UK, Ltd., a wholly-owned subsidiary of ours, signed an investment agreement with Hefei State Hi-tech Industry Development Zone to establish a manufacturing facility in Hefei, China. Under the terms of the agreement, through our subsidiary, we will invest a minimum of $160 million, a portion of which may be funded with local borrowings, to build and operate a research and development and manufacturing facility for high-end and mainstream FPD photomasks. Hefei State Hi-tech Industry Development Zone will provide certain investment incentives and support for this facility, which will have initial capability to produce up to G10.5+ large area masks and AMOLED products. Construction began in late 2017 and production is anticipated to commence in the first half 2019.</w:t>
      </w:r>
    </w:p>
    <w:p>
      <w:pPr>
        <w:spacing w:after="0" w:line="72"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In the fourth quarter of 2016, Photronics Singapore Pte, Ltd., a wholly-owned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hold a 49.99% ownership interest in this investment. The total investment per the agreement is $160 million, of which approximately $62 million remained for Photronics as of October 31, 2018, and will be funded over the next several years with cash and local borrowings. Construction began in 2017 and production is anticipated to start in the first half of 2019.</w:t>
      </w:r>
    </w:p>
    <w:p>
      <w:pPr>
        <w:spacing w:after="0" w:line="76"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In the third quarter of fiscal 2016, we sold our investment in MP Mask to Micron for $93.1 million and recorded a gain of $0.1 million on the sale. On that same date, a supply agreement commenced between Photronics and Micron, which provided that we would be the majority outsourced supplier of Micron’s photomasks and related services. The supply agreement had a one year term and expired in May 2017. We have unlimited rights to use the technology under our prior technology license agreement.</w:t>
      </w:r>
    </w:p>
    <w:p>
      <w:pPr>
        <w:spacing w:after="0" w:line="47"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In the second quarter of fiscal 2016, $57.5 million of our senior convertible notes matured. We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selected operating information expressed as a percentage of revenue: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300" w:type="dxa"/>
            <w:vAlign w:val="bottom"/>
          </w:tcPr>
          <w:p>
            <w:pPr>
              <w:spacing w:after="0"/>
              <w:rPr>
                <w:sz w:val="14"/>
                <w:szCs w:val="14"/>
                <w:color w:val="auto"/>
              </w:rPr>
            </w:pPr>
          </w:p>
        </w:tc>
        <w:tc>
          <w:tcPr>
            <w:tcW w:w="12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October 31,</w:t>
            </w:r>
          </w:p>
        </w:tc>
        <w:tc>
          <w:tcPr>
            <w:tcW w:w="1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July 29,</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October 29,</w:t>
            </w:r>
          </w:p>
        </w:tc>
      </w:tr>
      <w:tr>
        <w:trPr>
          <w:trHeight w:val="177"/>
        </w:trPr>
        <w:tc>
          <w:tcPr>
            <w:tcW w:w="6300" w:type="dxa"/>
            <w:vAlign w:val="bottom"/>
          </w:tcPr>
          <w:p>
            <w:pPr>
              <w:spacing w:after="0"/>
              <w:rPr>
                <w:sz w:val="15"/>
                <w:szCs w:val="15"/>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100.0%</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r>
      <w:tr>
        <w:trPr>
          <w:trHeight w:val="242"/>
        </w:trPr>
        <w:tc>
          <w:tcPr>
            <w:tcW w:w="6300" w:type="dxa"/>
            <w:vAlign w:val="bottom"/>
            <w:tcBorders>
              <w:right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right w:val="single" w:sz="8" w:color="CCEEFF"/>
            </w:tcBorders>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top w:val="single" w:sz="8" w:color="auto"/>
              <w:right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0"/>
                <w:szCs w:val="20"/>
                <w:color w:val="auto"/>
              </w:rPr>
            </w:pPr>
          </w:p>
        </w:tc>
      </w:tr>
      <w:tr>
        <w:trPr>
          <w:trHeight w:val="248"/>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lef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00" w:type="dxa"/>
            <w:vAlign w:val="bottom"/>
            <w:tcBorders>
              <w:right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8.6%</w:t>
            </w: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6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300" w:type="dxa"/>
            <w:vAlign w:val="bottom"/>
            <w:tcBorders>
              <w:top w:val="single" w:sz="8" w:color="CCEEFF"/>
              <w:right w:val="single" w:sz="8" w:color="auto"/>
            </w:tcBorders>
            <w:shd w:val="clear" w:color="auto" w:fill="CCEEFF"/>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right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28"/>
        </w:trPr>
        <w:tc>
          <w:tcPr>
            <w:tcW w:w="63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6300" w:type="dxa"/>
            <w:vAlign w:val="bottom"/>
          </w:tcPr>
          <w:p>
            <w:pPr>
              <w:spacing w:after="0"/>
              <w:rPr>
                <w:sz w:val="14"/>
                <w:szCs w:val="14"/>
                <w:color w:val="auto"/>
              </w:rPr>
            </w:pPr>
          </w:p>
        </w:tc>
        <w:tc>
          <w:tcPr>
            <w:tcW w:w="12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October 31,</w:t>
            </w:r>
          </w:p>
        </w:tc>
        <w:tc>
          <w:tcPr>
            <w:tcW w:w="1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October 29,</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October 30,</w:t>
            </w:r>
          </w:p>
        </w:tc>
      </w:tr>
      <w:tr>
        <w:trPr>
          <w:trHeight w:val="177"/>
        </w:trPr>
        <w:tc>
          <w:tcPr>
            <w:tcW w:w="6300" w:type="dxa"/>
            <w:vAlign w:val="bottom"/>
          </w:tcPr>
          <w:p>
            <w:pPr>
              <w:spacing w:after="0"/>
              <w:rPr>
                <w:sz w:val="15"/>
                <w:szCs w:val="15"/>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5"/>
        </w:trPr>
        <w:tc>
          <w:tcPr>
            <w:tcW w:w="6300" w:type="dxa"/>
            <w:vAlign w:val="bottom"/>
          </w:tcPr>
          <w:p>
            <w:pPr>
              <w:spacing w:after="0"/>
              <w:rPr>
                <w:sz w:val="20"/>
                <w:szCs w:val="20"/>
                <w:color w:val="auto"/>
              </w:rPr>
            </w:pPr>
            <w:r>
              <w:rPr>
                <w:rFonts w:ascii="Arial" w:cs="Arial" w:eastAsia="Arial" w:hAnsi="Arial"/>
                <w:sz w:val="18"/>
                <w:szCs w:val="18"/>
                <w:color w:val="auto"/>
              </w:rPr>
              <w:t>Cost of goods sold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20"/>
                <w:szCs w:val="20"/>
                <w:color w:val="auto"/>
              </w:rPr>
            </w:pPr>
          </w:p>
        </w:tc>
      </w:tr>
      <w:tr>
        <w:trPr>
          <w:trHeight w:val="242"/>
        </w:trPr>
        <w:tc>
          <w:tcPr>
            <w:tcW w:w="6300" w:type="dxa"/>
            <w:vAlign w:val="bottom"/>
            <w:tcBorders>
              <w:right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740" w:type="dxa"/>
            <w:vAlign w:val="bottom"/>
            <w:tcBorders>
              <w:top w:val="single" w:sz="8" w:color="auto"/>
            </w:tcBorders>
            <w:gridSpan w:val="2"/>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r>
      <w:tr>
        <w:trPr>
          <w:trHeight w:val="248"/>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1"/>
                <w:szCs w:val="21"/>
                <w:color w:val="auto"/>
              </w:rPr>
            </w:pPr>
          </w:p>
        </w:tc>
      </w:tr>
      <w:tr>
        <w:trPr>
          <w:trHeight w:val="236"/>
        </w:trPr>
        <w:tc>
          <w:tcPr>
            <w:tcW w:w="6300" w:type="dxa"/>
            <w:vAlign w:val="bottom"/>
          </w:tcPr>
          <w:p>
            <w:pPr>
              <w:spacing w:after="0"/>
              <w:rPr>
                <w:sz w:val="20"/>
                <w:szCs w:val="20"/>
                <w:color w:val="auto"/>
              </w:rPr>
            </w:pPr>
            <w:r>
              <w:rPr>
                <w:rFonts w:ascii="Arial" w:cs="Arial" w:eastAsia="Arial" w:hAnsi="Arial"/>
                <w:sz w:val="18"/>
                <w:szCs w:val="18"/>
                <w:color w:val="auto"/>
              </w:rPr>
              <w:t>Interest income and other income (expense)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r>
      <w:tr>
        <w:trPr>
          <w:trHeight w:val="248"/>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Gains on sales of investments</w:t>
            </w:r>
          </w:p>
        </w:tc>
        <w:tc>
          <w:tcPr>
            <w:tcW w:w="120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r>
      <w:tr>
        <w:trPr>
          <w:trHeight w:val="228"/>
        </w:trPr>
        <w:tc>
          <w:tcPr>
            <w:tcW w:w="63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7"/>
        </w:trPr>
        <w:tc>
          <w:tcPr>
            <w:tcW w:w="63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right w:val="single" w:sz="8" w:color="CCEEFF"/>
            </w:tcBorders>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300" w:type="dxa"/>
            <w:vAlign w:val="bottom"/>
            <w:tcBorders>
              <w:top w:val="single" w:sz="8" w:color="CCEEFF"/>
              <w:right w:val="single" w:sz="8" w:color="auto"/>
            </w:tcBorders>
            <w:shd w:val="clear" w:color="auto" w:fill="CCEEFF"/>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lef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Note: All the following tabular comparisons, unless otherwise indicated, are for the three months ended October 31, 2018 (Q4</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FY18), July 29, 2018 (Q3 FY18) and October 29, 2017 (Q4 FY17), and for the fiscal years ended October 31, 2018 (FY18),</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2017 (FY17) and October 30, 2016 (FY16), in millions of dollars.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left="534"/>
              <w:spacing w:after="0"/>
              <w:rPr>
                <w:sz w:val="20"/>
                <w:szCs w:val="20"/>
                <w:color w:val="auto"/>
              </w:rPr>
            </w:pPr>
            <w:r>
              <w:rPr>
                <w:rFonts w:ascii="Arial" w:cs="Arial" w:eastAsia="Arial" w:hAnsi="Arial"/>
                <w:sz w:val="14"/>
                <w:szCs w:val="14"/>
                <w:b w:val="1"/>
                <w:bCs w:val="1"/>
                <w:color w:val="auto"/>
                <w:w w:val="95"/>
              </w:rPr>
              <w:t>Q4 FY18 Compared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280"/>
              <w:spacing w:after="0"/>
              <w:rPr>
                <w:sz w:val="20"/>
                <w:szCs w:val="20"/>
                <w:color w:val="auto"/>
              </w:rPr>
            </w:pPr>
            <w:r>
              <w:rPr>
                <w:rFonts w:ascii="Arial" w:cs="Arial" w:eastAsia="Arial" w:hAnsi="Arial"/>
                <w:sz w:val="14"/>
                <w:szCs w:val="14"/>
                <w:b w:val="1"/>
                <w:bCs w:val="1"/>
                <w:color w:val="auto"/>
              </w:rPr>
              <w:t>Q4 FY18 Compared</w:t>
            </w:r>
          </w:p>
        </w:tc>
      </w:tr>
      <w:tr>
        <w:trPr>
          <w:trHeight w:val="171"/>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with Q3 FY18</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with Q4 FY17</w:t>
            </w:r>
          </w:p>
        </w:tc>
        <w:tc>
          <w:tcPr>
            <w:tcW w:w="80" w:type="dxa"/>
            <w:vAlign w:val="bottom"/>
          </w:tcPr>
          <w:p>
            <w:pPr>
              <w:spacing w:after="0"/>
              <w:rPr>
                <w:sz w:val="14"/>
                <w:szCs w:val="14"/>
                <w:color w:val="auto"/>
              </w:rPr>
            </w:pPr>
          </w:p>
        </w:tc>
      </w:tr>
      <w:tr>
        <w:trPr>
          <w:trHeight w:val="172"/>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Revenue in</w:t>
            </w:r>
          </w:p>
        </w:tc>
        <w:tc>
          <w:tcPr>
            <w:tcW w:w="2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Increase</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Increase</w:t>
            </w:r>
          </w:p>
        </w:tc>
      </w:tr>
      <w:tr>
        <w:trPr>
          <w:trHeight w:val="177"/>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Q4 FY18</w:t>
            </w:r>
          </w:p>
        </w:tc>
        <w:tc>
          <w:tcPr>
            <w:tcW w:w="2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(Decrease)</w:t>
            </w:r>
          </w:p>
        </w:tc>
      </w:tr>
      <w:tr>
        <w:trPr>
          <w:trHeight w:val="222"/>
        </w:trPr>
        <w:tc>
          <w:tcPr>
            <w:tcW w:w="4700" w:type="dxa"/>
            <w:vAlign w:val="bottom"/>
            <w:tcBorders>
              <w:right w:val="single" w:sz="8" w:color="CCEEFF"/>
            </w:tcBorders>
            <w:gridSpan w:val="3"/>
            <w:shd w:val="clear" w:color="auto" w:fill="CCEEFF"/>
          </w:tcPr>
          <w:p>
            <w:pPr>
              <w:spacing w:after="0" w:line="188" w:lineRule="exact"/>
              <w:rPr>
                <w:sz w:val="20"/>
                <w:szCs w:val="20"/>
                <w:color w:val="auto"/>
              </w:rPr>
            </w:pPr>
            <w:r>
              <w:rPr>
                <w:rFonts w:ascii="Arial" w:cs="Arial" w:eastAsia="Arial" w:hAnsi="Arial"/>
                <w:sz w:val="18"/>
                <w:szCs w:val="18"/>
                <w:color w:val="auto"/>
              </w:rPr>
              <w:t>IC</w:t>
            </w: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6"/>
        </w:trPr>
        <w:tc>
          <w:tcPr>
            <w:tcW w:w="180" w:type="dxa"/>
            <w:vAlign w:val="bottom"/>
            <w:tcBorders>
              <w:top w:val="single" w:sz="8" w:color="auto"/>
            </w:tcBorders>
          </w:tcPr>
          <w:p>
            <w:pPr>
              <w:spacing w:after="0"/>
              <w:rPr>
                <w:sz w:val="20"/>
                <w:szCs w:val="20"/>
                <w:color w:val="auto"/>
              </w:rPr>
            </w:pPr>
          </w:p>
        </w:tc>
        <w:tc>
          <w:tcPr>
            <w:tcW w:w="45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High-end</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39.4</w:t>
            </w:r>
          </w:p>
        </w:tc>
        <w:tc>
          <w:tcPr>
            <w:tcW w:w="108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(6.7)</w:t>
            </w:r>
          </w:p>
        </w:tc>
        <w:tc>
          <w:tcPr>
            <w:tcW w:w="9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34"/>
        </w:trPr>
        <w:tc>
          <w:tcPr>
            <w:tcW w:w="180" w:type="dxa"/>
            <w:vAlign w:val="bottom"/>
            <w:shd w:val="clear" w:color="auto" w:fill="CCEEFF"/>
          </w:tcPr>
          <w:p>
            <w:pPr>
              <w:spacing w:after="0"/>
              <w:rPr>
                <w:sz w:val="20"/>
                <w:szCs w:val="20"/>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Mainstream</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r>
      <w:tr>
        <w:trPr>
          <w:trHeight w:val="27"/>
        </w:trPr>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3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5"/>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Total 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110.9</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r>
      <w:tr>
        <w:trPr>
          <w:trHeight w:val="188"/>
        </w:trPr>
        <w:tc>
          <w:tcPr>
            <w:tcW w:w="4700" w:type="dxa"/>
            <w:vAlign w:val="bottom"/>
            <w:tcBorders>
              <w:right w:val="single" w:sz="8" w:color="CCEEFF"/>
            </w:tcBorders>
            <w:gridSpan w:val="3"/>
            <w:shd w:val="clear" w:color="auto" w:fill="CCEEFF"/>
          </w:tcPr>
          <w:p>
            <w:pPr>
              <w:spacing w:after="0" w:line="188" w:lineRule="exact"/>
              <w:rPr>
                <w:sz w:val="20"/>
                <w:szCs w:val="20"/>
                <w:color w:val="auto"/>
              </w:rPr>
            </w:pPr>
            <w:r>
              <w:rPr>
                <w:rFonts w:ascii="Arial" w:cs="Arial" w:eastAsia="Arial" w:hAnsi="Arial"/>
                <w:sz w:val="18"/>
                <w:szCs w:val="18"/>
                <w:color w:val="auto"/>
              </w:rPr>
              <w:t>FPD</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43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6"/>
        </w:trPr>
        <w:tc>
          <w:tcPr>
            <w:tcW w:w="18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High-end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34"/>
        </w:trPr>
        <w:tc>
          <w:tcPr>
            <w:tcW w:w="180" w:type="dxa"/>
            <w:vAlign w:val="bottom"/>
            <w:shd w:val="clear" w:color="auto" w:fill="CCEEFF"/>
          </w:tcPr>
          <w:p>
            <w:pPr>
              <w:spacing w:after="0"/>
              <w:rPr>
                <w:sz w:val="20"/>
                <w:szCs w:val="20"/>
                <w:color w:val="auto"/>
              </w:rPr>
            </w:pPr>
          </w:p>
        </w:tc>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Mainstream</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8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7"/>
        </w:trPr>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3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Total FPD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r>
      <w:tr>
        <w:trPr>
          <w:trHeight w:val="27"/>
        </w:trPr>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80" w:type="dxa"/>
            <w:vAlign w:val="bottom"/>
            <w:tcBorders>
              <w:left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r>
      <w:tr>
        <w:trPr>
          <w:trHeight w:val="27"/>
        </w:trPr>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500"/>
          </w:cols>
          <w:pgMar w:left="1200" w:top="278" w:right="119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309880</wp:posOffset>
            </wp:positionV>
            <wp:extent cx="603631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In Q1 FY18, we changed the threshold for the definition of high-end IC, from 45 nanometer or smaller to 28 nanometer or smaller, to reflect the overall advancement of technology in the semiconductor industry. All comparisons to prior period results in this MD&amp;A reflect this modification. Our definition of high-end FPD products remains as G8 and above and active matrix organic light-emitting diode (AMOLED) display screens. High-end photomasks typically have higher ASPs than mainstream products.</w:t>
      </w:r>
    </w:p>
    <w:p>
      <w:pPr>
        <w:spacing w:after="0" w:line="47"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compare revenue in Q4 FY18 with revenue in Q3 FY18 and Q4 FY17 by geographic area: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7"/>
              </w:rPr>
              <w:t>Q4 FY18 with Q3 FY18</w:t>
            </w:r>
          </w:p>
        </w:tc>
        <w:tc>
          <w:tcPr>
            <w:tcW w:w="1860" w:type="dxa"/>
            <w:vAlign w:val="bottom"/>
            <w:gridSpan w:val="7"/>
          </w:tcPr>
          <w:p>
            <w:pPr>
              <w:ind w:left="180"/>
              <w:spacing w:after="0"/>
              <w:rPr>
                <w:sz w:val="20"/>
                <w:szCs w:val="20"/>
                <w:color w:val="auto"/>
              </w:rPr>
            </w:pPr>
            <w:r>
              <w:rPr>
                <w:rFonts w:ascii="Arial" w:cs="Arial" w:eastAsia="Arial" w:hAnsi="Arial"/>
                <w:sz w:val="14"/>
                <w:szCs w:val="14"/>
                <w:b w:val="1"/>
                <w:bCs w:val="1"/>
                <w:color w:val="auto"/>
              </w:rPr>
              <w:t>Q4 FY18 with Q4 FY17</w:t>
            </w:r>
          </w:p>
        </w:tc>
      </w:tr>
      <w:tr>
        <w:trPr>
          <w:trHeight w:val="159"/>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9"/>
              </w:rPr>
              <w:t>Revenue</w:t>
            </w: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Percent</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84"/>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9"/>
              </w:rPr>
              <w:t>Q4 FY18</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gridSpan w:val="2"/>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5"/>
                <w:szCs w:val="15"/>
                <w:color w:val="auto"/>
              </w:rPr>
            </w:pPr>
          </w:p>
        </w:tc>
      </w:t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4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22"/>
        </w:trPr>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Revenue increased 6.1% in Q4 FY18 compared with Q3 FY18, as a result of mainstream IC and high end FPD growth. IC mainstream increased 16.8% from Q3 FY18, due to healthy foundry demand across Asia. High end IC decreased 14.4%, as soft demand for high-end logic offset growth in high-end memory. FPD revenue increased 15.9% from Q3 FY18 due to an increase in high end driven by mobile AMOLED demand, partially offset by a decrease in FPD mainstream. The decrease in FPD mainstream was slightly offset by improved demand from masks used in LTPS LCD mobile displays.</w:t>
      </w:r>
    </w:p>
    <w:p>
      <w:pPr>
        <w:spacing w:after="0" w:line="66"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Revenue increased 19.6% in Q4 FY18 compared with Q4 FY17, primarily as a result of high-end and mainstream IC growth. That revenue increased 15.4% from Q4 FY17, due to high-end growth in both logic and memory from the healthy foundry demand across Asia. FPD revenue increased 35.6% from Q4 FY17 due to better demand across our products and markets, particularly in mobile displays.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compare revenue in FY18 with revenue in FY17, and revenue in FY17 with revenue in FY16: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FY18 Compared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FY17 Compared</w:t>
            </w:r>
          </w:p>
        </w:tc>
      </w:tr>
      <w:tr>
        <w:trPr>
          <w:trHeight w:val="184"/>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with FY17</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with FY16</w:t>
            </w:r>
          </w:p>
        </w:tc>
        <w:tc>
          <w:tcPr>
            <w:tcW w:w="100" w:type="dxa"/>
            <w:vAlign w:val="bottom"/>
          </w:tcPr>
          <w:p>
            <w:pPr>
              <w:spacing w:after="0"/>
              <w:rPr>
                <w:sz w:val="15"/>
                <w:szCs w:val="15"/>
                <w:color w:val="auto"/>
              </w:rPr>
            </w:pPr>
          </w:p>
        </w:tc>
      </w:tr>
      <w:tr>
        <w:trPr>
          <w:trHeight w:val="159"/>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Revenue in</w:t>
            </w:r>
          </w:p>
        </w:tc>
        <w:tc>
          <w:tcPr>
            <w:tcW w:w="180" w:type="dxa"/>
            <w:vAlign w:val="bottom"/>
          </w:tcPr>
          <w:p>
            <w:pPr>
              <w:spacing w:after="0"/>
              <w:rPr>
                <w:sz w:val="13"/>
                <w:szCs w:val="13"/>
                <w:color w:val="auto"/>
              </w:rPr>
            </w:pPr>
          </w:p>
        </w:tc>
        <w:tc>
          <w:tcPr>
            <w:tcW w:w="820" w:type="dxa"/>
            <w:vAlign w:val="bottom"/>
            <w:gridSpan w:val="2"/>
          </w:tcPr>
          <w:p>
            <w:pPr>
              <w:jc w:val="right"/>
              <w:ind w:right="260"/>
              <w:spacing w:after="0" w:line="159"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3"/>
                <w:szCs w:val="13"/>
                <w:color w:val="auto"/>
              </w:rPr>
            </w:pPr>
          </w:p>
        </w:tc>
        <w:tc>
          <w:tcPr>
            <w:tcW w:w="8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1"/>
              </w:rPr>
              <w:t>Increase</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w w:val="98"/>
              </w:rPr>
              <w:t>Increase</w:t>
            </w:r>
          </w:p>
        </w:tc>
      </w:tr>
      <w:tr>
        <w:trPr>
          <w:trHeight w:val="184"/>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(Decrease)</w:t>
            </w:r>
          </w:p>
        </w:tc>
      </w:tr>
      <w:tr>
        <w:trPr>
          <w:trHeight w:val="215"/>
        </w:trPr>
        <w:tc>
          <w:tcPr>
            <w:tcW w:w="28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IC</w:t>
            </w:r>
          </w:p>
        </w:tc>
        <w:tc>
          <w:tcPr>
            <w:tcW w:w="20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36"/>
        </w:trPr>
        <w:tc>
          <w:tcPr>
            <w:tcW w:w="180" w:type="dxa"/>
            <w:vAlign w:val="bottom"/>
            <w:tcBorders>
              <w:top w:val="single" w:sz="8" w:color="auto"/>
            </w:tcBorders>
          </w:tcPr>
          <w:p>
            <w:pPr>
              <w:spacing w:after="0"/>
              <w:rPr>
                <w:sz w:val="20"/>
                <w:szCs w:val="20"/>
                <w:color w:val="auto"/>
              </w:rPr>
            </w:pPr>
          </w:p>
        </w:tc>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High-end</w:t>
            </w:r>
          </w:p>
        </w:tc>
        <w:tc>
          <w:tcPr>
            <w:tcW w:w="2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160.4</w:t>
            </w:r>
          </w:p>
        </w:tc>
        <w:tc>
          <w:tcPr>
            <w:tcW w:w="10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61.3</w:t>
            </w:r>
          </w:p>
        </w:tc>
        <w:tc>
          <w:tcPr>
            <w:tcW w:w="8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tcPr>
          <w:p>
            <w:pPr>
              <w:spacing w:after="0"/>
              <w:rPr>
                <w:sz w:val="20"/>
                <w:szCs w:val="20"/>
                <w:color w:val="auto"/>
              </w:rPr>
            </w:pPr>
          </w:p>
        </w:tc>
      </w:tr>
      <w:tr>
        <w:trPr>
          <w:trHeight w:val="248"/>
        </w:trPr>
        <w:tc>
          <w:tcPr>
            <w:tcW w:w="1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Mainstream</w:t>
            </w:r>
          </w:p>
        </w:tc>
        <w:tc>
          <w:tcPr>
            <w:tcW w:w="20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r>
      <w:tr>
        <w:trPr>
          <w:trHeight w:val="20"/>
        </w:trPr>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20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Total IC</w:t>
            </w:r>
          </w:p>
        </w:tc>
        <w:tc>
          <w:tcPr>
            <w:tcW w:w="20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181"/>
        </w:trPr>
        <w:tc>
          <w:tcPr>
            <w:tcW w:w="28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FPD</w:t>
            </w:r>
          </w:p>
        </w:tc>
        <w:tc>
          <w:tcPr>
            <w:tcW w:w="20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6"/>
        </w:trPr>
        <w:tc>
          <w:tcPr>
            <w:tcW w:w="18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High-end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48"/>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Mainstream</w:t>
            </w:r>
          </w:p>
        </w:tc>
        <w:tc>
          <w:tcPr>
            <w:tcW w:w="20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0" w:type="dxa"/>
            <w:vAlign w:val="bottom"/>
            <w:tcBorders>
              <w:left w:val="single" w:sz="8" w:color="CCEEFF"/>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35"/>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Total FPD</w:t>
            </w:r>
          </w:p>
        </w:tc>
        <w:tc>
          <w:tcPr>
            <w:tcW w:w="20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CEEFF"/>
          </w:tcPr>
          <w:p>
            <w:pPr>
              <w:spacing w:after="0"/>
              <w:rPr>
                <w:sz w:val="23"/>
                <w:szCs w:val="23"/>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430"/>
        </w:trPr>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6"/>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208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500"/>
          </w:cols>
          <w:pgMar w:left="1200" w:top="278" w:right="119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rFonts w:ascii="Arial" w:cs="Arial" w:eastAsia="Arial" w:hAnsi="Arial"/>
                <w:sz w:val="14"/>
                <w:szCs w:val="14"/>
                <w:b w:val="1"/>
                <w:bCs w:val="1"/>
                <w:color w:val="0000EE"/>
              </w:rPr>
            </w:pPr>
            <w:hyperlink w:anchor="page32">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6"/>
        </w:trPr>
        <w:tc>
          <w:tcPr>
            <w:tcW w:w="15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FY18 with FY17</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FY17 with FY16</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15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2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Revenue in</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3"/>
                <w:szCs w:val="13"/>
                <w:color w:val="auto"/>
              </w:rPr>
            </w:pP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Revenue in</w:t>
            </w:r>
          </w:p>
        </w:tc>
        <w:tc>
          <w:tcPr>
            <w:tcW w:w="18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w w:val="91"/>
              </w:rPr>
              <w:t>Increase</w:t>
            </w:r>
          </w:p>
        </w:tc>
      </w:tr>
      <w:tr>
        <w:trPr>
          <w:trHeight w:val="184"/>
        </w:trPr>
        <w:tc>
          <w:tcPr>
            <w:tcW w:w="15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(Decrease)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FY17</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(Decrease)</w:t>
            </w:r>
          </w:p>
        </w:tc>
        <w:tc>
          <w:tcPr>
            <w:tcW w:w="80" w:type="dxa"/>
            <w:vAlign w:val="bottom"/>
          </w:tcPr>
          <w:p>
            <w:pPr>
              <w:spacing w:after="0"/>
              <w:rPr>
                <w:sz w:val="15"/>
                <w:szCs w:val="15"/>
                <w:color w:val="auto"/>
              </w:rPr>
            </w:pPr>
          </w:p>
        </w:tc>
      </w:tr>
      <w:tr>
        <w:trPr>
          <w:trHeight w:val="235"/>
        </w:trPr>
        <w:tc>
          <w:tcPr>
            <w:tcW w:w="3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36"/>
        </w:trPr>
        <w:tc>
          <w:tcPr>
            <w:tcW w:w="3940" w:type="dxa"/>
            <w:vAlign w:val="bottom"/>
            <w:gridSpan w:val="2"/>
          </w:tcPr>
          <w:p>
            <w:pPr>
              <w:spacing w:after="0"/>
              <w:rPr>
                <w:sz w:val="20"/>
                <w:szCs w:val="20"/>
                <w:color w:val="auto"/>
              </w:rPr>
            </w:pPr>
            <w:r>
              <w:rPr>
                <w:rFonts w:ascii="Arial" w:cs="Arial" w:eastAsia="Arial" w:hAnsi="Arial"/>
                <w:sz w:val="18"/>
                <w:szCs w:val="18"/>
                <w:color w:val="auto"/>
              </w:rPr>
              <w:t>Korea</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48"/>
        </w:trPr>
        <w:tc>
          <w:tcPr>
            <w:tcW w:w="3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36"/>
        </w:trPr>
        <w:tc>
          <w:tcPr>
            <w:tcW w:w="39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48"/>
        </w:trPr>
        <w:tc>
          <w:tcPr>
            <w:tcW w:w="3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r>
        <w:trPr>
          <w:trHeight w:val="20"/>
        </w:trPr>
        <w:tc>
          <w:tcPr>
            <w:tcW w:w="1540" w:type="dxa"/>
            <w:vAlign w:val="bottom"/>
            <w:shd w:val="clear" w:color="auto" w:fill="CCEEFF"/>
          </w:tcPr>
          <w:p>
            <w:pPr>
              <w:spacing w:after="0" w:line="20" w:lineRule="exact"/>
              <w:rPr>
                <w:sz w:val="1"/>
                <w:szCs w:val="1"/>
                <w:color w:val="auto"/>
              </w:rPr>
            </w:pPr>
          </w:p>
        </w:tc>
        <w:tc>
          <w:tcPr>
            <w:tcW w:w="24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1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535.3</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r>
      <w:tr>
        <w:trPr>
          <w:trHeight w:val="20"/>
        </w:trPr>
        <w:tc>
          <w:tcPr>
            <w:tcW w:w="1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Revenue increased 18.8% in FY18 compared with FY17 primarily due to increased high end IC growth. That revenue increased 61.9% due to growth in both logic and memory from healthy foundry demand across Asia. FPD revenue increased 18.7% from FY17 due to better demand across our products and markets.</w:t>
      </w:r>
    </w:p>
    <w:p>
      <w:pPr>
        <w:spacing w:after="0" w:line="74"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Revenue decreased 6.8% in FY17 compared with FY16 primarily due to decreases in both IC and FPD. IC photomask revenue decreased 3.9% as growth in high-end memory was offset by weakness in high-end and mainstream logic. FPD sales decreased 15.6% in FY17 compared with FY16 primarily due to a decline in high-end mobile displays.</w:t>
      </w:r>
    </w:p>
    <w:p>
      <w:pPr>
        <w:spacing w:after="0" w:line="5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As we begin our 2019 fiscal year, we are cautiously optimistic, as we observe favorable signs of demand drivers, but we are aware of certain potential macro challenges. While the photomask market has held up well, there are some sectors in the semiconductor industry that have witnessed slowing demand. If this expands into a more widespread economic slowdown, then it’s possible that our markets will also be impacted. In addition to potential demand challenges, there are also geopolitical risks, the outcome of which are uncertain. We currently expect greater than normal seasonal impact in Q1 as the high-end IC market looks to remain soft, and we will have fewer days in our fiscal first quarter. Beyond the first quarter, growth will be dependent on the shape and duration of any potential market downturn. As we approach the second half of the year, we anticipate additional growth from the ramp of our new China facilities. As a result, we anticipate that, our 2019 growth will be dependent on underlying market demand and how effectively we ramp production in China.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Percent Change</w:t>
            </w:r>
          </w:p>
        </w:tc>
        <w:tc>
          <w:tcPr>
            <w:tcW w:w="80" w:type="dxa"/>
            <w:vAlign w:val="bottom"/>
          </w:tcPr>
          <w:p>
            <w:pPr>
              <w:spacing w:after="0"/>
              <w:rPr>
                <w:sz w:val="15"/>
                <w:szCs w:val="15"/>
                <w:color w:val="auto"/>
              </w:rPr>
            </w:pPr>
          </w:p>
        </w:tc>
      </w:tr>
      <w:tr>
        <w:trPr>
          <w:trHeight w:val="159"/>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9"/>
              </w:rPr>
              <w:t>Q4 FY18</w:t>
            </w:r>
          </w:p>
        </w:tc>
        <w:tc>
          <w:tcPr>
            <w:tcW w:w="9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6"/>
              </w:rPr>
              <w:t>Q4 FY18</w:t>
            </w:r>
          </w:p>
        </w:tc>
      </w:t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from Q3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from Q4</w:t>
            </w:r>
          </w:p>
        </w:tc>
      </w:tr>
      <w:tr>
        <w:trPr>
          <w:trHeight w:val="184"/>
        </w:trPr>
        <w:tc>
          <w:tcPr>
            <w:tcW w:w="4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FY18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Q3 FY18</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FY17</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FY17</w:t>
            </w:r>
          </w:p>
        </w:tc>
        <w:tc>
          <w:tcPr>
            <w:tcW w:w="80" w:type="dxa"/>
            <w:vAlign w:val="bottom"/>
          </w:tcPr>
          <w:p>
            <w:pPr>
              <w:spacing w:after="0"/>
              <w:rPr>
                <w:sz w:val="15"/>
                <w:szCs w:val="15"/>
                <w:color w:val="auto"/>
              </w:rPr>
            </w:pPr>
          </w:p>
        </w:tc>
      </w:tr>
      <w:tr>
        <w:trPr>
          <w:trHeight w:val="235"/>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105"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Gross profit and gross margin decreased in Q4 FY18, compared with Q3 FY18, primarily due to increased materials and equipment maintenance costs incurred in the current quarter. Gross profit and gross margin increased in Q4 FY18, compared with Q4 FY17, primarily as a result of the increased revenue in the current quarter, which exceeded increased materials, labor, and other overhead costs incurred in Q4 FY18. As we operate in a high fixed-cost environment increases or decreases in our revenues and capacity utilization will generally positively or negatively impact our gross margin.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Percent Change</w:t>
            </w:r>
          </w:p>
        </w:tc>
        <w:tc>
          <w:tcPr>
            <w:tcW w:w="80" w:type="dxa"/>
            <w:vAlign w:val="bottom"/>
          </w:tcPr>
          <w:p>
            <w:pPr>
              <w:spacing w:after="0"/>
              <w:rPr>
                <w:sz w:val="15"/>
                <w:szCs w:val="15"/>
                <w:color w:val="auto"/>
              </w:rPr>
            </w:pPr>
          </w:p>
        </w:tc>
      </w:tr>
      <w:tr>
        <w:trPr>
          <w:trHeight w:val="159"/>
        </w:trPr>
        <w:tc>
          <w:tcPr>
            <w:tcW w:w="4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FY18</w:t>
            </w:r>
          </w:p>
        </w:tc>
        <w:tc>
          <w:tcPr>
            <w:tcW w:w="940" w:type="dxa"/>
            <w:vAlign w:val="bottom"/>
            <w:gridSpan w:val="2"/>
          </w:tcPr>
          <w:p>
            <w:pPr>
              <w:ind w:left="300"/>
              <w:spacing w:after="0" w:line="159" w:lineRule="exact"/>
              <w:rPr>
                <w:sz w:val="20"/>
                <w:szCs w:val="20"/>
                <w:color w:val="auto"/>
              </w:rPr>
            </w:pPr>
            <w:r>
              <w:rPr>
                <w:rFonts w:ascii="Arial" w:cs="Arial" w:eastAsia="Arial" w:hAnsi="Arial"/>
                <w:sz w:val="14"/>
                <w:szCs w:val="14"/>
                <w:b w:val="1"/>
                <w:bCs w:val="1"/>
                <w:color w:val="auto"/>
              </w:rPr>
              <w:t>FY17</w:t>
            </w:r>
          </w:p>
        </w:tc>
      </w:t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from</w:t>
            </w:r>
          </w:p>
        </w:tc>
        <w:tc>
          <w:tcPr>
            <w:tcW w:w="940" w:type="dxa"/>
            <w:vAlign w:val="bottom"/>
            <w:gridSpan w:val="2"/>
          </w:tcPr>
          <w:p>
            <w:pPr>
              <w:ind w:left="320"/>
              <w:spacing w:after="0"/>
              <w:rPr>
                <w:sz w:val="20"/>
                <w:szCs w:val="20"/>
                <w:color w:val="auto"/>
              </w:rPr>
            </w:pPr>
            <w:r>
              <w:rPr>
                <w:rFonts w:ascii="Arial" w:cs="Arial" w:eastAsia="Arial" w:hAnsi="Arial"/>
                <w:sz w:val="14"/>
                <w:szCs w:val="14"/>
                <w:b w:val="1"/>
                <w:bCs w:val="1"/>
                <w:color w:val="auto"/>
              </w:rPr>
              <w:t>from</w:t>
            </w:r>
          </w:p>
        </w:tc>
      </w:tr>
      <w:tr>
        <w:trPr>
          <w:trHeight w:val="184"/>
        </w:trPr>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FY17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FY16</w:t>
            </w:r>
          </w:p>
        </w:tc>
        <w:tc>
          <w:tcPr>
            <w:tcW w:w="180" w:type="dxa"/>
            <w:vAlign w:val="bottom"/>
          </w:tcPr>
          <w:p>
            <w:pPr>
              <w:spacing w:after="0"/>
              <w:rPr>
                <w:sz w:val="15"/>
                <w:szCs w:val="15"/>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FY17</w:t>
            </w:r>
          </w:p>
        </w:tc>
        <w:tc>
          <w:tcPr>
            <w:tcW w:w="200" w:type="dxa"/>
            <w:vAlign w:val="bottom"/>
          </w:tcPr>
          <w:p>
            <w:pPr>
              <w:spacing w:after="0"/>
              <w:rPr>
                <w:sz w:val="15"/>
                <w:szCs w:val="15"/>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FY16</w:t>
            </w:r>
          </w:p>
        </w:tc>
        <w:tc>
          <w:tcPr>
            <w:tcW w:w="80" w:type="dxa"/>
            <w:vAlign w:val="bottom"/>
          </w:tcPr>
          <w:p>
            <w:pPr>
              <w:spacing w:after="0"/>
              <w:rPr>
                <w:sz w:val="15"/>
                <w:szCs w:val="15"/>
                <w:color w:val="auto"/>
              </w:rPr>
            </w:pPr>
          </w:p>
        </w:tc>
      </w:tr>
      <w:tr>
        <w:trPr>
          <w:trHeight w:val="235"/>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105"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Gross profit and gross margin increased on a full-year basis in FY18, compared with FY17, primarily as a result of the increased revenue in the current year, which exceeded increased materials, labor, and other overhead costs incurred in FY18. Gross profit and gross margin decreased in FY17, compared with FY16, primarily due to a decrease in overall revenue that resulted from lower ASPs and, to a lesser extent, a reduction in units sold.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4" w:right="11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Selling, general and administrative expenses increased by $1.0 million, or 8.0%, to $13.5 million in Q4 FY18, from $12.5 million in Q3 FY18, primarily due to increased compensation and freight expenses. Selling, general and administrative expenses increased in Q4 FY18 by $3.3 million, or 32.6%, to $13.5 million, from $10.2 million in Q4 FY17, primarily as a result of increased compensation, professional services, and freight expenses.</w:t>
      </w:r>
    </w:p>
    <w:p>
      <w:pPr>
        <w:spacing w:after="0" w:line="80"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On a full year basis, selling, general and administrative expenses increased $7.8 million, or 17.9% in FY18, to $51.4 million from $43.6 million in FY17, primarily due to increases in compensation, freight, and travel expenses, partially as a result of activities related to our expansion into China. In addition, bad debt recoveries were more favorable in FY17 than in the current year. Selling, general and administrative expenses decreased by $1.0 million in FY17, compared with FY16, primarily due to reduced bad debt expense and professional fees, which were partially offset by increased compensation costs and selling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In the U.S., research and development expenses consist of development efforts related to high-end process technologies for 28nm and smaller IC nodes, while in Asia, in addition to the focus on high-end IC technology nodes, G8 and above FPDs and AMOLED applications are also under development.</w:t>
      </w:r>
    </w:p>
    <w:p>
      <w:pPr>
        <w:spacing w:after="0" w:line="74"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Research and development expense increased $1.3 million to 3.9 million in Q4 FY18, or 47.2%, from Q3 FY18, as a result of increased expenditures in both the U.S. and Asia. Research and development expense was up moderately ($0.1 million, or 1.8%) in Q4 FY18 from Q4 FY17, with increased spending in Taiwan exceeding decreased expenditures and related activities on large area masks in Korea.</w:t>
      </w:r>
    </w:p>
    <w:p>
      <w:pPr>
        <w:spacing w:after="0" w:line="80"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On a full year basis, research and development expense decreased $1.4 million in FY18, or 8.7%, to $14.5 million, as spending decreases in the U.S. and Taiwan exceeded an increase in Korea, primarily related to large area masks. Research and development expenses decreased by $5.8 million in FY17 to $15.9 million, from $21.7 million in FY16 as a result of lower customer qualification costs for high-end reticles in both Asia and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Q4 FY18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Q3 FY18</w:t>
            </w: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Q4 FY17</w:t>
            </w:r>
          </w:p>
        </w:tc>
        <w:tc>
          <w:tcPr>
            <w:tcW w:w="60" w:type="dxa"/>
            <w:vAlign w:val="bottom"/>
          </w:tcPr>
          <w:p>
            <w:pPr>
              <w:spacing w:after="0"/>
              <w:rPr>
                <w:sz w:val="15"/>
                <w:szCs w:val="15"/>
                <w:color w:val="auto"/>
              </w:rPr>
            </w:pPr>
          </w:p>
        </w:tc>
      </w:tr>
      <w:tr>
        <w:trPr>
          <w:trHeight w:val="242"/>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and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8"/>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9"/>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7"/>
        </w:trPr>
        <w:tc>
          <w:tcPr>
            <w:tcW w:w="69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Interest income and other income (expense) increased by $0.9 million in Q4 FY18, compared with Q3 FY18, primarily as a result of increased foreign currency transaction gains. Interest income and other income (expense) increased by $1.8 million in Q4 FY18, compared with Q4 FY17, also primarily as a result of increased foreign currency transaction gains in Q4 FY18 and gains realized on the sales of assets in Q4 FY18. Interest expense, which is principally related to our 3.25% convertible senior notes was essentially unchanged over the comparative quarterly periods.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FY17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FY16</w:t>
            </w:r>
          </w:p>
        </w:tc>
      </w:tr>
      <w:tr>
        <w:trPr>
          <w:trHeight w:val="242"/>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and other income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6"/>
        </w:trPr>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4"/>
        </w:trPr>
        <w:tc>
          <w:tcPr>
            <w:tcW w:w="6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on sales of investments</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9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Interest income and other income (expense) increased by $8.3 million on a full-year basis in FY18, compared with FY17, primarily as a result of our experiencing moderate foreign currency transaction gains in FY18, in contrast to significant losses in FY17. In addition, we realized gains on asset sales in FY18, and achieved better investment results on our cash balances than we did in the prior year.</w:t>
      </w:r>
    </w:p>
    <w:p>
      <w:pPr>
        <w:spacing w:after="0" w:line="80"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Interest income and other income (expense) decreased by $5.5 million in FY17, compared with FY16, primarily as a result of increased foreign currency transaction losses in FY17. Interest expense decreased in FY17 compared with FY16 primarily as a result of the maturity of our 3.25% convertible senior notes in April 2016, and lower average outstanding debt balance on our other debt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January 2016, we sold a minority interest investment in a foreign entity and recognized a gain of $8.8 million. In May 2016, we sold our 49.99% interest in the MP Mask joint venture and recognized a gain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5" w:lineRule="exact"/>
        <w:rPr>
          <w:sz w:val="20"/>
          <w:szCs w:val="20"/>
          <w:color w:val="auto"/>
        </w:rPr>
      </w:pPr>
    </w:p>
    <w:p>
      <w:pPr>
        <w:jc w:val="both"/>
        <w:ind w:firstLine="358"/>
        <w:spacing w:after="0" w:line="292" w:lineRule="auto"/>
        <w:rPr>
          <w:sz w:val="20"/>
          <w:szCs w:val="20"/>
          <w:color w:val="auto"/>
        </w:rPr>
      </w:pPr>
      <w:r>
        <w:rPr>
          <w:rFonts w:ascii="Arial" w:cs="Arial" w:eastAsia="Arial" w:hAnsi="Arial"/>
          <w:sz w:val="16"/>
          <w:szCs w:val="16"/>
          <w:color w:val="auto"/>
        </w:rPr>
        <w:t>The U.S. Tax Cuts and Jobs Act (the “Act”) that was signed into law on December 22, 2017, included significant changes to the United States Internal Revenue Code of 1986, as amended, which we expect to have a positive impact on our future after-tax earnings. Our FY18 results reflect the corporate rate reduction, alternative minimum tax refund, meals and entertainment and deemed repatriation tax provisions. Other provisions of the Tax Act are effective for tax years beginning on or after January 1, 2018. As a fiscal year U.S. taxpayer, these provisions will apply to our fiscal 2019, including eliminating the domestic manufacturing deduction, creating new taxes on certain foreign sourced income, and introducing new limitations on certain business deductions.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Q4 FY18</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Q3 FY18</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Q4 FY17</w:t>
            </w:r>
          </w:p>
        </w:tc>
      </w:tr>
      <w:tr>
        <w:trPr>
          <w:trHeight w:val="23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19.0%</w:t>
            </w:r>
          </w:p>
        </w:tc>
      </w:tr>
    </w:tbl>
    <w:p>
      <w:pPr>
        <w:spacing w:after="0" w:line="105"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effective income tax rate is sensitive to the jurisdictional mix of our earnings, due, in part, to the non-recognition of tax benefits on losses in jurisdictions with valuation allowances.</w:t>
      </w:r>
    </w:p>
    <w:p>
      <w:pPr>
        <w:spacing w:after="0" w:line="63"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The effective income tax rate in Q4 FY18, compared with Q3 FY18, increased primarily due to Q3 FY18 nonrecurring tax benefits of $1.8 million related to tax audit settlements. The difference was somewhat reduced by an increased tax holiday benefit of $1.1 million in Q4 FY18. The effective income tax rate decreased in Q4 FY18, compared with Q4 FY17, primarily due to a greater percentage of the Q4 FY17 income before taxes being generated in jurisdictions where the Company incurs tax losses that, due to valuation allowances, did not result in the recognition of tax benefits, and an increased benefit of $0.9 million from the tax holiday in Taiwan.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FY18</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FY17</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FY16</w:t>
            </w:r>
          </w:p>
        </w:tc>
      </w:tr>
      <w:tr>
        <w:trPr>
          <w:trHeight w:val="235"/>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w w:val="87"/>
              </w:rPr>
              <w:t>7.9%</w:t>
            </w:r>
          </w:p>
        </w:tc>
      </w:tr>
    </w:tbl>
    <w:p>
      <w:pPr>
        <w:spacing w:after="0" w:line="105"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The decrease in effective income tax rate on a full-year basis in FY18, compared with FY17, was primarily due to the recognition of a tax benefit related to $3.7 million of alternative minimum tax credits that became fully refundable under US tax reform, an increased benefit of $2.4 million from a tax holiday in Taiwan, and an increase in the recognition of $1.2 million of previously unrecognized tax benefits, which resulted from audit settlements and expirations of assessment period statutes of limitations, partially offset by a greater percentage of the FY17 income before taxes being generated in jurisdictions where the Company incurs tax losses that, due to valuation allowances, did not result in the recognition of tax benefits.</w:t>
      </w:r>
    </w:p>
    <w:p>
      <w:pPr>
        <w:spacing w:after="0" w:line="67"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The increase in effective income tax rate in FY17, compared with FY16, was primarily due to recognition of $1.0 million of previously unrecognized tax benefits, which arose from audit settlements and expirations of assessment period statutes of limitations. Those effects were partially offset by FY16 benefit factors, including: the recognition of $2.5 million of previously unrecognized deferred tax assets resulting from improved performance of our FPD operations; the reversal of previously recognized tax expense of $2.4 million that was eliminated by a distribution of the earnings of a foreign subsidiary to its foreign parent; a higher percentage of income before income taxes, including an $8.8 million gain on the sale of an investment in the first quarter of FY16, generated in jurisdictions where we previously incurred losses that, due to valuation allowances, did not result in recognition of expense.</w:t>
      </w:r>
    </w:p>
    <w:p>
      <w:pPr>
        <w:spacing w:after="0" w:line="87"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2018, October 29, 2017 and October 30, 2016, are $1.9 million, $3.4 million and $4.6 million, respectively, recorded in other liabilities in the consolidated balance sheets that, if recognized, would impact the effective tax rate.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6"/>
              </w:rPr>
              <w:t>Q4 FY18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Q3 FY18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6"/>
              </w:rPr>
              <w:t>Q4 FY17</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FY18</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FY17</w:t>
            </w:r>
          </w:p>
        </w:tc>
        <w:tc>
          <w:tcPr>
            <w:tcW w:w="1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FY16</w:t>
            </w:r>
          </w:p>
        </w:tc>
        <w:tc>
          <w:tcPr>
            <w:tcW w:w="80" w:type="dxa"/>
            <w:vAlign w:val="bottom"/>
          </w:tcPr>
          <w:p>
            <w:pPr>
              <w:spacing w:after="0"/>
              <w:rPr>
                <w:sz w:val="15"/>
                <w:szCs w:val="15"/>
                <w:color w:val="auto"/>
              </w:rPr>
            </w:pPr>
          </w:p>
        </w:tc>
      </w:tr>
      <w:tr>
        <w:trPr>
          <w:trHeight w:val="242"/>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19.2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80" w:type="dxa"/>
            <w:vAlign w:val="bottom"/>
            <w:shd w:val="clear" w:color="auto" w:fill="CCEEFF"/>
          </w:tcPr>
          <w:p>
            <w:pPr>
              <w:spacing w:after="0"/>
              <w:rPr>
                <w:sz w:val="21"/>
                <w:szCs w:val="21"/>
                <w:color w:val="auto"/>
              </w:rPr>
            </w:pPr>
          </w:p>
        </w:tc>
      </w:tr>
    </w:tbl>
    <w:p>
      <w:pPr>
        <w:spacing w:after="0" w:line="93"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Periods subsequent to FY17 include DNP’s share of the earnings of our IC subsidiary in Taiwan, as well as their attribution of losses incurred at our IC facility in China, which will commence operations in the first half of fiscal 2019. For all periods prior to FY18, substantially all of the net income attributable to noncontrolling interests reflects DNP’s share of the earnings of our IC manufacturing subsidiary in Taiwan.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October 31,</w:t>
            </w: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October 29,</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October 30,</w:t>
            </w:r>
          </w:p>
        </w:tc>
      </w:tr>
      <w:tr>
        <w:trPr>
          <w:trHeight w:val="171"/>
        </w:trPr>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4"/>
                <w:szCs w:val="14"/>
                <w:color w:val="auto"/>
              </w:rPr>
            </w:pPr>
          </w:p>
        </w:tc>
      </w:tr>
      <w:tr>
        <w:trPr>
          <w:trHeight w:val="195"/>
        </w:trPr>
        <w:tc>
          <w:tcPr>
            <w:tcW w:w="6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i w:val="1"/>
                <w:iCs w:val="1"/>
                <w:color w:val="auto"/>
              </w:rPr>
              <w:t>(in $ millions)</w:t>
            </w:r>
          </w:p>
        </w:tc>
        <w:tc>
          <w:tcPr>
            <w:tcW w:w="1020" w:type="dxa"/>
            <w:vAlign w:val="bottom"/>
            <w:gridSpan w:val="4"/>
          </w:tcPr>
          <w:p>
            <w:pPr>
              <w:ind w:left="20"/>
              <w:spacing w:after="0"/>
              <w:rPr>
                <w:sz w:val="20"/>
                <w:szCs w:val="20"/>
                <w:color w:val="auto"/>
              </w:rPr>
            </w:pPr>
            <w:r>
              <w:rPr>
                <w:rFonts w:ascii="Arial" w:cs="Arial" w:eastAsia="Arial" w:hAnsi="Arial"/>
                <w:sz w:val="14"/>
                <w:szCs w:val="14"/>
                <w:i w:val="1"/>
                <w:iCs w:val="1"/>
                <w:color w:val="auto"/>
              </w:rPr>
              <w:t>(in $ millions)</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6"/>
              </w:rPr>
              <w:t>(in $ millions)</w:t>
            </w:r>
          </w:p>
        </w:tc>
      </w:tr>
      <w:tr>
        <w:trPr>
          <w:trHeight w:val="275"/>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314.1</w:t>
            </w:r>
          </w:p>
        </w:tc>
      </w:tr>
      <w:tr>
        <w:trPr>
          <w:trHeight w:val="242"/>
        </w:trPr>
        <w:tc>
          <w:tcPr>
            <w:tcW w:w="644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2"/>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122.1</w:t>
            </w:r>
          </w:p>
        </w:tc>
      </w:tr>
      <w:tr>
        <w:trPr>
          <w:trHeight w:val="236"/>
        </w:trPr>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in/provided by investing activities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52.3</w:t>
            </w:r>
          </w:p>
        </w:tc>
      </w:tr>
      <w:tr>
        <w:trPr>
          <w:trHeight w:val="248"/>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r>
    </w:tbl>
    <w:p>
      <w:pPr>
        <w:spacing w:after="0" w:line="93"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As of October 31, 2018, we had cash and cash equivalents of $329.3 million compared with $308.0 million as of October 29, 2017. Our working capital decreased $55.7 million to $311.7 million at October 31, 2018, compared with $367.3 million at October 29, 2017, primarily due to the reclassification of our 3.25% senior convertible notes, which mature in April 2019 to current status. We may use our available cash on hand for operations, capital expenditures, debt repayments, strategic opportunities, stock repurchases or other corporate uses, any of which may be material.</w:t>
      </w:r>
    </w:p>
    <w:p>
      <w:pPr>
        <w:spacing w:after="0" w:line="82"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As of October 29, 2017, we had cash and cash equivalents of $308.0 million compared with $314.1 million as of October 30, 2016. Our working capital increased $7.1 million to $367.3 million at October 29, 2017, compared with $360.3 million at October 30, 2016.</w:t>
      </w:r>
    </w:p>
    <w:p>
      <w:pPr>
        <w:spacing w:after="0" w:line="74"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As of October 31, 2018 and October 29, 2017, our total cash and cash equivalents included $244.5 million and $190.0 million, respectively, held by our foreign subsidiaries. The majority of earnings of our foreign subsidiaries are considered to be indefinitely reinvested. Repatriation of these funds to the U.S. are, as a result of the U.S. Tax Cut and Jobs Act, generally not subject to U.S. federal income tax, but may be subject to U.S. state income taxes and local country withholding taxes. Our foreign subsidiaries continue to grow through the reinvestment of earnings in additional manufacturing capacity and capability, particularly in the high-end IC and FPD areas.</w:t>
      </w:r>
    </w:p>
    <w:p>
      <w:pPr>
        <w:spacing w:after="0" w:line="82"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Net cash provided by operating activities increased to $130.6 million in FY18, compared with $96.8 million in FY17, primarily due to increased net income and an increase in cash from accounts payable and other liabilities exceeding decreases in most operating accounts and non-cash items, partially attributable to beginning operations in China. Net cash provided by operating activities decreased by $25.3 million to $96.8 million in FY17, compared with $122.1 million in FY16, primarily due to the decrease of $34.4 million of net income. Net cash provided by operating activities decreased to $122.1 million in FY16, compared with $133.2 million in fiscal 2015, primarily due to reduced year-over-year operating income, partially offset by net cash favorable changes in accrual accounts.</w:t>
      </w:r>
    </w:p>
    <w:p>
      <w:pPr>
        <w:spacing w:after="0" w:line="84"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Net cash used in investing activities in FY18 was $90.7 million primarily resulting from capital expenditure payments. Cash flows from investing activities decreased from funds provided of $52.3 million in FY16 to $98.1 million used in FY17 due to $101.9 million aggregate proceeds received from the sale of our investments in MP Mask and an interest we held in a foreign entity in FY16, compared to increased capital expenditures of $41.8 million and the acquisition of a business of $5.4 million in FY17. Cash flows from investing activities increased to $52.3 million provided in FY16 from $104.3 used in fiscal year 2015, primarily due to proceeds of $101.9 million received from the sale of our investments in the MP Mask joint venture and an interest we held in a foreign entity, as well as decreased expenditures for capital equipment. Capital expenditure payments for the FY18, FY17, and FY16, were $92.6, $92.0, and $50.1 million, respectively. We expect capital expenditure payments in fiscal 2019 to be approximately $210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Net cash used in financing activities was $13.8 million in FY18, primarily comprised of the receipt of $18.0 million from a noncontrolling interest for their investment in our recently established joint venture in China and $4.6 million of proceeds received from share-based arrangements, which partially offset the payment of a dividend to the noncontrolling interest of our IC facility in Taiwan of $8.2 million, $23.1 million used to acquire our common stock under a share repurchase program, and debt repayments of $4.6 million. Net cash used in financing activities was $10.9 million in FY17, which primarily comprised repayments of long-term borrowings and a dividend paid to the noncontrolling interest in a subsidiary, partially offset by proceeds received from employee share-based arrangements. Net cash used in financing activities was $67.0 million in FY16, primarily comprised of repayments of long-term borrowings (including $50.1 million to retire our 3.25% convertible senior notes which matured in April FY16) and $11.9 million dividend paid to the noncontrolling interest in a subsidiary, partially offset by proceeds received from employee share-based arrangements.</w:t>
      </w:r>
    </w:p>
    <w:p>
      <w:pPr>
        <w:spacing w:after="0" w:line="73" w:lineRule="exact"/>
        <w:rPr>
          <w:sz w:val="20"/>
          <w:szCs w:val="20"/>
          <w:color w:val="auto"/>
        </w:rPr>
      </w:pPr>
    </w:p>
    <w:p>
      <w:pPr>
        <w:jc w:val="both"/>
        <w:ind w:firstLine="358"/>
        <w:spacing w:after="0" w:line="269" w:lineRule="auto"/>
        <w:rPr>
          <w:sz w:val="20"/>
          <w:szCs w:val="20"/>
          <w:color w:val="auto"/>
        </w:rPr>
      </w:pPr>
      <w:r>
        <w:rPr>
          <w:rFonts w:ascii="Arial" w:cs="Arial" w:eastAsia="Arial" w:hAnsi="Arial"/>
          <w:sz w:val="17"/>
          <w:szCs w:val="17"/>
          <w:color w:val="auto"/>
        </w:rPr>
        <w:t>Our liquidity, as we operate in a high fixed-cost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facilities.</w:t>
      </w:r>
    </w:p>
    <w:p>
      <w:pPr>
        <w:spacing w:after="0" w:line="73"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As of October 31, 2018, we had capital commitments outstanding of approximately $130 million, nearly all of which related to the building and equipping of our China facilities (discussed below). We intend to finance our capital expenditures with our working capital, cash generated from operations, and, if necessary, additional borrowings. We have entered into a joint venture that is constructing an IC facility in China with an estimated total joint investment of $160 million. Our remaining funding commitment for the joint venture is approximately $62 million which we will fulfill over the next several quarters. We have also commenced construction of an FPD facility in China in which, as of October 31, 2018, we have invested $90 million, and will invest an additional $70 million during the first half of 2019.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19"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Our cash requirements in fiscal 2019 will be primarily to: fund our operations; capital spending, including the completion of constructing and equipping an IC research and development and manufacturing facility in Xiamen, China and an FPD manufacturing facility in Hefei, China; and service our debt.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cash requirements exceed our existing cash and cash available under our credit facilities.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contractual obligations as of October 31, 2018: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2"/>
              </w:rPr>
              <w:t>Payment due by period</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1 - 3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rPr>
              <w:t>3 - 5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More Than</w:t>
            </w:r>
          </w:p>
        </w:tc>
      </w:tr>
      <w:tr>
        <w:trPr>
          <w:trHeight w:val="177"/>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5"/>
                <w:szCs w:val="15"/>
                <w:color w:val="auto"/>
              </w:rPr>
            </w:pPr>
          </w:p>
        </w:tc>
      </w:tr>
      <w:tr>
        <w:trPr>
          <w:trHeight w:val="242"/>
        </w:trPr>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0"/>
                <w:szCs w:val="20"/>
                <w:color w:val="auto"/>
              </w:rPr>
            </w:pPr>
          </w:p>
        </w:tc>
      </w:tr>
      <w:tr>
        <w:trPr>
          <w:trHeight w:val="248"/>
        </w:trPr>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144,174</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137,034</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7,042</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5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4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80" w:type="dxa"/>
            <w:vAlign w:val="bottom"/>
            <w:shd w:val="clear" w:color="auto" w:fill="CCEEFF"/>
          </w:tcPr>
          <w:p>
            <w:pPr>
              <w:spacing w:after="0"/>
              <w:rPr>
                <w:sz w:val="20"/>
                <w:szCs w:val="20"/>
                <w:color w:val="auto"/>
              </w:rPr>
            </w:pPr>
          </w:p>
        </w:tc>
      </w:tr>
      <w:tr>
        <w:trPr>
          <w:trHeight w:val="27"/>
        </w:trPr>
        <w:tc>
          <w:tcPr>
            <w:tcW w:w="43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222,261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198,549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13,957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4,832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Long-term debt of $57.5 million in the table above represent our obligation under our 3.25% senior convertible notes, which mature on April 1, 2019, and, at the option of the note holders, may be settled either in cash or by conversion into our common stock. See Note 6 to the consolidated financial statements for additional information. As of October 31, 2018, the Company had recorded accruals for uncertain tax positions and related interest and penalties of $1.9 million which were not included in the above table due to the high degree of uncertainty regarding the timing of future payments related to such liabilities.</w:t>
      </w:r>
    </w:p>
    <w:p>
      <w:pPr>
        <w:spacing w:after="0" w:line="5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In November FY2019, Xiamen American Japan Photronics Mask Co., Ltd. (“PDMCX”), an indirect majority-owned joint venture subsidiary of Photronics, Inc., entered into a commitment letter under which it can borrow up to approximately $50.0 million (“the Project Loan”). PDMCX will use the Project Loan to finance certain capital expenditures in China. During the eight-year term of the Project Loan, PDMCX will grant a lien on the land, building and equipment owned by PDMCX as collateral for the Project Loan. The interest rate of the Project Loan is based on the benchmark lending rate (as defined in the Project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87"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On November 7, 2018, PDMCX entered into a working capital loan agreement with a maximum borrowing limit of approximately $25.0 million, (“the Working Capital Loan”). In November 2018, we borrowed $2.2 million against this loan. PDMCX will use the Working Capital Loan for general financing purposes including the payment of import and value added taxes. The term of the Working Capital Loan will not exceed three years, and no guarantees were required under the terms of the Working Capital Loan. The interest rate of the Working Capital Loan is based on the benchmark lending rate (as defined in the Working Capital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jc w:val="both"/>
        <w:ind w:firstLine="358"/>
        <w:spacing w:after="0" w:line="285" w:lineRule="auto"/>
        <w:rPr>
          <w:sz w:val="20"/>
          <w:szCs w:val="20"/>
          <w:color w:val="auto"/>
        </w:rPr>
      </w:pPr>
      <w:r>
        <w:rPr>
          <w:rFonts w:ascii="Arial" w:cs="Arial" w:eastAsia="Arial" w:hAnsi="Arial"/>
          <w:sz w:val="16"/>
          <w:szCs w:val="16"/>
          <w:color w:val="auto"/>
        </w:rPr>
        <w:t>In January 2018, Photronics, through its wholly-owned Singapore subsidiary, and DNP, through its wholly-owned subsidiary “DNP Asia Pacific PTE, Ltd.” entered into a joint venture under which DNP obtained a 49.99% interest in our IC business in Xiamen, China. The joint venture, known as “Photronics DNP Mask Corporation Xiamen” (“PDMCX”), was established to develop and manufacture photomasks for leading edge and advanced generation semiconductors. Under the Joint Venture Operating Agreement of Photronics DNP Mask Corporation Xiamen (“the Agreement”), DNP is afforded, under certain circumstances, the right to put its interest in PDMCX to Photronics. These circumstances include disputes regarding the strategic direction of PDMCX that may arise after the initial two 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the net assets of PDMCX, incur a loss. As of October 31, 2018, Photronics and DNP each had net investments in PDMCX of $15.9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6"/>
          <w:szCs w:val="16"/>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 See Note 7 to the consolidated financial statements for additional information on these operating leases.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19"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A majority of our revenue growth is expected to continue to come from the Asia region, predominantly in China. In response to this expectation, we have entered into a joint venture that will complete the construction of an IC research and development and manufacturing facility in Xiamen, China, in late 2018. Production is anticipated to begin at this facility during the first half of 2019. In addition, in August 2017, we entered into an investment agreement to construct an FPD manufacturing facility in Hefei, China. Construction of this facility commenced in Q1 FY18, and production is anticipated to begin during the first half of 2019.</w:t>
      </w:r>
    </w:p>
    <w:p>
      <w:pPr>
        <w:spacing w:after="0" w:line="51"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We make continual assessments of our global manufacturing strategy and monitor our revenue and related cash flows from operations. This ongoing assessment could result in future facility closures, asset redeployments, impairments of intangible or long-lived assets, workforce reductions, or the addition of manufacturing facilities, all of which would be based on market conditions and customer requirements.</w:t>
      </w:r>
    </w:p>
    <w:p>
      <w:pPr>
        <w:spacing w:after="0" w:line="80"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are cautiously optimistic regarding results of operations in fiscal 2019, as we observe favorable signs of demand drivers, but we are aware of certain potential macro challenges. While the photomask market has held up well, there are some sectors in the semiconductor industry that have seen slowing demand. If this spreads into a more widespread economic slowdown, then it’s possible that our markets will also be impacted. In addition to potential demand challenges, there are also geopolitical risks, the outcome of which, are uncertain. Entering 2019, we currently expect higher than normal seasonal impact in Q1 as the high-end IC market looks to remain soft, and we will have fewer days in our first quarter. Beyond the first quarter, growth will be dependent on the shape and duration of any potential market downturn. As we get to the second half of the year, we should see additional growth from the ramp of our new China facilities. Therefore, our 2019 growth will be dependent on underlying market demand and how effectively we ramp production in China.</w:t>
      </w:r>
    </w:p>
    <w:p>
      <w:pPr>
        <w:spacing w:after="0" w:line="76"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our expectations.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Our consolidated financial statements are based on the selection and application of accounting policies, which require management to make significant estimates and assumptions. We believe the following to be the more critical areas that require judgement when applying our accounting policies:</w:t>
      </w:r>
    </w:p>
    <w:p>
      <w:pPr>
        <w:spacing w:after="0" w:line="74" w:lineRule="exact"/>
        <w:rPr>
          <w:sz w:val="20"/>
          <w:szCs w:val="20"/>
          <w:color w:val="auto"/>
        </w:rPr>
      </w:pPr>
    </w:p>
    <w:p>
      <w:pPr>
        <w:jc w:val="both"/>
        <w:ind w:left="700" w:hanging="350"/>
        <w:spacing w:after="0" w:line="262"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determination of the useful lives of our property, plant, and equipment and the timing of when depreciation should begin on such assets, as these determinations can significantly impact our gross margin and research and development expenses;</w:t>
      </w:r>
    </w:p>
    <w:p>
      <w:pPr>
        <w:spacing w:after="0" w:line="74" w:lineRule="exact"/>
        <w:rPr>
          <w:rFonts w:ascii="Arial" w:cs="Arial" w:eastAsia="Arial" w:hAnsi="Arial"/>
          <w:sz w:val="18"/>
          <w:szCs w:val="18"/>
          <w:color w:val="auto"/>
        </w:rPr>
      </w:pPr>
    </w:p>
    <w:p>
      <w:pPr>
        <w:ind w:left="700" w:hanging="350"/>
        <w:spacing w:after="0" w:line="305"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evaluation of the recoverability of our long-lived and definite-lived intangible assets, which requires us to forecast the future cash flows related to these assets, and the potential impacts to our gross margin and operating expenses;</w:t>
      </w:r>
    </w:p>
    <w:p>
      <w:pPr>
        <w:spacing w:after="0" w:line="40" w:lineRule="exact"/>
        <w:rPr>
          <w:rFonts w:ascii="Arial" w:cs="Arial" w:eastAsia="Arial" w:hAnsi="Arial"/>
          <w:sz w:val="17"/>
          <w:szCs w:val="17"/>
          <w:color w:val="auto"/>
        </w:rPr>
      </w:pPr>
    </w:p>
    <w:p>
      <w:pPr>
        <w:ind w:left="700" w:hanging="350"/>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estimation of the collectability of our accounts receivables which impacts our gross margin and operating expenses;</w:t>
      </w:r>
    </w:p>
    <w:p>
      <w:pPr>
        <w:spacing w:after="0" w:line="138" w:lineRule="exact"/>
        <w:rPr>
          <w:rFonts w:ascii="Arial" w:cs="Arial" w:eastAsia="Arial" w:hAnsi="Arial"/>
          <w:sz w:val="16"/>
          <w:szCs w:val="16"/>
          <w:color w:val="auto"/>
        </w:rPr>
      </w:pPr>
    </w:p>
    <w:p>
      <w:pPr>
        <w:ind w:left="700" w:hanging="350"/>
        <w:spacing w:after="0" w:line="305"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recognition and measurement of current and deferred income taxes, including the measurement of uncertain tax positions, which impact our provision for income taxes and our tax-related asset and liability balances.</w:t>
      </w:r>
    </w:p>
    <w:p>
      <w:pPr>
        <w:spacing w:after="0" w:line="40"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Please refer to Note 1 to our consolidated financial statements for additional information related to these critical accounting estimates and our other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23 Recent Accounting Pronouncements” for recent accounting pronouncements that may affect our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right="2200"/>
        <w:spacing w:after="0" w:line="375" w:lineRule="auto"/>
        <w:rPr>
          <w:sz w:val="20"/>
          <w:szCs w:val="20"/>
          <w:color w:val="auto"/>
        </w:rPr>
      </w:pPr>
      <w:r>
        <w:rPr>
          <w:rFonts w:ascii="Arial" w:cs="Arial" w:eastAsia="Arial" w:hAnsi="Arial"/>
          <w:sz w:val="18"/>
          <w:szCs w:val="18"/>
          <w:b w:val="1"/>
          <w:bCs w:val="1"/>
          <w:color w:val="auto"/>
        </w:rPr>
        <w:t>ITEM 7A. QUANTITATIVE AND QUALITATIVE DISCLOSURES ABOUT MARKET RISK Foreign Currency Exchange Rate Risk</w:t>
      </w:r>
    </w:p>
    <w:p>
      <w:pPr>
        <w:spacing w:after="0" w:line="2"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51" w:lineRule="exact"/>
        <w:rPr>
          <w:sz w:val="20"/>
          <w:szCs w:val="20"/>
          <w:color w:val="auto"/>
        </w:rPr>
      </w:pPr>
    </w:p>
    <w:p>
      <w:pPr>
        <w:jc w:val="both"/>
        <w:ind w:firstLine="358"/>
        <w:spacing w:after="0" w:line="285" w:lineRule="auto"/>
        <w:rPr>
          <w:sz w:val="20"/>
          <w:szCs w:val="20"/>
          <w:color w:val="auto"/>
        </w:rPr>
      </w:pPr>
      <w:r>
        <w:rPr>
          <w:rFonts w:ascii="Arial" w:cs="Arial" w:eastAsia="Arial" w:hAnsi="Arial"/>
          <w:sz w:val="16"/>
          <w:szCs w:val="16"/>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manufacturing facility. For example, we are currently shipping a significant quantity of photomasks into China, while our China facilities are under construction.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significant receivable denominated in a currency that differs from the transacting subsidiaries’ functional currencies. We do not enter into derivatives for speculative purposes. There can be no assurance that these practices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64"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Our primary net foreign currency exposures as of October 31, 2018, included the South Korean won, the Japanese yen, the New Taiwan dollar, the Chinese renminbi, the Singapore dollar, the British pound, and the euro. As of October 31, 2018, a 10% adverse movement in the value of these currencies against the functional currencies of our subsidiaries would have resulted in a net unrealized pre-tax loss of $13.2 million, which represents an increase of $0.2 million from the same result as of October 29, 2017. The increase in foreign currency rate change risk is primarily the result of increased exposure of Korean won against USD. We do not believe that a 10% change in the exchange rates of other non-US dollar currencies would have had a material effect on our October 31, 2018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9" w:lineRule="exact"/>
        <w:rPr>
          <w:sz w:val="20"/>
          <w:szCs w:val="20"/>
          <w:color w:val="auto"/>
        </w:rPr>
      </w:pPr>
    </w:p>
    <w:p>
      <w:pPr>
        <w:jc w:val="both"/>
        <w:ind w:firstLine="358"/>
        <w:spacing w:after="0" w:line="339" w:lineRule="auto"/>
        <w:rPr>
          <w:sz w:val="20"/>
          <w:szCs w:val="20"/>
          <w:color w:val="auto"/>
        </w:rPr>
      </w:pPr>
      <w:r>
        <w:rPr>
          <w:rFonts w:ascii="Arial" w:cs="Arial" w:eastAsia="Arial" w:hAnsi="Arial"/>
          <w:sz w:val="16"/>
          <w:szCs w:val="16"/>
          <w:color w:val="auto"/>
        </w:rPr>
        <w:t>At October 31, 2018, we did not have any variable rate borrowings. Therefore, a 10% change in interest rates would not have had a material effect on our consolidated financial position, results of operations, or cash flows in the year ended October 31, 2018.</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235"/>
        </w:trPr>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2"/>
        </w:trPr>
        <w:tc>
          <w:tcPr>
            <w:tcW w:w="8840" w:type="dxa"/>
            <w:vAlign w:val="bottom"/>
            <w:gridSpan w:val="10"/>
            <w:shd w:val="clear" w:color="auto" w:fill="CCEDFF"/>
          </w:tcPr>
          <w:p>
            <w:pPr>
              <w:spacing w:after="0" w:line="188" w:lineRule="exact"/>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80" w:type="dxa"/>
            <w:vAlign w:val="bottom"/>
            <w:shd w:val="clear" w:color="auto" w:fill="CCEDFF"/>
          </w:tcPr>
          <w:p>
            <w:pPr>
              <w:spacing w:after="0"/>
              <w:rPr>
                <w:sz w:val="19"/>
                <w:szCs w:val="19"/>
                <w:color w:val="auto"/>
              </w:rPr>
            </w:pPr>
          </w:p>
        </w:tc>
      </w:tr>
      <w:tr>
        <w:trPr>
          <w:trHeight w:val="242"/>
        </w:trPr>
        <w:tc>
          <w:tcPr>
            <w:tcW w:w="180" w:type="dxa"/>
            <w:vAlign w:val="bottom"/>
            <w:tcBorders>
              <w:top w:val="single" w:sz="8" w:color="0000EE"/>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940" w:type="dxa"/>
            <w:vAlign w:val="bottom"/>
            <w:tcBorders>
              <w:top w:val="single" w:sz="8" w:color="CCEDFF"/>
            </w:tcBorders>
            <w:shd w:val="clear" w:color="auto" w:fill="CCEEFF"/>
          </w:tcPr>
          <w:p>
            <w:pPr>
              <w:spacing w:after="0"/>
              <w:rPr>
                <w:sz w:val="21"/>
                <w:szCs w:val="21"/>
                <w:color w:val="auto"/>
              </w:rPr>
            </w:pPr>
          </w:p>
        </w:tc>
        <w:tc>
          <w:tcPr>
            <w:tcW w:w="292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30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22"/>
        </w:trPr>
        <w:tc>
          <w:tcPr>
            <w:tcW w:w="8840" w:type="dxa"/>
            <w:vAlign w:val="bottom"/>
            <w:gridSpan w:val="10"/>
            <w:shd w:val="clear" w:color="auto" w:fill="CCEDFF"/>
          </w:tcPr>
          <w:p>
            <w:pPr>
              <w:spacing w:after="0" w:line="188"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October 31, 2018 and October 29, 2017</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80" w:type="dxa"/>
            <w:vAlign w:val="bottom"/>
            <w:shd w:val="clear" w:color="auto" w:fill="CCEDFF"/>
          </w:tcPr>
          <w:p>
            <w:pPr>
              <w:spacing w:after="0"/>
              <w:rPr>
                <w:sz w:val="19"/>
                <w:szCs w:val="19"/>
                <w:color w:val="auto"/>
              </w:rPr>
            </w:pPr>
          </w:p>
        </w:tc>
      </w:tr>
      <w:tr>
        <w:trPr>
          <w:trHeight w:val="242"/>
        </w:trPr>
        <w:tc>
          <w:tcPr>
            <w:tcW w:w="180" w:type="dxa"/>
            <w:vAlign w:val="bottom"/>
            <w:tcBorders>
              <w:top w:val="single" w:sz="8" w:color="0000EE"/>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940" w:type="dxa"/>
            <w:vAlign w:val="bottom"/>
            <w:tcBorders>
              <w:top w:val="single" w:sz="8" w:color="0000EE"/>
            </w:tcBorders>
            <w:shd w:val="clear" w:color="auto" w:fill="CCEEFF"/>
          </w:tcPr>
          <w:p>
            <w:pPr>
              <w:spacing w:after="0"/>
              <w:rPr>
                <w:sz w:val="21"/>
                <w:szCs w:val="21"/>
                <w:color w:val="auto"/>
              </w:rPr>
            </w:pPr>
          </w:p>
        </w:tc>
        <w:tc>
          <w:tcPr>
            <w:tcW w:w="292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30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22"/>
        </w:trPr>
        <w:tc>
          <w:tcPr>
            <w:tcW w:w="8840" w:type="dxa"/>
            <w:vAlign w:val="bottom"/>
            <w:gridSpan w:val="10"/>
            <w:shd w:val="clear" w:color="auto" w:fill="CCEDFF"/>
          </w:tcPr>
          <w:p>
            <w:pPr>
              <w:spacing w:after="0" w:line="188"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Consolidated Statements of Income for the years ended October 31, 2018, October 29, 2017 and October 30, 2016</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80" w:type="dxa"/>
            <w:vAlign w:val="bottom"/>
            <w:shd w:val="clear" w:color="auto" w:fill="CCEDFF"/>
          </w:tcPr>
          <w:p>
            <w:pPr>
              <w:spacing w:after="0"/>
              <w:rPr>
                <w:sz w:val="19"/>
                <w:szCs w:val="19"/>
                <w:color w:val="auto"/>
              </w:rPr>
            </w:pPr>
          </w:p>
        </w:tc>
      </w:tr>
      <w:tr>
        <w:trPr>
          <w:trHeight w:val="242"/>
        </w:trPr>
        <w:tc>
          <w:tcPr>
            <w:tcW w:w="180" w:type="dxa"/>
            <w:vAlign w:val="bottom"/>
            <w:tcBorders>
              <w:top w:val="single" w:sz="8" w:color="0000EE"/>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940" w:type="dxa"/>
            <w:vAlign w:val="bottom"/>
            <w:tcBorders>
              <w:top w:val="single" w:sz="8" w:color="0000EE"/>
            </w:tcBorders>
            <w:shd w:val="clear" w:color="auto" w:fill="CCEEFF"/>
          </w:tcPr>
          <w:p>
            <w:pPr>
              <w:spacing w:after="0"/>
              <w:rPr>
                <w:sz w:val="21"/>
                <w:szCs w:val="21"/>
                <w:color w:val="auto"/>
              </w:rPr>
            </w:pPr>
          </w:p>
        </w:tc>
        <w:tc>
          <w:tcPr>
            <w:tcW w:w="29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188"/>
        </w:trPr>
        <w:tc>
          <w:tcPr>
            <w:tcW w:w="8840" w:type="dxa"/>
            <w:vAlign w:val="bottom"/>
            <w:gridSpan w:val="10"/>
            <w:shd w:val="clear" w:color="auto" w:fill="CCEDFF"/>
          </w:tcPr>
          <w:p>
            <w:pPr>
              <w:spacing w:after="0" w:line="188"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Consolidated Statements of Comprehensive Income for the years ended October 31, 2018, October 29, 2017 and</w:t>
              </w:r>
            </w:hyperlink>
          </w:p>
        </w:tc>
        <w:tc>
          <w:tcPr>
            <w:tcW w:w="40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r>
      <w:tr>
        <w:trPr>
          <w:trHeight w:val="229"/>
        </w:trPr>
        <w:tc>
          <w:tcPr>
            <w:tcW w:w="180" w:type="dxa"/>
            <w:vAlign w:val="bottom"/>
            <w:tcBorders>
              <w:top w:val="single" w:sz="8" w:color="0000EE"/>
            </w:tcBorders>
            <w:shd w:val="clear" w:color="auto" w:fill="CCEDFF"/>
          </w:tcPr>
          <w:p>
            <w:pPr>
              <w:spacing w:after="0"/>
              <w:rPr>
                <w:sz w:val="19"/>
                <w:szCs w:val="19"/>
                <w:color w:val="auto"/>
              </w:rPr>
            </w:pPr>
          </w:p>
        </w:tc>
        <w:tc>
          <w:tcPr>
            <w:tcW w:w="7880" w:type="dxa"/>
            <w:vAlign w:val="bottom"/>
            <w:tcBorders>
              <w:top w:val="single" w:sz="8" w:color="0000EE"/>
            </w:tcBorders>
            <w:gridSpan w:val="5"/>
            <w:shd w:val="clear" w:color="auto" w:fill="CCEDFF"/>
          </w:tcPr>
          <w:p>
            <w:pPr>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October 30, 2016</w:t>
              </w:r>
            </w:hyperlink>
          </w:p>
        </w:tc>
        <w:tc>
          <w:tcPr>
            <w:tcW w:w="780" w:type="dxa"/>
            <w:vAlign w:val="bottom"/>
            <w:tcBorders>
              <w:top w:val="single" w:sz="8" w:color="CCEDFF"/>
            </w:tcBorders>
            <w:gridSpan w:val="4"/>
            <w:shd w:val="clear" w:color="auto" w:fill="CCEDFF"/>
          </w:tcPr>
          <w:p>
            <w:pPr>
              <w:spacing w:after="0"/>
              <w:rPr>
                <w:sz w:val="19"/>
                <w:szCs w:val="19"/>
                <w:color w:val="auto"/>
              </w:rPr>
            </w:pPr>
          </w:p>
        </w:tc>
        <w:tc>
          <w:tcPr>
            <w:tcW w:w="580" w:type="dxa"/>
            <w:vAlign w:val="bottom"/>
            <w:tcBorders>
              <w:top w:val="single" w:sz="8" w:color="CCEDFF"/>
            </w:tcBorders>
            <w:gridSpan w:val="2"/>
            <w:shd w:val="clear" w:color="auto" w:fill="CCEDFF"/>
          </w:tcPr>
          <w:p>
            <w:pPr>
              <w:jc w:val="right"/>
              <w:spacing w:after="0" w:line="195"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80" w:type="dxa"/>
            <w:vAlign w:val="bottom"/>
            <w:tcBorders>
              <w:top w:val="single" w:sz="8" w:color="CCEDFF"/>
            </w:tcBorders>
            <w:shd w:val="clear" w:color="auto" w:fill="CCEDFF"/>
          </w:tcPr>
          <w:p>
            <w:pPr>
              <w:spacing w:after="0"/>
              <w:rPr>
                <w:sz w:val="19"/>
                <w:szCs w:val="19"/>
                <w:color w:val="auto"/>
              </w:rPr>
            </w:pPr>
          </w:p>
        </w:tc>
      </w:tr>
      <w:tr>
        <w:trPr>
          <w:trHeight w:val="242"/>
        </w:trPr>
        <w:tc>
          <w:tcPr>
            <w:tcW w:w="180" w:type="dxa"/>
            <w:vAlign w:val="bottom"/>
            <w:tcBorders>
              <w:top w:val="single" w:sz="8" w:color="CCEDFF"/>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CCEDFF"/>
            </w:tcBorders>
            <w:shd w:val="clear" w:color="auto" w:fill="CCEEFF"/>
          </w:tcPr>
          <w:p>
            <w:pPr>
              <w:spacing w:after="0"/>
              <w:rPr>
                <w:sz w:val="21"/>
                <w:szCs w:val="21"/>
                <w:color w:val="auto"/>
              </w:rPr>
            </w:pPr>
          </w:p>
        </w:tc>
        <w:tc>
          <w:tcPr>
            <w:tcW w:w="1060" w:type="dxa"/>
            <w:vAlign w:val="bottom"/>
            <w:tcBorders>
              <w:top w:val="single" w:sz="8" w:color="CCEDFF"/>
            </w:tcBorders>
            <w:shd w:val="clear" w:color="auto" w:fill="CCEEFF"/>
          </w:tcPr>
          <w:p>
            <w:pPr>
              <w:spacing w:after="0"/>
              <w:rPr>
                <w:sz w:val="21"/>
                <w:szCs w:val="21"/>
                <w:color w:val="auto"/>
              </w:rPr>
            </w:pPr>
          </w:p>
        </w:tc>
        <w:tc>
          <w:tcPr>
            <w:tcW w:w="940" w:type="dxa"/>
            <w:vAlign w:val="bottom"/>
            <w:tcBorders>
              <w:top w:val="single" w:sz="8" w:color="CCEDFF"/>
            </w:tcBorders>
            <w:shd w:val="clear" w:color="auto" w:fill="CCEEFF"/>
          </w:tcPr>
          <w:p>
            <w:pPr>
              <w:spacing w:after="0"/>
              <w:rPr>
                <w:sz w:val="21"/>
                <w:szCs w:val="21"/>
                <w:color w:val="auto"/>
              </w:rPr>
            </w:pPr>
          </w:p>
        </w:tc>
        <w:tc>
          <w:tcPr>
            <w:tcW w:w="292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30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22"/>
        </w:trPr>
        <w:tc>
          <w:tcPr>
            <w:tcW w:w="8840" w:type="dxa"/>
            <w:vAlign w:val="bottom"/>
            <w:gridSpan w:val="10"/>
            <w:shd w:val="clear" w:color="auto" w:fill="CCEDFF"/>
          </w:tcPr>
          <w:p>
            <w:pPr>
              <w:spacing w:after="0" w:line="188"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Consolidated Statements of Equity for the years ended October 31, 2018, October 29, 2017 and October 30, 2016</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80" w:type="dxa"/>
            <w:vAlign w:val="bottom"/>
            <w:shd w:val="clear" w:color="auto" w:fill="CCEDFF"/>
          </w:tcPr>
          <w:p>
            <w:pPr>
              <w:spacing w:after="0"/>
              <w:rPr>
                <w:sz w:val="19"/>
                <w:szCs w:val="19"/>
                <w:color w:val="auto"/>
              </w:rPr>
            </w:pPr>
          </w:p>
        </w:tc>
      </w:tr>
      <w:tr>
        <w:trPr>
          <w:trHeight w:val="242"/>
        </w:trPr>
        <w:tc>
          <w:tcPr>
            <w:tcW w:w="180" w:type="dxa"/>
            <w:vAlign w:val="bottom"/>
            <w:tcBorders>
              <w:top w:val="single" w:sz="8" w:color="0000EE"/>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940" w:type="dxa"/>
            <w:vAlign w:val="bottom"/>
            <w:tcBorders>
              <w:top w:val="single" w:sz="8" w:color="0000EE"/>
            </w:tcBorders>
            <w:shd w:val="clear" w:color="auto" w:fill="CCEEFF"/>
          </w:tcPr>
          <w:p>
            <w:pPr>
              <w:spacing w:after="0"/>
              <w:rPr>
                <w:sz w:val="21"/>
                <w:szCs w:val="21"/>
                <w:color w:val="auto"/>
              </w:rPr>
            </w:pPr>
          </w:p>
        </w:tc>
        <w:tc>
          <w:tcPr>
            <w:tcW w:w="29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DFF"/>
            </w:tcBorders>
            <w:shd w:val="clear" w:color="auto" w:fill="CCEEFF"/>
          </w:tcPr>
          <w:p>
            <w:pPr>
              <w:spacing w:after="0"/>
              <w:rPr>
                <w:sz w:val="21"/>
                <w:szCs w:val="21"/>
                <w:color w:val="auto"/>
              </w:rPr>
            </w:pPr>
          </w:p>
        </w:tc>
        <w:tc>
          <w:tcPr>
            <w:tcW w:w="30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22"/>
        </w:trPr>
        <w:tc>
          <w:tcPr>
            <w:tcW w:w="8840" w:type="dxa"/>
            <w:vAlign w:val="bottom"/>
            <w:gridSpan w:val="10"/>
            <w:shd w:val="clear" w:color="auto" w:fill="CCEDFF"/>
          </w:tcPr>
          <w:p>
            <w:pPr>
              <w:spacing w:after="0" w:line="188"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Consolidated Statements of Cash Flows for the years ended October 31, 2018, October 29, 2017 and October 30, 2016</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80" w:type="dxa"/>
            <w:vAlign w:val="bottom"/>
            <w:shd w:val="clear" w:color="auto" w:fill="CCEDFF"/>
          </w:tcPr>
          <w:p>
            <w:pPr>
              <w:spacing w:after="0"/>
              <w:rPr>
                <w:sz w:val="19"/>
                <w:szCs w:val="19"/>
                <w:color w:val="auto"/>
              </w:rPr>
            </w:pPr>
          </w:p>
        </w:tc>
      </w:tr>
      <w:tr>
        <w:trPr>
          <w:trHeight w:val="242"/>
        </w:trPr>
        <w:tc>
          <w:tcPr>
            <w:tcW w:w="180" w:type="dxa"/>
            <w:vAlign w:val="bottom"/>
            <w:tcBorders>
              <w:top w:val="single" w:sz="8" w:color="0000EE"/>
            </w:tcBorders>
            <w:shd w:val="clear" w:color="auto" w:fill="CCEEFF"/>
          </w:tcPr>
          <w:p>
            <w:pPr>
              <w:spacing w:after="0"/>
              <w:rPr>
                <w:sz w:val="21"/>
                <w:szCs w:val="21"/>
                <w:color w:val="auto"/>
              </w:rPr>
            </w:pPr>
          </w:p>
        </w:tc>
        <w:tc>
          <w:tcPr>
            <w:tcW w:w="1240" w:type="dxa"/>
            <w:vAlign w:val="bottom"/>
            <w:tcBorders>
              <w:top w:val="single" w:sz="8" w:color="0000EE"/>
            </w:tcBorders>
            <w:shd w:val="clear" w:color="auto" w:fill="CCEEFF"/>
          </w:tcPr>
          <w:p>
            <w:pPr>
              <w:spacing w:after="0"/>
              <w:rPr>
                <w:sz w:val="21"/>
                <w:szCs w:val="21"/>
                <w:color w:val="auto"/>
              </w:rPr>
            </w:pPr>
          </w:p>
        </w:tc>
        <w:tc>
          <w:tcPr>
            <w:tcW w:w="1720" w:type="dxa"/>
            <w:vAlign w:val="bottom"/>
            <w:tcBorders>
              <w:top w:val="single" w:sz="8" w:color="0000EE"/>
            </w:tcBorders>
            <w:shd w:val="clear" w:color="auto" w:fill="CCEEFF"/>
          </w:tcPr>
          <w:p>
            <w:pPr>
              <w:spacing w:after="0"/>
              <w:rPr>
                <w:sz w:val="21"/>
                <w:szCs w:val="21"/>
                <w:color w:val="auto"/>
              </w:rPr>
            </w:pPr>
          </w:p>
        </w:tc>
        <w:tc>
          <w:tcPr>
            <w:tcW w:w="1060" w:type="dxa"/>
            <w:vAlign w:val="bottom"/>
            <w:tcBorders>
              <w:top w:val="single" w:sz="8" w:color="0000EE"/>
            </w:tcBorders>
            <w:shd w:val="clear" w:color="auto" w:fill="CCEEFF"/>
          </w:tcPr>
          <w:p>
            <w:pPr>
              <w:spacing w:after="0"/>
              <w:rPr>
                <w:sz w:val="21"/>
                <w:szCs w:val="21"/>
                <w:color w:val="auto"/>
              </w:rPr>
            </w:pPr>
          </w:p>
        </w:tc>
        <w:tc>
          <w:tcPr>
            <w:tcW w:w="940" w:type="dxa"/>
            <w:vAlign w:val="bottom"/>
            <w:tcBorders>
              <w:top w:val="single" w:sz="8" w:color="0000EE"/>
            </w:tcBorders>
            <w:shd w:val="clear" w:color="auto" w:fill="CCEEFF"/>
          </w:tcPr>
          <w:p>
            <w:pPr>
              <w:spacing w:after="0"/>
              <w:rPr>
                <w:sz w:val="21"/>
                <w:szCs w:val="21"/>
                <w:color w:val="auto"/>
              </w:rPr>
            </w:pPr>
          </w:p>
        </w:tc>
        <w:tc>
          <w:tcPr>
            <w:tcW w:w="29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22"/>
        </w:trPr>
        <w:tc>
          <w:tcPr>
            <w:tcW w:w="3140" w:type="dxa"/>
            <w:vAlign w:val="bottom"/>
            <w:gridSpan w:val="3"/>
            <w:shd w:val="clear" w:color="auto" w:fill="CCEDFF"/>
          </w:tcPr>
          <w:p>
            <w:pPr>
              <w:spacing w:after="0" w:line="188"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5700" w:type="dxa"/>
            <w:vAlign w:val="bottom"/>
            <w:gridSpan w:val="7"/>
            <w:shd w:val="clear" w:color="auto" w:fill="CCEDFF"/>
          </w:tcPr>
          <w:p>
            <w:pPr>
              <w:spacing w:after="0"/>
              <w:rPr>
                <w:sz w:val="19"/>
                <w:szCs w:val="19"/>
                <w:color w:val="auto"/>
              </w:rPr>
            </w:pPr>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80" w:type="dxa"/>
            <w:vAlign w:val="bottom"/>
            <w:shd w:val="clear" w:color="auto" w:fill="CCEDFF"/>
          </w:tcPr>
          <w:p>
            <w:pPr>
              <w:spacing w:after="0"/>
              <w:rPr>
                <w:sz w:val="19"/>
                <w:szCs w:val="19"/>
                <w:color w:val="auto"/>
              </w:rPr>
            </w:pPr>
          </w:p>
        </w:tc>
      </w:tr>
      <w:tr>
        <w:trPr>
          <w:trHeight w:val="430"/>
        </w:trPr>
        <w:tc>
          <w:tcPr>
            <w:tcW w:w="3140" w:type="dxa"/>
            <w:vAlign w:val="bottom"/>
            <w:tcBorders>
              <w:top w:val="single" w:sz="8" w:color="0000EE"/>
            </w:tcBorders>
            <w:gridSpan w:val="3"/>
          </w:tcPr>
          <w:p>
            <w:pPr>
              <w:spacing w:after="0"/>
              <w:rPr>
                <w:sz w:val="24"/>
                <w:szCs w:val="24"/>
                <w:color w:val="auto"/>
              </w:rPr>
            </w:pPr>
          </w:p>
        </w:tc>
        <w:tc>
          <w:tcPr>
            <w:tcW w:w="2000" w:type="dxa"/>
            <w:vAlign w:val="bottom"/>
            <w:tcBorders>
              <w:top w:val="single" w:sz="8" w:color="CCEDFF"/>
            </w:tcBorders>
            <w:gridSpan w:val="2"/>
          </w:tcPr>
          <w:p>
            <w:pPr>
              <w:jc w:val="right"/>
              <w:ind w:right="300"/>
              <w:spacing w:after="0"/>
              <w:rPr>
                <w:sz w:val="20"/>
                <w:szCs w:val="20"/>
                <w:color w:val="auto"/>
              </w:rPr>
            </w:pPr>
            <w:r>
              <w:rPr>
                <w:rFonts w:ascii="Arial" w:cs="Arial" w:eastAsia="Arial" w:hAnsi="Arial"/>
                <w:sz w:val="18"/>
                <w:szCs w:val="18"/>
                <w:color w:val="auto"/>
              </w:rPr>
              <w:t>32</w:t>
            </w:r>
          </w:p>
        </w:tc>
        <w:tc>
          <w:tcPr>
            <w:tcW w:w="2920" w:type="dxa"/>
            <w:vAlign w:val="bottom"/>
            <w:tcBorders>
              <w:top w:val="single" w:sz="8" w:color="CCEDFF"/>
            </w:tcBorders>
          </w:tcPr>
          <w:p>
            <w:pPr>
              <w:spacing w:after="0"/>
              <w:rPr>
                <w:sz w:val="24"/>
                <w:szCs w:val="24"/>
                <w:color w:val="auto"/>
              </w:rPr>
            </w:pPr>
          </w:p>
        </w:tc>
        <w:tc>
          <w:tcPr>
            <w:tcW w:w="60" w:type="dxa"/>
            <w:vAlign w:val="bottom"/>
            <w:tcBorders>
              <w:top w:val="single" w:sz="8" w:color="CCEDFF"/>
            </w:tcBorders>
          </w:tcPr>
          <w:p>
            <w:pPr>
              <w:spacing w:after="0"/>
              <w:rPr>
                <w:sz w:val="24"/>
                <w:szCs w:val="24"/>
                <w:color w:val="auto"/>
              </w:rPr>
            </w:pPr>
          </w:p>
        </w:tc>
        <w:tc>
          <w:tcPr>
            <w:tcW w:w="60" w:type="dxa"/>
            <w:vAlign w:val="bottom"/>
            <w:tcBorders>
              <w:top w:val="single" w:sz="8" w:color="CCEDFF"/>
            </w:tcBorders>
          </w:tcPr>
          <w:p>
            <w:pPr>
              <w:spacing w:after="0"/>
              <w:rPr>
                <w:sz w:val="24"/>
                <w:szCs w:val="24"/>
                <w:color w:val="auto"/>
              </w:rPr>
            </w:pPr>
          </w:p>
        </w:tc>
        <w:tc>
          <w:tcPr>
            <w:tcW w:w="300" w:type="dxa"/>
            <w:vAlign w:val="bottom"/>
            <w:tcBorders>
              <w:top w:val="single" w:sz="8" w:color="CCEDFF"/>
            </w:tcBorders>
          </w:tcPr>
          <w:p>
            <w:pPr>
              <w:spacing w:after="0"/>
              <w:rPr>
                <w:sz w:val="24"/>
                <w:szCs w:val="24"/>
                <w:color w:val="auto"/>
              </w:rPr>
            </w:pPr>
          </w:p>
        </w:tc>
        <w:tc>
          <w:tcPr>
            <w:tcW w:w="360" w:type="dxa"/>
            <w:vAlign w:val="bottom"/>
            <w:tcBorders>
              <w:top w:val="single" w:sz="8" w:color="CCEDFF"/>
            </w:tcBorders>
          </w:tcPr>
          <w:p>
            <w:pPr>
              <w:spacing w:after="0"/>
              <w:rPr>
                <w:sz w:val="24"/>
                <w:szCs w:val="24"/>
                <w:color w:val="auto"/>
              </w:rPr>
            </w:pPr>
          </w:p>
        </w:tc>
        <w:tc>
          <w:tcPr>
            <w:tcW w:w="400" w:type="dxa"/>
            <w:vAlign w:val="bottom"/>
            <w:tcBorders>
              <w:top w:val="single" w:sz="8" w:color="CCED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CCEDFF"/>
            </w:tcBorders>
          </w:tcPr>
          <w:p>
            <w:pPr>
              <w:spacing w:after="0"/>
              <w:rPr>
                <w:sz w:val="24"/>
                <w:szCs w:val="24"/>
                <w:color w:val="auto"/>
              </w:rPr>
            </w:pPr>
          </w:p>
        </w:tc>
      </w:tr>
      <w:tr>
        <w:trPr>
          <w:trHeight w:val="456"/>
        </w:trPr>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1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9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-2889885</wp:posOffset>
            </wp:positionV>
            <wp:extent cx="6036310" cy="153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-2582545</wp:posOffset>
            </wp:positionV>
            <wp:extent cx="6036310" cy="153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-2275840</wp:posOffset>
            </wp:positionV>
            <wp:extent cx="6036310" cy="153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-1969135</wp:posOffset>
            </wp:positionV>
            <wp:extent cx="6036310" cy="153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-1525270</wp:posOffset>
            </wp:positionV>
            <wp:extent cx="6036310"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-1218565</wp:posOffset>
            </wp:positionV>
            <wp:extent cx="6036310" cy="153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-911860</wp:posOffset>
            </wp:positionV>
            <wp:extent cx="6036310" cy="153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6310" cy="153670"/>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To Shareholders and 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of Photronics, Inc.</w:t>
      </w:r>
    </w:p>
    <w:p>
      <w:pPr>
        <w:spacing w:after="0"/>
        <w:rPr>
          <w:sz w:val="20"/>
          <w:szCs w:val="20"/>
          <w:color w:val="auto"/>
        </w:rPr>
      </w:pPr>
      <w:r>
        <w:rPr>
          <w:rFonts w:ascii="Arial" w:cs="Arial" w:eastAsia="Arial" w:hAnsi="Arial"/>
          <w:sz w:val="18"/>
          <w:szCs w:val="18"/>
          <w:color w:val="auto"/>
        </w:rPr>
        <w:t>Brookfield, Connecticut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have audited the accompanying consolidated balance sheets of Photronics, Inc. (the “Company”) as of October 31, 2018 and October 29, 2017, and the related consolidated statements of income, consolidated statements of comprehensive income, consolidated statements of equity, and consolidated statements of cash flows for each of the years ended October 31, 2018, October 29, 2017 and October 30, 2016. We also have audited the Company’s internal control over financial reporting as of October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2018 and October 29, 2017, and the results of its operations and their cash flows for each of the fiscal years ended October 31, 2018, October 29, 2017, and October 30, 2016 in conformity with accounting principles generally accepted in the United States of America. Also, in our opinion, the Company maintained, in all material respects, effective internal control over financial reporting as of October 31, 2018,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 issued by COSO</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December 21,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29,</w:t>
            </w:r>
          </w:p>
        </w:tc>
      </w:tr>
      <w:tr>
        <w:trPr>
          <w:trHeight w:val="177"/>
        </w:trPr>
        <w:tc>
          <w:tcPr>
            <w:tcW w:w="7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2"/>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2"/>
        </w:trPr>
        <w:tc>
          <w:tcPr>
            <w:tcW w:w="7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329,277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308,021</w:t>
            </w:r>
          </w:p>
        </w:tc>
      </w:tr>
      <w:tr>
        <w:trPr>
          <w:trHeight w:val="248"/>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of $1,526 in 2018 and $2,319 in 2017</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120,515</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105,320</w:t>
            </w: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29,180</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23,703</w:t>
            </w:r>
          </w:p>
        </w:tc>
      </w:tr>
      <w:tr>
        <w:trPr>
          <w:trHeight w:val="234"/>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23,759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12,080</w:t>
            </w:r>
          </w:p>
        </w:tc>
      </w:tr>
      <w:tr>
        <w:trPr>
          <w:trHeight w:val="27"/>
        </w:trPr>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6"/>
        </w:trPr>
        <w:tc>
          <w:tcPr>
            <w:tcW w:w="74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502,731</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449,124</w:t>
            </w:r>
          </w:p>
        </w:tc>
      </w:tr>
      <w:tr>
        <w:trPr>
          <w:trHeight w:val="248"/>
        </w:trPr>
        <w:tc>
          <w:tcPr>
            <w:tcW w:w="74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571,781</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535,197</w:t>
            </w:r>
          </w:p>
        </w:tc>
      </w:tr>
      <w:tr>
        <w:trPr>
          <w:trHeight w:val="248"/>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17,122</w:t>
            </w: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15,481</w:t>
            </w:r>
          </w:p>
        </w:tc>
      </w:tr>
      <w:tr>
        <w:trPr>
          <w:trHeight w:val="234"/>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3,870</w:t>
            </w:r>
          </w:p>
        </w:tc>
      </w:tr>
      <w:tr>
        <w:trPr>
          <w:trHeight w:val="27"/>
        </w:trPr>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1,110,009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1,020,794</w:t>
            </w:r>
          </w:p>
        </w:tc>
        <w:tc>
          <w:tcPr>
            <w:tcW w:w="8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74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8"/>
        </w:trPr>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74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4,639</w:t>
            </w: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89,149</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50,834</w:t>
            </w:r>
          </w:p>
        </w:tc>
      </w:tr>
      <w:tr>
        <w:trPr>
          <w:trHeight w:val="234"/>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44,474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26,303</w:t>
            </w:r>
          </w:p>
        </w:tc>
      </w:tr>
      <w:tr>
        <w:trPr>
          <w:trHeight w:val="27"/>
        </w:trPr>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6"/>
        </w:trPr>
        <w:tc>
          <w:tcPr>
            <w:tcW w:w="74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191,076</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81,776</w:t>
            </w:r>
          </w:p>
        </w:tc>
      </w:tr>
      <w:tr>
        <w:trPr>
          <w:trHeight w:val="248"/>
        </w:trPr>
        <w:tc>
          <w:tcPr>
            <w:tcW w:w="74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57,337</w:t>
            </w:r>
          </w:p>
        </w:tc>
      </w:tr>
      <w:tr>
        <w:trPr>
          <w:trHeight w:val="248"/>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w:t>
            </w:r>
          </w:p>
        </w:tc>
      </w:tr>
      <w:tr>
        <w:trPr>
          <w:trHeight w:val="228"/>
        </w:trPr>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13,721</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14,337</w:t>
            </w:r>
          </w:p>
        </w:tc>
      </w:tr>
      <w:tr>
        <w:trPr>
          <w:trHeight w:val="27"/>
        </w:trPr>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74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205,440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155,499</w:t>
            </w:r>
          </w:p>
        </w:tc>
      </w:tr>
      <w:tr>
        <w:trPr>
          <w:trHeight w:val="242"/>
        </w:trPr>
        <w:tc>
          <w:tcPr>
            <w:tcW w:w="7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2"/>
        </w:trPr>
        <w:tc>
          <w:tcPr>
            <w:tcW w:w="7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420" w:type="dxa"/>
            <w:vAlign w:val="bottom"/>
          </w:tcPr>
          <w:p>
            <w:pPr>
              <w:ind w:left="18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0"/>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Common stock, $0.01 par value, 150,000 shares authorized, 69,700 shares issued and 67,142</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4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outstanding at October 31, 2018, and 68,666 shares issued and outstanding at October 29, 2017</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555,606</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547,596</w:t>
            </w:r>
          </w:p>
        </w:tc>
      </w:tr>
      <w:tr>
        <w:trPr>
          <w:trHeight w:val="248"/>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231,445</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189,390</w:t>
            </w: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Treasury stock, 2,558 shares at October 31, 2018</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4"/>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6,891</w:t>
            </w:r>
          </w:p>
        </w:tc>
      </w:tr>
      <w:tr>
        <w:trPr>
          <w:trHeight w:val="27"/>
        </w:trPr>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6"/>
        </w:trPr>
        <w:tc>
          <w:tcPr>
            <w:tcW w:w="7420" w:type="dxa"/>
            <w:vAlign w:val="bottom"/>
          </w:tcPr>
          <w:p>
            <w:pPr>
              <w:spacing w:after="0"/>
              <w:rPr>
                <w:sz w:val="20"/>
                <w:szCs w:val="20"/>
                <w:color w:val="auto"/>
              </w:rPr>
            </w:pPr>
            <w:r>
              <w:rPr>
                <w:rFonts w:ascii="Arial" w:cs="Arial" w:eastAsia="Arial" w:hAnsi="Arial"/>
                <w:sz w:val="18"/>
                <w:szCs w:val="18"/>
                <w:color w:val="auto"/>
              </w:rPr>
              <w:t>Total Photronics, Inc. shareholders’ equity</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759,671</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744,564</w:t>
            </w:r>
          </w:p>
        </w:tc>
      </w:tr>
      <w:tr>
        <w:trPr>
          <w:trHeight w:val="234"/>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144,898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120,731</w:t>
            </w:r>
          </w:p>
        </w:tc>
      </w:tr>
      <w:tr>
        <w:trPr>
          <w:trHeight w:val="27"/>
        </w:trPr>
        <w:tc>
          <w:tcPr>
            <w:tcW w:w="74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742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904,569</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865,295</w:t>
            </w:r>
          </w:p>
        </w:tc>
      </w:tr>
      <w:tr>
        <w:trPr>
          <w:trHeight w:val="27"/>
        </w:trPr>
        <w:tc>
          <w:tcPr>
            <w:tcW w:w="7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1,110,009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1,020,794</w:t>
            </w:r>
          </w:p>
        </w:tc>
        <w:tc>
          <w:tcPr>
            <w:tcW w:w="80" w:type="dxa"/>
            <w:vAlign w:val="bottom"/>
            <w:shd w:val="clear" w:color="auto" w:fill="CCEEFF"/>
          </w:tcPr>
          <w:p>
            <w:pPr>
              <w:spacing w:after="0"/>
              <w:rPr>
                <w:sz w:val="21"/>
                <w:szCs w:val="21"/>
                <w:color w:val="auto"/>
              </w:rPr>
            </w:pP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October 31,</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October 29,</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October 30,</w:t>
            </w:r>
          </w:p>
        </w:tc>
      </w:tr>
      <w:tr>
        <w:trPr>
          <w:trHeight w:val="177"/>
        </w:trPr>
        <w:tc>
          <w:tcPr>
            <w:tcW w:w="6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535,276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450,678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483,456</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(403,773)</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(359,363)</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(364,750)</w:t>
            </w:r>
          </w:p>
        </w:tc>
      </w:tr>
      <w:tr>
        <w:trPr>
          <w:trHeight w:val="27"/>
        </w:trPr>
        <w:tc>
          <w:tcPr>
            <w:tcW w:w="64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131,503</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91,315</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118,706</w:t>
            </w:r>
          </w:p>
        </w:tc>
      </w:tr>
      <w:tr>
        <w:trPr>
          <w:trHeight w:val="242"/>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(51,395)</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(43,585)</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(44,577)</w:t>
            </w:r>
          </w:p>
        </w:tc>
      </w:tr>
      <w:tr>
        <w:trPr>
          <w:trHeight w:val="234"/>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(14,481)</w:t>
            </w: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(21,654)</w:t>
            </w:r>
          </w:p>
        </w:tc>
      </w:tr>
      <w:tr>
        <w:trPr>
          <w:trHeight w:val="27"/>
        </w:trPr>
        <w:tc>
          <w:tcPr>
            <w:tcW w:w="64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(65,876)</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(59,447)</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(66,231)</w:t>
            </w:r>
          </w:p>
        </w:tc>
      </w:tr>
      <w:tr>
        <w:trPr>
          <w:trHeight w:val="27"/>
        </w:trPr>
        <w:tc>
          <w:tcPr>
            <w:tcW w:w="64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65,627</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31,868</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52,475</w:t>
            </w:r>
          </w:p>
        </w:tc>
      </w:tr>
      <w:tr>
        <w:trPr>
          <w:trHeight w:val="242"/>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Interest income and other income (expense)</w:t>
            </w: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5,206</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(3,068)</w:t>
            </w: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2,424</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(2,262)</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(3,365)</w:t>
            </w: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Gains on sales of investments</w:t>
            </w:r>
          </w:p>
        </w:tc>
        <w:tc>
          <w:tcPr>
            <w:tcW w:w="1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8,940</w:t>
            </w:r>
          </w:p>
        </w:tc>
      </w:tr>
      <w:tr>
        <w:trPr>
          <w:trHeight w:val="27"/>
        </w:trPr>
        <w:tc>
          <w:tcPr>
            <w:tcW w:w="64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68,571</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26,565</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60,474</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(7,335)</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(5,276)</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(4,798)</w:t>
            </w:r>
          </w:p>
        </w:tc>
      </w:tr>
      <w:tr>
        <w:trPr>
          <w:trHeight w:val="27"/>
        </w:trPr>
        <w:tc>
          <w:tcPr>
            <w:tcW w:w="64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61,236</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21,289</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55,676</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(19,181)</w:t>
            </w: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(8,159)</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(9,476)</w:t>
            </w:r>
          </w:p>
        </w:tc>
      </w:tr>
      <w:tr>
        <w:trPr>
          <w:trHeight w:val="27"/>
        </w:trPr>
        <w:tc>
          <w:tcPr>
            <w:tcW w:w="64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46,200</w:t>
            </w:r>
          </w:p>
        </w:tc>
      </w:tr>
      <w:tr>
        <w:trPr>
          <w:trHeight w:val="236"/>
        </w:trPr>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55"/>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r>
      <w:tr>
        <w:trPr>
          <w:trHeight w:val="27"/>
        </w:trPr>
        <w:tc>
          <w:tcPr>
            <w:tcW w:w="64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r>
      <w:tr>
        <w:trPr>
          <w:trHeight w:val="27"/>
        </w:trPr>
        <w:tc>
          <w:tcPr>
            <w:tcW w:w="64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68,829</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68,436</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67,539</w:t>
            </w:r>
          </w:p>
        </w:tc>
      </w:tr>
      <w:tr>
        <w:trPr>
          <w:trHeight w:val="27"/>
        </w:trPr>
        <w:tc>
          <w:tcPr>
            <w:tcW w:w="64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74,821</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69,288</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76,354</w:t>
            </w:r>
          </w:p>
        </w:tc>
      </w:tr>
      <w:tr>
        <w:trPr>
          <w:trHeight w:val="27"/>
        </w:trPr>
        <w:tc>
          <w:tcPr>
            <w:tcW w:w="64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October 31,</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October 29,</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October 30,</w:t>
            </w:r>
          </w:p>
        </w:tc>
      </w:tr>
      <w:tr>
        <w:trPr>
          <w:trHeight w:val="177"/>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61,236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21,289</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55,676</w:t>
            </w:r>
          </w:p>
        </w:tc>
      </w:tr>
      <w:tr>
        <w:trPr>
          <w:trHeight w:val="236"/>
        </w:trPr>
        <w:tc>
          <w:tcPr>
            <w:tcW w:w="64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19,799</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6,334</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Amortization of cash flow hedge</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r>
      <w:tr>
        <w:trPr>
          <w:trHeight w:val="234"/>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r>
      <w:tr>
        <w:trPr>
          <w:trHeight w:val="27"/>
        </w:trPr>
        <w:tc>
          <w:tcPr>
            <w:tcW w:w="64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(16,523)</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20,406</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5,874</w:t>
            </w:r>
          </w:p>
        </w:tc>
      </w:tr>
      <w:tr>
        <w:trPr>
          <w:trHeight w:val="27"/>
        </w:trPr>
        <w:tc>
          <w:tcPr>
            <w:tcW w:w="64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44,713</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41,695</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61,550</w:t>
            </w: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14,515</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14,003</w:t>
            </w: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12,448</w:t>
            </w:r>
          </w:p>
        </w:tc>
      </w:tr>
      <w:tr>
        <w:trPr>
          <w:trHeight w:val="27"/>
        </w:trPr>
        <w:tc>
          <w:tcPr>
            <w:tcW w:w="64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30,198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27,692</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49,102</w:t>
            </w:r>
          </w:p>
        </w:tc>
      </w:tr>
      <w:tr>
        <w:trPr>
          <w:trHeight w:val="27"/>
        </w:trPr>
        <w:tc>
          <w:tcPr>
            <w:tcW w:w="64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jc w:val="center"/>
        <w:spacing w:after="0" w:line="233" w:lineRule="auto"/>
        <w:rPr>
          <w:sz w:val="20"/>
          <w:szCs w:val="20"/>
          <w:color w:val="auto"/>
        </w:rPr>
      </w:pPr>
      <w:r>
        <w:rPr>
          <w:rFonts w:ascii="Arial" w:cs="Arial" w:eastAsia="Arial" w:hAnsi="Arial"/>
          <w:sz w:val="18"/>
          <w:szCs w:val="18"/>
          <w:b w:val="1"/>
          <w:bCs w:val="1"/>
          <w:color w:val="auto"/>
        </w:rPr>
        <w:t>Years Ended October 31, 2018, October 29, 2017 and October 30, 2016</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4"/>
                <w:szCs w:val="14"/>
                <w:color w:val="auto"/>
              </w:rPr>
            </w:pPr>
          </w:p>
        </w:tc>
        <w:tc>
          <w:tcPr>
            <w:tcW w:w="146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Retained</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Treasury</w:t>
            </w: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Controlling</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Stock</w:t>
            </w: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Interests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November 1, 2015</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66,602</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666</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$ 526,402</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0"/>
              </w:rPr>
              <w:t>$130,060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(10,573)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115,511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$762,066</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7"/>
                <w:szCs w:val="17"/>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46,200</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9,476</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55,676</w:t>
            </w:r>
          </w:p>
        </w:tc>
        <w:tc>
          <w:tcPr>
            <w:tcW w:w="0" w:type="dxa"/>
            <w:vAlign w:val="bottom"/>
          </w:tcPr>
          <w:p>
            <w:pPr>
              <w:spacing w:after="0"/>
              <w:rPr>
                <w:sz w:val="1"/>
                <w:szCs w:val="1"/>
                <w:color w:val="auto"/>
              </w:rPr>
            </w:pPr>
          </w:p>
        </w:tc>
      </w:tr>
      <w:tr>
        <w:trPr>
          <w:trHeight w:val="235"/>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2,902</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2,972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5,874</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Sales of common stock through</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180"/>
              <w:spacing w:after="0"/>
              <w:rPr>
                <w:sz w:val="20"/>
                <w:szCs w:val="20"/>
                <w:color w:val="auto"/>
              </w:rPr>
            </w:pPr>
            <w:r>
              <w:rPr>
                <w:rFonts w:ascii="Arial" w:cs="Arial" w:eastAsia="Arial" w:hAnsi="Arial"/>
                <w:sz w:val="17"/>
                <w:szCs w:val="17"/>
                <w:color w:val="auto"/>
              </w:rPr>
              <w:t>employee stock option and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7"/>
                <w:szCs w:val="17"/>
                <w:color w:val="auto"/>
              </w:rPr>
              <w:t>purchase plan</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618</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3,441</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3,447</w:t>
            </w:r>
          </w:p>
        </w:tc>
        <w:tc>
          <w:tcPr>
            <w:tcW w:w="0" w:type="dxa"/>
            <w:vAlign w:val="bottom"/>
          </w:tcPr>
          <w:p>
            <w:pPr>
              <w:spacing w:after="0"/>
              <w:rPr>
                <w:sz w:val="1"/>
                <w:szCs w:val="1"/>
                <w:color w:val="auto"/>
              </w:rPr>
            </w:pPr>
          </w:p>
        </w:tc>
      </w:tr>
      <w:tr>
        <w:trPr>
          <w:trHeight w:val="206"/>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Restricted stock awards vesting and</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expense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1,190</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7"/>
                <w:szCs w:val="17"/>
                <w:color w:val="auto"/>
                <w:w w:val="92"/>
              </w:rPr>
              <w:t>Share-based compensation expense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2,637</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2,637</w:t>
            </w:r>
          </w:p>
        </w:tc>
        <w:tc>
          <w:tcPr>
            <w:tcW w:w="0" w:type="dxa"/>
            <w:vAlign w:val="bottom"/>
          </w:tcPr>
          <w:p>
            <w:pPr>
              <w:spacing w:after="0"/>
              <w:rPr>
                <w:sz w:val="1"/>
                <w:szCs w:val="1"/>
                <w:color w:val="auto"/>
              </w:rPr>
            </w:pPr>
          </w:p>
        </w:tc>
      </w:tr>
      <w:tr>
        <w:trPr>
          <w:trHeight w:val="203"/>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Conversion of debt to common</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717</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7,431</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7,438</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Dividends to noncontrolling</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(11,901)</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(11,901)</w:t>
            </w:r>
          </w:p>
        </w:tc>
        <w:tc>
          <w:tcPr>
            <w:tcW w:w="0" w:type="dxa"/>
            <w:vAlign w:val="bottom"/>
          </w:tcPr>
          <w:p>
            <w:pPr>
              <w:spacing w:after="0"/>
              <w:rPr>
                <w:sz w:val="1"/>
                <w:szCs w:val="1"/>
                <w:color w:val="auto"/>
              </w:rPr>
            </w:pPr>
          </w:p>
        </w:tc>
      </w:tr>
      <w:tr>
        <w:trPr>
          <w:trHeight w:val="206"/>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Return of capital to noncontrolling</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Repurchase of common stock by</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(8)</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8</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600" w:type="dxa"/>
            <w:vAlign w:val="bottom"/>
          </w:tcPr>
          <w:p>
            <w:pPr>
              <w:ind w:left="180"/>
              <w:spacing w:after="0"/>
              <w:rPr>
                <w:sz w:val="20"/>
                <w:szCs w:val="20"/>
                <w:color w:val="auto"/>
              </w:rPr>
            </w:pPr>
            <w:r>
              <w:rPr>
                <w:rFonts w:ascii="Arial" w:cs="Arial" w:eastAsia="Arial" w:hAnsi="Arial"/>
                <w:sz w:val="17"/>
                <w:szCs w:val="17"/>
                <w:color w:val="auto"/>
              </w:rPr>
              <w:t>subsidiary</w:t>
            </w: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October 30, 2016</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68,080</w:t>
            </w:r>
          </w:p>
        </w:tc>
        <w:tc>
          <w:tcPr>
            <w:tcW w:w="180" w:type="dxa"/>
            <w:vAlign w:val="bottom"/>
            <w:shd w:val="clear" w:color="auto" w:fill="CCEEFF"/>
          </w:tcPr>
          <w:p>
            <w:pPr>
              <w:spacing w:after="0"/>
              <w:rPr>
                <w:sz w:val="19"/>
                <w:szCs w:val="19"/>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681</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541,093</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176,260</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(7,671)</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115,111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825,474</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7"/>
                <w:szCs w:val="17"/>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13,130</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8,159</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21,289</w:t>
            </w:r>
          </w:p>
        </w:tc>
        <w:tc>
          <w:tcPr>
            <w:tcW w:w="0" w:type="dxa"/>
            <w:vAlign w:val="bottom"/>
          </w:tcPr>
          <w:p>
            <w:pPr>
              <w:spacing w:after="0"/>
              <w:rPr>
                <w:sz w:val="1"/>
                <w:szCs w:val="1"/>
                <w:color w:val="auto"/>
              </w:rPr>
            </w:pPr>
          </w:p>
        </w:tc>
      </w:tr>
      <w:tr>
        <w:trPr>
          <w:trHeight w:val="235"/>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14,562</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5,844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20,406</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Sales of common stock through</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180"/>
              <w:spacing w:after="0"/>
              <w:rPr>
                <w:sz w:val="20"/>
                <w:szCs w:val="20"/>
                <w:color w:val="auto"/>
              </w:rPr>
            </w:pPr>
            <w:r>
              <w:rPr>
                <w:rFonts w:ascii="Arial" w:cs="Arial" w:eastAsia="Arial" w:hAnsi="Arial"/>
                <w:sz w:val="17"/>
                <w:szCs w:val="17"/>
                <w:color w:val="auto"/>
              </w:rPr>
              <w:t>employee stock option and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7"/>
                <w:szCs w:val="17"/>
                <w:color w:val="auto"/>
              </w:rPr>
              <w:t>purchase plan</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459</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2,877</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2,882</w:t>
            </w:r>
          </w:p>
        </w:tc>
        <w:tc>
          <w:tcPr>
            <w:tcW w:w="0" w:type="dxa"/>
            <w:vAlign w:val="bottom"/>
          </w:tcPr>
          <w:p>
            <w:pPr>
              <w:spacing w:after="0"/>
              <w:rPr>
                <w:sz w:val="1"/>
                <w:szCs w:val="1"/>
                <w:color w:val="auto"/>
              </w:rPr>
            </w:pPr>
          </w:p>
        </w:tc>
      </w:tr>
      <w:tr>
        <w:trPr>
          <w:trHeight w:val="206"/>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4"/>
              </w:rPr>
              <w:t>Restricted stock awards vesting and</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expense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1,508</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1,509</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7"/>
                <w:szCs w:val="17"/>
                <w:color w:val="auto"/>
                <w:w w:val="92"/>
              </w:rPr>
              <w:t>Share-based compensation expense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2,118</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2,118</w:t>
            </w:r>
          </w:p>
        </w:tc>
        <w:tc>
          <w:tcPr>
            <w:tcW w:w="0" w:type="dxa"/>
            <w:vAlign w:val="bottom"/>
          </w:tcPr>
          <w:p>
            <w:pPr>
              <w:spacing w:after="0"/>
              <w:rPr>
                <w:sz w:val="1"/>
                <w:szCs w:val="1"/>
                <w:color w:val="auto"/>
              </w:rPr>
            </w:pPr>
          </w:p>
        </w:tc>
      </w:tr>
      <w:tr>
        <w:trPr>
          <w:trHeight w:val="203"/>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Dividends to noncontrolling</w:t>
            </w:r>
          </w:p>
        </w:tc>
        <w:tc>
          <w:tcPr>
            <w:tcW w:w="7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(8,383)</w:t>
            </w: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(8,383)</w:t>
            </w:r>
          </w:p>
        </w:tc>
        <w:tc>
          <w:tcPr>
            <w:tcW w:w="0" w:type="dxa"/>
            <w:vAlign w:val="bottom"/>
          </w:tcPr>
          <w:p>
            <w:pPr>
              <w:spacing w:after="0"/>
              <w:rPr>
                <w:sz w:val="1"/>
                <w:szCs w:val="1"/>
                <w:color w:val="auto"/>
              </w:rPr>
            </w:pPr>
          </w:p>
        </w:tc>
      </w:tr>
      <w:tr>
        <w:trPr>
          <w:trHeight w:val="206"/>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760" w:type="dxa"/>
            <w:vAlign w:val="bottom"/>
            <w:tcBorders>
              <w:right w:val="single" w:sz="8" w:color="CCEEFF"/>
            </w:tcBorders>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vMerge w:val="continue"/>
            <w:shd w:val="clear" w:color="auto" w:fill="CCEEFF"/>
          </w:tcPr>
          <w:p>
            <w:pPr>
              <w:spacing w:after="0"/>
              <w:rPr>
                <w:sz w:val="17"/>
                <w:szCs w:val="17"/>
                <w:color w:val="auto"/>
              </w:rPr>
            </w:pPr>
          </w:p>
        </w:tc>
        <w:tc>
          <w:tcPr>
            <w:tcW w:w="880" w:type="dxa"/>
            <w:vAlign w:val="bottom"/>
            <w:tcBorders>
              <w:right w:val="single" w:sz="8" w:color="CCEEFF"/>
            </w:tcBorders>
            <w:gridSpan w:val="2"/>
            <w:vMerge w:val="continue"/>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60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00" w:type="dxa"/>
            <w:vAlign w:val="bottom"/>
          </w:tcPr>
          <w:p>
            <w:pPr>
              <w:spacing w:after="0"/>
              <w:rPr>
                <w:sz w:val="20"/>
                <w:szCs w:val="20"/>
                <w:color w:val="auto"/>
              </w:rPr>
            </w:pPr>
            <w:r>
              <w:rPr>
                <w:rFonts w:ascii="Arial" w:cs="Arial" w:eastAsia="Arial" w:hAnsi="Arial"/>
                <w:sz w:val="17"/>
                <w:szCs w:val="17"/>
                <w:b w:val="1"/>
                <w:bCs w:val="1"/>
                <w:color w:val="auto"/>
              </w:rPr>
              <w:t>Balance at October 29, 2017</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68,666</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687</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547,596</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189,390</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6,891</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120,731</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865,295</w:t>
            </w: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42,055</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19,181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61,236</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(11,857)</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(4,666)</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(16,523)</w:t>
            </w:r>
          </w:p>
        </w:tc>
        <w:tc>
          <w:tcPr>
            <w:tcW w:w="0" w:type="dxa"/>
            <w:vAlign w:val="bottom"/>
          </w:tcPr>
          <w:p>
            <w:pPr>
              <w:spacing w:after="0"/>
              <w:rPr>
                <w:sz w:val="1"/>
                <w:szCs w:val="1"/>
                <w:color w:val="auto"/>
              </w:rPr>
            </w:pPr>
          </w:p>
        </w:tc>
      </w:tr>
      <w:tr>
        <w:trPr>
          <w:trHeight w:val="203"/>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Sales of common stock through</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employee stock option and</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plan</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870</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4,683</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4,692</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w w:val="94"/>
              </w:rPr>
              <w:t>Restricted stock awards vesting and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7"/>
                <w:szCs w:val="17"/>
                <w:color w:val="auto"/>
              </w:rPr>
              <w:t>expense</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164</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1,747</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37"/>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2"/>
              </w:rPr>
              <w:t>Share-based compensation expense</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1,432</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1,432</w:t>
            </w:r>
          </w:p>
        </w:tc>
        <w:tc>
          <w:tcPr>
            <w:tcW w:w="0" w:type="dxa"/>
            <w:vAlign w:val="bottom"/>
          </w:tcPr>
          <w:p>
            <w:pPr>
              <w:spacing w:after="0"/>
              <w:rPr>
                <w:sz w:val="1"/>
                <w:szCs w:val="1"/>
                <w:color w:val="auto"/>
              </w:rPr>
            </w:pPr>
          </w:p>
        </w:tc>
      </w:tr>
      <w:tr>
        <w:trPr>
          <w:trHeight w:val="197"/>
        </w:trPr>
        <w:tc>
          <w:tcPr>
            <w:tcW w:w="2600" w:type="dxa"/>
            <w:vAlign w:val="bottom"/>
          </w:tcPr>
          <w:p>
            <w:pPr>
              <w:spacing w:after="0"/>
              <w:rPr>
                <w:sz w:val="20"/>
                <w:szCs w:val="20"/>
                <w:color w:val="auto"/>
              </w:rPr>
            </w:pPr>
            <w:r>
              <w:rPr>
                <w:rFonts w:ascii="Arial" w:cs="Arial" w:eastAsia="Arial" w:hAnsi="Arial"/>
                <w:sz w:val="17"/>
                <w:szCs w:val="17"/>
                <w:color w:val="auto"/>
              </w:rPr>
              <w:t>Contribution from noncontrolling</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148</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17,848</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17,996</w:t>
            </w:r>
          </w:p>
        </w:tc>
        <w:tc>
          <w:tcPr>
            <w:tcW w:w="0" w:type="dxa"/>
            <w:vAlign w:val="bottom"/>
          </w:tcPr>
          <w:p>
            <w:pPr>
              <w:spacing w:after="0"/>
              <w:rPr>
                <w:sz w:val="1"/>
                <w:szCs w:val="1"/>
                <w:color w:val="auto"/>
              </w:rPr>
            </w:pPr>
          </w:p>
        </w:tc>
      </w:tr>
      <w:tr>
        <w:trPr>
          <w:trHeight w:val="206"/>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Dividends to noncontrolling</w:t>
            </w: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(8,196)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(8,196)</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7"/>
                <w:szCs w:val="17"/>
                <w:color w:val="auto"/>
              </w:rPr>
              <w:t>Purchase of treasury stock</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(23,111)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(23,111)</w:t>
            </w:r>
          </w:p>
        </w:tc>
        <w:tc>
          <w:tcPr>
            <w:tcW w:w="0" w:type="dxa"/>
            <w:vAlign w:val="bottom"/>
          </w:tcPr>
          <w:p>
            <w:pPr>
              <w:spacing w:after="0"/>
              <w:rPr>
                <w:sz w:val="1"/>
                <w:szCs w:val="1"/>
                <w:color w:val="auto"/>
              </w:rPr>
            </w:pPr>
          </w:p>
        </w:tc>
      </w:tr>
      <w:tr>
        <w:trPr>
          <w:trHeight w:val="27"/>
        </w:trPr>
        <w:tc>
          <w:tcPr>
            <w:tcW w:w="2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October 31, 2018</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69,700</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697</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$ 555,606</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231,445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(23,111)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(4,966)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144,898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904,569</w:t>
            </w:r>
          </w:p>
        </w:tc>
        <w:tc>
          <w:tcPr>
            <w:tcW w:w="0" w:type="dxa"/>
            <w:vAlign w:val="bottom"/>
          </w:tcPr>
          <w:p>
            <w:pPr>
              <w:spacing w:after="0"/>
              <w:rPr>
                <w:sz w:val="1"/>
                <w:szCs w:val="1"/>
                <w:color w:val="auto"/>
              </w:rPr>
            </w:pPr>
          </w:p>
        </w:tc>
      </w:tr>
      <w:tr>
        <w:trPr>
          <w:trHeight w:val="27"/>
        </w:trPr>
        <w:tc>
          <w:tcPr>
            <w:tcW w:w="2600" w:type="dxa"/>
            <w:vAlign w:val="bottom"/>
            <w:tcBorders>
              <w:top w:val="single" w:sz="8" w:color="CCEEFF"/>
              <w:right w:val="single" w:sz="8" w:color="auto"/>
            </w:tcBorders>
            <w:shd w:val="clear" w:color="auto" w:fill="CCEEFF"/>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48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October 31,</w:t>
            </w: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October 29,</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October 30,</w:t>
            </w:r>
          </w:p>
        </w:tc>
      </w:tr>
      <w:tr>
        <w:trPr>
          <w:trHeight w:val="177"/>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61,236</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21,289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55,676</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79,536</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81,699</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77,613</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4,797</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4,874</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5,228</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Gains on sales of investments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(8,940)</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3,180</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3,627</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3,827</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1,633</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(3,816)</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liabilities, and other: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(18,553)</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(9,625)</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18,807</w:t>
            </w:r>
          </w:p>
        </w:tc>
      </w:tr>
      <w:tr>
        <w:trPr>
          <w:trHeight w:val="248"/>
        </w:trPr>
        <w:tc>
          <w:tcPr>
            <w:tcW w:w="6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2,268</w:t>
            </w:r>
          </w:p>
        </w:tc>
      </w:tr>
      <w:tr>
        <w:trPr>
          <w:trHeight w:val="236"/>
        </w:trPr>
        <w:tc>
          <w:tcPr>
            <w:tcW w:w="64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(11,731)</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7,936</w:t>
            </w:r>
          </w:p>
        </w:tc>
      </w:tr>
      <w:tr>
        <w:trPr>
          <w:trHeight w:val="234"/>
        </w:trPr>
        <w:tc>
          <w:tcPr>
            <w:tcW w:w="6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and other</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18,537</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(7,189)</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(36,462)</w:t>
            </w:r>
          </w:p>
        </w:tc>
      </w:tr>
      <w:tr>
        <w:trPr>
          <w:trHeight w:val="27"/>
        </w:trPr>
        <w:tc>
          <w:tcPr>
            <w:tcW w:w="64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35"/>
        </w:trPr>
        <w:tc>
          <w:tcPr>
            <w:tcW w:w="64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130,567</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96,833</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122,137</w:t>
            </w: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(92,585)</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(91,965)</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(50,147)</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intangible assets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Acquisition of business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101,853</w:t>
            </w:r>
          </w:p>
        </w:tc>
      </w:tr>
      <w:tr>
        <w:trPr>
          <w:trHeight w:val="228"/>
        </w:trPr>
        <w:tc>
          <w:tcPr>
            <w:tcW w:w="64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2,074</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r>
      <w:tr>
        <w:trPr>
          <w:trHeight w:val="27"/>
        </w:trPr>
        <w:tc>
          <w:tcPr>
            <w:tcW w:w="64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(90,729)</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(98,066)</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52,290</w:t>
            </w:r>
          </w:p>
        </w:tc>
      </w:tr>
      <w:tr>
        <w:trPr>
          <w:trHeight w:val="236"/>
        </w:trPr>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(23,111)</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Dividends paid to noncontrolling interests</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(8,166)</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(8,298)</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(11,890)</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(5,428)</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(57,609)</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Contribution from noncontrolling interests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17,996</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share-based arrangements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4,634</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2,830</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3,463</w:t>
            </w:r>
          </w:p>
        </w:tc>
      </w:tr>
      <w:tr>
        <w:trPr>
          <w:trHeight w:val="236"/>
        </w:trPr>
        <w:tc>
          <w:tcPr>
            <w:tcW w:w="6480" w:type="dxa"/>
            <w:vAlign w:val="bottom"/>
          </w:tcPr>
          <w:p>
            <w:pPr>
              <w:ind w:left="180"/>
              <w:spacing w:after="0"/>
              <w:rPr>
                <w:sz w:val="20"/>
                <w:szCs w:val="20"/>
                <w:color w:val="auto"/>
              </w:rPr>
            </w:pPr>
            <w:r>
              <w:rPr>
                <w:rFonts w:ascii="Arial" w:cs="Arial" w:eastAsia="Arial" w:hAnsi="Arial"/>
                <w:sz w:val="18"/>
                <w:szCs w:val="18"/>
                <w:color w:val="auto"/>
              </w:rPr>
              <w:t>Return of capital to noncontrolling interests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r>
      <w:tr>
        <w:trPr>
          <w:trHeight w:val="241"/>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42"/>
        </w:trPr>
        <w:tc>
          <w:tcPr>
            <w:tcW w:w="64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(13,805)</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(10,928)</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(67,022)</w:t>
            </w:r>
          </w:p>
        </w:tc>
      </w:tr>
      <w:tr>
        <w:trPr>
          <w:trHeight w:val="242"/>
        </w:trPr>
        <w:tc>
          <w:tcPr>
            <w:tcW w:w="64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6,108</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w:t>
            </w:r>
          </w:p>
        </w:tc>
      </w:tr>
      <w:tr>
        <w:trPr>
          <w:trHeight w:val="242"/>
        </w:trPr>
        <w:tc>
          <w:tcPr>
            <w:tcW w:w="64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2"/>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21,256</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(6,053)</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108,207</w:t>
            </w:r>
          </w:p>
        </w:tc>
      </w:tr>
      <w:tr>
        <w:trPr>
          <w:trHeight w:val="242"/>
        </w:trPr>
        <w:tc>
          <w:tcPr>
            <w:tcW w:w="6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308,021</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314,074</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205,867</w:t>
            </w:r>
          </w:p>
        </w:tc>
      </w:tr>
      <w:tr>
        <w:trPr>
          <w:trHeight w:val="242"/>
        </w:trPr>
        <w:tc>
          <w:tcPr>
            <w:tcW w:w="64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7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329,277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308,021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314,074</w:t>
            </w:r>
          </w:p>
        </w:tc>
      </w:tr>
      <w:tr>
        <w:trPr>
          <w:trHeight w:val="236"/>
        </w:trPr>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Supplemental disclosure of non-cash information:</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8"/>
        </w:trPr>
        <w:tc>
          <w:tcPr>
            <w:tcW w:w="6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property, plant and equipment purchased during year</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29,602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7,866</w:t>
            </w:r>
          </w:p>
        </w:tc>
      </w:tr>
      <w:tr>
        <w:trPr>
          <w:trHeight w:val="229"/>
        </w:trPr>
        <w:tc>
          <w:tcPr>
            <w:tcW w:w="6480" w:type="dxa"/>
            <w:vAlign w:val="bottom"/>
          </w:tcPr>
          <w:p>
            <w:pPr>
              <w:ind w:left="180"/>
              <w:spacing w:after="0"/>
              <w:rPr>
                <w:sz w:val="20"/>
                <w:szCs w:val="20"/>
                <w:color w:val="auto"/>
              </w:rPr>
            </w:pPr>
            <w:r>
              <w:rPr>
                <w:rFonts w:ascii="Arial" w:cs="Arial" w:eastAsia="Arial" w:hAnsi="Arial"/>
                <w:sz w:val="18"/>
                <w:szCs w:val="18"/>
                <w:color w:val="auto"/>
              </w:rPr>
              <w:t>Conversion of debt to common stock</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7,439</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3" w:lineRule="auto"/>
        <w:rPr>
          <w:sz w:val="20"/>
          <w:szCs w:val="20"/>
          <w:color w:val="auto"/>
        </w:rPr>
      </w:pPr>
      <w:r>
        <w:rPr>
          <w:rFonts w:ascii="Arial" w:cs="Arial" w:eastAsia="Arial" w:hAnsi="Arial"/>
          <w:sz w:val="18"/>
          <w:szCs w:val="18"/>
          <w:b w:val="1"/>
          <w:bCs w:val="1"/>
          <w:color w:val="auto"/>
        </w:rPr>
        <w:t>Years Ended October 31, 2018, October 29, 2017 and October 30, 2016</w:t>
      </w: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189" w:lineRule="exact"/>
        <w:rPr>
          <w:sz w:val="20"/>
          <w:szCs w:val="20"/>
          <w:color w:val="auto"/>
        </w:rPr>
      </w:pPr>
    </w:p>
    <w:p>
      <w:pPr>
        <w:ind w:right="4040"/>
        <w:spacing w:after="0" w:line="375" w:lineRule="auto"/>
        <w:rPr>
          <w:sz w:val="20"/>
          <w:szCs w:val="20"/>
          <w:color w:val="auto"/>
        </w:rPr>
      </w:pPr>
      <w:r>
        <w:rPr>
          <w:rFonts w:ascii="Arial" w:cs="Arial" w:eastAsia="Arial" w:hAnsi="Arial"/>
          <w:sz w:val="18"/>
          <w:szCs w:val="18"/>
          <w:b w:val="1"/>
          <w:bCs w:val="1"/>
          <w:color w:val="auto"/>
        </w:rPr>
        <w:t>NOTE 1 - SUMMARY OF SIGNIFICANT ACCOUNTING POLICIES Business</w:t>
      </w:r>
    </w:p>
    <w:p>
      <w:pPr>
        <w:spacing w:after="0" w:line="2"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Photronics, Inc. and its subsidiaries (“Photronics”, the “Company”, “we”, “our”,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The Company currently operates principally from nine manufacturing facilities, two of which are located in Europe, three in Taiwan, one in Korea, and three in the United States. We have commenced construction of two manufacturing facilities in China.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accompanying consolidated financial statements include the accounts of Photronics, Inc. and majority-owned subsidiaries that it controls.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9"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Actual results we report may differ from such estimates. We review these estimates periodically and reflect any effects of revisions in the period in which they are determined.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19" w:lineRule="exact"/>
        <w:rPr>
          <w:sz w:val="20"/>
          <w:szCs w:val="20"/>
          <w:color w:val="auto"/>
        </w:rPr>
      </w:pPr>
    </w:p>
    <w:p>
      <w:pPr>
        <w:jc w:val="both"/>
        <w:ind w:firstLine="358"/>
        <w:spacing w:after="0" w:line="339" w:lineRule="auto"/>
        <w:rPr>
          <w:sz w:val="20"/>
          <w:szCs w:val="20"/>
          <w:color w:val="auto"/>
        </w:rPr>
      </w:pPr>
      <w:r>
        <w:rPr>
          <w:rFonts w:ascii="Arial" w:cs="Arial" w:eastAsia="Arial" w:hAnsi="Arial"/>
          <w:sz w:val="16"/>
          <w:szCs w:val="16"/>
          <w:color w:val="auto"/>
        </w:rPr>
        <w:t>Commencing with our 2018 fiscal year, our fiscal year ends on October 31. In prior years, our fiscal years ended on the Sunday closest to October 31. Prior year results in this Form 10-K have not been restated to reflect yearend dates of October 31.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 include cash and highly liquid investments purchased with an original maturity of 3 months or less.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equivalents approximate their fair values, due to the short-term maturities of these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We generally record our trade accounts receivable at their billed amounts. All outstanding past due customer invoices are reviewed during and at the end of every reporting period for collectability. When, in the judgment of management, a loss on the collection of a customer invoice is probable, the amount is charged to expense and credited to the allowance for doubtful accounts. When the amount is determined to be uncollectible, the amount is charged to the allowance for doubtful accounts, and the related receivable is eliminated.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Inventories are stated at the lower of cost, determined under the first-in, first-out (“FIFO”) method, or net realizable value.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are the components of inventory at the balance sheet dates: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29</w:t>
            </w:r>
          </w:p>
        </w:tc>
      </w:tr>
      <w:tr>
        <w:trPr>
          <w:trHeight w:val="177"/>
        </w:trPr>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2"/>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w:t>
            </w:r>
          </w:p>
        </w:tc>
      </w:tr>
      <w:tr>
        <w:trPr>
          <w:trHeight w:val="236"/>
        </w:trPr>
        <w:tc>
          <w:tcPr>
            <w:tcW w:w="71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2,957</w:t>
            </w:r>
          </w:p>
        </w:tc>
      </w:tr>
      <w:tr>
        <w:trPr>
          <w:trHeight w:val="241"/>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7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23,703</w:t>
            </w:r>
          </w:p>
        </w:tc>
      </w:tr>
      <w:tr>
        <w:trPr>
          <w:trHeight w:val="20"/>
        </w:trPr>
        <w:tc>
          <w:tcPr>
            <w:tcW w:w="7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82"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Depreciation and amortization, substantially all of which are included in cost of goods sold,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life of the lease or the estimated useful life of the improvement, whichever is less. We employ judgment and assumptions when we establish estimated useful lives and depreciation periods, as well as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Intangible assets consist primarily of a technology license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80"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periodically evaluate the remaining useful lives of our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its carrying value may not, based on future undiscounted cash flows or market factors, be recoverable; and an impairment loss would be recorded in the period in which the impairment determination is made. The amount of the impairment loss recorded would be based on the fair value of the intangible asset at the measurement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to the carrying value of the asset. The carrying values of assets determined to be impaired are reduced to their estimated fair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When acquiring other businesses, or participating in mergers or joint ventures in which we are deemed to be the acquirer, we generally recognize identifiable assets acquired, liabilities assumed and any noncontrolling interests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their acquisition date fair values,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74"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Accounting for such transactions requires us to make significant assumptions and estimates and, although we believe any estimates and assumptions we make to be reasonable and appropriate at the time they are made, unanticipated events and circumstances may arise that affect their accuracy, which may cause actual results to differ from those we estimated. When required, we will adjust the values of the assets acquired and liabilities assumed against the acquisition gain or goodwill, as initially recorded, for a period of up to one year after the transaction.</w:t>
      </w:r>
    </w:p>
    <w:p>
      <w:pPr>
        <w:spacing w:after="0" w:line="82"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119"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financial results of investments in joint ventures in which we have a controlling financial interest are included in our consolidated financial statements. Investments in joint ventures over which we have the ability to exercise significant influence and that, in general, are at least 20 percent-owned are accounted for under the equity method. An impairment loss would be recognized whenever a decrease in the fair value of such an investment below its carrying amount is determined to be other than temporary. In judging “other than temporary,” we would consider the length of time and the extent to which the fair value of the investment has been less than the carrying amount of the investment, the near-term and longer-term operating and financial prospects of the investee, and our longer-term intent of retaining our investment in the investee.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9"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66"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certain legal entities.</w:t>
      </w:r>
    </w:p>
    <w:p>
      <w:pPr>
        <w:spacing w:after="0" w:line="51"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We account for investments we make in VIEs in which we have determined that we do not have a controlling financial interest but have a significant influence over, and hold at least a 20 percent ownership interest in, using the equity method. Any such investment not meeting the parameters to be accounted for under the equity method would be accounted for using the cost method, unless the investment had a readily determinable fair value, at which value it would then be reported.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use judgment and make assumptions to determine if valuation allowances for deferred income tax assets are required, if their realization is not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w:t>
      </w:r>
    </w:p>
    <w:p>
      <w:pPr>
        <w:spacing w:after="0" w:line="72"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consider income taxes in each of the tax jurisdictions in which we operate in order to determine our effective income tax rate. Our current income tax expense is thus identified, and temporary differences resulting from differing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treatments of items for tax and financial reporting purposes are assessed. These differences result in deferred tax assets and liabilities, which are included in our consolidated balance sheets.</w:t>
      </w:r>
    </w:p>
    <w:p>
      <w:pPr>
        <w:spacing w:after="0" w:line="63"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9"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We recognize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67"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Research and development costs are expensed as incurred and consist primarily of development efforts related to high-end process technologies for advanced sub-wavelength reticle solutions for IC and FPD photomask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Our non-US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income and other income (expense) were a net gain/(loss) of $0.4 million, $(5.2) million and $(0.3) million in fiscal years 2018, 2017 and 2016,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Substantially all of noncontrolling interests represents the minority shareholders’ proportionate share in the equity of two of the Company’s majority-owned subsidiaries: Photronics DNP Mask Corporation (“PDMC”) in Taiwan, and Photronics DNP Mask Corporation Xiamen (“PDMCX”) in China, of which noncontrolling interests owned 49.99% as of October 31, 2018 and October 29, 2017. In addition, noncontrolling shareholders owned approximately 0.2% and 0.3% of PK Ltd. (“PKL”) in Korea as of October 31, 2018 and October 29, 2017,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19"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record derivatives in the consolidated balance sheets as assets or liabilities, measured at fair value. We do not engage in derivative instruments for speculative purposes. Gains or losses resulting from changes in the values of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we would hedge are those related to the variability of future cash flows caused by movements in foreign currency exchange and interest rates. We would document our risk management strategy and hedge effectiveness at the inception of, and during the term of, each hedge.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9"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We recognize revenue when there is persuasive evidence that an arrangement exists, delivery has occurred, the sales price of the transaction is fixed or determinable, and collectability is reasonably assured. Delivery is determined by the shipping terms of the individual revenue transactions. For transactions with FOB destination or similar shipping terms, delivery occurs when our product reaches its destination and is received by the customer. For transactions with FOB shipping point terms, delivery occurs when our product is received by the common carrier. We use judgment when estimating the effect on revenue of discounts and sales incentives, both of which are accrued when the related revenue is recognized. Our revenue is reported net of any sales taxes billed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We warrant that items sold will conform to customer specifications for a 30-day period. However, our liability generally is limited to the repair, replacement, or refund of the cost of the photomasks at our sole option. We inspect photomasks for conformity to customer specifications prior to shipment. Accordingly, customer claims related to items under warranty have historically been insignificant. Our warranty policy includes accepting returns of products with defects, or products that have not been produced to precise customer specifications.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PROPERTY, PLANT AND EQUIPMENT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plant and equipment consists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October 29,</w:t>
            </w:r>
          </w:p>
        </w:tc>
      </w:tr>
      <w:tr>
        <w:trPr>
          <w:trHeight w:val="177"/>
        </w:trPr>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5"/>
                <w:szCs w:val="15"/>
                <w:color w:val="auto"/>
              </w:rPr>
            </w:pPr>
          </w:p>
        </w:tc>
      </w:tr>
      <w:tr>
        <w:trPr>
          <w:trHeight w:val="242"/>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9,959</w:t>
            </w:r>
          </w:p>
        </w:tc>
      </w:tr>
      <w:tr>
        <w:trPr>
          <w:trHeight w:val="236"/>
        </w:trPr>
        <w:tc>
          <w:tcPr>
            <w:tcW w:w="71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124,771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125,290</w:t>
            </w:r>
          </w:p>
        </w:tc>
      </w:tr>
      <w:tr>
        <w:trPr>
          <w:trHeight w:val="248"/>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1,566,163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1,547,870</w:t>
            </w:r>
          </w:p>
        </w:tc>
        <w:tc>
          <w:tcPr>
            <w:tcW w:w="80" w:type="dxa"/>
            <w:vAlign w:val="bottom"/>
            <w:shd w:val="clear" w:color="auto" w:fill="CCEEFF"/>
          </w:tcPr>
          <w:p>
            <w:pPr>
              <w:spacing w:after="0"/>
              <w:rPr>
                <w:sz w:val="21"/>
                <w:szCs w:val="21"/>
                <w:color w:val="auto"/>
              </w:rPr>
            </w:pPr>
          </w:p>
        </w:tc>
      </w:tr>
      <w:tr>
        <w:trPr>
          <w:trHeight w:val="236"/>
        </w:trPr>
        <w:tc>
          <w:tcPr>
            <w:tcW w:w="71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19,577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20,050</w:t>
            </w:r>
          </w:p>
        </w:tc>
      </w:tr>
      <w:tr>
        <w:trPr>
          <w:trHeight w:val="248"/>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12,989</w:t>
            </w:r>
          </w:p>
        </w:tc>
      </w:tr>
      <w:tr>
        <w:trPr>
          <w:trHeight w:val="235"/>
        </w:trPr>
        <w:tc>
          <w:tcPr>
            <w:tcW w:w="7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128,649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72,045</w:t>
            </w:r>
          </w:p>
        </w:tc>
        <w:tc>
          <w:tcPr>
            <w:tcW w:w="80" w:type="dxa"/>
            <w:vAlign w:val="bottom"/>
          </w:tcPr>
          <w:p>
            <w:pPr>
              <w:spacing w:after="0"/>
              <w:rPr>
                <w:sz w:val="20"/>
                <w:szCs w:val="20"/>
                <w:color w:val="auto"/>
              </w:rPr>
            </w:pPr>
          </w:p>
        </w:tc>
      </w:tr>
      <w:tr>
        <w:trPr>
          <w:trHeight w:val="242"/>
        </w:trPr>
        <w:tc>
          <w:tcPr>
            <w:tcW w:w="7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1,862,714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1,788,203</w:t>
            </w:r>
          </w:p>
        </w:tc>
        <w:tc>
          <w:tcPr>
            <w:tcW w:w="80" w:type="dxa"/>
            <w:vAlign w:val="bottom"/>
            <w:shd w:val="clear" w:color="auto" w:fill="CCEEFF"/>
          </w:tcPr>
          <w:p>
            <w:pPr>
              <w:spacing w:after="0"/>
              <w:rPr>
                <w:sz w:val="21"/>
                <w:szCs w:val="21"/>
                <w:color w:val="auto"/>
              </w:rPr>
            </w:pPr>
          </w:p>
        </w:tc>
      </w:tr>
      <w:tr>
        <w:trPr>
          <w:trHeight w:val="235"/>
        </w:trPr>
        <w:tc>
          <w:tcPr>
            <w:tcW w:w="71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(1,290,933)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(1,253,006)</w:t>
            </w:r>
          </w:p>
        </w:tc>
      </w:tr>
      <w:tr>
        <w:trPr>
          <w:trHeight w:val="275"/>
        </w:trPr>
        <w:tc>
          <w:tcPr>
            <w:tcW w:w="7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571,781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535,197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323"/>
        </w:trPr>
        <w:tc>
          <w:tcPr>
            <w:tcW w:w="8380" w:type="dxa"/>
            <w:vAlign w:val="bottom"/>
            <w:gridSpan w:val="6"/>
          </w:tcPr>
          <w:p>
            <w:pPr>
              <w:ind w:left="360"/>
              <w:spacing w:after="0"/>
              <w:rPr>
                <w:sz w:val="20"/>
                <w:szCs w:val="20"/>
                <w:color w:val="auto"/>
              </w:rPr>
            </w:pPr>
            <w:r>
              <w:rPr>
                <w:rFonts w:ascii="Arial" w:cs="Arial" w:eastAsia="Arial" w:hAnsi="Arial"/>
                <w:sz w:val="18"/>
                <w:szCs w:val="18"/>
                <w:color w:val="auto"/>
                <w:w w:val="93"/>
              </w:rPr>
              <w:t>Equipment under capital leases is included in the property, plant and equipment amount, above, as follows: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7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October 29,</w:t>
            </w:r>
          </w:p>
        </w:tc>
      </w:tr>
      <w:tr>
        <w:trPr>
          <w:trHeight w:val="177"/>
        </w:trPr>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5"/>
                <w:szCs w:val="15"/>
                <w:color w:val="auto"/>
              </w:rPr>
            </w:pPr>
          </w:p>
        </w:tc>
      </w:tr>
      <w:tr>
        <w:trPr>
          <w:trHeight w:val="242"/>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34,917</w:t>
            </w:r>
          </w:p>
        </w:tc>
      </w:tr>
      <w:tr>
        <w:trPr>
          <w:trHeight w:val="235"/>
        </w:trPr>
        <w:tc>
          <w:tcPr>
            <w:tcW w:w="71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80" w:type="dxa"/>
            <w:vAlign w:val="bottom"/>
          </w:tcPr>
          <w:p>
            <w:pPr>
              <w:spacing w:after="0"/>
              <w:rPr>
                <w:sz w:val="20"/>
                <w:szCs w:val="20"/>
                <w:color w:val="auto"/>
              </w:rPr>
            </w:pPr>
          </w:p>
        </w:tc>
      </w:tr>
      <w:tr>
        <w:trPr>
          <w:trHeight w:val="275"/>
        </w:trPr>
        <w:tc>
          <w:tcPr>
            <w:tcW w:w="7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3"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January 2017, we acquired a business comprised of manufacturing assets and certain intellectual property that enabled us to expand our manufacturing capability, primarily in large area masks for IC, for approximately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$5.7 million, including $0.3 million paid one year after the acquisition date. The transaction was accounted for in accordance with ASC 805, “Business Combinations”, with substantially all of the purchase price being allocated to long-lived assets that are being depreciated over five years.</w:t>
      </w:r>
    </w:p>
    <w:p>
      <w:pPr>
        <w:spacing w:after="0" w:line="74"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January 2017, we entered into a noncash transaction with a customer which resulted in the acquisition of equipment with a fair value of approximately $6.7 million and $9.0 million in fiscal years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Amortization expense of the Company’s finite-lived intangible assets was $4.8 million, $4.9 million and $4.8 million in fiscal years 2018, 2017 and 2016, respectively.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consist of:</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r>
      <w:tr>
        <w:trPr>
          <w:trHeight w:val="184"/>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r>
      <w:tr>
        <w:trPr>
          <w:trHeight w:val="235"/>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October 31, 2018</w:t>
            </w: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6"/>
        </w:trPr>
        <w:tc>
          <w:tcPr>
            <w:tcW w:w="6480" w:type="dxa"/>
            <w:vAlign w:val="bottom"/>
          </w:tcPr>
          <w:p>
            <w:pPr>
              <w:spacing w:after="0"/>
              <w:rPr>
                <w:sz w:val="20"/>
                <w:szCs w:val="20"/>
                <w:color w:val="auto"/>
              </w:rPr>
            </w:pPr>
            <w:r>
              <w:rPr>
                <w:rFonts w:ascii="Arial" w:cs="Arial" w:eastAsia="Arial" w:hAnsi="Arial"/>
                <w:sz w:val="18"/>
                <w:szCs w:val="18"/>
                <w:color w:val="auto"/>
              </w:rPr>
              <w:t>Technology license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(49,349)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10,267</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(7,959)</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r>
      <w:tr>
        <w:trPr>
          <w:trHeight w:val="242"/>
        </w:trPr>
        <w:tc>
          <w:tcPr>
            <w:tcW w:w="6480" w:type="dxa"/>
            <w:vAlign w:val="bottom"/>
          </w:tcPr>
          <w:p>
            <w:pPr>
              <w:spacing w:after="0"/>
              <w:rPr>
                <w:sz w:val="20"/>
                <w:szCs w:val="20"/>
                <w:color w:val="auto"/>
              </w:rPr>
            </w:pPr>
            <w:r>
              <w:rPr>
                <w:rFonts w:ascii="Arial" w:cs="Arial" w:eastAsia="Arial" w:hAnsi="Arial"/>
                <w:sz w:val="18"/>
                <w:szCs w:val="18"/>
                <w:color w:val="auto"/>
              </w:rPr>
              <w:t>Software and other</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913</w:t>
            </w:r>
          </w:p>
        </w:tc>
      </w:tr>
      <w:tr>
        <w:trPr>
          <w:trHeight w:val="20"/>
        </w:trPr>
        <w:tc>
          <w:tcPr>
            <w:tcW w:w="6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64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75,282</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12,368</w:t>
            </w:r>
          </w:p>
        </w:tc>
      </w:tr>
      <w:tr>
        <w:trPr>
          <w:trHeight w:val="238"/>
        </w:trPr>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 of October 29, 2017</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6"/>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14,242</w:t>
            </w:r>
          </w:p>
        </w:tc>
      </w:tr>
      <w:tr>
        <w:trPr>
          <w:trHeight w:val="236"/>
        </w:trPr>
        <w:tc>
          <w:tcPr>
            <w:tcW w:w="6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(7,793)</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1,582</w:t>
            </w:r>
          </w:p>
        </w:tc>
      </w:tr>
      <w:tr>
        <w:trPr>
          <w:trHeight w:val="248"/>
        </w:trPr>
        <w:tc>
          <w:tcPr>
            <w:tcW w:w="6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1,298</w:t>
            </w:r>
          </w:p>
        </w:tc>
      </w:tr>
      <w:tr>
        <w:trPr>
          <w:trHeight w:val="20"/>
        </w:trPr>
        <w:tc>
          <w:tcPr>
            <w:tcW w:w="64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6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77,186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(60,064)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17,122</w:t>
            </w: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The weighted-average amortization period of intangible assets acquired in fiscal year 2018, which is comprised of software, is three years. The weighted-average amortization period of intangible assets acquired in fiscal year 2017 was 4.5 years, primarily comprised of acquired customer relationships and technology that has an amortization period of five years, and software that has an amortization period of three years.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Pr>
          <w:p>
            <w:pPr>
              <w:ind w:left="360"/>
              <w:spacing w:after="0"/>
              <w:rPr>
                <w:sz w:val="20"/>
                <w:szCs w:val="20"/>
                <w:color w:val="auto"/>
              </w:rPr>
            </w:pPr>
            <w:r>
              <w:rPr>
                <w:rFonts w:ascii="Arial" w:cs="Arial" w:eastAsia="Arial" w:hAnsi="Arial"/>
                <w:sz w:val="18"/>
                <w:szCs w:val="18"/>
                <w:color w:val="auto"/>
              </w:rPr>
              <w:t>Intangible asset amortization over the next five years is estimated to be as follows:</w:t>
            </w:r>
          </w:p>
        </w:tc>
        <w:tc>
          <w:tcPr>
            <w:tcW w:w="2040" w:type="dxa"/>
            <w:vAlign w:val="bottom"/>
          </w:tcPr>
          <w:p>
            <w:pPr>
              <w:spacing w:after="0"/>
              <w:rPr>
                <w:sz w:val="19"/>
                <w:szCs w:val="19"/>
                <w:color w:val="auto"/>
              </w:rPr>
            </w:pPr>
          </w:p>
        </w:tc>
      </w:tr>
      <w:tr>
        <w:trPr>
          <w:trHeight w:val="53"/>
        </w:trPr>
        <w:tc>
          <w:tcPr>
            <w:tcW w:w="7460" w:type="dxa"/>
            <w:vAlign w:val="bottom"/>
          </w:tcPr>
          <w:p>
            <w:pPr>
              <w:spacing w:after="0"/>
              <w:rPr>
                <w:sz w:val="4"/>
                <w:szCs w:val="4"/>
                <w:color w:val="auto"/>
              </w:rPr>
            </w:pPr>
          </w:p>
        </w:tc>
        <w:tc>
          <w:tcPr>
            <w:tcW w:w="2040" w:type="dxa"/>
            <w:vAlign w:val="bottom"/>
          </w:tcPr>
          <w:p>
            <w:pPr>
              <w:spacing w:after="0"/>
              <w:rPr>
                <w:sz w:val="4"/>
                <w:szCs w:val="4"/>
                <w:color w:val="auto"/>
              </w:rPr>
            </w:pPr>
          </w:p>
        </w:tc>
      </w:tr>
      <w:tr>
        <w:trPr>
          <w:trHeight w:val="242"/>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Years:</w:t>
            </w:r>
          </w:p>
        </w:tc>
        <w:tc>
          <w:tcPr>
            <w:tcW w:w="2040" w:type="dxa"/>
            <w:vAlign w:val="bottom"/>
            <w:shd w:val="clear" w:color="auto" w:fill="CCEEFF"/>
          </w:tcPr>
          <w:p>
            <w:pPr>
              <w:spacing w:after="0"/>
              <w:rPr>
                <w:sz w:val="21"/>
                <w:szCs w:val="21"/>
                <w:color w:val="auto"/>
              </w:rPr>
            </w:pPr>
          </w:p>
        </w:tc>
      </w:tr>
      <w:tr>
        <w:trPr>
          <w:trHeight w:val="236"/>
        </w:trPr>
        <w:tc>
          <w:tcPr>
            <w:tcW w:w="7460" w:type="dxa"/>
            <w:vAlign w:val="bottom"/>
          </w:tcPr>
          <w:p>
            <w:pPr>
              <w:spacing w:after="0"/>
              <w:rPr>
                <w:sz w:val="20"/>
                <w:szCs w:val="20"/>
                <w:color w:val="auto"/>
              </w:rPr>
            </w:pPr>
            <w:r>
              <w:rPr>
                <w:rFonts w:ascii="Arial" w:cs="Arial" w:eastAsia="Arial" w:hAnsi="Arial"/>
                <w:sz w:val="18"/>
                <w:szCs w:val="18"/>
                <w:color w:val="auto"/>
              </w:rPr>
              <w:t>2019</w:t>
            </w:r>
          </w:p>
        </w:tc>
        <w:tc>
          <w:tcPr>
            <w:tcW w:w="2040" w:type="dxa"/>
            <w:vAlign w:val="bottom"/>
          </w:tcPr>
          <w:p>
            <w:pPr>
              <w:jc w:val="right"/>
              <w:spacing w:after="0"/>
              <w:rPr>
                <w:sz w:val="20"/>
                <w:szCs w:val="20"/>
                <w:color w:val="auto"/>
              </w:rPr>
            </w:pPr>
            <w:r>
              <w:rPr>
                <w:rFonts w:ascii="Arial" w:cs="Arial" w:eastAsia="Arial" w:hAnsi="Arial"/>
                <w:sz w:val="18"/>
                <w:szCs w:val="18"/>
                <w:color w:val="auto"/>
              </w:rPr>
              <w:t>$   4,588</w:t>
            </w:r>
          </w:p>
        </w:tc>
      </w:tr>
      <w:tr>
        <w:trPr>
          <w:trHeight w:val="248"/>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36"/>
        </w:trPr>
        <w:tc>
          <w:tcPr>
            <w:tcW w:w="7460" w:type="dxa"/>
            <w:vAlign w:val="bottom"/>
          </w:tcPr>
          <w:p>
            <w:pPr>
              <w:spacing w:after="0"/>
              <w:rPr>
                <w:sz w:val="20"/>
                <w:szCs w:val="20"/>
                <w:color w:val="auto"/>
              </w:rPr>
            </w:pPr>
            <w:r>
              <w:rPr>
                <w:rFonts w:ascii="Arial" w:cs="Arial" w:eastAsia="Arial" w:hAnsi="Arial"/>
                <w:sz w:val="18"/>
                <w:szCs w:val="18"/>
                <w:color w:val="auto"/>
              </w:rPr>
              <w:t>2021</w:t>
            </w:r>
          </w:p>
        </w:tc>
        <w:tc>
          <w:tcPr>
            <w:tcW w:w="2040" w:type="dxa"/>
            <w:vAlign w:val="bottom"/>
          </w:tcPr>
          <w:p>
            <w:pPr>
              <w:jc w:val="right"/>
              <w:spacing w:after="0"/>
              <w:rPr>
                <w:sz w:val="20"/>
                <w:szCs w:val="20"/>
                <w:color w:val="auto"/>
              </w:rPr>
            </w:pPr>
            <w:r>
              <w:rPr>
                <w:rFonts w:ascii="Arial" w:cs="Arial" w:eastAsia="Arial" w:hAnsi="Arial"/>
                <w:sz w:val="18"/>
                <w:szCs w:val="18"/>
                <w:color w:val="auto"/>
              </w:rPr>
              <w:t>2,706</w:t>
            </w:r>
          </w:p>
        </w:tc>
      </w:tr>
      <w:tr>
        <w:trPr>
          <w:trHeight w:val="248"/>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2023</w:t>
            </w:r>
          </w:p>
        </w:tc>
        <w:tc>
          <w:tcPr>
            <w:tcW w:w="204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119"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In January 2018, Photronics, through its wholly-owned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which includes the facility currently under construction. The joint venture, known as “Photronics DNP Mask Corporation Xiamen”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 process technology to our customers. No gain or loss was recorded upon the formation of the joint venture.</w:t>
      </w:r>
    </w:p>
    <w:p>
      <w:pPr>
        <w:spacing w:after="0" w:line="60"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6"/>
          <w:szCs w:val="16"/>
          <w:color w:val="auto"/>
        </w:rPr>
        <w:t>As of October 31, 2018, Photronics and DNP have each contributed cash of approximately $18.0 million to the joint venture. We estimate that, over the next several years and per the PDMCX joint venture operating agreement (“the Agreement”), DNP and Photronics will each contribute an additional $62 million of cash and additional amounts to be obtained through local borrowings.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 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84"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recorded net losses from the operations of the PDMCX joint venture of approximately $0.7 million in fiscal 2018. General creditors of PDMCX do not have recourse to the assets of Photronics, Inc., and the maximum exposure to loss for Photronics from PDMCX at October 31, 2018, was $15.9 million.</w:t>
      </w:r>
    </w:p>
    <w:p>
      <w:pPr>
        <w:spacing w:after="0" w:line="74"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6"/>
          <w:szCs w:val="16"/>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reporting period; thus, as required, the PDMCX financial results should be consolidated with Photronics, Inc. Our conclusion was based on the fact that we held a controlling financial interest in PDMCX, which resulted from our having the power to direct the activities that most significantly impacted its economic performance, the obligation to absorb losses, and the right to receive benefits that could potentially be significant to PDMCX. Our conclusion that we had the power to direct the activities that most significantly affected the economic performance of PDMCX during the current period was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period, we had the obligation to absorb losses and the right to receive benefits that could potentially be significant to PDMCX.</w:t>
      </w:r>
    </w:p>
    <w:p>
      <w:pPr>
        <w:spacing w:after="0" w:line="67"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 as of October 31, 2018, are presented in the following table, together with the maximum exposure to loss of Photronics due to its interests in the net assets of this joint venture.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Photronics</w:t>
            </w:r>
          </w:p>
        </w:tc>
      </w:tr>
      <w:tr>
        <w:trPr>
          <w:trHeight w:val="184"/>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Classification</w:t>
            </w:r>
          </w:p>
        </w:tc>
        <w:tc>
          <w:tcPr>
            <w:tcW w:w="2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5"/>
                <w:szCs w:val="15"/>
                <w:color w:val="auto"/>
              </w:rPr>
            </w:pPr>
          </w:p>
        </w:tc>
      </w:tr>
      <w:tr>
        <w:trPr>
          <w:trHeight w:val="23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Non-current assets</w:t>
            </w: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21,708</w:t>
            </w:r>
          </w:p>
        </w:tc>
        <w:tc>
          <w:tcPr>
            <w:tcW w:w="10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53,040</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Current liabilities</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tcPr>
          <w:p>
            <w:pPr>
              <w:spacing w:after="0"/>
              <w:rPr>
                <w:sz w:val="19"/>
                <w:szCs w:val="19"/>
                <w:color w:val="auto"/>
              </w:rPr>
            </w:pPr>
          </w:p>
        </w:tc>
      </w:tr>
      <w:tr>
        <w:trPr>
          <w:trHeight w:val="24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left w:val="single" w:sz="8" w:color="CCEEFF"/>
            </w:tcBorders>
            <w:shd w:val="clear" w:color="auto" w:fill="CCEEFF"/>
          </w:tcPr>
          <w:p>
            <w:pPr>
              <w:spacing w:after="0"/>
              <w:rPr>
                <w:sz w:val="21"/>
                <w:szCs w:val="2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35"/>
        </w:trPr>
        <w:tc>
          <w:tcPr>
            <w:tcW w:w="4060" w:type="dxa"/>
            <w:vAlign w:val="bottom"/>
          </w:tcPr>
          <w:p>
            <w:pPr>
              <w:spacing w:after="0"/>
              <w:rPr>
                <w:sz w:val="20"/>
                <w:szCs w:val="20"/>
                <w:color w:val="auto"/>
              </w:rPr>
            </w:pPr>
            <w:r>
              <w:rPr>
                <w:rFonts w:ascii="Arial" w:cs="Arial" w:eastAsia="Arial" w:hAnsi="Arial"/>
                <w:sz w:val="18"/>
                <w:szCs w:val="18"/>
                <w:color w:val="auto"/>
              </w:rPr>
              <w:t>Total liabilities</w:t>
            </w: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3160" w:type="dxa"/>
            <w:vAlign w:val="bottom"/>
            <w:tcBorders>
              <w:right w:val="single" w:sz="8" w:color="CCEEFF"/>
            </w:tcBorders>
            <w:gridSpan w:val="3"/>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31,815</w:t>
            </w:r>
          </w:p>
        </w:tc>
        <w:tc>
          <w:tcPr>
            <w:tcW w:w="22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Borders>
              <w:left w:val="single" w:sz="8" w:color="CCEEFF"/>
            </w:tcBorders>
            <w:shd w:val="clear" w:color="auto" w:fill="CCEEFF"/>
          </w:tcPr>
          <w:p>
            <w:pPr>
              <w:spacing w:after="0"/>
              <w:rPr>
                <w:sz w:val="23"/>
                <w:szCs w:val="23"/>
                <w:color w:val="auto"/>
              </w:rPr>
            </w:pPr>
          </w:p>
        </w:tc>
      </w:tr>
      <w:tr>
        <w:trPr>
          <w:trHeight w:val="430"/>
        </w:trPr>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5 - ACCRUED LIABILITIES</w:t>
            </w:r>
          </w:p>
        </w:tc>
        <w:tc>
          <w:tcPr>
            <w:tcW w:w="29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2"/>
        </w:trPr>
        <w:tc>
          <w:tcPr>
            <w:tcW w:w="406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0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October 29,</w:t>
            </w:r>
          </w:p>
        </w:tc>
      </w:tr>
      <w:tr>
        <w:trPr>
          <w:trHeight w:val="184"/>
        </w:trPr>
        <w:tc>
          <w:tcPr>
            <w:tcW w:w="40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23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expenses</w:t>
            </w: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9,981</w:t>
            </w: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Income taxes</w:t>
            </w: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10,369</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2,305</w:t>
            </w:r>
          </w:p>
        </w:tc>
      </w:tr>
      <w:tr>
        <w:trPr>
          <w:trHeight w:val="24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2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7,834</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5,659</w:t>
            </w: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Value added and other taxes</w:t>
            </w: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3,683</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3,064</w:t>
            </w:r>
          </w:p>
        </w:tc>
      </w:tr>
      <w:tr>
        <w:trPr>
          <w:trHeight w:val="24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r>
      <w:tr>
        <w:trPr>
          <w:trHeight w:val="242"/>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r>
      <w:tr>
        <w:trPr>
          <w:trHeight w:val="269"/>
        </w:trPr>
        <w:tc>
          <w:tcPr>
            <w:tcW w:w="4060" w:type="dxa"/>
            <w:vAlign w:val="bottom"/>
            <w:shd w:val="clear" w:color="auto" w:fill="CCEEFF"/>
          </w:tcPr>
          <w:p>
            <w:pPr>
              <w:spacing w:after="0"/>
              <w:rPr>
                <w:sz w:val="23"/>
                <w:szCs w:val="23"/>
                <w:color w:val="auto"/>
              </w:rPr>
            </w:pPr>
          </w:p>
        </w:tc>
        <w:tc>
          <w:tcPr>
            <w:tcW w:w="3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26,303</w:t>
            </w:r>
          </w:p>
        </w:tc>
      </w:tr>
      <w:tr>
        <w:trPr>
          <w:trHeight w:val="430"/>
        </w:trPr>
        <w:tc>
          <w:tcPr>
            <w:tcW w:w="406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jc w:val="right"/>
              <w:ind w:right="2091"/>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6"/>
        </w:trPr>
        <w:tc>
          <w:tcPr>
            <w:tcW w:w="4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
        </w:trPr>
        <w:tc>
          <w:tcPr>
            <w:tcW w:w="406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20" w:type="dxa"/>
            <w:vAlign w:val="bottom"/>
            <w:tcBorders>
              <w:left w:val="single" w:sz="8" w:color="auto"/>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500"/>
          </w:cols>
          <w:pgMar w:left="1200" w:top="278" w:right="11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consists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29,</w:t>
            </w:r>
          </w:p>
        </w:tc>
      </w:tr>
      <w:tr>
        <w:trPr>
          <w:trHeight w:val="177"/>
        </w:trPr>
        <w:tc>
          <w:tcPr>
            <w:tcW w:w="7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42"/>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w:t>
            </w:r>
          </w:p>
        </w:tc>
      </w:tr>
      <w:tr>
        <w:trPr>
          <w:trHeight w:val="235"/>
        </w:trPr>
        <w:tc>
          <w:tcPr>
            <w:tcW w:w="7100" w:type="dxa"/>
            <w:vAlign w:val="bottom"/>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20"/>
                <w:szCs w:val="20"/>
                <w:color w:val="auto"/>
              </w:rPr>
            </w:pPr>
          </w:p>
        </w:tc>
      </w:tr>
      <w:tr>
        <w:trPr>
          <w:trHeight w:val="242"/>
        </w:trPr>
        <w:tc>
          <w:tcPr>
            <w:tcW w:w="7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61,976</w:t>
            </w:r>
          </w:p>
        </w:tc>
      </w:tr>
      <w:tr>
        <w:trPr>
          <w:trHeight w:val="235"/>
        </w:trPr>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20"/>
                <w:szCs w:val="20"/>
                <w:color w:val="auto"/>
              </w:rPr>
            </w:pPr>
          </w:p>
        </w:tc>
      </w:tr>
      <w:tr>
        <w:trPr>
          <w:trHeight w:val="275"/>
        </w:trPr>
        <w:tc>
          <w:tcPr>
            <w:tcW w:w="7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57,337</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3"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6"/>
          <w:szCs w:val="16"/>
          <w:color w:val="auto"/>
        </w:rPr>
        <w:t>In April 2016, $57.5 million of our senior convertible notes matured. We repaid $50.1 million to noteholders and issued approximately 0.7 million shares to noteholders that elected to convert their notes to common stock. The notes were exchanged at the rate of approximately 96 shares per $1,000 note principle, equivalent to a conversion rate of $10.37 per share.</w:t>
      </w:r>
    </w:p>
    <w:p>
      <w:pPr>
        <w:spacing w:after="0" w:line="41"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we are not required to redeem the notes prior to their maturity date. Interest on the notes accrues in arrears, and is paid semiannually through the notes’ maturity date.</w:t>
      </w:r>
    </w:p>
    <w:p>
      <w:pPr>
        <w:spacing w:after="0" w:line="76"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In November FY2019, Xiamen American Japan Photronics Mask Co., Ltd. (“PDMCX”), an indirect majority owned joint venture subsidiary of Photronics, Inc., entered into a commitment letter for an 8-year term loan agreement under which it can borrow up to approximately $50.0 million (“the Project Loan”). PDMCX will use the Project Loan to finance certain capital expenditures in China. PDMCX will grant a lien on the land, building and equipment owned by PDMCX as collateral for the Project Loan. The interest rate of the Project Loan is based on the benchmark lending rate (as defined in the Project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5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On November 7, 2018, PDMCX entered into a working capital loan agreement with a maximum borrowing limit of approximately $25.0 million, (“the Working Capital Loan”). In November 2018, we borrowed $2.2 million against this loan. PDMCX will use the Working Capital Loan for general financing purposes including for the payment of import and value added taxes. The term of the Working Capital Loan will not exceed three years, and no guarantees were required under the terms of the Working Capital Loan. The interest rate of the Working Capital Loan is based on the benchmark lending rate (as defined in the Working Capital Loan agreement) plus a floating rate spread, of the People’s Bank of China on the date of borrowings. We anticipate that interest incurred on this loan will be reimbursed through incentives provided by the Xiamen Torch Hi-Tech Industrial Development Zone, up to a certain cap.</w:t>
      </w:r>
    </w:p>
    <w:p>
      <w:pPr>
        <w:spacing w:after="0" w:line="87"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In August 2018, we entered into an amendment to our credit facility which allows us to sell, transfer, lease, or otherwise dispose of our assets to a subsidiary guarantor. In September 2018, we entered into an amended and restated credit agreement (“the new agreement”) that expires in September 2023. The new agreement, which replaced our prior credit facility, has a $50 million borrowing limit, with an expansion capacity to $100 million, and is secured by substantially all of our assets located in the United States and common stock we own in certain of our foreign subsidiaries. The new agreement limits the amount we can pay in cash dividends on Photronics, Inc. stock, and contains the following financial covenants: minimum interest coverage ratio, total leverage ratio and minimum unrestricted cash balance, all of which we were in compliance with at October 31, 2018. We had no outstanding borrowings against the new agreement at October 31, 2018, and $50 million was available for borrowing. The interest rate on the new agreement (2.3% at October 31, 2018) is based on our total leverage ratio at LIBOR plus a spread, as defined in the credit facility.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339" w:lineRule="auto"/>
        <w:rPr>
          <w:sz w:val="20"/>
          <w:szCs w:val="20"/>
          <w:color w:val="auto"/>
        </w:rPr>
      </w:pPr>
      <w:r>
        <w:rPr>
          <w:rFonts w:ascii="Arial" w:cs="Arial" w:eastAsia="Arial" w:hAnsi="Arial"/>
          <w:sz w:val="16"/>
          <w:szCs w:val="16"/>
          <w:color w:val="auto"/>
        </w:rPr>
        <w:t>In August 2013, a $26.4 million principal amount, five year capital lease commenced to fund the purchase of a high-end lithography tool. Payments under the capital lease, which bore interest at 2.77%, were $0.5 million per month through July 2018.</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payments were $1.9 million, $2.1 million, and $3.2 million, in fiscal years 2018, 2017 and 2016,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OPERATING LEASES</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lease various real estate and equipment under non-cancelable operating leases, for which rent expense was $2.9 million, $3.0 million, and $2.8 million in fiscal 2018, 2017, and 2016, respectively.</w:t>
      </w:r>
    </w:p>
    <w:p>
      <w:pPr>
        <w:spacing w:after="0" w:line="63"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At October 31, 2018, future minimum lease payments under non-cancelable operating leases with initial terms in excess of one year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1,850</w:t>
            </w:r>
          </w:p>
        </w:tc>
      </w:tr>
      <w:tr>
        <w:trPr>
          <w:trHeight w:val="236"/>
        </w:trPr>
        <w:tc>
          <w:tcPr>
            <w:tcW w:w="864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1,547</w:t>
            </w:r>
          </w:p>
        </w:tc>
      </w:tr>
      <w:tr>
        <w:trPr>
          <w:trHeight w:val="24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w:t>
            </w:r>
          </w:p>
        </w:tc>
      </w:tr>
      <w:tr>
        <w:trPr>
          <w:trHeight w:val="236"/>
        </w:trPr>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1,345</w:t>
            </w:r>
          </w:p>
        </w:tc>
      </w:tr>
      <w:tr>
        <w:trPr>
          <w:trHeight w:val="24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r>
      <w:tr>
        <w:trPr>
          <w:trHeight w:val="242"/>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1"/>
                <w:szCs w:val="21"/>
                <w:color w:val="auto"/>
              </w:rPr>
            </w:pPr>
          </w:p>
        </w:tc>
      </w:tr>
      <w:tr>
        <w:trPr>
          <w:trHeight w:val="269"/>
        </w:trPr>
        <w:tc>
          <w:tcPr>
            <w:tcW w:w="8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6 for disclosures related to capital lease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19"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$3.2 million, $3.6 million, and $3.8 million in fiscal years 2018, 2017, and 2016, respectively. No share-based compensation cost was capitalized as part of an asset and no related income tax benefits were recorded during the fiscal years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9"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Option awards generally vest in one-to-four years, and have a ten year contractual term. All incentive and non-qualified stock option grants must have an exercise price no less than the market value of the underlying common stock on the date of grant. The grant date fair values of options are based on the closing price of our common stock on the date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72"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stock options issued during fiscal years 2018, 2017 and 2016 are presented in the following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3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94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October 29,</w:t>
            </w:r>
          </w:p>
        </w:tc>
        <w:tc>
          <w:tcPr>
            <w:tcW w:w="200" w:type="dxa"/>
            <w:vAlign w:val="bottom"/>
          </w:tcPr>
          <w:p>
            <w:pPr>
              <w:spacing w:after="0"/>
              <w:rPr>
                <w:sz w:val="13"/>
                <w:szCs w:val="13"/>
                <w:color w:val="auto"/>
              </w:rPr>
            </w:pPr>
          </w:p>
        </w:tc>
        <w:tc>
          <w:tcPr>
            <w:tcW w:w="102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90"/>
              </w:rPr>
              <w:t>October 30,</w:t>
            </w:r>
          </w:p>
        </w:tc>
      </w:tr>
      <w:tr>
        <w:trPr>
          <w:trHeight w:val="184"/>
        </w:trPr>
        <w:tc>
          <w:tcPr>
            <w:tcW w:w="31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5"/>
                <w:szCs w:val="15"/>
                <w:color w:val="auto"/>
              </w:rPr>
            </w:pPr>
          </w:p>
        </w:tc>
      </w:tr>
      <w:tr>
        <w:trPr>
          <w:trHeight w:val="23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80" w:type="dxa"/>
            <w:vAlign w:val="bottom"/>
            <w:gridSpan w:val="2"/>
            <w:shd w:val="clear" w:color="auto" w:fill="CCEEFF"/>
          </w:tcPr>
          <w:p>
            <w:pPr>
              <w:jc w:val="center"/>
              <w:ind w:left="2951"/>
              <w:spacing w:after="0"/>
              <w:rPr>
                <w:sz w:val="20"/>
                <w:szCs w:val="20"/>
                <w:color w:val="auto"/>
              </w:rPr>
            </w:pPr>
            <w:r>
              <w:rPr>
                <w:rFonts w:ascii="Arial" w:cs="Arial" w:eastAsia="Arial" w:hAnsi="Arial"/>
                <w:sz w:val="18"/>
                <w:szCs w:val="18"/>
                <w:color w:val="auto"/>
                <w:w w:val="90"/>
              </w:rPr>
              <w:t>31.7%</w:t>
            </w:r>
          </w:p>
        </w:tc>
        <w:tc>
          <w:tcPr>
            <w:tcW w:w="114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0"/>
              </w:rPr>
              <w:t>32.2%</w:t>
            </w:r>
          </w:p>
        </w:tc>
        <w:tc>
          <w:tcPr>
            <w:tcW w:w="11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0"/>
              </w:rPr>
              <w:t>48.4%</w:t>
            </w:r>
          </w:p>
        </w:tc>
        <w:tc>
          <w:tcPr>
            <w:tcW w:w="80" w:type="dxa"/>
            <w:vAlign w:val="bottom"/>
            <w:shd w:val="clear" w:color="auto" w:fill="CCEEFF"/>
          </w:tcPr>
          <w:p>
            <w:pPr>
              <w:spacing w:after="0"/>
              <w:rPr>
                <w:sz w:val="20"/>
                <w:szCs w:val="20"/>
                <w:color w:val="auto"/>
              </w:rPr>
            </w:pPr>
          </w:p>
        </w:tc>
      </w:tr>
      <w:tr>
        <w:trPr>
          <w:trHeight w:val="236"/>
        </w:trPr>
        <w:tc>
          <w:tcPr>
            <w:tcW w:w="316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30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2.2 – 2.8%</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1.9 – 2.0%</w:t>
            </w:r>
          </w:p>
        </w:tc>
        <w:tc>
          <w:tcPr>
            <w:tcW w:w="200" w:type="dxa"/>
            <w:vAlign w:val="bottom"/>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1.2 – 1.7%</w:t>
            </w:r>
          </w:p>
        </w:tc>
      </w:tr>
      <w:tr>
        <w:trPr>
          <w:trHeight w:val="24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980" w:type="dxa"/>
            <w:vAlign w:val="bottom"/>
            <w:gridSpan w:val="2"/>
            <w:shd w:val="clear" w:color="auto" w:fill="CCEEFF"/>
          </w:tcPr>
          <w:p>
            <w:pPr>
              <w:jc w:val="center"/>
              <w:ind w:left="2951"/>
              <w:spacing w:after="0"/>
              <w:rPr>
                <w:sz w:val="20"/>
                <w:szCs w:val="20"/>
                <w:color w:val="auto"/>
              </w:rPr>
            </w:pPr>
            <w:r>
              <w:rPr>
                <w:rFonts w:ascii="Arial" w:cs="Arial" w:eastAsia="Arial" w:hAnsi="Arial"/>
                <w:sz w:val="18"/>
                <w:szCs w:val="18"/>
                <w:color w:val="auto"/>
                <w:w w:val="92"/>
              </w:rPr>
              <w:t>0.0%</w:t>
            </w:r>
          </w:p>
        </w:tc>
        <w:tc>
          <w:tcPr>
            <w:tcW w:w="114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92"/>
              </w:rPr>
              <w:t>0.0%</w:t>
            </w:r>
          </w:p>
        </w:tc>
        <w:tc>
          <w:tcPr>
            <w:tcW w:w="114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0.0%</w:t>
            </w:r>
          </w:p>
        </w:tc>
        <w:tc>
          <w:tcPr>
            <w:tcW w:w="80" w:type="dxa"/>
            <w:vAlign w:val="bottom"/>
            <w:shd w:val="clear" w:color="auto" w:fill="CCEEFF"/>
          </w:tcPr>
          <w:p>
            <w:pPr>
              <w:spacing w:after="0"/>
              <w:rPr>
                <w:sz w:val="21"/>
                <w:szCs w:val="2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Expected term</w:t>
            </w:r>
          </w:p>
        </w:tc>
        <w:tc>
          <w:tcPr>
            <w:tcW w:w="30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5.0 years</w:t>
            </w:r>
          </w:p>
        </w:tc>
        <w:tc>
          <w:tcPr>
            <w:tcW w:w="200" w:type="dxa"/>
            <w:vAlign w:val="bottom"/>
          </w:tcPr>
          <w:p>
            <w:pPr>
              <w:spacing w:after="0"/>
              <w:rPr>
                <w:sz w:val="19"/>
                <w:szCs w:val="19"/>
                <w:color w:val="auto"/>
              </w:rPr>
            </w:pPr>
          </w:p>
        </w:tc>
        <w:tc>
          <w:tcPr>
            <w:tcW w:w="940" w:type="dxa"/>
            <w:vAlign w:val="bottom"/>
          </w:tcPr>
          <w:p>
            <w:pPr>
              <w:ind w:left="140"/>
              <w:spacing w:after="0"/>
              <w:rPr>
                <w:sz w:val="20"/>
                <w:szCs w:val="20"/>
                <w:color w:val="auto"/>
              </w:rPr>
            </w:pPr>
            <w:r>
              <w:rPr>
                <w:rFonts w:ascii="Arial" w:cs="Arial" w:eastAsia="Arial" w:hAnsi="Arial"/>
                <w:sz w:val="18"/>
                <w:szCs w:val="18"/>
                <w:color w:val="auto"/>
              </w:rPr>
              <w:t>5.0 years</w:t>
            </w:r>
          </w:p>
        </w:tc>
        <w:tc>
          <w:tcPr>
            <w:tcW w:w="200" w:type="dxa"/>
            <w:vAlign w:val="bottom"/>
          </w:tcPr>
          <w:p>
            <w:pPr>
              <w:spacing w:after="0"/>
              <w:rPr>
                <w:sz w:val="19"/>
                <w:szCs w:val="19"/>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5.1 years</w:t>
            </w:r>
          </w:p>
        </w:tc>
      </w:tr>
      <w:tr>
        <w:trPr>
          <w:trHeight w:val="442"/>
        </w:trPr>
        <w:tc>
          <w:tcPr>
            <w:tcW w:w="3160" w:type="dxa"/>
            <w:vAlign w:val="bottom"/>
          </w:tcPr>
          <w:p>
            <w:pPr>
              <w:spacing w:after="0"/>
              <w:rPr>
                <w:sz w:val="24"/>
                <w:szCs w:val="24"/>
                <w:color w:val="auto"/>
              </w:rPr>
            </w:pPr>
          </w:p>
        </w:tc>
        <w:tc>
          <w:tcPr>
            <w:tcW w:w="3040" w:type="dxa"/>
            <w:vAlign w:val="bottom"/>
          </w:tcPr>
          <w:p>
            <w:pPr>
              <w:jc w:val="right"/>
              <w:ind w:right="1271"/>
              <w:spacing w:after="0"/>
              <w:rPr>
                <w:sz w:val="20"/>
                <w:szCs w:val="20"/>
                <w:color w:val="auto"/>
              </w:rPr>
            </w:pPr>
            <w:r>
              <w:rPr>
                <w:rFonts w:ascii="Arial" w:cs="Arial" w:eastAsia="Arial" w:hAnsi="Arial"/>
                <w:sz w:val="18"/>
                <w:szCs w:val="18"/>
                <w:color w:val="auto"/>
              </w:rPr>
              <w:t>48</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6"/>
        </w:trPr>
        <w:tc>
          <w:tcPr>
            <w:tcW w:w="3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316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00"/>
          </w:cols>
          <w:pgMar w:left="1200" w:top="278" w:right="119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table below presents a summary of stock options activity during fiscal year 2018 and information on stock options outstanding at October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r>
      <w:tr>
        <w:trPr>
          <w:trHeight w:val="184"/>
        </w:trPr>
        <w:tc>
          <w:tcPr>
            <w:tcW w:w="47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200" w:type="dxa"/>
            <w:vAlign w:val="bottom"/>
            <w:gridSpan w:val="2"/>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80" w:type="dxa"/>
            <w:vAlign w:val="bottom"/>
          </w:tcPr>
          <w:p>
            <w:pPr>
              <w:spacing w:after="0"/>
              <w:rPr>
                <w:sz w:val="15"/>
                <w:szCs w:val="15"/>
                <w:color w:val="auto"/>
              </w:rPr>
            </w:pPr>
          </w:p>
        </w:tc>
      </w:tr>
      <w:tr>
        <w:trPr>
          <w:trHeight w:val="235"/>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29, 2017</w:t>
            </w:r>
          </w:p>
        </w:tc>
        <w:tc>
          <w:tcPr>
            <w:tcW w:w="12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3,345,235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269,000</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(823,311)</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2"/>
        </w:trPr>
        <w:tc>
          <w:tcPr>
            <w:tcW w:w="472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2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(367,364)</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20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2,423,560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5.8 years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3,977</w:t>
            </w:r>
          </w:p>
        </w:tc>
      </w:tr>
      <w:tr>
        <w:trPr>
          <w:trHeight w:val="27"/>
        </w:trPr>
        <w:tc>
          <w:tcPr>
            <w:tcW w:w="4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28"/>
        </w:trPr>
        <w:tc>
          <w:tcPr>
            <w:tcW w:w="4720" w:type="dxa"/>
            <w:vAlign w:val="bottom"/>
          </w:tcPr>
          <w:p>
            <w:pPr>
              <w:spacing w:after="0"/>
              <w:rPr>
                <w:sz w:val="20"/>
                <w:szCs w:val="20"/>
                <w:color w:val="auto"/>
              </w:rPr>
            </w:pPr>
            <w:r>
              <w:rPr>
                <w:rFonts w:ascii="Arial" w:cs="Arial" w:eastAsia="Arial" w:hAnsi="Arial"/>
                <w:sz w:val="18"/>
                <w:szCs w:val="18"/>
                <w:color w:val="auto"/>
              </w:rPr>
              <w:t>Exercisable at October 31, 2018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1,612,945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4.8 years</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3,524</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October 31, 2018</w:t>
            </w:r>
          </w:p>
        </w:tc>
        <w:tc>
          <w:tcPr>
            <w:tcW w:w="200" w:type="dxa"/>
            <w:vAlign w:val="bottom"/>
            <w:tcBorders>
              <w:right w:val="single" w:sz="8" w:color="CCEEFF"/>
            </w:tcBorders>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2,315,890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5.7 years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3,930</w:t>
            </w:r>
          </w:p>
        </w:tc>
      </w:tr>
      <w:tr>
        <w:trPr>
          <w:trHeight w:val="27"/>
        </w:trPr>
        <w:tc>
          <w:tcPr>
            <w:tcW w:w="4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3"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weighted-average grant date fair value of options granted during fiscal years 2018, 2017 and 2016 were $2.76, $3.59 and $4.51, respectively. The total intrinsic value of options exercised during fiscal years 2018, 2017 and 2016 was $2.5 million, $1.9 million and $3.5 million, respectively.</w:t>
      </w:r>
    </w:p>
    <w:p>
      <w:pPr>
        <w:spacing w:after="0" w:line="74"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We received cash from option exercises of $4.3 million, $2.4 million and $3.1 million in fiscal years 2018, 2017 and 2016, respectively. As of October 31, 2018, the total unrecognized compensation cost of unvested option awards was approximately $1.5 million. That cost is expected to be recognized over a weighted-average amortization period of 1.9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1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We periodically grant restricted stock awards, the restrictions on which typically lapse over a service period of one-to-four years. The fair value of the awards are our closing stock prices on the dates of grant. There were 290,000, 317,750, and 115,225 restricted stock awards granted during fiscal years, 2018, 2017 and 2016. The weighted-average grant date fair values of restricted stock awards issued during fiscal years 2018, 2017 and 2016 were $8.62, $10.94 and $12.13, respectively. The total fair value of awards for which restrictions lapsed was $1.4 million, $1.2 million and $1.7 million during fiscal years 2018, 2017 and 2016, respectively. As of October 31, 2018, the total compensation cost for restricted stock awards not yet recognized was approximately $2.8 million. That cost is expected to be recognized over a weighted-average amortization period of 2.6 years.</w:t>
      </w:r>
    </w:p>
    <w:p>
      <w:pPr>
        <w:spacing w:after="0" w:line="55"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 summary of restricted stock award activity during fiscal year 2018 and the status of our outstanding restricted stock awards as of October 31, 2018, is presented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Fair Value at</w:t>
            </w:r>
          </w:p>
        </w:tc>
      </w:tr>
      <w:tr>
        <w:trPr>
          <w:trHeight w:val="184"/>
        </w:trPr>
        <w:tc>
          <w:tcPr>
            <w:tcW w:w="694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Restricted Stock</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23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29, 2017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339,181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w:t>
            </w: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290,000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r>
      <w:tr>
        <w:trPr>
          <w:trHeight w:val="24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(163,664)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w:t>
            </w:r>
          </w:p>
        </w:tc>
      </w:tr>
      <w:tr>
        <w:trPr>
          <w:trHeight w:val="242"/>
        </w:trPr>
        <w:tc>
          <w:tcPr>
            <w:tcW w:w="694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(46,220)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r>
      <w:tr>
        <w:trPr>
          <w:trHeight w:val="269"/>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419,297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Expected to vest as of October 31, 2018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383,413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9.53</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Our Employee Stock Purchase Plan (“ESPP”) permits employees to purchase Photronics, Inc. common shares at 85% of the lower of the closing market price at the commencement or ending date of the Plan year (which is approximately one year). We recognize the ESPP expense during that same period. As of October 31, 2018, the maximum number of shares of common stock approved by our shareholders to be purchased under the ESPP was 1.5 million shares; approximately 1.4 million shares had been issued through October 31, 2018, and approximately 0.1 million shares were subject to outstanding subscriptions. As of October 31, 2018, the total compensation cost related to the ESPP not yet recognized was $0.1 million, which is expected to be recognized in fiscal 2019.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RETIREMENT PLANS</w:t>
      </w:r>
    </w:p>
    <w:p>
      <w:pPr>
        <w:spacing w:after="0" w:line="119" w:lineRule="exact"/>
        <w:rPr>
          <w:sz w:val="20"/>
          <w:szCs w:val="20"/>
          <w:color w:val="auto"/>
        </w:rPr>
      </w:pPr>
    </w:p>
    <w:p>
      <w:pPr>
        <w:jc w:val="both"/>
        <w:ind w:firstLine="358"/>
        <w:spacing w:after="0" w:line="272" w:lineRule="auto"/>
        <w:rPr>
          <w:sz w:val="20"/>
          <w:szCs w:val="20"/>
          <w:color w:val="auto"/>
        </w:rPr>
      </w:pPr>
      <w:r>
        <w:rPr>
          <w:rFonts w:ascii="Arial" w:cs="Arial" w:eastAsia="Arial" w:hAnsi="Arial"/>
          <w:sz w:val="17"/>
          <w:szCs w:val="17"/>
          <w:color w:val="auto"/>
        </w:rPr>
        <w:t>We maintain a 401(k) Savings and Profit Sharing Plan (“401(k) Plan”) which covers all full and certain part 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$0.7 million, $0.6 million and $0.6 million in fiscal years 2018,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19"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For fiscal 2018, the most significant impacts include: the reduction of the U.S. federal corporate income tax rate; remeasurement of certain net deferred tax assets; phased refund of alternative minimum tax credit carryforward and requirement of a transition tax on the deemed repatriation of certain foreign earnings. The phase-in of the lower corporate income tax rate resulted in a blended income tax rate of 23.42% for fiscal 2018, as compared to the previous rate of 35%. The tax rate has been reduced to 21% for subsequent fiscal years, which impacted the remeasurement of our year end deferred tax balances.</w:t>
      </w:r>
    </w:p>
    <w:p>
      <w:pPr>
        <w:spacing w:after="0" w:line="84" w:lineRule="exact"/>
        <w:rPr>
          <w:sz w:val="20"/>
          <w:szCs w:val="20"/>
          <w:color w:val="auto"/>
        </w:rPr>
      </w:pPr>
    </w:p>
    <w:p>
      <w:pPr>
        <w:jc w:val="both"/>
        <w:ind w:firstLine="358"/>
        <w:spacing w:after="0" w:line="285" w:lineRule="auto"/>
        <w:rPr>
          <w:sz w:val="20"/>
          <w:szCs w:val="20"/>
          <w:color w:val="auto"/>
        </w:rPr>
      </w:pPr>
      <w:r>
        <w:rPr>
          <w:rFonts w:ascii="Arial" w:cs="Arial" w:eastAsia="Arial" w:hAnsi="Arial"/>
          <w:sz w:val="16"/>
          <w:szCs w:val="16"/>
          <w:color w:val="auto"/>
        </w:rPr>
        <w:t>In December 2017, in response to the Act, the Securities and Exchange Commission released Staff Accounting Bulletin No. 118 (“SAB 118”) to address situations in which the accounting under ASC 740 is incomplete for certain income tax effects of the Act. We adopted SAB 118 in our first quarter of fiscal year 2018. SAB 118 summarizes a three-step process to be applied at each reporting period to account for and qualitatively disclose: (1) the effects of the change in tax law for which accounting is complete;</w:t>
      </w:r>
    </w:p>
    <w:p>
      <w:pPr>
        <w:jc w:val="both"/>
        <w:ind w:firstLine="1"/>
        <w:spacing w:after="0" w:line="252"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provisional amounts (or adjustments to provisional amounts) for the effects of the tax law where accounting is not complete, but for which reasonable estimates have been determined; and (3) reasonable estimates cannot yet be made and, therefore, taxes are reflected in accordance with law prior to the enactment of the Act. The effects of the Act provisions and the application of SAB 118 included in the fiscal 2018 results are summarized as follows:</w:t>
      </w:r>
    </w:p>
    <w:p>
      <w:pPr>
        <w:spacing w:after="0" w:line="82" w:lineRule="exact"/>
        <w:rPr>
          <w:rFonts w:ascii="Arial" w:cs="Arial" w:eastAsia="Arial" w:hAnsi="Arial"/>
          <w:sz w:val="18"/>
          <w:szCs w:val="18"/>
          <w:color w:val="auto"/>
        </w:rPr>
      </w:pPr>
    </w:p>
    <w:p>
      <w:pPr>
        <w:jc w:val="both"/>
        <w:ind w:left="700" w:hanging="350"/>
        <w:spacing w:after="0" w:line="255"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accounting for the net income tax change for the remeasurement of certain deferred taxes is complete, and resulted in an increase of $1.6 million (provisional estimate of $2.5 million) reflecting the remeasurement of the final year end deferred taxes to the fiscal 2019 tax rate, all of which was offset by the remeasurement adjustment of $1.6 million (provisional estimate of $2.5 million) of the related valuation allowance, resulting in a net zero change in the income tax provision.</w:t>
      </w:r>
    </w:p>
    <w:p>
      <w:pPr>
        <w:spacing w:after="0" w:line="81" w:lineRule="exact"/>
        <w:rPr>
          <w:rFonts w:ascii="Arial" w:cs="Arial" w:eastAsia="Arial" w:hAnsi="Arial"/>
          <w:sz w:val="18"/>
          <w:szCs w:val="18"/>
          <w:color w:val="auto"/>
        </w:rPr>
      </w:pPr>
    </w:p>
    <w:p>
      <w:pPr>
        <w:jc w:val="both"/>
        <w:ind w:left="700" w:hanging="350"/>
        <w:spacing w:after="0" w:line="277" w:lineRule="auto"/>
        <w:tabs>
          <w:tab w:leader="none" w:pos="7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As a result of the Act our determination regarding the realization of the benefit of the alternative minimum tax credit carryforwards changed; accordingly, the related valuation allowance has been reversed, and a $3.7 million, net of sequestration, tax benefit has been recorded (our original provisional estimate of $3.9 million, was reduced to $3.7 million in FY 2018 Q3 to reflect sequestration). The accounting for this item is now complete.</w:t>
      </w:r>
    </w:p>
    <w:p>
      <w:pPr>
        <w:spacing w:after="0" w:line="64" w:lineRule="exact"/>
        <w:rPr>
          <w:rFonts w:ascii="Arial" w:cs="Arial" w:eastAsia="Arial" w:hAnsi="Arial"/>
          <w:sz w:val="17"/>
          <w:szCs w:val="17"/>
          <w:color w:val="auto"/>
        </w:rPr>
      </w:pPr>
    </w:p>
    <w:p>
      <w:pPr>
        <w:jc w:val="both"/>
        <w:ind w:left="700" w:hanging="350"/>
        <w:spacing w:after="0" w:line="257"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Additionally, the accounting of the transition tax, for the year ended October 31, 2018 is complete. We recorded income tax expense of $29.6 million (provisional estimate of $28.4 million reported in the previous three quarters of FY 2018, changed based on the most current available information). The entire amount of transition tax was offset by the current year loss, current year credits and available credit carryforwards.</w:t>
      </w:r>
    </w:p>
    <w:p>
      <w:pPr>
        <w:spacing w:after="0" w:line="80"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Based on our current interpretation of the Act, we have completed the accounting for all items that impact our fiscal 2018 financial statements. Collectively, these items and the changes in measurement did not have a material impact to our consolidated effective tax rate or financial statements.</w:t>
      </w:r>
    </w:p>
    <w:p>
      <w:pPr>
        <w:spacing w:after="0" w:line="74"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On January 18, 2018, the Taiwan Legislature Yuan approved amendments to the Income Tax Act, enacting an increase in the corporate tax rate from 17% to 20%. Under generally accepted accounting principles, we are required to revalue our deferred tax assets and liabilities, utilizing the rate applicable to the period, when a temporary difference will reverse. Our analysis indicates that our Taiwan deferred tax asset will be increased and, accordingly, we have recognized a net benefit of $0.2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before the income tax provisions consists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October 29,</w:t>
            </w:r>
          </w:p>
        </w:tc>
        <w:tc>
          <w:tcPr>
            <w:tcW w:w="120" w:type="dxa"/>
            <w:vAlign w:val="bottom"/>
          </w:tcPr>
          <w:p>
            <w:pPr>
              <w:spacing w:after="0"/>
              <w:rPr>
                <w:sz w:val="13"/>
                <w:szCs w:val="13"/>
                <w:color w:val="auto"/>
              </w:rPr>
            </w:pPr>
          </w:p>
        </w:tc>
        <w:tc>
          <w:tcPr>
            <w:tcW w:w="90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October 30,</w:t>
            </w:r>
          </w:p>
        </w:tc>
      </w:t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5"/>
                <w:szCs w:val="15"/>
                <w:color w:val="auto"/>
              </w:rPr>
            </w:pPr>
          </w:p>
        </w:tc>
      </w:tr>
      <w:tr>
        <w:trPr>
          <w:trHeight w:val="235"/>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6,270</w:t>
            </w:r>
          </w:p>
        </w:tc>
      </w:tr>
      <w:tr>
        <w:trPr>
          <w:trHeight w:val="242"/>
        </w:trPr>
        <w:tc>
          <w:tcPr>
            <w:tcW w:w="620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38,109</w:t>
            </w:r>
          </w:p>
        </w:tc>
        <w:tc>
          <w:tcPr>
            <w:tcW w:w="1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54,204</w:t>
            </w:r>
          </w:p>
        </w:tc>
      </w:tr>
      <w:tr>
        <w:trPr>
          <w:trHeight w:val="20"/>
        </w:trPr>
        <w:tc>
          <w:tcPr>
            <w:tcW w:w="6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9"/>
        </w:trPr>
        <w:tc>
          <w:tcPr>
            <w:tcW w:w="6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68,571</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60,474</w:t>
            </w:r>
          </w:p>
        </w:tc>
      </w:tr>
      <w:tr>
        <w:trPr>
          <w:trHeight w:val="323"/>
        </w:trPr>
        <w:tc>
          <w:tcPr>
            <w:tcW w:w="620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The income tax provisions consist of the following:</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41"/>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October 29,</w:t>
            </w:r>
          </w:p>
        </w:tc>
        <w:tc>
          <w:tcPr>
            <w:tcW w:w="120" w:type="dxa"/>
            <w:vAlign w:val="bottom"/>
          </w:tcPr>
          <w:p>
            <w:pPr>
              <w:spacing w:after="0"/>
              <w:rPr>
                <w:sz w:val="13"/>
                <w:szCs w:val="13"/>
                <w:color w:val="auto"/>
              </w:rPr>
            </w:pPr>
          </w:p>
        </w:tc>
        <w:tc>
          <w:tcPr>
            <w:tcW w:w="90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October 30,</w:t>
            </w:r>
          </w:p>
        </w:tc>
      </w:t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5"/>
                <w:szCs w:val="15"/>
                <w:color w:val="auto"/>
              </w:rPr>
            </w:pPr>
          </w:p>
        </w:tc>
      </w:tr>
      <w:tr>
        <w:trPr>
          <w:trHeight w:val="235"/>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8,115</w:t>
            </w:r>
          </w:p>
        </w:tc>
      </w:tr>
      <w:tr>
        <w:trPr>
          <w:trHeight w:val="248"/>
        </w:trPr>
        <w:tc>
          <w:tcPr>
            <w:tcW w:w="6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1,618</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(3,817)</w:t>
            </w:r>
          </w:p>
        </w:tc>
      </w:tr>
      <w:tr>
        <w:trPr>
          <w:trHeight w:val="20"/>
        </w:trPr>
        <w:tc>
          <w:tcPr>
            <w:tcW w:w="6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7,335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4,798</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auto"/>
                <w:w w:val="93"/>
              </w:rPr>
              <w:t>October 30,</w:t>
            </w:r>
          </w:p>
        </w:tc>
      </w:t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21,166</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(9,516)</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6,471</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3,438</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Foreign tax rate differentials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(5,230)</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(9,620)</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Uncertain tax positions, including reserves, settlements and resolutions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option</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Income tax holiday</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reform</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Tax on foreign subsidiary earnings</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6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6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7,335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4,798</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The fiscal year 2018 effective tax rate differs from the U.S. federal blended rate of 23.42% primarily due to the impact of the Act allowing for the refund of AMT credits that caused a corresponding reversal of the related valuation allowance, the recognition of a benefit related to previously unrecognized tax positions, earnings being taxed at lower statutory rates in foreign jurisdictions, the benefits of tax holiday, and investment credits in foreign jurisdictions.</w:t>
      </w:r>
    </w:p>
    <w:p>
      <w:pPr>
        <w:spacing w:after="0" w:line="80"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fiscal years 2017 and 2016 effective tax rates differ from the U.S. statutory rate of 35% primarily due to earnings being taxed at lower statutory rates in foreign jurisdictions, changes in deferred tax asset valuation allowances, including the reversals noted below, together with the benefit of various investment credits in a foreign jurisdiction. In addition, the lower rate in fiscal year 2016 was partially driven by a benefit that resulted from the reversal of a previously recorded undistributed earnings tax liability in a foreign jurisdiction for which we are no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longer liable. We were granted two five-year tax holidays in Taiwan, one that expired unused in 2017 and the other that expires in 2019. The latter tax holiday reduced foreign taxes by $2.6 million, $0.7 million and $0.5 million in fiscal years 2018, 2017 and 2016, respectively, with a $0.035 cents per share impact in fiscal 2018 and a de minimis per share effect in the fiscal 2017 and 2016 periods.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deferred income tax assets consist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w w:val="98"/>
              </w:rPr>
              <w:t>October 29,</w:t>
            </w:r>
          </w:p>
        </w:tc>
      </w:tr>
      <w:tr>
        <w:trPr>
          <w:trHeight w:val="184"/>
        </w:trPr>
        <w:tc>
          <w:tcPr>
            <w:tcW w:w="7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235"/>
        </w:trPr>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6"/>
        </w:trPr>
        <w:tc>
          <w:tcPr>
            <w:tcW w:w="71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30,805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40,942</w:t>
            </w:r>
          </w:p>
        </w:tc>
      </w:tr>
      <w:tr>
        <w:trPr>
          <w:trHeight w:val="248"/>
        </w:trPr>
        <w:tc>
          <w:tcPr>
            <w:tcW w:w="7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not currently deductible</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4,196</w:t>
            </w:r>
          </w:p>
        </w:tc>
      </w:tr>
      <w:tr>
        <w:trPr>
          <w:trHeight w:val="236"/>
        </w:trPr>
        <w:tc>
          <w:tcPr>
            <w:tcW w:w="7140" w:type="dxa"/>
            <w:vAlign w:val="bottom"/>
          </w:tcPr>
          <w:p>
            <w:pPr>
              <w:ind w:left="180"/>
              <w:spacing w:after="0"/>
              <w:rPr>
                <w:sz w:val="20"/>
                <w:szCs w:val="20"/>
                <w:color w:val="auto"/>
              </w:rPr>
            </w:pPr>
            <w:r>
              <w:rPr>
                <w:rFonts w:ascii="Arial" w:cs="Arial" w:eastAsia="Arial" w:hAnsi="Arial"/>
                <w:sz w:val="18"/>
                <w:szCs w:val="18"/>
                <w:color w:val="auto"/>
              </w:rPr>
              <w:t>Alternative minimum tax credits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3,946</w:t>
            </w:r>
          </w:p>
        </w:tc>
      </w:tr>
      <w:tr>
        <w:trPr>
          <w:trHeight w:val="248"/>
        </w:trPr>
        <w:tc>
          <w:tcPr>
            <w:tcW w:w="7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10,037</w:t>
            </w:r>
          </w:p>
        </w:tc>
      </w:tr>
      <w:tr>
        <w:trPr>
          <w:trHeight w:val="236"/>
        </w:trPr>
        <w:tc>
          <w:tcPr>
            <w:tcW w:w="71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r>
      <w:tr>
        <w:trPr>
          <w:trHeight w:val="248"/>
        </w:trPr>
        <w:tc>
          <w:tcPr>
            <w:tcW w:w="71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9"/>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62,959</w:t>
            </w:r>
          </w:p>
        </w:tc>
      </w:tr>
      <w:tr>
        <w:trPr>
          <w:trHeight w:val="248"/>
        </w:trPr>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(24,383)</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(25,590)</w:t>
            </w:r>
          </w:p>
        </w:tc>
      </w:tr>
      <w:tr>
        <w:trPr>
          <w:trHeight w:val="229"/>
        </w:trPr>
        <w:tc>
          <w:tcPr>
            <w:tcW w:w="714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25,934</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37,369</w:t>
            </w:r>
          </w:p>
        </w:tc>
        <w:tc>
          <w:tcPr>
            <w:tcW w:w="80" w:type="dxa"/>
            <w:vAlign w:val="bottom"/>
            <w:tcBorders>
              <w:top w:val="single" w:sz="8" w:color="CCEEFF"/>
            </w:tcBorders>
          </w:tcPr>
          <w:p>
            <w:pPr>
              <w:spacing w:after="0"/>
              <w:rPr>
                <w:sz w:val="19"/>
                <w:szCs w:val="19"/>
                <w:color w:val="auto"/>
              </w:rPr>
            </w:pPr>
          </w:p>
        </w:tc>
      </w:tr>
      <w:tr>
        <w:trPr>
          <w:trHeight w:val="248"/>
        </w:trPr>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140" w:type="dxa"/>
            <w:vAlign w:val="bottom"/>
          </w:tcPr>
          <w:p>
            <w:pPr>
              <w:ind w:left="180"/>
              <w:spacing w:after="0"/>
              <w:rPr>
                <w:sz w:val="20"/>
                <w:szCs w:val="20"/>
                <w:color w:val="auto"/>
              </w:rPr>
            </w:pPr>
            <w:r>
              <w:rPr>
                <w:rFonts w:ascii="Arial" w:cs="Arial" w:eastAsia="Arial" w:hAnsi="Arial"/>
                <w:sz w:val="18"/>
                <w:szCs w:val="18"/>
                <w:color w:val="auto"/>
              </w:rPr>
              <w:t>Undistributed earnings of foreign subsidiaries</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(4,335)</w:t>
            </w:r>
          </w:p>
        </w:tc>
      </w:tr>
      <w:tr>
        <w:trPr>
          <w:trHeight w:val="248"/>
        </w:trPr>
        <w:tc>
          <w:tcPr>
            <w:tcW w:w="7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(8,020)</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(19,280)</w:t>
            </w:r>
          </w:p>
        </w:tc>
      </w:tr>
      <w:tr>
        <w:trPr>
          <w:trHeight w:val="242"/>
        </w:trPr>
        <w:tc>
          <w:tcPr>
            <w:tcW w:w="71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r>
      <w:tr>
        <w:trPr>
          <w:trHeight w:val="20"/>
        </w:trPr>
        <w:tc>
          <w:tcPr>
            <w:tcW w:w="7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1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(8,468)</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(23,937)</w:t>
            </w:r>
          </w:p>
        </w:tc>
      </w:tr>
      <w:tr>
        <w:trPr>
          <w:trHeight w:val="228"/>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deferred income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w:t>
            </w:r>
          </w:p>
        </w:tc>
        <w:tc>
          <w:tcPr>
            <w:tcW w:w="80" w:type="dxa"/>
            <w:vAlign w:val="bottom"/>
            <w:tcBorders>
              <w:top w:val="single" w:sz="8" w:color="CCEEFF"/>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7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Reported as:</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7140" w:type="dxa"/>
            <w:vAlign w:val="bottom"/>
          </w:tcPr>
          <w:p>
            <w:pPr>
              <w:ind w:left="360"/>
              <w:spacing w:after="0"/>
              <w:rPr>
                <w:sz w:val="20"/>
                <w:szCs w:val="20"/>
                <w:color w:val="auto"/>
              </w:rPr>
            </w:pPr>
            <w:r>
              <w:rPr>
                <w:rFonts w:ascii="Arial" w:cs="Arial" w:eastAsia="Arial" w:hAnsi="Arial"/>
                <w:sz w:val="18"/>
                <w:szCs w:val="18"/>
                <w:color w:val="auto"/>
              </w:rPr>
              <w:t>Deferred income tax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18,109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15,481</w:t>
            </w:r>
          </w:p>
        </w:tc>
      </w:tr>
      <w:tr>
        <w:trPr>
          <w:trHeight w:val="248"/>
        </w:trPr>
        <w:tc>
          <w:tcPr>
            <w:tcW w:w="71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(2,049)</w:t>
            </w:r>
          </w:p>
        </w:tc>
      </w:tr>
      <w:tr>
        <w:trPr>
          <w:trHeight w:val="222"/>
        </w:trPr>
        <w:tc>
          <w:tcPr>
            <w:tcW w:w="71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w:t>
            </w:r>
          </w:p>
        </w:tc>
        <w:tc>
          <w:tcPr>
            <w:tcW w:w="80" w:type="dxa"/>
            <w:vAlign w:val="bottom"/>
            <w:tcBorders>
              <w:top w:val="single" w:sz="8" w:color="CCEEFF"/>
            </w:tcBorders>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have established a valuation allowance for a portion of our deferred tax assets because we believe, based on the weight of all available evidence, that it is more likely than not that a portion of our net operating loss carryforwards will expire prior to utilization. During fiscal year 2018, the valuation allowance decrease primarily resulted from the reversal of the valuation allowance related to alternative minimum tax credits of $(3.9) million as the result of the Act, prior year additional NOL utilization of $(1.8) million, credit utilization of $(1.3) million, other impacts of $(0.4) million, changes in the deferred tax liability of $2.8 million, $1.8 million from the adoption of ASU 2016-09 related to stock compensation, and $1.6 million from the corporate tax rate reduction. During fiscal year 2016, we determined that sufficient positive evidence existed in certain foreign jurisdictions that it was more likely than not that additional deferred tax assets were realizable and, therefore, we reduced the valuation allowance by $4.3 million. Fiscal years 2017 and 2016 also changed as a result of loss utilizations and deferred tax liability changes of $3.7 million and $5.2 million, respectively.</w:t>
      </w:r>
    </w:p>
    <w:p>
      <w:pPr>
        <w:spacing w:after="0" w:line="73"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Due to the Act, as of fiscal year end 2018, U.S. deferred taxes are no longer provided on the undistributed earnings of non-U.S. subsidiaries. Our policy to indefinitely reinvest these earnings in non-U.S. operations remains unchanged for the purpose of determining deferred tax liabilities for U.S. state and foreign withholding taxes. During fiscal year 2017, the permanent reinvestment assertion was partially changed due to changes in circumstances within one of our non-U.S. subsidiary entities, and a U.S. tax liability was recognized for the related undistributed earnings. Outside of the Act, should we elect in the future to repatriate the remaining foreign earnings deemed to be indefinitely reinvested, we may incur additional state and withholding tax expense on those foreign earnings, the amount of which is not practicable to compute.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following tables present our available operating loss and credit carryforwards at October 31, 2018, and their related expiration periods: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Expiration</w:t>
            </w:r>
          </w:p>
        </w:tc>
      </w:tr>
      <w:tr>
        <w:trPr>
          <w:trHeight w:val="184"/>
        </w:trPr>
        <w:tc>
          <w:tcPr>
            <w:tcW w:w="69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Operating Loss Carryforwards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5"/>
                <w:szCs w:val="15"/>
                <w:color w:val="auto"/>
              </w:rPr>
            </w:pPr>
          </w:p>
        </w:tc>
        <w:tc>
          <w:tcPr>
            <w:tcW w:w="11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Periods</w:t>
            </w:r>
          </w:p>
        </w:tc>
        <w:tc>
          <w:tcPr>
            <w:tcW w:w="80" w:type="dxa"/>
            <w:vAlign w:val="bottom"/>
          </w:tcPr>
          <w:p>
            <w:pPr>
              <w:spacing w:after="0"/>
              <w:rPr>
                <w:sz w:val="15"/>
                <w:szCs w:val="15"/>
                <w:color w:val="auto"/>
              </w:rPr>
            </w:pPr>
          </w:p>
        </w:tc>
      </w:tr>
      <w:tr>
        <w:trPr>
          <w:trHeight w:val="23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78,902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2028-2033</w:t>
            </w:r>
          </w:p>
        </w:tc>
        <w:tc>
          <w:tcPr>
            <w:tcW w:w="80" w:type="dxa"/>
            <w:vAlign w:val="bottom"/>
            <w:shd w:val="clear" w:color="auto" w:fill="CCEEFF"/>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208,411</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2018-2038</w:t>
            </w:r>
          </w:p>
        </w:tc>
        <w:tc>
          <w:tcPr>
            <w:tcW w:w="80" w:type="dxa"/>
            <w:vAlign w:val="bottom"/>
          </w:tcPr>
          <w:p>
            <w:pPr>
              <w:spacing w:after="0"/>
              <w:rPr>
                <w:sz w:val="20"/>
                <w:szCs w:val="20"/>
                <w:color w:val="auto"/>
              </w:rPr>
            </w:pPr>
          </w:p>
        </w:tc>
      </w:tr>
      <w:tr>
        <w:trPr>
          <w:trHeight w:val="24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9,761</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2021-2027</w:t>
            </w:r>
          </w:p>
        </w:tc>
        <w:tc>
          <w:tcPr>
            <w:tcW w:w="80" w:type="dxa"/>
            <w:vAlign w:val="bottom"/>
            <w:shd w:val="clear" w:color="auto" w:fill="CCEEFF"/>
          </w:tcPr>
          <w:p>
            <w:pPr>
              <w:spacing w:after="0"/>
              <w:rPr>
                <w:sz w:val="21"/>
                <w:szCs w:val="21"/>
                <w:color w:val="auto"/>
              </w:rPr>
            </w:pPr>
          </w:p>
        </w:tc>
      </w:tr>
      <w:tr>
        <w:trPr>
          <w:trHeight w:val="219"/>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Expiration</w:t>
            </w:r>
          </w:p>
        </w:tc>
      </w:tr>
      <w:tr>
        <w:trPr>
          <w:trHeight w:val="184"/>
        </w:trPr>
        <w:tc>
          <w:tcPr>
            <w:tcW w:w="694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Tax Credit Carryforwards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5"/>
                <w:szCs w:val="15"/>
                <w:color w:val="auto"/>
              </w:rPr>
            </w:pPr>
          </w:p>
        </w:tc>
      </w:tr>
      <w:tr>
        <w:trPr>
          <w:trHeight w:val="235"/>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2019-2038</w:t>
            </w:r>
          </w:p>
        </w:tc>
        <w:tc>
          <w:tcPr>
            <w:tcW w:w="80" w:type="dxa"/>
            <w:vAlign w:val="bottom"/>
            <w:shd w:val="clear" w:color="auto" w:fill="CCEEFF"/>
          </w:tcPr>
          <w:p>
            <w:pPr>
              <w:spacing w:after="0"/>
              <w:rPr>
                <w:sz w:val="20"/>
                <w:szCs w:val="20"/>
                <w:color w:val="auto"/>
              </w:rPr>
            </w:pPr>
          </w:p>
        </w:tc>
      </w:tr>
      <w:tr>
        <w:trPr>
          <w:trHeight w:val="236"/>
        </w:trPr>
        <w:tc>
          <w:tcPr>
            <w:tcW w:w="6940" w:type="dxa"/>
            <w:vAlign w:val="bottom"/>
          </w:tcPr>
          <w:p>
            <w:pPr>
              <w:spacing w:after="0"/>
              <w:rPr>
                <w:sz w:val="20"/>
                <w:szCs w:val="20"/>
                <w:color w:val="auto"/>
              </w:rPr>
            </w:pPr>
            <w:r>
              <w:rPr>
                <w:rFonts w:ascii="Arial" w:cs="Arial" w:eastAsia="Arial" w:hAnsi="Arial"/>
                <w:sz w:val="18"/>
                <w:szCs w:val="18"/>
                <w:color w:val="auto"/>
              </w:rPr>
              <w:t>Federal alternative minimum</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Refundable</w:t>
            </w:r>
          </w:p>
        </w:tc>
      </w:tr>
      <w:tr>
        <w:trPr>
          <w:trHeight w:val="24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2020-2032</w:t>
            </w:r>
          </w:p>
        </w:tc>
        <w:tc>
          <w:tcPr>
            <w:tcW w:w="80" w:type="dxa"/>
            <w:vAlign w:val="bottom"/>
            <w:shd w:val="clear" w:color="auto" w:fill="CCEEFF"/>
          </w:tcPr>
          <w:p>
            <w:pPr>
              <w:spacing w:after="0"/>
              <w:rPr>
                <w:sz w:val="21"/>
                <w:szCs w:val="21"/>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2019-2020</w:t>
            </w:r>
          </w:p>
        </w:tc>
        <w:tc>
          <w:tcPr>
            <w:tcW w:w="80" w:type="dxa"/>
            <w:vAlign w:val="bottom"/>
          </w:tcPr>
          <w:p>
            <w:pPr>
              <w:spacing w:after="0"/>
              <w:rPr>
                <w:sz w:val="19"/>
                <w:szCs w:val="19"/>
                <w:color w:val="auto"/>
              </w:rPr>
            </w:pPr>
          </w:p>
        </w:tc>
      </w:tr>
    </w:tbl>
    <w:p>
      <w:pPr>
        <w:spacing w:after="0" w:line="105"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October 29,</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b w:val="1"/>
                <w:bCs w:val="1"/>
                <w:color w:val="auto"/>
                <w:w w:val="93"/>
              </w:rPr>
              <w:t>October 30,</w:t>
            </w:r>
          </w:p>
        </w:tc>
      </w:tr>
      <w:tr>
        <w:trPr>
          <w:trHeight w:val="184"/>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4,029</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744</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r>
      <w:tr>
        <w:trPr>
          <w:trHeight w:val="248"/>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0"/>
        </w:trPr>
        <w:tc>
          <w:tcPr>
            <w:tcW w:w="6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4,606</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6"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As of October 31, 2018, October 29, 2017 and October 30, 2016, the balance of unrecognized tax benefits includes $1.9 million, $3.4 million, and $4.6 million, respectively, recorded in other liabilities in the consolidated balance sheets that, if recognized, would impact the effective tax rate. Included in these amounts in each of fiscal years 2018, 2017 and 2016 were $0.1 million of interest and penalties. We include any applicable interest and penalties related to uncertain tax positions in our income tax provision. The amounts reflected in the table above for the fiscal years 2018, 2017 and 2016 include settlements of non-U.S. audits.</w:t>
      </w:r>
    </w:p>
    <w:p>
      <w:pPr>
        <w:spacing w:after="0" w:line="51"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Although the timing of the expirations of statutes of limitations may be uncertain, as they can be dependent upon the settlement of tax audits, the Company believes that it is reasonably possible that up to $0.9 million of its uncertain tax positions (including accrued interest and penalties, and net of tax benefits) may be resolved over the next twelve months. Resolution of these uncertain tax positions may result from either or both of the lapses of statutes of limitations and tax settlements. The Company is no longer subject to tax authority examinations in the U.S., major foreign, or state tax jurisdictions for years prior to fiscal year 2014.</w:t>
      </w:r>
    </w:p>
    <w:p>
      <w:pPr>
        <w:spacing w:after="0" w:line="51"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Income tax payments were $6.1 million, $9.3 million and $11.4 million in fiscal years 2018, 2017 and 2016, respectively. Cash received as refunds of income taxes paid in prior years amounted to $1.1 million, $0.1 million and $0.2 million in fiscal years 2018, 2017 and 2016,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 of basic and diluted earnings per share is presented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w:t>
            </w:r>
          </w:p>
        </w:tc>
      </w:tr>
      <w:tr>
        <w:trPr>
          <w:trHeight w:val="177"/>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46,200</w:t>
            </w: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w:t>
            </w:r>
          </w:p>
        </w:tc>
      </w:tr>
      <w:tr>
        <w:trPr>
          <w:trHeight w:val="27"/>
        </w:trPr>
        <w:tc>
          <w:tcPr>
            <w:tcW w:w="6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13,130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49,138</w:t>
            </w:r>
          </w:p>
        </w:tc>
      </w:tr>
      <w:tr>
        <w:trPr>
          <w:trHeight w:val="27"/>
        </w:trPr>
        <w:tc>
          <w:tcPr>
            <w:tcW w:w="6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68,829</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68,436</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67,539</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200" w:type="dxa"/>
            <w:vAlign w:val="bottom"/>
          </w:tcPr>
          <w:p>
            <w:pPr>
              <w:ind w:left="36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5,542</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7,841</w:t>
            </w:r>
          </w:p>
        </w:tc>
      </w:tr>
      <w:tr>
        <w:trPr>
          <w:trHeight w:val="234"/>
        </w:trPr>
        <w:tc>
          <w:tcPr>
            <w:tcW w:w="6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payment awards</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w:t>
            </w:r>
          </w:p>
        </w:tc>
      </w:tr>
      <w:tr>
        <w:trPr>
          <w:trHeight w:val="27"/>
        </w:trPr>
        <w:tc>
          <w:tcPr>
            <w:tcW w:w="6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6200" w:type="dxa"/>
            <w:vAlign w:val="bottom"/>
          </w:tcPr>
          <w:p>
            <w:pPr>
              <w:ind w:left="18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8,815</w:t>
            </w:r>
          </w:p>
        </w:tc>
      </w:tr>
      <w:tr>
        <w:trPr>
          <w:trHeight w:val="27"/>
        </w:trPr>
        <w:tc>
          <w:tcPr>
            <w:tcW w:w="6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5"/>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74,821</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69,288</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76,354</w:t>
            </w:r>
          </w:p>
        </w:tc>
      </w:tr>
      <w:tr>
        <w:trPr>
          <w:trHeight w:val="242"/>
        </w:trPr>
        <w:tc>
          <w:tcPr>
            <w:tcW w:w="6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r>
    </w:tbl>
    <w:p>
      <w:pPr>
        <w:spacing w:after="0" w:line="105"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2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29,</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30,</w:t>
            </w:r>
          </w:p>
        </w:tc>
      </w:tr>
      <w:tr>
        <w:trPr>
          <w:trHeight w:val="177"/>
        </w:trPr>
        <w:tc>
          <w:tcPr>
            <w:tcW w:w="6200" w:type="dxa"/>
            <w:vAlign w:val="bottom"/>
          </w:tcPr>
          <w:p>
            <w:pPr>
              <w:spacing w:after="0"/>
              <w:rPr>
                <w:sz w:val="15"/>
                <w:szCs w:val="15"/>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w:t>
            </w:r>
          </w:p>
        </w:tc>
      </w:tr>
      <w:tr>
        <w:trPr>
          <w:trHeight w:val="228"/>
        </w:trPr>
        <w:tc>
          <w:tcPr>
            <w:tcW w:w="6200" w:type="dxa"/>
            <w:vAlign w:val="bottom"/>
          </w:tcPr>
          <w:p>
            <w:pPr>
              <w:spacing w:after="0"/>
              <w:rPr>
                <w:sz w:val="20"/>
                <w:szCs w:val="20"/>
                <w:color w:val="auto"/>
              </w:rPr>
            </w:pPr>
            <w:r>
              <w:rPr>
                <w:rFonts w:ascii="Arial" w:cs="Arial" w:eastAsia="Arial" w:hAnsi="Arial"/>
                <w:sz w:val="18"/>
                <w:szCs w:val="18"/>
                <w:color w:val="auto"/>
              </w:rPr>
              <w:t>Convertible notes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5,542</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Borders>
              <w:right w:val="single" w:sz="8" w:color="CCEEFF"/>
            </w:tcBorders>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w:t>
            </w:r>
          </w:p>
        </w:tc>
      </w:tr>
      <w:tr>
        <w:trPr>
          <w:trHeight w:val="27"/>
        </w:trPr>
        <w:tc>
          <w:tcPr>
            <w:tcW w:w="6200" w:type="dxa"/>
            <w:vAlign w:val="bottom"/>
            <w:tcBorders>
              <w:top w:val="single" w:sz="8" w:color="CCEEFF"/>
              <w:right w:val="single" w:sz="8" w:color="auto"/>
            </w:tcBorders>
            <w:shd w:val="clear" w:color="auto" w:fill="CCEEFF"/>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At October 31, 2018, we had outstanding purchase commitments of $144 million, $126 million of which related to the building and equipping of our China facilities, and had recorded liabilities for the purchase of equipment of $30 million. See Note 7 for information on our operating lease commitments.</w:t>
      </w:r>
    </w:p>
    <w:p>
      <w:pPr>
        <w:spacing w:after="0" w:line="74"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and in the aggregate, will not have a material effect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GEOGRAPHIC AND SIGNIFICANT CUSTOMER INFORMATION</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operate as a single operating segment as a manufacturer of photomasks, which are high precision quartz or glass plates containing microscopic images of electronic circuits for use in the fabrication of IC’s and FPDs. Geographic revenues (shown below) are based primarily on where our manufacturing facility is located.</w:t>
      </w:r>
    </w:p>
    <w:p>
      <w:pPr>
        <w:spacing w:after="0" w:line="74"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Our 2018, 2017 and 2016 revenue by geographic area and by IC and FPD products, and long-lived assets by geographic area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October 30,</w:t>
            </w:r>
          </w:p>
        </w:tc>
      </w:tr>
      <w:tr>
        <w:trPr>
          <w:trHeight w:val="177"/>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5"/>
                <w:szCs w:val="15"/>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237,039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187,818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193,216</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147,066</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122,165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141,017</w:t>
            </w: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112,648</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102,040</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113,670</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35,540</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36,081</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33,384</w:t>
            </w:r>
          </w:p>
        </w:tc>
      </w:tr>
      <w:tr>
        <w:trPr>
          <w:trHeight w:val="228"/>
        </w:trPr>
        <w:tc>
          <w:tcPr>
            <w:tcW w:w="6200" w:type="dxa"/>
            <w:vAlign w:val="bottom"/>
          </w:tcPr>
          <w:p>
            <w:pPr>
              <w:ind w:left="180"/>
              <w:spacing w:after="0"/>
              <w:rPr>
                <w:sz w:val="20"/>
                <w:szCs w:val="20"/>
                <w:color w:val="auto"/>
              </w:rPr>
            </w:pPr>
            <w:r>
              <w:rPr>
                <w:rFonts w:ascii="Arial" w:cs="Arial" w:eastAsia="Arial" w:hAnsi="Arial"/>
                <w:sz w:val="18"/>
                <w:szCs w:val="18"/>
                <w:color w:val="auto"/>
              </w:rPr>
              <w:t>All other Asia</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r>
      <w:tr>
        <w:trPr>
          <w:trHeight w:val="27"/>
        </w:trPr>
        <w:tc>
          <w:tcPr>
            <w:tcW w:w="6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5"/>
        </w:trPr>
        <w:tc>
          <w:tcPr>
            <w:tcW w:w="6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535,276</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450,678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483,456</w:t>
            </w:r>
          </w:p>
        </w:tc>
      </w:tr>
      <w:tr>
        <w:trPr>
          <w:trHeight w:val="242"/>
        </w:trPr>
        <w:tc>
          <w:tcPr>
            <w:tcW w:w="62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42"/>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350,260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364,531</w:t>
            </w:r>
          </w:p>
        </w:tc>
      </w:tr>
      <w:tr>
        <w:trPr>
          <w:trHeight w:val="228"/>
        </w:trPr>
        <w:tc>
          <w:tcPr>
            <w:tcW w:w="6200" w:type="dxa"/>
            <w:vAlign w:val="bottom"/>
          </w:tcPr>
          <w:p>
            <w:pPr>
              <w:ind w:left="180"/>
              <w:spacing w:after="0"/>
              <w:rPr>
                <w:sz w:val="20"/>
                <w:szCs w:val="20"/>
                <w:color w:val="auto"/>
              </w:rPr>
            </w:pPr>
            <w:r>
              <w:rPr>
                <w:rFonts w:ascii="Arial" w:cs="Arial" w:eastAsia="Arial" w:hAnsi="Arial"/>
                <w:sz w:val="18"/>
                <w:szCs w:val="18"/>
                <w:color w:val="auto"/>
              </w:rPr>
              <w:t>FPD</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119,212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100,418</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118,925</w:t>
            </w:r>
          </w:p>
        </w:tc>
      </w:tr>
      <w:tr>
        <w:trPr>
          <w:trHeight w:val="27"/>
        </w:trPr>
        <w:tc>
          <w:tcPr>
            <w:tcW w:w="6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75"/>
        </w:trPr>
        <w:tc>
          <w:tcPr>
            <w:tcW w:w="6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535,276</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450,678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483,456</w:t>
            </w:r>
          </w:p>
        </w:tc>
      </w:tr>
      <w:tr>
        <w:trPr>
          <w:trHeight w:val="228"/>
        </w:trPr>
        <w:tc>
          <w:tcPr>
            <w:tcW w:w="6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172"/>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October 30,</w:t>
            </w:r>
          </w:p>
        </w:tc>
      </w:tr>
      <w:tr>
        <w:trPr>
          <w:trHeight w:val="177"/>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5"/>
                <w:szCs w:val="15"/>
                <w:color w:val="auto"/>
              </w:rPr>
            </w:pPr>
          </w:p>
        </w:tc>
      </w:tr>
      <w:tr>
        <w:trPr>
          <w:trHeight w:val="242"/>
        </w:trPr>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177,626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186,192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176,644</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156,948</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180,095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173,658</w:t>
            </w:r>
          </w:p>
        </w:tc>
      </w:tr>
      <w:tr>
        <w:trPr>
          <w:trHeight w:val="236"/>
        </w:trPr>
        <w:tc>
          <w:tcPr>
            <w:tcW w:w="6200" w:type="dxa"/>
            <w:vAlign w:val="bottom"/>
          </w:tcPr>
          <w:p>
            <w:pPr>
              <w:ind w:left="18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127,764</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147,265</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146,515</w:t>
            </w:r>
          </w:p>
        </w:tc>
      </w:tr>
      <w:tr>
        <w:trPr>
          <w:trHeight w:val="248"/>
        </w:trPr>
        <w:tc>
          <w:tcPr>
            <w:tcW w:w="6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102,985</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8,273</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6200" w:type="dxa"/>
            <w:vAlign w:val="bottom"/>
          </w:tcPr>
          <w:p>
            <w:pPr>
              <w:ind w:left="18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13,372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9,617</w:t>
            </w:r>
          </w:p>
        </w:tc>
      </w:tr>
      <w:tr>
        <w:trPr>
          <w:trHeight w:val="27"/>
        </w:trPr>
        <w:tc>
          <w:tcPr>
            <w:tcW w:w="6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6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571,781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535,197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506,434</w:t>
            </w:r>
          </w:p>
        </w:tc>
      </w:tr>
      <w:tr>
        <w:trPr>
          <w:trHeight w:val="27"/>
        </w:trPr>
        <w:tc>
          <w:tcPr>
            <w:tcW w:w="6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335"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7"/>
          <w:szCs w:val="17"/>
          <w:color w:val="auto"/>
        </w:rPr>
        <w:t>One customer accounted for 16%, 16% and 19% of our revenue in fiscal years 2018, 2017 and 2016, respectively, and another customer accounted for 15%, 16% and 17% of our revenue in fiscal years 2018, 2017 and 2016,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CHANGES IN ACCUMULATED OTHER COMPREHENSIVE INCOME BY COMPONENT</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years ended October 31, 2018 and October 29,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rPr>
              <w:t>Year Ended October 31, 2018</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Cash</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Adjustments</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Flow Hedge</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29, 2017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(16,672)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(16,571)</w:t>
            </w:r>
          </w:p>
        </w:tc>
        <w:tc>
          <w:tcPr>
            <w:tcW w:w="0" w:type="dxa"/>
            <w:vAlign w:val="bottom"/>
          </w:tcPr>
          <w:p>
            <w:pPr>
              <w:spacing w:after="0"/>
              <w:rPr>
                <w:sz w:val="1"/>
                <w:szCs w:val="1"/>
                <w:color w:val="auto"/>
              </w:rPr>
            </w:pPr>
          </w:p>
        </w:tc>
      </w:tr>
      <w:tr>
        <w:trPr>
          <w:trHeight w:val="234"/>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Amounts reclassified from other accumulated comprehensive income</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2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(16,672)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(16,523)</w:t>
            </w:r>
          </w:p>
        </w:tc>
        <w:tc>
          <w:tcPr>
            <w:tcW w:w="0" w:type="dxa"/>
            <w:vAlign w:val="bottom"/>
          </w:tcPr>
          <w:p>
            <w:pPr>
              <w:spacing w:after="0"/>
              <w:rPr>
                <w:sz w:val="1"/>
                <w:szCs w:val="1"/>
                <w:color w:val="auto"/>
              </w:rPr>
            </w:pPr>
          </w:p>
        </w:tc>
      </w:tr>
      <w:tr>
        <w:trPr>
          <w:trHeight w:val="220"/>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Less: other comprehensive loss (income) attributable to noncontrolling</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4,717</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5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420" w:type="dxa"/>
            <w:vAlign w:val="bottom"/>
          </w:tcPr>
          <w:p>
            <w:pPr>
              <w:spacing w:after="0"/>
              <w:rPr>
                <w:sz w:val="20"/>
                <w:szCs w:val="20"/>
                <w:color w:val="auto"/>
              </w:rPr>
            </w:pPr>
            <w:r>
              <w:rPr>
                <w:rFonts w:ascii="Arial" w:cs="Arial" w:eastAsia="Arial" w:hAnsi="Arial"/>
                <w:sz w:val="18"/>
                <w:szCs w:val="18"/>
                <w:color w:val="auto"/>
              </w:rPr>
              <w:t>Balance at October 31, 2018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(4,328)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left="215"/>
              <w:spacing w:after="0"/>
              <w:rPr>
                <w:sz w:val="20"/>
                <w:szCs w:val="20"/>
                <w:color w:val="auto"/>
              </w:rPr>
            </w:pPr>
            <w:r>
              <w:rPr>
                <w:rFonts w:ascii="Arial" w:cs="Arial" w:eastAsia="Arial" w:hAnsi="Arial"/>
                <w:sz w:val="14"/>
                <w:szCs w:val="14"/>
                <w:b w:val="1"/>
                <w:bCs w:val="1"/>
                <w:color w:val="auto"/>
                <w:w w:val="93"/>
              </w:rPr>
              <w:t>Year Ended October 29, 2017</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Foreign Currency</w:t>
            </w: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of Cash</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4"/>
                <w:szCs w:val="14"/>
                <w:b w:val="1"/>
                <w:bCs w:val="1"/>
                <w:color w:val="auto"/>
                <w:w w:val="91"/>
              </w:rPr>
              <w:t>Flow Hedge</w:t>
            </w: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240" w:type="dxa"/>
            <w:vAlign w:val="bottom"/>
            <w:tcBorders>
              <w:right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(927)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20,277</w:t>
            </w:r>
          </w:p>
        </w:tc>
        <w:tc>
          <w:tcPr>
            <w:tcW w:w="0" w:type="dxa"/>
            <w:vAlign w:val="bottom"/>
          </w:tcPr>
          <w:p>
            <w:pPr>
              <w:spacing w:after="0"/>
              <w:rPr>
                <w:sz w:val="1"/>
                <w:szCs w:val="1"/>
                <w:color w:val="auto"/>
              </w:rPr>
            </w:pPr>
          </w:p>
        </w:tc>
      </w:tr>
      <w:tr>
        <w:trPr>
          <w:trHeight w:val="234"/>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Amounts reclassified from other accumulated comprehensive income</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420" w:type="dxa"/>
            <w:vAlign w:val="bottom"/>
            <w:tcBorders>
              <w:right w:val="single" w:sz="8" w:color="auto"/>
            </w:tcBorders>
            <w:shd w:val="clear" w:color="auto" w:fill="CCEEFF"/>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20,406</w:t>
            </w:r>
          </w:p>
        </w:tc>
        <w:tc>
          <w:tcPr>
            <w:tcW w:w="0" w:type="dxa"/>
            <w:vAlign w:val="bottom"/>
          </w:tcPr>
          <w:p>
            <w:pPr>
              <w:spacing w:after="0"/>
              <w:rPr>
                <w:sz w:val="1"/>
                <w:szCs w:val="1"/>
                <w:color w:val="auto"/>
              </w:rPr>
            </w:pPr>
          </w:p>
        </w:tc>
      </w:tr>
      <w:tr>
        <w:trPr>
          <w:trHeight w:val="234"/>
        </w:trPr>
        <w:tc>
          <w:tcPr>
            <w:tcW w:w="5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Less: other comprehensive income attributable to noncontrolling interests</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(5,605)</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5420" w:type="dxa"/>
            <w:vAlign w:val="bottom"/>
            <w:tcBorders>
              <w:right w:val="single" w:sz="8" w:color="auto"/>
            </w:tcBorders>
            <w:shd w:val="clear" w:color="auto" w:fill="CCEEFF"/>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420" w:type="dxa"/>
            <w:vAlign w:val="bottom"/>
          </w:tcPr>
          <w:p>
            <w:pPr>
              <w:spacing w:after="0"/>
              <w:rPr>
                <w:sz w:val="20"/>
                <w:szCs w:val="20"/>
                <w:color w:val="auto"/>
              </w:rPr>
            </w:pPr>
            <w:r>
              <w:rPr>
                <w:rFonts w:ascii="Arial" w:cs="Arial" w:eastAsia="Arial" w:hAnsi="Arial"/>
                <w:sz w:val="18"/>
                <w:szCs w:val="18"/>
                <w:color w:val="auto"/>
              </w:rPr>
              <w:t>Balance at October 29, 2017</w:t>
            </w: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 (688)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Amortization of the cash flow hedge is included in cost of goods sold in the consolidated statements of income in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CONCENTRATIONS OF CREDIT RISK</w:t>
      </w:r>
    </w:p>
    <w:p>
      <w:pPr>
        <w:spacing w:after="0" w:line="119" w:lineRule="exact"/>
        <w:rPr>
          <w:sz w:val="20"/>
          <w:szCs w:val="20"/>
          <w:color w:val="auto"/>
        </w:rPr>
      </w:pPr>
    </w:p>
    <w:p>
      <w:pPr>
        <w:jc w:val="both"/>
        <w:ind w:firstLine="358"/>
        <w:spacing w:after="0" w:line="295" w:lineRule="auto"/>
        <w:rPr>
          <w:sz w:val="20"/>
          <w:szCs w:val="20"/>
          <w:color w:val="auto"/>
        </w:rPr>
      </w:pPr>
      <w:r>
        <w:rPr>
          <w:rFonts w:ascii="Arial" w:cs="Arial" w:eastAsia="Arial" w:hAnsi="Arial"/>
          <w:sz w:val="16"/>
          <w:szCs w:val="16"/>
          <w:color w:val="auto"/>
        </w:rPr>
        <w:t>Financial instruments that potentially subject us to credit risk principally consist of trade accounts receivables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doubtful accounts based upon factors surrounding the credit risk of specific customers, historical trends and other information.</w:t>
      </w:r>
    </w:p>
    <w:p>
      <w:pPr>
        <w:spacing w:after="0" w:line="51"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66" w:lineRule="exact"/>
        <w:rPr>
          <w:sz w:val="20"/>
          <w:szCs w:val="20"/>
          <w:color w:val="auto"/>
        </w:rPr>
      </w:pPr>
    </w:p>
    <w:p>
      <w:pPr>
        <w:jc w:val="both"/>
        <w:ind w:firstLine="358"/>
        <w:spacing w:after="0" w:line="339" w:lineRule="auto"/>
        <w:rPr>
          <w:sz w:val="20"/>
          <w:szCs w:val="20"/>
          <w:color w:val="auto"/>
        </w:rPr>
      </w:pPr>
      <w:r>
        <w:rPr>
          <w:rFonts w:ascii="Arial" w:cs="Arial" w:eastAsia="Arial" w:hAnsi="Arial"/>
          <w:sz w:val="16"/>
          <w:szCs w:val="16"/>
          <w:color w:val="auto"/>
        </w:rPr>
        <w:t>One customer accounted for 20% and 23% of our net accounts receivable in fiscal years 2018 and 2017, respectively, and another customer accounted for 10% of our net accounts receivables in fiscal year 2018 and less than 10% in fiscal year 2017.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RELATED PARTY TRANSACTIONS</w:t>
      </w:r>
    </w:p>
    <w:p>
      <w:pPr>
        <w:spacing w:after="0" w:line="119"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6"/>
          <w:szCs w:val="16"/>
          <w:color w:val="auto"/>
        </w:rPr>
        <w:t>On January 20, 2018, Photronics, Inc. entered into a four-year consulting agreement with DEMA Associates, LLC, for $0.4 million per year. Two members of our board of directors, including the chairman and a member of the chairman’s immediate family, are members of DEMA Associates, LLC. In FY 2018, we incurred expenses for services provided by this entity of $0.3 million.</w:t>
      </w:r>
    </w:p>
    <w:p>
      <w:pPr>
        <w:spacing w:after="0" w:line="4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Our chairman of the board of directors was also a director of an entity that provided secure managed information technology services to Photronics in fiscal year 2016. Another member of our board of directors was the chief executive officer and chairman of the board of this entity. We had contracted with this entity since 2002 for services it provided to all of our facilities. In fiscal year 2016, we incurred expenses for services provided by this entity of $0.2 million. As of January 30, 2018, no members of our board of directors were executive officers, directors or shareholders of this entity.</w:t>
      </w:r>
    </w:p>
    <w:p>
      <w:pPr>
        <w:spacing w:after="0" w:line="82"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In July 2016, we entered into a contract for information technology services with a parent entity for which members of our board of directors served as the executive chairman of the board and a director of a wholly owned subsidiary of that entity. In fiscal year 2018, we incurred expenses for services provided by the parent entity of $0.1 million during the period in which our board members served on the board of directors of this entity and, in 2017 and 2016, we incurred expenses of $0.5 million and $0.3 million respectively, with the parent entity. As of October 29, 2017, we had payables outstanding to the parent entity of $0.1 million. As of January 30, 2018, no members of our board of directors were executive offices, directors or shareholders of the wholly owned subsidiary.</w:t>
      </w:r>
    </w:p>
    <w:p>
      <w:pPr>
        <w:spacing w:after="0" w:line="84"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An officer of one of our foreign subsidiaries is related to an individual in a position of authority at one of our largest customers. We recorded revenue from this customer of $78.4 million, $73.6 million and $80.5 million, in fiscal years 2018, 2017 and 2016, respectively. At October 31, 2018 and October 29, 2017, we had accounts receivable of $23.5 million and $24.3 million, respectively, from this customer.</w:t>
      </w:r>
    </w:p>
    <w:p>
      <w:pPr>
        <w:spacing w:after="0" w:line="80" w:lineRule="exact"/>
        <w:rPr>
          <w:sz w:val="20"/>
          <w:szCs w:val="20"/>
          <w:color w:val="auto"/>
        </w:rPr>
      </w:pPr>
    </w:p>
    <w:p>
      <w:pPr>
        <w:jc w:val="both"/>
        <w:ind w:firstLine="358"/>
        <w:spacing w:after="0" w:line="309" w:lineRule="auto"/>
        <w:rPr>
          <w:sz w:val="20"/>
          <w:szCs w:val="20"/>
          <w:color w:val="auto"/>
        </w:rPr>
      </w:pPr>
      <w:r>
        <w:rPr>
          <w:rFonts w:ascii="Arial" w:cs="Arial" w:eastAsia="Arial" w:hAnsi="Arial"/>
          <w:sz w:val="16"/>
          <w:szCs w:val="16"/>
          <w:color w:val="auto"/>
        </w:rPr>
        <w:t>We purchase photomask blanks from an entity of which a former officer of ours is a significant shareholder. The Company purchased $4.5 million of photomask blanks from this entity during the period in 2017 when the former officer was employed by us, and $16.3 million in fiscal year 2016. This former officer’s employment with the Company ended in February 2017.</w:t>
      </w:r>
    </w:p>
    <w:p>
      <w:pPr>
        <w:spacing w:after="0" w:line="41"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believe that the terms of our transactions with the related parties described above were negotiated at arm’s length and were no less favorable to us than terms we could have obtained from unrelated third parties. See Note 19 for additional related party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119"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66"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The fair values of our cash and cash equivalents (Level 1 measurements), accounts receivable, accounts payable, and certain other current assets and current liabilities (Level 2 measurements) approximate their carrying value due to their short-term maturities. We did not have any assets or liabilities measured at fair value, on a recurring or a nonrecurring basis, at October 31, 2018 and October 29,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 Not Recorded at Fair Value</w:t>
      </w:r>
    </w:p>
    <w:p>
      <w:pPr>
        <w:spacing w:after="0" w:line="115"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October 31, 2018 and October 29,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rPr>
              <w:t>October 31, 2018</w:t>
            </w: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October 29, 2017</w:t>
            </w:r>
          </w:p>
        </w:tc>
      </w:tr>
      <w:tr>
        <w:trPr>
          <w:trHeight w:val="172"/>
        </w:trPr>
        <w:tc>
          <w:tcPr>
            <w:tcW w:w="3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3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Carrying Value</w:t>
            </w:r>
          </w:p>
        </w:tc>
        <w:tc>
          <w:tcPr>
            <w:tcW w:w="80" w:type="dxa"/>
            <w:vAlign w:val="bottom"/>
          </w:tcPr>
          <w:p>
            <w:pPr>
              <w:spacing w:after="0"/>
              <w:rPr>
                <w:sz w:val="15"/>
                <w:szCs w:val="15"/>
                <w:color w:val="auto"/>
              </w:rPr>
            </w:pPr>
          </w:p>
        </w:tc>
      </w:tr>
      <w:tr>
        <w:trPr>
          <w:trHeight w:val="24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232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4"/>
              </w:rPr>
              <w:t>$ 62,094</w:t>
            </w:r>
          </w:p>
        </w:tc>
        <w:tc>
          <w:tcPr>
            <w:tcW w:w="5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57,453</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$ 67,396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57,337</w:t>
            </w:r>
          </w:p>
        </w:tc>
      </w:tr>
      <w:tr>
        <w:trPr>
          <w:trHeight w:val="430"/>
        </w:trPr>
        <w:tc>
          <w:tcPr>
            <w:tcW w:w="3800" w:type="dxa"/>
            <w:vAlign w:val="bottom"/>
          </w:tcPr>
          <w:p>
            <w:pPr>
              <w:spacing w:after="0"/>
              <w:rPr>
                <w:sz w:val="24"/>
                <w:szCs w:val="24"/>
                <w:color w:val="auto"/>
              </w:rPr>
            </w:pPr>
          </w:p>
        </w:tc>
        <w:tc>
          <w:tcPr>
            <w:tcW w:w="1620" w:type="dxa"/>
            <w:vAlign w:val="bottom"/>
          </w:tcPr>
          <w:p>
            <w:pPr>
              <w:jc w:val="right"/>
              <w:ind w:right="491"/>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38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00"/>
          </w:cols>
          <w:pgMar w:left="1200" w:top="278" w:right="11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 REPURCHASE PROGRAM</w:t>
      </w:r>
    </w:p>
    <w:p>
      <w:pPr>
        <w:spacing w:after="0" w:line="1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be executed in open-market transactions or in accordance with a repurchase plan under rule 10b5-1 of the Securities Act of 1933 (as amended). The share repurchase program commenced on October 22, 2018, and will expire no later than October 21, 2019. As of October 31, 2018, we had repurchased a combined 0.3 million shares at a cost of $3.1 million (an average of $9.45 per share) under this share repurchase program. The volume of shares repurchased are subject to market conditions and our continual evaluation of the optimal use of our cash.</w:t>
      </w:r>
    </w:p>
    <w:p>
      <w:pPr>
        <w:spacing w:after="0" w:line="82"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In July 2018, the Company’s Board of Directors authorized the repurchase of up to $20 million of its common stock, to be executed in open-market transactions or in accordance with a repurchase plan under rule 10b5-1 of the Securities Act of 1933 (as amended). The share repurchase program commenced on July 10, 2018, and expired in October 2018, when the authorized amount was exhausted. Under this program, we repurchased 2.2 million shares at a cost of $20.0 million (an average of $8.97 per share).</w:t>
      </w:r>
    </w:p>
    <w:p>
      <w:pPr>
        <w:spacing w:after="0" w:line="150" w:lineRule="exact"/>
        <w:rPr>
          <w:sz w:val="20"/>
          <w:szCs w:val="20"/>
          <w:color w:val="auto"/>
        </w:rPr>
      </w:pPr>
    </w:p>
    <w:p>
      <w:pPr>
        <w:ind w:right="1120"/>
        <w:spacing w:after="0" w:line="264" w:lineRule="auto"/>
        <w:rPr>
          <w:sz w:val="20"/>
          <w:szCs w:val="20"/>
          <w:color w:val="auto"/>
        </w:rPr>
      </w:pPr>
      <w:r>
        <w:rPr>
          <w:rFonts w:ascii="Arial" w:cs="Arial" w:eastAsia="Arial" w:hAnsi="Arial"/>
          <w:sz w:val="18"/>
          <w:szCs w:val="18"/>
          <w:b w:val="1"/>
          <w:bCs w:val="1"/>
          <w:color w:val="auto"/>
        </w:rPr>
        <w:t>NOTE 19 - JOINT VENTURE, TECHNOLOGY LICENSE AND OTHER AGREEMENTS WITH MICRON TECHNOLOGY, INC.</w:t>
      </w:r>
    </w:p>
    <w:p>
      <w:pPr>
        <w:spacing w:after="0" w:line="59"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In May 2006, Photronics and Micron Technology, Inc. (“Micron”) entered into the MP Mask joint venture (“MP Mask”), which developed and produced photomasks for leading-edge and advanced next generation semiconductors. At the time of the formation of the joint venture, we also entered into an agreement to license photomask technology developed by Micron and certain supply agreements. In May 2016, we sold our investment in MP Mask to Micron for $93.1 million and recorded a gain on the sale of $0.1 million, which is included in interest income and other income (expense) in our 2016 consolidated statement of income. On that same date, a supply agreement commenced between Photronics and Micron, which provided that we would be the majority outsourced supplier of Micron’s photomasks and related services. The supply agreement had a one year term and expired in May 2017. However, we have the unlimited rights to use technology under the prior technology license agreement.</w:t>
      </w:r>
    </w:p>
    <w:p>
      <w:pPr>
        <w:spacing w:after="0" w:line="60"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This joint venture was a variable interest entity (“VIE”) (as that term is defined in ASC 810), because all costs of the joint venture were passed on to Photronics and Micron through purchase agreements they had entered into with the joint venture, and it was dependent upon Photronics and Micron for any additional cash requirements. On a quarterly basis, we reassessed whether our interest in MP Mask gave us a controlling financial interest in this VIE. The purpose of this quarterly reassessment was to identify the primary beneficiary (which is defined in ASC 810 as the entity that consolidates a VIE) of the VIE. As a result of the reassessments in fiscal year 2016, we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purchase of the majority of products produced by the VIE.</w:t>
      </w:r>
    </w:p>
    <w:p>
      <w:pPr>
        <w:spacing w:after="0" w:line="76"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utilized MP Mask for both high-end IC photomask production and research and development purposes. MP Mask charged its variable interest holders based on their actual usage of its facility and charged separately for any research and development activities it engaged in at the requests of its owners.</w:t>
      </w:r>
    </w:p>
    <w:p>
      <w:pPr>
        <w:spacing w:after="0" w:line="74" w:lineRule="exact"/>
        <w:rPr>
          <w:sz w:val="20"/>
          <w:szCs w:val="20"/>
          <w:color w:val="auto"/>
        </w:rPr>
      </w:pPr>
    </w:p>
    <w:p>
      <w:pPr>
        <w:jc w:val="both"/>
        <w:ind w:firstLine="358"/>
        <w:spacing w:after="0" w:line="274" w:lineRule="auto"/>
        <w:rPr>
          <w:sz w:val="20"/>
          <w:szCs w:val="20"/>
          <w:color w:val="auto"/>
        </w:rPr>
      </w:pPr>
      <w:r>
        <w:rPr>
          <w:rFonts w:ascii="Arial" w:cs="Arial" w:eastAsia="Arial" w:hAnsi="Arial"/>
          <w:sz w:val="17"/>
          <w:szCs w:val="17"/>
          <w:color w:val="auto"/>
        </w:rPr>
        <w:t>MP Mask was governed by a Board of Managers appointed by Micron and Photronics. Throughout MP Mask’s existence, Micron, as a result of its majority ownership, held majority voting power on the Board of Managers. Under the MP Mask joint venture operating agreement, we may have been required to make additional capital contributions to MP Mask. MP Mask did not request, and we did not make, any contributions to MP Mask in fiscal year 2016, and we did not receive any distributions (other than upon the sale of our investment to Micron in fiscal year 2016) from MP Mask during 2016.</w:t>
      </w:r>
    </w:p>
    <w:p>
      <w:pPr>
        <w:spacing w:after="0" w:line="66"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recorded a loss from operations from our investment in MP Mask of $0.1 million in fiscal year 2016, which is included in Interest income and other income (expense) in our consolidated statements of income.</w:t>
      </w:r>
    </w:p>
    <w:p>
      <w:pPr>
        <w:spacing w:after="0" w:line="63"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In fiscal 2016, we recorded $0.4 million of commission revenue earned under the supply agreements with Micron and MP Mask, and amortization of $0.1 million of the related supply agreement intangible asset. In 2016, we also recorded cost of goods sold in the amount of $5.7 million for photomasks produced by MP Mask for Photronics customers, and incurred expenses of $0.5 million for research and development activities and other goods and services purchased from MP Mask by Photronics.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Summarized financial information of MP Mask is presented below. The financial results of 2016 represent activities through May 5, 2016, the date of the sale of the joint venture.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r>
      <w:tr>
        <w:trPr>
          <w:trHeight w:val="184"/>
        </w:trPr>
        <w:tc>
          <w:tcPr>
            <w:tcW w:w="8660" w:type="dxa"/>
            <w:vAlign w:val="bottom"/>
          </w:tcPr>
          <w:p>
            <w:pPr>
              <w:spacing w:after="0"/>
              <w:rPr>
                <w:sz w:val="15"/>
                <w:szCs w:val="15"/>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23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  49,626</w:t>
            </w:r>
          </w:p>
        </w:tc>
      </w:tr>
      <w:tr>
        <w:trPr>
          <w:trHeight w:val="236"/>
        </w:trPr>
        <w:tc>
          <w:tcPr>
            <w:tcW w:w="8660" w:type="dxa"/>
            <w:vAlign w:val="bottom"/>
          </w:tcPr>
          <w:p>
            <w:pPr>
              <w:spacing w:after="0"/>
              <w:rPr>
                <w:sz w:val="20"/>
                <w:szCs w:val="20"/>
                <w:color w:val="auto"/>
              </w:rPr>
            </w:pPr>
            <w:r>
              <w:rPr>
                <w:rFonts w:ascii="Arial" w:cs="Arial" w:eastAsia="Arial" w:hAnsi="Arial"/>
                <w:sz w:val="18"/>
                <w:szCs w:val="18"/>
                <w:color w:val="auto"/>
              </w:rPr>
              <w:t>Gross profit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2,736</w:t>
            </w:r>
          </w:p>
        </w:tc>
      </w:tr>
      <w:tr>
        <w:trPr>
          <w:trHeight w:val="248"/>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GAINS ON SALE OF INVESTMENTS</w:t>
      </w:r>
    </w:p>
    <w:p>
      <w:pPr>
        <w:spacing w:after="0" w:line="119" w:lineRule="exact"/>
        <w:rPr>
          <w:sz w:val="20"/>
          <w:szCs w:val="20"/>
          <w:color w:val="auto"/>
        </w:rPr>
      </w:pPr>
    </w:p>
    <w:p>
      <w:pPr>
        <w:jc w:val="both"/>
        <w:ind w:firstLine="358"/>
        <w:spacing w:after="0" w:line="305" w:lineRule="auto"/>
        <w:rPr>
          <w:sz w:val="20"/>
          <w:szCs w:val="20"/>
          <w:color w:val="auto"/>
        </w:rPr>
      </w:pPr>
      <w:r>
        <w:rPr>
          <w:rFonts w:ascii="Arial" w:cs="Arial" w:eastAsia="Arial" w:hAnsi="Arial"/>
          <w:sz w:val="17"/>
          <w:szCs w:val="17"/>
          <w:color w:val="auto"/>
        </w:rPr>
        <w:t>We had a minority interest in a foreign entity. In fiscal year 2016, we sold this investment and recognized a gain of $8.8 million. In addition, as discussed in Note 19, we sold our investment in the MP Mask joint venture in fiscal year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SUBSIDIARY DIVIDEND</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In November 2018, PDMC, the Company’s majority owned subsidiary in Taiwan, paid a dividend of which 49.99%, or approximately $26.0 million, was paid to noncontrolling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RESULTS OF OPERATIONS (UNAUDITED)</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Second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r>
      <w:tr>
        <w:trPr>
          <w:trHeight w:val="181"/>
        </w:trPr>
        <w:tc>
          <w:tcPr>
            <w:tcW w:w="1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t>
            </w:r>
          </w:p>
        </w:tc>
      </w:tr>
      <w:tr>
        <w:trPr>
          <w:trHeight w:val="24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2018:</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44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123,446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130,779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136,391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144,660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535,276</w:t>
            </w:r>
          </w:p>
        </w:tc>
      </w:tr>
      <w:tr>
        <w:trPr>
          <w:trHeight w:val="24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27,662</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32,819</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35,597</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35,425</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131,503</w:t>
            </w:r>
          </w:p>
        </w:tc>
      </w:tr>
      <w:tr>
        <w:trPr>
          <w:trHeight w:val="236"/>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9,481</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15,189</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19,797</w:t>
            </w: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16,769</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61,236</w:t>
            </w:r>
          </w:p>
        </w:tc>
      </w:tr>
      <w:tr>
        <w:trPr>
          <w:trHeight w:val="24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5,898</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10,665</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13,005</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12,487</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42,055</w:t>
            </w:r>
          </w:p>
        </w:tc>
      </w:tr>
      <w:tr>
        <w:trPr>
          <w:trHeight w:val="242"/>
        </w:trPr>
        <w:tc>
          <w:tcPr>
            <w:tcW w:w="14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r>
      <w:tr>
        <w:trPr>
          <w:trHeight w:val="248"/>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r>
      <w:tr>
        <w:trPr>
          <w:trHeight w:val="242"/>
        </w:trPr>
        <w:tc>
          <w:tcPr>
            <w:tcW w:w="14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2017:</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44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109,831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108,297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111,579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120,971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450,678</w:t>
            </w:r>
          </w:p>
        </w:tc>
      </w:tr>
      <w:tr>
        <w:trPr>
          <w:trHeight w:val="24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22,999</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20,157</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21,717</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26,442</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91,315</w:t>
            </w:r>
          </w:p>
        </w:tc>
      </w:tr>
      <w:tr>
        <w:trPr>
          <w:trHeight w:val="236"/>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4,510</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1,484</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4,799</w:t>
            </w:r>
          </w:p>
        </w:tc>
        <w:tc>
          <w:tcPr>
            <w:tcW w:w="1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10,496</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21,289</w:t>
            </w:r>
          </w:p>
        </w:tc>
      </w:tr>
      <w:tr>
        <w:trPr>
          <w:trHeight w:val="248"/>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5,386</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13,130</w:t>
            </w:r>
          </w:p>
        </w:tc>
      </w:tr>
      <w:tr>
        <w:trPr>
          <w:trHeight w:val="242"/>
        </w:trPr>
        <w:tc>
          <w:tcPr>
            <w:tcW w:w="14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r>
        <w:trPr>
          <w:trHeight w:val="248"/>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188"/>
        </w:trPr>
        <w:tc>
          <w:tcPr>
            <w:tcW w:w="1420" w:type="dxa"/>
            <w:vAlign w:val="bottom"/>
            <w:tcBorders>
              <w:bottom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102" w:lineRule="exact"/>
        <w:rPr>
          <w:sz w:val="20"/>
          <w:szCs w:val="20"/>
          <w:color w:val="auto"/>
        </w:rPr>
      </w:pPr>
    </w:p>
    <w:p>
      <w:pPr>
        <w:ind w:left="340" w:hanging="339"/>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$0.6 million gain on sale of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RECENT ACCOUNTING PRONOUNCEMENTS</w:t>
      </w:r>
    </w:p>
    <w:p>
      <w:pPr>
        <w:spacing w:after="0" w:line="119"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In December 2017, the Securities and Exchange Commission released Staff Accounting Bulletin No. 118 (“SAB 118”) to address situations where the accounting under ASC Topic 740 – “Income Taxes” is incomplete for certain income tax effects of the Tax Cuts and Jobs Act, which was signed into law on December 22, 2017, and changed existing U.S. tax law. We adopted this guidance in our first quarter of fiscal year 2018. Please see Note 10 for a discussion of the effects of adopting this guidance.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Photronics, Inc. in its first quarter of fiscal year 2019 and should be applied on a retrospective transition basis. Early adoption is permitted, including adoption in an interim period. We are currently evaluating the effect that this ASU will have on our consolidated financial statements.</w:t>
      </w:r>
    </w:p>
    <w:p>
      <w:pPr>
        <w:spacing w:after="0" w:line="72"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Photronics, Inc. in the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We are currently evaluating the effect this ASU will have on our consolidated financial statements.</w:t>
      </w:r>
    </w:p>
    <w:p>
      <w:pPr>
        <w:spacing w:after="0" w:line="82"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87"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Adoption of this guidance in the first quarter of our fiscal year 2018 did not have a material impact on our financial statements.</w:t>
      </w:r>
    </w:p>
    <w:p>
      <w:pPr>
        <w:spacing w:after="0" w:line="82" w:lineRule="exact"/>
        <w:rPr>
          <w:sz w:val="20"/>
          <w:szCs w:val="20"/>
          <w:color w:val="auto"/>
        </w:rPr>
      </w:pPr>
    </w:p>
    <w:p>
      <w:pPr>
        <w:jc w:val="both"/>
        <w:ind w:firstLine="358"/>
        <w:spacing w:after="0" w:line="269"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corresponding liabilities for all leases with an initial term in excess of twelve months. ASU 2016-02 was required to be adopted using a modified retrospective approach, which includes a number of practical expedients, that requires leases to be measured and recognized under the new guidance at the beginning of the earliest period presented. In July 2018, the FASB issued ASU 2018-11 “Targeted Improvements”, which allows the new leases standard to be initially applied at the adoption date through a cumulative-effect adjustment to the opening balance of retained earnings in the period of adoption. These Updates are effective for Photronics, Inc. in the first quarter of fiscal year 2020, with early application permitted. We are currently evaluating the effect that these Updates will have on our consolidated financial statements.</w:t>
      </w:r>
    </w:p>
    <w:p>
      <w:pPr>
        <w:spacing w:after="0" w:line="73" w:lineRule="exact"/>
        <w:rPr>
          <w:sz w:val="20"/>
          <w:szCs w:val="20"/>
          <w:color w:val="auto"/>
        </w:rPr>
      </w:pPr>
    </w:p>
    <w:p>
      <w:pPr>
        <w:jc w:val="both"/>
        <w:ind w:firstLine="358"/>
        <w:spacing w:after="0" w:line="267" w:lineRule="auto"/>
        <w:rPr>
          <w:sz w:val="20"/>
          <w:szCs w:val="20"/>
          <w:color w:val="auto"/>
        </w:rPr>
      </w:pPr>
      <w:r>
        <w:rPr>
          <w:rFonts w:ascii="Arial" w:cs="Arial" w:eastAsia="Arial" w:hAnsi="Arial"/>
          <w:sz w:val="17"/>
          <w:szCs w:val="17"/>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Photronics, Inc. in the first quarter of our fiscal year 2019. This update allows for either full retrospective or modified retrospective adoption. In April 2016, the FASB issued ASU 2016-10 “Identifying Performance Obligations and Licensing” which amends guidance previously issued on these matters in ASU 2014-09. The effective date and transition requirements of ASU 2016-10 are the same as those for ASU 2014-09.</w:t>
      </w:r>
    </w:p>
    <w:p>
      <w:pPr>
        <w:spacing w:after="0" w:line="7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We adopted the new revenue and related guidance on November 1, 2018, using the modified retrospective approach, under which we will increase our accounts receivable by $0.6 million, record a contract asset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$4.6 million, and reduce our inventories balance by $3.7 million. The recognition and adjustments to these assets will be reflected in increases to our retained earnings and noncontrolling interest balances of $1.4 million and $0.2 million, respectively. The most significant impact of the new guidance is its requirement for us to recognize revenue as we manufacture products for which, in the event that the customer cancels the contract, we are entitled to reasonable compensation for work we have completed prior to cancellation.</w:t>
      </w:r>
    </w:p>
    <w:p>
      <w:pPr>
        <w:spacing w:after="0" w:line="82"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guidance allows for a number of accounting policy elections and practical expedients. In addition to our above mentioned election to use the modified retrospective application method for adopting the guidance, those we have employed that are most significant to us are summarized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Shipping and handling activities performed after control of a good is transferred to a customer</w:t>
      </w:r>
    </w:p>
    <w:p>
      <w:pPr>
        <w:spacing w:after="0" w:line="115" w:lineRule="exact"/>
        <w:rPr>
          <w:sz w:val="20"/>
          <w:szCs w:val="20"/>
          <w:color w:val="auto"/>
        </w:rPr>
      </w:pPr>
    </w:p>
    <w:p>
      <w:pPr>
        <w:jc w:val="both"/>
        <w:ind w:left="360"/>
        <w:spacing w:after="0" w:line="262" w:lineRule="auto"/>
        <w:rPr>
          <w:sz w:val="20"/>
          <w:szCs w:val="20"/>
          <w:color w:val="auto"/>
        </w:rPr>
      </w:pPr>
      <w:r>
        <w:rPr>
          <w:rFonts w:ascii="Arial" w:cs="Arial" w:eastAsia="Arial" w:hAnsi="Arial"/>
          <w:sz w:val="18"/>
          <w:szCs w:val="18"/>
          <w:color w:val="auto"/>
        </w:rPr>
        <w:t>We have elected to treat shipping and handling activities that occur after control of a good is transferred to a customer as activities to fulfill our promise to transfer goods to the customer. Thus, such activities will not be considered to be separate performance obligations under contracts with our customers.</w:t>
      </w:r>
    </w:p>
    <w:p>
      <w:pPr>
        <w:spacing w:after="0" w:line="181" w:lineRule="exact"/>
        <w:rPr>
          <w:sz w:val="20"/>
          <w:szCs w:val="20"/>
          <w:color w:val="auto"/>
        </w:rPr>
      </w:pPr>
    </w:p>
    <w:p>
      <w:pPr>
        <w:ind w:left="360" w:right="160"/>
        <w:spacing w:after="0" w:line="259" w:lineRule="auto"/>
        <w:rPr>
          <w:sz w:val="20"/>
          <w:szCs w:val="20"/>
          <w:color w:val="auto"/>
        </w:rPr>
      </w:pPr>
      <w:r>
        <w:rPr>
          <w:rFonts w:ascii="Arial" w:cs="Arial" w:eastAsia="Arial" w:hAnsi="Arial"/>
          <w:sz w:val="18"/>
          <w:szCs w:val="18"/>
          <w:i w:val="1"/>
          <w:iCs w:val="1"/>
          <w:u w:val="single" w:color="auto"/>
          <w:color w:val="auto"/>
        </w:rPr>
        <w:t>Non-recognition of financing component when we transfer goods to a customer and the period between when we transfer and when we are paid will be less than one year.</w:t>
      </w:r>
    </w:p>
    <w:p>
      <w:pPr>
        <w:spacing w:after="0" w:line="63" w:lineRule="exact"/>
        <w:rPr>
          <w:sz w:val="20"/>
          <w:szCs w:val="20"/>
          <w:color w:val="auto"/>
        </w:rPr>
      </w:pPr>
    </w:p>
    <w:p>
      <w:pPr>
        <w:jc w:val="both"/>
        <w:ind w:left="360"/>
        <w:spacing w:after="0" w:line="305" w:lineRule="auto"/>
        <w:rPr>
          <w:sz w:val="20"/>
          <w:szCs w:val="20"/>
          <w:color w:val="auto"/>
        </w:rPr>
      </w:pPr>
      <w:r>
        <w:rPr>
          <w:rFonts w:ascii="Arial" w:cs="Arial" w:eastAsia="Arial" w:hAnsi="Arial"/>
          <w:sz w:val="17"/>
          <w:szCs w:val="17"/>
          <w:color w:val="auto"/>
        </w:rPr>
        <w:t>We have elected the practical expedient that allows for the non-recognition, as a component of a customer contract, of a financing component when the period between when we transfer a good and when we are paid will be less than one year.</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Exclusion of sales and similar taxes collected from customers in the transaction price.</w:t>
      </w:r>
    </w:p>
    <w:p>
      <w:pPr>
        <w:spacing w:after="0" w:line="115" w:lineRule="exact"/>
        <w:rPr>
          <w:sz w:val="20"/>
          <w:szCs w:val="20"/>
          <w:color w:val="auto"/>
        </w:rPr>
      </w:pPr>
    </w:p>
    <w:p>
      <w:pPr>
        <w:jc w:val="both"/>
        <w:ind w:left="360"/>
        <w:spacing w:after="0" w:line="275" w:lineRule="auto"/>
        <w:rPr>
          <w:sz w:val="20"/>
          <w:szCs w:val="20"/>
          <w:color w:val="auto"/>
        </w:rPr>
      </w:pPr>
      <w:r>
        <w:rPr>
          <w:rFonts w:ascii="Arial" w:cs="Arial" w:eastAsia="Arial" w:hAnsi="Arial"/>
          <w:sz w:val="18"/>
          <w:szCs w:val="18"/>
          <w:color w:val="auto"/>
        </w:rPr>
        <w:t>Consistent with our practice before adoption of the new guidance, we will not recognize the sales tax and similar taxes we collect from customers as revenue.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i w:val="1"/>
          <w:iCs w:val="1"/>
          <w:u w:val="single" w:color="auto"/>
          <w:color w:val="auto"/>
        </w:rPr>
        <w:t>Use of an “input method” to measure our progress towards the transfer of control of performance obligations to customers</w:t>
      </w:r>
    </w:p>
    <w:p>
      <w:pPr>
        <w:spacing w:after="0" w:line="113" w:lineRule="exact"/>
        <w:rPr>
          <w:sz w:val="20"/>
          <w:szCs w:val="20"/>
          <w:color w:val="auto"/>
        </w:rPr>
      </w:pPr>
    </w:p>
    <w:p>
      <w:pPr>
        <w:jc w:val="both"/>
        <w:ind w:left="360"/>
        <w:spacing w:after="0" w:line="274" w:lineRule="auto"/>
        <w:rPr>
          <w:sz w:val="20"/>
          <w:szCs w:val="20"/>
          <w:color w:val="auto"/>
        </w:rPr>
      </w:pPr>
      <w:r>
        <w:rPr>
          <w:rFonts w:ascii="Arial" w:cs="Arial" w:eastAsia="Arial" w:hAnsi="Arial"/>
          <w:sz w:val="17"/>
          <w:szCs w:val="17"/>
          <w:color w:val="auto"/>
        </w:rPr>
        <w:t>As, in our judgment, an input method based on our efforts to satisfy our performance obligations will best serve to depict the transfer of control of our performance obligations to our customers, we have adopted an accounting policy to employ such a method. Our decision was based primarily on the facts that our photomasks are not physically transferred to customers until they are complete, and that we can employ our internal cost accumulation systems and methods, which are input-based to measure our progress towards the transfer of control of our performance obligations to customers.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Non-disclosure of the transaction prices of unsatisfied or partially satisfied performance obligations</w:t>
      </w:r>
    </w:p>
    <w:p>
      <w:pPr>
        <w:spacing w:after="0" w:line="115" w:lineRule="exact"/>
        <w:rPr>
          <w:sz w:val="20"/>
          <w:szCs w:val="20"/>
          <w:color w:val="auto"/>
        </w:rPr>
      </w:pPr>
    </w:p>
    <w:p>
      <w:pPr>
        <w:jc w:val="both"/>
        <w:ind w:left="360"/>
        <w:spacing w:after="0" w:line="262" w:lineRule="auto"/>
        <w:rPr>
          <w:sz w:val="20"/>
          <w:szCs w:val="20"/>
          <w:color w:val="auto"/>
        </w:rPr>
      </w:pPr>
      <w:r>
        <w:rPr>
          <w:rFonts w:ascii="Arial" w:cs="Arial" w:eastAsia="Arial" w:hAnsi="Arial"/>
          <w:sz w:val="18"/>
          <w:szCs w:val="18"/>
          <w:color w:val="auto"/>
        </w:rPr>
        <w:t>For contracts that have an original expected duration of one year or less, we have elected the practical expedient that allows us not to disclose the aggregate transaction prices of unsatisfied or partially satisfied performance obligations that exist at the end of a reporting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25" w:lineRule="exact"/>
        <w:rPr>
          <w:sz w:val="20"/>
          <w:szCs w:val="20"/>
          <w:color w:val="auto"/>
        </w:rPr>
      </w:pPr>
    </w:p>
    <w:p>
      <w:pPr>
        <w:ind w:left="880" w:right="380" w:hanging="885"/>
        <w:spacing w:after="0" w:line="279" w:lineRule="auto"/>
        <w:tabs>
          <w:tab w:leader="none" w:pos="86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7"/>
          <w:szCs w:val="17"/>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76"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There was no change in our internal control over financial reporting during the fourth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80"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Management assessed the effectiveness of our internal control over financial reporting as of October 31, 2018, based on the criteria set forth by the Committee of Sponsoring Organizations of the Treadway Commission in its “Internal Control - Integrated Framework” (2013). Management, under the supervision and with the participation of our chief executive officer and chief financial officer, concluded that our internal control over financial reporting was effective as of October 31, 2018.</w:t>
      </w:r>
    </w:p>
    <w:p>
      <w:pPr>
        <w:spacing w:after="0" w:line="64" w:lineRule="exact"/>
        <w:rPr>
          <w:sz w:val="20"/>
          <w:szCs w:val="20"/>
          <w:color w:val="auto"/>
        </w:rPr>
      </w:pPr>
    </w:p>
    <w:p>
      <w:pPr>
        <w:jc w:val="both"/>
        <w:ind w:firstLine="358"/>
        <w:spacing w:after="0" w:line="339" w:lineRule="auto"/>
        <w:rPr>
          <w:rFonts w:ascii="Arial" w:cs="Arial" w:eastAsia="Arial" w:hAnsi="Arial"/>
          <w:sz w:val="16"/>
          <w:szCs w:val="16"/>
          <w:color w:val="auto"/>
        </w:rPr>
      </w:pPr>
      <w:r>
        <w:rPr>
          <w:rFonts w:ascii="Arial" w:cs="Arial" w:eastAsia="Arial" w:hAnsi="Arial"/>
          <w:sz w:val="16"/>
          <w:szCs w:val="16"/>
          <w:color w:val="auto"/>
        </w:rPr>
        <w:t xml:space="preserve">The Company’s independent registered public accounting firm, Deloitte &amp; Touche LLP, has audited the effectiveness of the Company’s internal control over financial reporting as of October 31, 2018, as stated in their report on page </w:t>
      </w:r>
      <w:hyperlink w:anchor="page33">
        <w:r>
          <w:rPr>
            <w:rFonts w:ascii="Arial" w:cs="Arial" w:eastAsia="Arial" w:hAnsi="Arial"/>
            <w:sz w:val="16"/>
            <w:szCs w:val="16"/>
            <w:u w:val="single" w:color="auto"/>
            <w:color w:val="0000EE"/>
          </w:rPr>
          <w:t>33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Form 10-K.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III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9"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The information as to Directors required by Items 401, 405 and 407(c)(3)(d)(4) and (d)(5) of Regulation S-K is set forth in our 2019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our 2019 definitive Proxy Statement under the caption “EXECUTIVE OFFICERS” and is incorporated in this report by reference.</w:t>
      </w:r>
    </w:p>
    <w:p>
      <w:pPr>
        <w:spacing w:after="0" w:line="84"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We have adopted a code of ethics that applies to our principal executive officer, principal financial officer and principal accounting officer or chief financial officer. A copy of the code of ethics may be obtained, free of charge, by writing to the vice president, general counsel of Photronics, Inc. at 15 Secor Road, Brookfield, Connecticut 06804.</w:t>
      </w:r>
    </w:p>
    <w:p>
      <w:pPr>
        <w:spacing w:after="0" w:line="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19"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our 2019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78" w:lineRule="exact"/>
        <w:rPr>
          <w:sz w:val="20"/>
          <w:szCs w:val="20"/>
          <w:color w:val="auto"/>
        </w:rPr>
      </w:pPr>
    </w:p>
    <w:p>
      <w:pPr>
        <w:ind w:left="880" w:right="220" w:hanging="885"/>
        <w:spacing w:after="0" w:line="27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0"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information required by Item 201(d) of Regulation S-K is set forth in our 2019 definitive Proxy Statement under the caption “EQUITY COMPENSATION PLAN INFORMATION”, and is incorporated in this report by reference. The information required by Item 403 of Regulation S-K is set forth in our 2019 definitive Proxy Statement under the caption “OWNERSHIP OF COMMON STOCK BY DIRECTORS, OFFICERS AND CERTAIN BENEFICIAL OWNERS”, and is incorporated in this report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information required by Items 404 and Item 407(a) of Regulation S-K is set forth in our 2019 definitive Proxy Statement under the captions “MEETINGS AND COMMITTEES OF THE BOARD” and “CERTAIN RELATIONSHIPS AND RELATED TRANSACTIONS”, respectively, and is incorporated in this report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9"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The information required by Item 9(e) of Rule 14a-101 of the Exchange Act is set forth in our 2019 definitive Proxy Statement under the captions “Fees Paid to the Independent Registered Public Accounting Firm” and “AUDIT COMMITTEE REPORT”, and is incorporated in this report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IV</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77"/>
        </w:trPr>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No.</w:t>
            </w:r>
          </w:p>
        </w:tc>
      </w:tr>
      <w:tr>
        <w:trPr>
          <w:trHeight w:val="242"/>
        </w:trPr>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8"/>
        </w:trPr>
        <w:tc>
          <w:tcPr>
            <w:tcW w:w="140" w:type="dxa"/>
            <w:vAlign w:val="bottom"/>
            <w:shd w:val="clear" w:color="auto" w:fill="CCEDFF"/>
          </w:tcPr>
          <w:p>
            <w:pPr>
              <w:jc w:val="right"/>
              <w:spacing w:after="0" w:line="188"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1.</w:t>
              </w:r>
            </w:hyperlink>
          </w:p>
        </w:tc>
        <w:tc>
          <w:tcPr>
            <w:tcW w:w="260" w:type="dxa"/>
            <w:vAlign w:val="bottom"/>
            <w:shd w:val="clear" w:color="auto" w:fill="CCEDFF"/>
          </w:tcPr>
          <w:p>
            <w:pPr>
              <w:spacing w:after="0"/>
              <w:rPr>
                <w:sz w:val="16"/>
                <w:szCs w:val="16"/>
                <w:color w:val="auto"/>
              </w:rPr>
            </w:pPr>
          </w:p>
        </w:tc>
        <w:tc>
          <w:tcPr>
            <w:tcW w:w="8440" w:type="dxa"/>
            <w:vAlign w:val="bottom"/>
            <w:gridSpan w:val="7"/>
            <w:shd w:val="clear" w:color="auto" w:fill="CCEDFF"/>
          </w:tcPr>
          <w:p>
            <w:pPr>
              <w:spacing w:after="0" w:line="188"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Financial Statements: See “INDEX TO CONSOLIDATED FINANCIAL STATEMENTS” in Part II, Item 8 of this</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80" w:type="dxa"/>
            <w:vAlign w:val="bottom"/>
            <w:shd w:val="clear" w:color="auto" w:fill="CCEDFF"/>
          </w:tcPr>
          <w:p>
            <w:pPr>
              <w:spacing w:after="0"/>
              <w:rPr>
                <w:sz w:val="16"/>
                <w:szCs w:val="16"/>
                <w:color w:val="auto"/>
              </w:rPr>
            </w:pPr>
          </w:p>
        </w:tc>
      </w:tr>
      <w:tr>
        <w:trPr>
          <w:trHeight w:val="229"/>
        </w:trPr>
        <w:tc>
          <w:tcPr>
            <w:tcW w:w="140" w:type="dxa"/>
            <w:vAlign w:val="bottom"/>
            <w:tcBorders>
              <w:top w:val="single" w:sz="8" w:color="0000EE"/>
            </w:tcBorders>
            <w:shd w:val="clear" w:color="auto" w:fill="CCEDFF"/>
          </w:tcPr>
          <w:p>
            <w:pPr>
              <w:spacing w:after="0"/>
              <w:rPr>
                <w:sz w:val="19"/>
                <w:szCs w:val="19"/>
                <w:color w:val="auto"/>
              </w:rPr>
            </w:pPr>
          </w:p>
        </w:tc>
        <w:tc>
          <w:tcPr>
            <w:tcW w:w="260" w:type="dxa"/>
            <w:vAlign w:val="bottom"/>
            <w:tcBorders>
              <w:top w:val="single" w:sz="8" w:color="CCEDFF"/>
            </w:tcBorders>
            <w:shd w:val="clear" w:color="auto" w:fill="CCEDFF"/>
          </w:tcPr>
          <w:p>
            <w:pPr>
              <w:spacing w:after="0"/>
              <w:rPr>
                <w:sz w:val="19"/>
                <w:szCs w:val="19"/>
                <w:color w:val="auto"/>
              </w:rPr>
            </w:pPr>
          </w:p>
        </w:tc>
        <w:tc>
          <w:tcPr>
            <w:tcW w:w="8200" w:type="dxa"/>
            <w:vAlign w:val="bottom"/>
            <w:tcBorders>
              <w:top w:val="single" w:sz="8" w:color="0000EE"/>
            </w:tcBorders>
            <w:gridSpan w:val="6"/>
            <w:shd w:val="clear" w:color="auto" w:fill="CCEDFF"/>
          </w:tcPr>
          <w:p>
            <w:pPr>
              <w:spacing w:after="0" w:line="195" w:lineRule="exact"/>
              <w:rPr>
                <w:rFonts w:ascii="Arial" w:cs="Arial" w:eastAsia="Arial" w:hAnsi="Arial"/>
                <w:sz w:val="18"/>
                <w:szCs w:val="18"/>
                <w:color w:val="0000EE"/>
              </w:rPr>
            </w:pPr>
            <w:hyperlink w:anchor="page32">
              <w:r>
                <w:rPr>
                  <w:rFonts w:ascii="Arial" w:cs="Arial" w:eastAsia="Arial" w:hAnsi="Arial"/>
                  <w:sz w:val="18"/>
                  <w:szCs w:val="18"/>
                  <w:color w:val="0000EE"/>
                </w:rPr>
                <w:t>Form 10-K.</w:t>
              </w:r>
            </w:hyperlink>
          </w:p>
        </w:tc>
        <w:tc>
          <w:tcPr>
            <w:tcW w:w="240" w:type="dxa"/>
            <w:vAlign w:val="bottom"/>
            <w:tcBorders>
              <w:top w:val="single" w:sz="8" w:color="CCEDFF"/>
            </w:tcBorders>
            <w:shd w:val="clear" w:color="auto" w:fill="CCEDFF"/>
          </w:tcPr>
          <w:p>
            <w:pPr>
              <w:spacing w:after="0"/>
              <w:rPr>
                <w:sz w:val="19"/>
                <w:szCs w:val="19"/>
                <w:color w:val="auto"/>
              </w:rPr>
            </w:pPr>
          </w:p>
        </w:tc>
        <w:tc>
          <w:tcPr>
            <w:tcW w:w="40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0000EE"/>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r>
      <w:tr>
        <w:trPr>
          <w:trHeight w:val="242"/>
        </w:trPr>
        <w:tc>
          <w:tcPr>
            <w:tcW w:w="140" w:type="dxa"/>
            <w:vAlign w:val="bottom"/>
            <w:tcBorders>
              <w:top w:val="single" w:sz="8" w:color="CCEDFF"/>
            </w:tcBorders>
            <w:shd w:val="clear" w:color="auto" w:fill="CCEEFF"/>
          </w:tcPr>
          <w:p>
            <w:pPr>
              <w:spacing w:after="0"/>
              <w:rPr>
                <w:sz w:val="21"/>
                <w:szCs w:val="21"/>
                <w:color w:val="auto"/>
              </w:rPr>
            </w:pPr>
          </w:p>
        </w:tc>
        <w:tc>
          <w:tcPr>
            <w:tcW w:w="260" w:type="dxa"/>
            <w:vAlign w:val="bottom"/>
            <w:tcBorders>
              <w:top w:val="single" w:sz="8" w:color="CCEDFF"/>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5340" w:type="dxa"/>
            <w:vAlign w:val="bottom"/>
            <w:tcBorders>
              <w:top w:val="single" w:sz="8" w:color="CCEDFF"/>
            </w:tcBorders>
            <w:shd w:val="clear" w:color="auto" w:fill="CCEEFF"/>
          </w:tcPr>
          <w:p>
            <w:pPr>
              <w:spacing w:after="0"/>
              <w:rPr>
                <w:sz w:val="21"/>
                <w:szCs w:val="21"/>
                <w:color w:val="auto"/>
              </w:rPr>
            </w:pPr>
          </w:p>
        </w:tc>
        <w:tc>
          <w:tcPr>
            <w:tcW w:w="126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24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CCEDFF"/>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42"/>
        </w:trPr>
        <w:tc>
          <w:tcPr>
            <w:tcW w:w="400" w:type="dxa"/>
            <w:vAlign w:val="bottom"/>
            <w:gridSpan w:val="2"/>
            <w:shd w:val="clear" w:color="auto" w:fill="CCEDFF"/>
          </w:tcPr>
          <w:p>
            <w:pPr>
              <w:jc w:val="right"/>
              <w:ind w:right="260"/>
              <w:spacing w:after="0"/>
              <w:rPr>
                <w:sz w:val="20"/>
                <w:szCs w:val="20"/>
                <w:color w:val="auto"/>
              </w:rPr>
            </w:pPr>
            <w:r>
              <w:rPr>
                <w:rFonts w:ascii="Arial" w:cs="Arial" w:eastAsia="Arial" w:hAnsi="Arial"/>
                <w:sz w:val="18"/>
                <w:szCs w:val="18"/>
                <w:color w:val="auto"/>
                <w:w w:val="79"/>
              </w:rPr>
              <w:t>2.</w:t>
            </w:r>
          </w:p>
        </w:tc>
        <w:tc>
          <w:tcPr>
            <w:tcW w:w="8440" w:type="dxa"/>
            <w:vAlign w:val="bottom"/>
            <w:gridSpan w:val="7"/>
            <w:shd w:val="clear" w:color="auto" w:fill="CCEDFF"/>
          </w:tcPr>
          <w:p>
            <w:pPr>
              <w:spacing w:after="0"/>
              <w:rPr>
                <w:sz w:val="20"/>
                <w:szCs w:val="20"/>
                <w:color w:val="auto"/>
              </w:rPr>
            </w:pPr>
            <w:r>
              <w:rPr>
                <w:rFonts w:ascii="Arial" w:cs="Arial" w:eastAsia="Arial" w:hAnsi="Arial"/>
                <w:sz w:val="18"/>
                <w:szCs w:val="18"/>
                <w:color w:val="auto"/>
              </w:rPr>
              <w:t>Financial Statement Schedule:</w:t>
            </w:r>
          </w:p>
        </w:tc>
        <w:tc>
          <w:tcPr>
            <w:tcW w:w="40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r>
      <w:tr>
        <w:trPr>
          <w:trHeight w:val="242"/>
        </w:trPr>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2"/>
        </w:trPr>
        <w:tc>
          <w:tcPr>
            <w:tcW w:w="14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8440" w:type="dxa"/>
            <w:vAlign w:val="bottom"/>
            <w:gridSpan w:val="7"/>
            <w:shd w:val="clear" w:color="auto" w:fill="CCEDFF"/>
          </w:tcPr>
          <w:p>
            <w:pPr>
              <w:spacing w:after="0" w:line="188" w:lineRule="exact"/>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 on Financial Statement Schedule</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80" w:type="dxa"/>
            <w:vAlign w:val="bottom"/>
            <w:shd w:val="clear" w:color="auto" w:fill="CCEDFF"/>
          </w:tcPr>
          <w:p>
            <w:pPr>
              <w:spacing w:after="0"/>
              <w:rPr>
                <w:sz w:val="19"/>
                <w:szCs w:val="19"/>
                <w:color w:val="auto"/>
              </w:rPr>
            </w:pPr>
          </w:p>
        </w:tc>
      </w:tr>
      <w:tr>
        <w:trPr>
          <w:trHeight w:val="242"/>
        </w:trPr>
        <w:tc>
          <w:tcPr>
            <w:tcW w:w="140" w:type="dxa"/>
            <w:vAlign w:val="bottom"/>
            <w:tcBorders>
              <w:top w:val="single" w:sz="8" w:color="CCEDFF"/>
            </w:tcBorders>
            <w:shd w:val="clear" w:color="auto" w:fill="CCEEFF"/>
          </w:tcPr>
          <w:p>
            <w:pPr>
              <w:spacing w:after="0"/>
              <w:rPr>
                <w:sz w:val="21"/>
                <w:szCs w:val="21"/>
                <w:color w:val="auto"/>
              </w:rPr>
            </w:pPr>
          </w:p>
        </w:tc>
        <w:tc>
          <w:tcPr>
            <w:tcW w:w="260" w:type="dxa"/>
            <w:vAlign w:val="bottom"/>
            <w:tcBorders>
              <w:top w:val="single" w:sz="8" w:color="CCEDFF"/>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5340" w:type="dxa"/>
            <w:vAlign w:val="bottom"/>
            <w:tcBorders>
              <w:top w:val="single" w:sz="8" w:color="0000EE"/>
            </w:tcBorders>
            <w:shd w:val="clear" w:color="auto" w:fill="CCEEFF"/>
          </w:tcPr>
          <w:p>
            <w:pPr>
              <w:spacing w:after="0"/>
              <w:rPr>
                <w:sz w:val="21"/>
                <w:szCs w:val="21"/>
                <w:color w:val="auto"/>
              </w:rPr>
            </w:pPr>
          </w:p>
        </w:tc>
        <w:tc>
          <w:tcPr>
            <w:tcW w:w="126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24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188"/>
        </w:trPr>
        <w:tc>
          <w:tcPr>
            <w:tcW w:w="1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7840" w:type="dxa"/>
            <w:vAlign w:val="bottom"/>
            <w:gridSpan w:val="5"/>
            <w:shd w:val="clear" w:color="auto" w:fill="CCEDFF"/>
          </w:tcPr>
          <w:p>
            <w:pPr>
              <w:spacing w:after="0" w:line="188"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Schedule II - Valuation and Qualifying Accounts for the years ended October 31, 2018, October 29, 2017 and</w:t>
              </w:r>
            </w:hyperlink>
          </w:p>
        </w:tc>
        <w:tc>
          <w:tcPr>
            <w:tcW w:w="600" w:type="dxa"/>
            <w:vAlign w:val="bottom"/>
            <w:gridSpan w:val="2"/>
            <w:shd w:val="clear" w:color="auto" w:fill="CCEDFF"/>
          </w:tcPr>
          <w:p>
            <w:pPr>
              <w:spacing w:after="0"/>
              <w:rPr>
                <w:sz w:val="16"/>
                <w:szCs w:val="16"/>
                <w:color w:val="auto"/>
              </w:rPr>
            </w:pPr>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80" w:type="dxa"/>
            <w:vAlign w:val="bottom"/>
            <w:shd w:val="clear" w:color="auto" w:fill="CCEDFF"/>
          </w:tcPr>
          <w:p>
            <w:pPr>
              <w:spacing w:after="0"/>
              <w:rPr>
                <w:sz w:val="16"/>
                <w:szCs w:val="16"/>
                <w:color w:val="auto"/>
              </w:rPr>
            </w:pPr>
          </w:p>
        </w:tc>
      </w:tr>
      <w:tr>
        <w:trPr>
          <w:trHeight w:val="229"/>
        </w:trPr>
        <w:tc>
          <w:tcPr>
            <w:tcW w:w="140" w:type="dxa"/>
            <w:vAlign w:val="bottom"/>
            <w:tcBorders>
              <w:top w:val="single" w:sz="8" w:color="CCEDFF"/>
            </w:tcBorders>
            <w:shd w:val="clear" w:color="auto" w:fill="CCEDFF"/>
          </w:tcPr>
          <w:p>
            <w:pPr>
              <w:spacing w:after="0"/>
              <w:rPr>
                <w:sz w:val="19"/>
                <w:szCs w:val="19"/>
                <w:color w:val="auto"/>
              </w:rPr>
            </w:pPr>
          </w:p>
        </w:tc>
        <w:tc>
          <w:tcPr>
            <w:tcW w:w="260" w:type="dxa"/>
            <w:vAlign w:val="bottom"/>
            <w:tcBorders>
              <w:top w:val="single" w:sz="8" w:color="CCEDFF"/>
            </w:tcBorders>
            <w:shd w:val="clear" w:color="auto" w:fill="CCEDFF"/>
          </w:tcPr>
          <w:p>
            <w:pPr>
              <w:spacing w:after="0"/>
              <w:rPr>
                <w:sz w:val="19"/>
                <w:szCs w:val="19"/>
                <w:color w:val="auto"/>
              </w:rPr>
            </w:pPr>
          </w:p>
        </w:tc>
        <w:tc>
          <w:tcPr>
            <w:tcW w:w="7840" w:type="dxa"/>
            <w:vAlign w:val="bottom"/>
            <w:tcBorders>
              <w:top w:val="single" w:sz="8" w:color="0000EE"/>
            </w:tcBorders>
            <w:gridSpan w:val="5"/>
            <w:shd w:val="clear" w:color="auto" w:fill="CCEDFF"/>
          </w:tcPr>
          <w:p>
            <w:pPr>
              <w:spacing w:after="0" w:line="195" w:lineRule="exact"/>
              <w:rPr>
                <w:rFonts w:ascii="Arial" w:cs="Arial" w:eastAsia="Arial" w:hAnsi="Arial"/>
                <w:sz w:val="18"/>
                <w:szCs w:val="18"/>
                <w:color w:val="0000EE"/>
              </w:rPr>
            </w:pPr>
            <w:hyperlink w:anchor="page66">
              <w:r>
                <w:rPr>
                  <w:rFonts w:ascii="Arial" w:cs="Arial" w:eastAsia="Arial" w:hAnsi="Arial"/>
                  <w:sz w:val="18"/>
                  <w:szCs w:val="18"/>
                  <w:color w:val="0000EE"/>
                </w:rPr>
                <w:t>October 30, 2016</w:t>
              </w:r>
            </w:hyperlink>
          </w:p>
        </w:tc>
        <w:tc>
          <w:tcPr>
            <w:tcW w:w="600" w:type="dxa"/>
            <w:vAlign w:val="bottom"/>
            <w:tcBorders>
              <w:top w:val="single" w:sz="8" w:color="CCEDFF"/>
            </w:tcBorders>
            <w:gridSpan w:val="2"/>
            <w:shd w:val="clear" w:color="auto" w:fill="CCEDFF"/>
          </w:tcPr>
          <w:p>
            <w:pPr>
              <w:spacing w:after="0"/>
              <w:rPr>
                <w:sz w:val="19"/>
                <w:szCs w:val="19"/>
                <w:color w:val="auto"/>
              </w:rPr>
            </w:pPr>
          </w:p>
        </w:tc>
        <w:tc>
          <w:tcPr>
            <w:tcW w:w="400" w:type="dxa"/>
            <w:vAlign w:val="bottom"/>
            <w:tcBorders>
              <w:top w:val="single" w:sz="8" w:color="CCEDFF"/>
            </w:tcBorders>
            <w:shd w:val="clear" w:color="auto" w:fill="CCEDFF"/>
          </w:tcPr>
          <w:p>
            <w:pPr>
              <w:spacing w:after="0"/>
              <w:rPr>
                <w:sz w:val="19"/>
                <w:szCs w:val="19"/>
                <w:color w:val="auto"/>
              </w:rPr>
            </w:pPr>
          </w:p>
        </w:tc>
        <w:tc>
          <w:tcPr>
            <w:tcW w:w="180" w:type="dxa"/>
            <w:vAlign w:val="bottom"/>
            <w:tcBorders>
              <w:top w:val="single" w:sz="8" w:color="0000EE"/>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r>
      <w:tr>
        <w:trPr>
          <w:trHeight w:val="242"/>
        </w:trPr>
        <w:tc>
          <w:tcPr>
            <w:tcW w:w="140" w:type="dxa"/>
            <w:vAlign w:val="bottom"/>
            <w:tcBorders>
              <w:top w:val="single" w:sz="8" w:color="CCEDFF"/>
            </w:tcBorders>
            <w:shd w:val="clear" w:color="auto" w:fill="CCEEFF"/>
          </w:tcPr>
          <w:p>
            <w:pPr>
              <w:spacing w:after="0"/>
              <w:rPr>
                <w:sz w:val="21"/>
                <w:szCs w:val="21"/>
                <w:color w:val="auto"/>
              </w:rPr>
            </w:pPr>
          </w:p>
        </w:tc>
        <w:tc>
          <w:tcPr>
            <w:tcW w:w="260" w:type="dxa"/>
            <w:vAlign w:val="bottom"/>
            <w:tcBorders>
              <w:top w:val="single" w:sz="8" w:color="CCEDFF"/>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6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5340" w:type="dxa"/>
            <w:vAlign w:val="bottom"/>
            <w:tcBorders>
              <w:top w:val="single" w:sz="8" w:color="CCEDFF"/>
            </w:tcBorders>
            <w:shd w:val="clear" w:color="auto" w:fill="CCEEFF"/>
          </w:tcPr>
          <w:p>
            <w:pPr>
              <w:spacing w:after="0"/>
              <w:rPr>
                <w:sz w:val="21"/>
                <w:szCs w:val="21"/>
                <w:color w:val="auto"/>
              </w:rPr>
            </w:pPr>
          </w:p>
        </w:tc>
        <w:tc>
          <w:tcPr>
            <w:tcW w:w="1260" w:type="dxa"/>
            <w:vAlign w:val="bottom"/>
            <w:tcBorders>
              <w:top w:val="single" w:sz="8" w:color="CCEDFF"/>
            </w:tcBorders>
            <w:shd w:val="clear" w:color="auto" w:fill="CCEEFF"/>
          </w:tcPr>
          <w:p>
            <w:pPr>
              <w:spacing w:after="0"/>
              <w:rPr>
                <w:sz w:val="21"/>
                <w:szCs w:val="21"/>
                <w:color w:val="auto"/>
              </w:rPr>
            </w:pPr>
          </w:p>
        </w:tc>
        <w:tc>
          <w:tcPr>
            <w:tcW w:w="360" w:type="dxa"/>
            <w:vAlign w:val="bottom"/>
            <w:tcBorders>
              <w:top w:val="single" w:sz="8" w:color="CCEDFF"/>
            </w:tcBorders>
            <w:shd w:val="clear" w:color="auto" w:fill="CCEEFF"/>
          </w:tcPr>
          <w:p>
            <w:pPr>
              <w:spacing w:after="0"/>
              <w:rPr>
                <w:sz w:val="21"/>
                <w:szCs w:val="21"/>
                <w:color w:val="auto"/>
              </w:rPr>
            </w:pPr>
          </w:p>
        </w:tc>
        <w:tc>
          <w:tcPr>
            <w:tcW w:w="240" w:type="dxa"/>
            <w:vAlign w:val="bottom"/>
            <w:tcBorders>
              <w:top w:val="single" w:sz="8" w:color="CCEDFF"/>
            </w:tcBorders>
            <w:shd w:val="clear" w:color="auto" w:fill="CCEEFF"/>
          </w:tcPr>
          <w:p>
            <w:pPr>
              <w:spacing w:after="0"/>
              <w:rPr>
                <w:sz w:val="21"/>
                <w:szCs w:val="21"/>
                <w:color w:val="auto"/>
              </w:rPr>
            </w:pPr>
          </w:p>
        </w:tc>
        <w:tc>
          <w:tcPr>
            <w:tcW w:w="400" w:type="dxa"/>
            <w:vAlign w:val="bottom"/>
            <w:tcBorders>
              <w:top w:val="single" w:sz="8" w:color="CCEDFF"/>
            </w:tcBorders>
            <w:shd w:val="clear" w:color="auto" w:fill="CCEEFF"/>
          </w:tcPr>
          <w:p>
            <w:pPr>
              <w:spacing w:after="0"/>
              <w:rPr>
                <w:sz w:val="21"/>
                <w:szCs w:val="21"/>
                <w:color w:val="auto"/>
              </w:rPr>
            </w:pPr>
          </w:p>
        </w:tc>
        <w:tc>
          <w:tcPr>
            <w:tcW w:w="180" w:type="dxa"/>
            <w:vAlign w:val="bottom"/>
            <w:tcBorders>
              <w:top w:val="single" w:sz="8" w:color="CCEDFF"/>
            </w:tcBorders>
            <w:shd w:val="clear" w:color="auto" w:fill="CCEEFF"/>
          </w:tcPr>
          <w:p>
            <w:pPr>
              <w:spacing w:after="0"/>
              <w:rPr>
                <w:sz w:val="21"/>
                <w:szCs w:val="21"/>
                <w:color w:val="auto"/>
              </w:rPr>
            </w:pPr>
          </w:p>
        </w:tc>
        <w:tc>
          <w:tcPr>
            <w:tcW w:w="80" w:type="dxa"/>
            <w:vAlign w:val="bottom"/>
            <w:tcBorders>
              <w:top w:val="single" w:sz="8" w:color="CCEDFF"/>
            </w:tcBorders>
            <w:shd w:val="clear" w:color="auto" w:fill="CCEEFF"/>
          </w:tcPr>
          <w:p>
            <w:pPr>
              <w:spacing w:after="0"/>
              <w:rPr>
                <w:sz w:val="21"/>
                <w:szCs w:val="21"/>
                <w:color w:val="auto"/>
              </w:rPr>
            </w:pPr>
          </w:p>
        </w:tc>
      </w:tr>
      <w:tr>
        <w:trPr>
          <w:trHeight w:val="242"/>
        </w:trPr>
        <w:tc>
          <w:tcPr>
            <w:tcW w:w="140" w:type="dxa"/>
            <w:vAlign w:val="bottom"/>
            <w:shd w:val="clear" w:color="auto" w:fill="CCEDFF"/>
          </w:tcPr>
          <w:p>
            <w:pPr>
              <w:spacing w:after="0"/>
              <w:rPr>
                <w:sz w:val="21"/>
                <w:szCs w:val="21"/>
                <w:color w:val="auto"/>
              </w:rPr>
            </w:pPr>
          </w:p>
        </w:tc>
        <w:tc>
          <w:tcPr>
            <w:tcW w:w="260" w:type="dxa"/>
            <w:vAlign w:val="bottom"/>
            <w:shd w:val="clear" w:color="auto" w:fill="CCEDFF"/>
          </w:tcPr>
          <w:p>
            <w:pPr>
              <w:spacing w:after="0"/>
              <w:rPr>
                <w:sz w:val="21"/>
                <w:szCs w:val="21"/>
                <w:color w:val="auto"/>
              </w:rPr>
            </w:pPr>
          </w:p>
        </w:tc>
        <w:tc>
          <w:tcPr>
            <w:tcW w:w="8440" w:type="dxa"/>
            <w:vAlign w:val="bottom"/>
            <w:gridSpan w:val="7"/>
            <w:shd w:val="clear" w:color="auto" w:fill="CCEDFF"/>
          </w:tcPr>
          <w:p>
            <w:pPr>
              <w:spacing w:after="0"/>
              <w:rPr>
                <w:sz w:val="20"/>
                <w:szCs w:val="20"/>
                <w:color w:val="auto"/>
              </w:rPr>
            </w:pPr>
            <w:r>
              <w:rPr>
                <w:rFonts w:ascii="Arial" w:cs="Arial" w:eastAsia="Arial" w:hAnsi="Arial"/>
                <w:sz w:val="18"/>
                <w:szCs w:val="18"/>
                <w:color w:val="auto"/>
              </w:rPr>
              <w:t>All other schedules are omitted because they are not applicable.</w:t>
            </w:r>
          </w:p>
        </w:tc>
        <w:tc>
          <w:tcPr>
            <w:tcW w:w="400" w:type="dxa"/>
            <w:vAlign w:val="bottom"/>
            <w:shd w:val="clear" w:color="auto" w:fill="CCEDFF"/>
          </w:tcPr>
          <w:p>
            <w:pPr>
              <w:spacing w:after="0"/>
              <w:rPr>
                <w:sz w:val="21"/>
                <w:szCs w:val="21"/>
                <w:color w:val="auto"/>
              </w:rPr>
            </w:pPr>
          </w:p>
        </w:tc>
        <w:tc>
          <w:tcPr>
            <w:tcW w:w="180" w:type="dxa"/>
            <w:vAlign w:val="bottom"/>
            <w:shd w:val="clear" w:color="auto" w:fill="CCEDFF"/>
          </w:tcPr>
          <w:p>
            <w:pPr>
              <w:spacing w:after="0"/>
              <w:rPr>
                <w:sz w:val="21"/>
                <w:szCs w:val="21"/>
                <w:color w:val="auto"/>
              </w:rPr>
            </w:pPr>
          </w:p>
        </w:tc>
        <w:tc>
          <w:tcPr>
            <w:tcW w:w="80" w:type="dxa"/>
            <w:vAlign w:val="bottom"/>
            <w:shd w:val="clear" w:color="auto" w:fill="CCEDFF"/>
          </w:tcPr>
          <w:p>
            <w:pPr>
              <w:spacing w:after="0"/>
              <w:rPr>
                <w:sz w:val="21"/>
                <w:szCs w:val="21"/>
                <w:color w:val="auto"/>
              </w:rPr>
            </w:pPr>
          </w:p>
        </w:tc>
      </w:tr>
      <w:tr>
        <w:trPr>
          <w:trHeight w:val="242"/>
        </w:trPr>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2"/>
        </w:trPr>
        <w:tc>
          <w:tcPr>
            <w:tcW w:w="140" w:type="dxa"/>
            <w:vAlign w:val="bottom"/>
            <w:shd w:val="clear" w:color="auto" w:fill="CCEDFF"/>
          </w:tcPr>
          <w:p>
            <w:pPr>
              <w:jc w:val="right"/>
              <w:spacing w:after="0" w:line="188"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w:t>
              </w:r>
            </w:hyperlink>
          </w:p>
        </w:tc>
        <w:tc>
          <w:tcPr>
            <w:tcW w:w="260" w:type="dxa"/>
            <w:vAlign w:val="bottom"/>
            <w:shd w:val="clear" w:color="auto" w:fill="CCEDFF"/>
          </w:tcPr>
          <w:p>
            <w:pPr>
              <w:spacing w:after="0"/>
              <w:rPr>
                <w:sz w:val="19"/>
                <w:szCs w:val="19"/>
                <w:color w:val="auto"/>
              </w:rPr>
            </w:pPr>
          </w:p>
        </w:tc>
        <w:tc>
          <w:tcPr>
            <w:tcW w:w="8440" w:type="dxa"/>
            <w:vAlign w:val="bottom"/>
            <w:gridSpan w:val="7"/>
            <w:shd w:val="clear" w:color="auto" w:fill="CCEDFF"/>
          </w:tcPr>
          <w:p>
            <w:pPr>
              <w:spacing w:after="0" w:line="188"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580" w:type="dxa"/>
            <w:vAlign w:val="bottom"/>
            <w:gridSpan w:val="2"/>
            <w:shd w:val="clear" w:color="auto" w:fill="CCEDFF"/>
          </w:tcPr>
          <w:p>
            <w:pPr>
              <w:jc w:val="right"/>
              <w:spacing w:after="0" w:line="188"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80" w:type="dxa"/>
            <w:vAlign w:val="bottom"/>
            <w:shd w:val="clear" w:color="auto" w:fill="CCEDFF"/>
          </w:tcPr>
          <w:p>
            <w:pPr>
              <w:spacing w:after="0"/>
              <w:rPr>
                <w:sz w:val="19"/>
                <w:szCs w:val="19"/>
                <w:color w:val="auto"/>
              </w:rPr>
            </w:pPr>
          </w:p>
        </w:tc>
      </w:tr>
      <w:tr>
        <w:trPr>
          <w:trHeight w:val="430"/>
        </w:trPr>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CCEDFF"/>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00" w:type="dxa"/>
            <w:vAlign w:val="bottom"/>
            <w:tcBorders>
              <w:top w:val="single" w:sz="8" w:color="CCEDFF"/>
            </w:tcBorders>
            <w:gridSpan w:val="3"/>
          </w:tcPr>
          <w:p>
            <w:pPr>
              <w:jc w:val="right"/>
              <w:ind w:right="2140"/>
              <w:spacing w:after="0"/>
              <w:rPr>
                <w:sz w:val="20"/>
                <w:szCs w:val="20"/>
                <w:color w:val="auto"/>
              </w:rPr>
            </w:pPr>
            <w:r>
              <w:rPr>
                <w:rFonts w:ascii="Arial" w:cs="Arial" w:eastAsia="Arial" w:hAnsi="Arial"/>
                <w:sz w:val="18"/>
                <w:szCs w:val="18"/>
                <w:color w:val="auto"/>
              </w:rPr>
              <w:t>64</w:t>
            </w:r>
          </w:p>
        </w:tc>
        <w:tc>
          <w:tcPr>
            <w:tcW w:w="1260" w:type="dxa"/>
            <w:vAlign w:val="bottom"/>
            <w:tcBorders>
              <w:top w:val="single" w:sz="8" w:color="CCEDFF"/>
            </w:tcBorders>
          </w:tcPr>
          <w:p>
            <w:pPr>
              <w:spacing w:after="0"/>
              <w:rPr>
                <w:sz w:val="24"/>
                <w:szCs w:val="24"/>
                <w:color w:val="auto"/>
              </w:rPr>
            </w:pPr>
          </w:p>
        </w:tc>
        <w:tc>
          <w:tcPr>
            <w:tcW w:w="360" w:type="dxa"/>
            <w:vAlign w:val="bottom"/>
            <w:tcBorders>
              <w:top w:val="single" w:sz="8" w:color="CCEDFF"/>
            </w:tcBorders>
          </w:tcPr>
          <w:p>
            <w:pPr>
              <w:spacing w:after="0"/>
              <w:rPr>
                <w:sz w:val="24"/>
                <w:szCs w:val="24"/>
                <w:color w:val="auto"/>
              </w:rPr>
            </w:pPr>
          </w:p>
        </w:tc>
        <w:tc>
          <w:tcPr>
            <w:tcW w:w="240" w:type="dxa"/>
            <w:vAlign w:val="bottom"/>
            <w:tcBorders>
              <w:top w:val="single" w:sz="8" w:color="CCEDFF"/>
            </w:tcBorders>
          </w:tcPr>
          <w:p>
            <w:pPr>
              <w:spacing w:after="0"/>
              <w:rPr>
                <w:sz w:val="24"/>
                <w:szCs w:val="24"/>
                <w:color w:val="auto"/>
              </w:rPr>
            </w:pPr>
          </w:p>
        </w:tc>
        <w:tc>
          <w:tcPr>
            <w:tcW w:w="400" w:type="dxa"/>
            <w:vAlign w:val="bottom"/>
            <w:tcBorders>
              <w:top w:val="single" w:sz="8" w:color="CCED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CCEDFF"/>
            </w:tcBorders>
          </w:tcPr>
          <w:p>
            <w:pPr>
              <w:spacing w:after="0"/>
              <w:rPr>
                <w:sz w:val="24"/>
                <w:szCs w:val="24"/>
                <w:color w:val="auto"/>
              </w:rPr>
            </w:pPr>
          </w:p>
        </w:tc>
      </w:tr>
      <w:tr>
        <w:trPr>
          <w:trHeight w:val="443"/>
        </w:trPr>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1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534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-2710815</wp:posOffset>
            </wp:positionV>
            <wp:extent cx="6036310" cy="153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-2267585</wp:posOffset>
            </wp:positionV>
            <wp:extent cx="6036310" cy="153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-1960245</wp:posOffset>
            </wp:positionV>
            <wp:extent cx="6036310" cy="153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-1653540</wp:posOffset>
            </wp:positionV>
            <wp:extent cx="6036310" cy="153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-1210310</wp:posOffset>
            </wp:positionV>
            <wp:extent cx="6036310" cy="153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6310" cy="1536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-902970</wp:posOffset>
            </wp:positionV>
            <wp:extent cx="6036310" cy="153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6310" cy="153670"/>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SUPPLEMENTAL SCHEDULE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To Shareholders and the Board of Directors of Photronics,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audited the consolidated financial statements of Photronics, Inc. (the “Company”) as of and for the years ended October 31, 2018 and October 29, 2017 and have issued our report thereon dated December 21, 2018, which contained an unqualified opinion on those consolidated financial statements. The financial statement schedule in Item 15 has been subjected to audit procedures performed in conjunction with the audit of the Company’s consolidated financial statements. The supplemental schedule is the responsibility of the Company’s management. Our audit procedures included determining whether the supplemental schedule reconciles to the consolidated financial statements or the underlying accounting and other records, as applicable, and performing procedures to test the completeness and accuracy of the information presented in the supplemental schedule. In our opinion, such schedule is fairly stated, in all material respects, in relation to the consolidated financial statements as a whole.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jc w:val="center"/>
        <w:spacing w:after="0" w:line="233" w:lineRule="auto"/>
        <w:rPr>
          <w:sz w:val="20"/>
          <w:szCs w:val="20"/>
          <w:color w:val="auto"/>
        </w:rPr>
      </w:pPr>
      <w:r>
        <w:rPr>
          <w:rFonts w:ascii="Arial" w:cs="Arial" w:eastAsia="Arial" w:hAnsi="Arial"/>
          <w:sz w:val="18"/>
          <w:szCs w:val="18"/>
          <w:b w:val="1"/>
          <w:bCs w:val="1"/>
          <w:color w:val="auto"/>
        </w:rPr>
        <w:t>for the Years Ended October 31, 2018, October 29, 2017</w:t>
      </w:r>
    </w:p>
    <w:p>
      <w:pPr>
        <w:jc w:val="center"/>
        <w:spacing w:after="0" w:line="234" w:lineRule="auto"/>
        <w:rPr>
          <w:sz w:val="20"/>
          <w:szCs w:val="20"/>
          <w:color w:val="auto"/>
        </w:rPr>
      </w:pPr>
      <w:r>
        <w:rPr>
          <w:rFonts w:ascii="Arial" w:cs="Arial" w:eastAsia="Arial" w:hAnsi="Arial"/>
          <w:sz w:val="18"/>
          <w:szCs w:val="18"/>
          <w:b w:val="1"/>
          <w:bCs w:val="1"/>
          <w:color w:val="auto"/>
        </w:rPr>
        <w:t>and October 30, 2016</w:t>
      </w:r>
    </w:p>
    <w:p>
      <w:pPr>
        <w:jc w:val="center"/>
        <w:spacing w:after="0"/>
        <w:rPr>
          <w:sz w:val="20"/>
          <w:szCs w:val="20"/>
          <w:color w:val="auto"/>
        </w:rPr>
      </w:pPr>
      <w:r>
        <w:rPr>
          <w:rFonts w:ascii="Arial" w:cs="Arial" w:eastAsia="Arial" w:hAnsi="Arial"/>
          <w:sz w:val="18"/>
          <w:szCs w:val="18"/>
          <w:b w:val="1"/>
          <w:bCs w:val="1"/>
          <w:color w:val="auto"/>
        </w:rPr>
        <w:t>(in $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to</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Beginning of</w:t>
            </w: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Costs and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End of</w:t>
            </w:r>
          </w:p>
        </w:tc>
      </w:tr>
      <w:tr>
        <w:trPr>
          <w:trHeight w:val="177"/>
        </w:trPr>
        <w:tc>
          <w:tcPr>
            <w:tcW w:w="1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r>
      <w:tr>
        <w:trPr>
          <w:trHeight w:val="242"/>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2"/>
        </w:trPr>
        <w:tc>
          <w:tcPr>
            <w:tcW w:w="14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Year-ended October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line="242" w:lineRule="exact"/>
              <w:rPr>
                <w:sz w:val="20"/>
                <w:szCs w:val="20"/>
                <w:color w:val="auto"/>
              </w:rPr>
            </w:pPr>
            <w:r>
              <w:rPr>
                <w:rFonts w:ascii="Arial" w:cs="Arial" w:eastAsia="Arial" w:hAnsi="Arial"/>
                <w:sz w:val="28"/>
                <w:szCs w:val="28"/>
                <w:color w:val="auto"/>
                <w:w w:val="92"/>
                <w:vertAlign w:val="subscript"/>
              </w:rPr>
              <w:t>16</w:t>
            </w:r>
            <w:r>
              <w:rPr>
                <w:rFonts w:ascii="Arial" w:cs="Arial" w:eastAsia="Arial" w:hAnsi="Arial"/>
                <w:sz w:val="13"/>
                <w:szCs w:val="13"/>
                <w:color w:val="auto"/>
                <w:w w:val="92"/>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21"/>
                <w:szCs w:val="21"/>
                <w:color w:val="auto"/>
              </w:rPr>
            </w:pPr>
          </w:p>
        </w:tc>
      </w:tr>
      <w:tr>
        <w:trPr>
          <w:trHeight w:val="242"/>
        </w:trPr>
        <w:tc>
          <w:tcPr>
            <w:tcW w:w="5740" w:type="dxa"/>
            <w:vAlign w:val="bottom"/>
            <w:gridSpan w:val="2"/>
          </w:tcPr>
          <w:p>
            <w:pPr>
              <w:spacing w:after="0"/>
              <w:rPr>
                <w:sz w:val="20"/>
                <w:szCs w:val="20"/>
                <w:color w:val="auto"/>
              </w:rPr>
            </w:pPr>
            <w:r>
              <w:rPr>
                <w:rFonts w:ascii="Arial" w:cs="Arial" w:eastAsia="Arial" w:hAnsi="Arial"/>
                <w:sz w:val="18"/>
                <w:szCs w:val="18"/>
                <w:color w:val="auto"/>
              </w:rPr>
              <w:t>Year-ended October 29,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spacing w:after="0" w:line="242" w:lineRule="exact"/>
              <w:rPr>
                <w:sz w:val="20"/>
                <w:szCs w:val="20"/>
                <w:color w:val="auto"/>
              </w:rPr>
            </w:pPr>
            <w:r>
              <w:rPr>
                <w:rFonts w:ascii="Arial" w:cs="Arial" w:eastAsia="Arial" w:hAnsi="Arial"/>
                <w:sz w:val="17"/>
                <w:szCs w:val="17"/>
                <w:color w:val="auto"/>
              </w:rPr>
              <w:t>(1,600)</w:t>
            </w:r>
            <w:r>
              <w:rPr>
                <w:rFonts w:ascii="Arial" w:cs="Arial" w:eastAsia="Arial" w:hAnsi="Arial"/>
                <w:sz w:val="28"/>
                <w:szCs w:val="28"/>
                <w:color w:val="auto"/>
                <w:vertAlign w:val="superscript"/>
              </w:rPr>
              <w:t>(b)</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line="242" w:lineRule="exact"/>
              <w:rPr>
                <w:sz w:val="20"/>
                <w:szCs w:val="20"/>
                <w:color w:val="auto"/>
              </w:rPr>
            </w:pPr>
            <w:r>
              <w:rPr>
                <w:rFonts w:ascii="Arial" w:cs="Arial" w:eastAsia="Arial" w:hAnsi="Arial"/>
                <w:sz w:val="28"/>
                <w:szCs w:val="28"/>
                <w:color w:val="auto"/>
                <w:w w:val="92"/>
                <w:vertAlign w:val="subscript"/>
              </w:rPr>
              <w:t>18</w:t>
            </w:r>
            <w:r>
              <w:rPr>
                <w:rFonts w:ascii="Arial" w:cs="Arial" w:eastAsia="Arial" w:hAnsi="Arial"/>
                <w:sz w:val="13"/>
                <w:szCs w:val="13"/>
                <w:color w:val="auto"/>
                <w:w w:val="92"/>
              </w:rPr>
              <w:t>(a)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21"/>
                <w:szCs w:val="21"/>
                <w:color w:val="auto"/>
              </w:rPr>
            </w:pPr>
          </w:p>
        </w:tc>
      </w:tr>
      <w:tr>
        <w:trPr>
          <w:trHeight w:val="242"/>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October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line="242" w:lineRule="exact"/>
              <w:rPr>
                <w:sz w:val="20"/>
                <w:szCs w:val="20"/>
                <w:color w:val="auto"/>
              </w:rPr>
            </w:pPr>
            <w:r>
              <w:rPr>
                <w:rFonts w:ascii="Arial" w:cs="Arial" w:eastAsia="Arial" w:hAnsi="Arial"/>
                <w:sz w:val="17"/>
                <w:szCs w:val="17"/>
                <w:color w:val="auto"/>
                <w:w w:val="86"/>
              </w:rPr>
              <w:t>(42)</w:t>
            </w:r>
            <w:r>
              <w:rPr>
                <w:rFonts w:ascii="Arial" w:cs="Arial" w:eastAsia="Arial" w:hAnsi="Arial"/>
                <w:sz w:val="28"/>
                <w:szCs w:val="28"/>
                <w:color w:val="auto"/>
                <w:w w:val="86"/>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80" w:type="dxa"/>
            <w:vAlign w:val="bottom"/>
            <w:shd w:val="clear" w:color="auto" w:fill="CCEEFF"/>
          </w:tcPr>
          <w:p>
            <w:pPr>
              <w:spacing w:after="0"/>
              <w:rPr>
                <w:sz w:val="21"/>
                <w:szCs w:val="2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Uncollectible accounts written off, net, and impact of foreign currency translation.</w:t>
      </w:r>
    </w:p>
    <w:p>
      <w:pPr>
        <w:spacing w:after="0" w:line="10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w:t>
        <w:tab/>
        <w:t>Reversal of valuation allowance.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40" w:type="dxa"/>
            <w:vAlign w:val="bottom"/>
            <w:gridSpan w:val="2"/>
          </w:tcPr>
          <w:p>
            <w:pPr>
              <w:ind w:left="3060"/>
              <w:spacing w:after="0"/>
              <w:rPr>
                <w:sz w:val="20"/>
                <w:szCs w:val="20"/>
                <w:color w:val="auto"/>
              </w:rPr>
            </w:pPr>
            <w:r>
              <w:rPr>
                <w:rFonts w:ascii="Arial" w:cs="Arial" w:eastAsia="Arial" w:hAnsi="Arial"/>
                <w:sz w:val="18"/>
                <w:szCs w:val="18"/>
                <w:b w:val="1"/>
                <w:bCs w:val="1"/>
                <w:color w:val="auto"/>
              </w:rPr>
              <w:t>EXHIBITS INDEX</w:t>
            </w:r>
          </w:p>
        </w:tc>
      </w:tr>
      <w:tr>
        <w:trPr>
          <w:trHeight w:val="219"/>
        </w:trPr>
        <w:tc>
          <w:tcPr>
            <w:tcW w:w="7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7"/>
        </w:trPr>
        <w:tc>
          <w:tcPr>
            <w:tcW w:w="7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84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5"/>
                <w:szCs w:val="15"/>
                <w:color w:val="auto"/>
              </w:rPr>
            </w:pPr>
          </w:p>
        </w:tc>
      </w:tr>
      <w:tr>
        <w:trPr>
          <w:trHeight w:val="188"/>
        </w:trPr>
        <w:tc>
          <w:tcPr>
            <w:tcW w:w="580" w:type="dxa"/>
            <w:vAlign w:val="bottom"/>
            <w:gridSpan w:val="5"/>
            <w:shd w:val="clear" w:color="auto" w:fill="CCEEFF"/>
          </w:tcPr>
          <w:p>
            <w:pPr>
              <w:jc w:val="center"/>
              <w:ind w:left="152"/>
              <w:spacing w:after="0" w:line="188" w:lineRule="exact"/>
              <w:rPr>
                <w:rFonts w:ascii="Arial" w:cs="Arial" w:eastAsia="Arial" w:hAnsi="Arial"/>
                <w:sz w:val="18"/>
                <w:szCs w:val="18"/>
                <w:color w:val="0000EE"/>
                <w:w w:val="87"/>
              </w:rPr>
            </w:pPr>
            <w:hyperlink r:id="rId8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4"/>
              </w:rPr>
              <w:t>Certificate of Incorporation as amended July 9, 1986, April 9, 1990, March 16, 1995, November 13, 1997, April 15,</w:t>
            </w:r>
          </w:p>
        </w:tc>
      </w:tr>
      <w:tr>
        <w:trPr>
          <w:trHeight w:val="221"/>
        </w:trPr>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7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1"/>
              </w:rPr>
              <w:t>2002 and June 20, 2005 (incorporated by reference to Exhibit 3.1 to the Company’s Annual Report on Form 10-K filed</w:t>
            </w:r>
          </w:p>
        </w:tc>
      </w:tr>
      <w:tr>
        <w:trPr>
          <w:trHeight w:val="243"/>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January 3, 2014).</w:t>
            </w:r>
          </w:p>
        </w:tc>
      </w:tr>
      <w:tr>
        <w:trPr>
          <w:trHeight w:val="188"/>
        </w:trPr>
        <w:tc>
          <w:tcPr>
            <w:tcW w:w="580" w:type="dxa"/>
            <w:vAlign w:val="bottom"/>
            <w:gridSpan w:val="5"/>
          </w:tcPr>
          <w:p>
            <w:pPr>
              <w:jc w:val="center"/>
              <w:ind w:left="152"/>
              <w:spacing w:after="0" w:line="188"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4"/>
              </w:rPr>
              <w:t>Amended and Restated By-laws of the Company dated as of September 7, 2016 (incorporated by reference to the</w:t>
            </w:r>
          </w:p>
        </w:tc>
      </w:tr>
      <w:tr>
        <w:trPr>
          <w:trHeight w:val="242"/>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Company’s Current Report on Form 8-K filed on September 13, 2016).</w:t>
            </w:r>
          </w:p>
        </w:tc>
      </w:tr>
      <w:tr>
        <w:trPr>
          <w:trHeight w:val="195"/>
        </w:trPr>
        <w:tc>
          <w:tcPr>
            <w:tcW w:w="580" w:type="dxa"/>
            <w:vAlign w:val="bottom"/>
            <w:gridSpan w:val="5"/>
            <w:shd w:val="clear" w:color="auto" w:fill="CCEEFF"/>
          </w:tcPr>
          <w:p>
            <w:pPr>
              <w:jc w:val="center"/>
              <w:ind w:left="152"/>
              <w:spacing w:after="0" w:line="195"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95" w:lineRule="exact"/>
              <w:rPr>
                <w:sz w:val="20"/>
                <w:szCs w:val="20"/>
                <w:color w:val="auto"/>
              </w:rPr>
            </w:pPr>
            <w:r>
              <w:rPr>
                <w:rFonts w:ascii="Arial" w:cs="Arial" w:eastAsia="Arial" w:hAnsi="Arial"/>
                <w:sz w:val="18"/>
                <w:szCs w:val="18"/>
                <w:color w:val="auto"/>
                <w:w w:val="92"/>
              </w:rPr>
              <w:t>Indenture dated January 22, 2015, by and between the Company and the Bank of New York Mellon Trust Company,</w:t>
            </w:r>
          </w:p>
        </w:tc>
      </w:tr>
      <w:tr>
        <w:trPr>
          <w:trHeight w:val="221"/>
        </w:trPr>
        <w:tc>
          <w:tcPr>
            <w:tcW w:w="2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7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6"/>
              </w:rPr>
              <w:t>N.A., as trustee (incorporated by reference to Exhibit 4.2 to the Company’s Current Report on Form 8-K filed on</w:t>
            </w:r>
          </w:p>
        </w:tc>
      </w:tr>
      <w:tr>
        <w:trPr>
          <w:trHeight w:val="243"/>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January 28, 2015).</w:t>
            </w: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4"/>
              </w:rPr>
              <w:t>The Company’s 1992 Employee Stock Purchase Plan (incorporated by reference to Exhibit 10.1 to the Company’s</w:t>
            </w: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Annual Report on Form 10-K filed on December 20, 2017).</w:t>
            </w:r>
            <w:r>
              <w:rPr>
                <w:rFonts w:ascii="Arial" w:cs="Arial" w:eastAsia="Arial" w:hAnsi="Arial"/>
                <w:sz w:val="28"/>
                <w:szCs w:val="28"/>
                <w:color w:val="auto"/>
                <w:vertAlign w:val="superscript"/>
              </w:rPr>
              <w:t>+</w:t>
            </w:r>
          </w:p>
        </w:tc>
      </w:tr>
      <w:tr>
        <w:trPr>
          <w:trHeight w:val="188"/>
        </w:trPr>
        <w:tc>
          <w:tcPr>
            <w:tcW w:w="620" w:type="dxa"/>
            <w:vAlign w:val="bottom"/>
            <w:gridSpan w:val="6"/>
            <w:shd w:val="clear" w:color="auto" w:fill="CCEEFF"/>
          </w:tcPr>
          <w:p>
            <w:pPr>
              <w:jc w:val="center"/>
              <w:ind w:left="132"/>
              <w:spacing w:after="0" w:line="188"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1"/>
              </w:rPr>
              <w:t>Amendment to the Employee Stock Purchase Plan as of March 24, 2004 (incorporated by reference to Exhibit 10.2 to</w:t>
            </w:r>
          </w:p>
        </w:tc>
      </w:tr>
      <w:tr>
        <w:trPr>
          <w:trHeight w:val="249"/>
        </w:trPr>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740" w:type="dxa"/>
            <w:vAlign w:val="bottom"/>
            <w:tcBorders>
              <w:top w:val="single" w:sz="8" w:color="CCEEFF"/>
            </w:tcBorders>
            <w:gridSpan w:val="3"/>
            <w:shd w:val="clear" w:color="auto" w:fill="CCEEFF"/>
          </w:tcPr>
          <w:p>
            <w:pPr>
              <w:ind w:left="140"/>
              <w:spacing w:after="0" w:line="249" w:lineRule="exact"/>
              <w:rPr>
                <w:sz w:val="20"/>
                <w:szCs w:val="20"/>
                <w:color w:val="auto"/>
              </w:rPr>
            </w:pPr>
            <w:r>
              <w:rPr>
                <w:rFonts w:ascii="Arial" w:cs="Arial" w:eastAsia="Arial" w:hAnsi="Arial"/>
                <w:sz w:val="17"/>
                <w:szCs w:val="17"/>
                <w:color w:val="auto"/>
              </w:rPr>
              <w:t>the Company’s Annual Report on Form 10-K filed on January 6, 2017).</w:t>
            </w:r>
            <w:r>
              <w:rPr>
                <w:rFonts w:ascii="Arial" w:cs="Arial" w:eastAsia="Arial" w:hAnsi="Arial"/>
                <w:sz w:val="28"/>
                <w:szCs w:val="28"/>
                <w:color w:val="auto"/>
                <w:vertAlign w:val="superscript"/>
              </w:rPr>
              <w:t>+</w:t>
            </w: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1"/>
              </w:rPr>
              <w:t>Amendment to the Employee Stock Purchase Plan as of April 8, 2010 (incorporated by reference to Exhibit 10.4 to the</w:t>
            </w: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Company’s Annual Report on Form 10-K filed on January 7, 2016).</w:t>
            </w:r>
            <w:r>
              <w:rPr>
                <w:rFonts w:ascii="Arial" w:cs="Arial" w:eastAsia="Arial" w:hAnsi="Arial"/>
                <w:sz w:val="28"/>
                <w:szCs w:val="28"/>
                <w:color w:val="auto"/>
                <w:vertAlign w:val="superscript"/>
              </w:rPr>
              <w:t>+</w:t>
            </w:r>
          </w:p>
        </w:tc>
      </w:tr>
      <w:tr>
        <w:trPr>
          <w:trHeight w:val="188"/>
        </w:trPr>
        <w:tc>
          <w:tcPr>
            <w:tcW w:w="620" w:type="dxa"/>
            <w:vAlign w:val="bottom"/>
            <w:gridSpan w:val="6"/>
            <w:shd w:val="clear" w:color="auto" w:fill="CCEEFF"/>
          </w:tcPr>
          <w:p>
            <w:pPr>
              <w:jc w:val="center"/>
              <w:ind w:left="132"/>
              <w:spacing w:after="0" w:line="188"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4"/>
                <w:szCs w:val="14"/>
                <w:color w:val="auto"/>
              </w:rPr>
              <w:t>Amendment to the Employee Stock Purchase Plan as of March 28, 2012.</w:t>
            </w:r>
            <w:r>
              <w:rPr>
                <w:rFonts w:ascii="Arial" w:cs="Arial" w:eastAsia="Arial" w:hAnsi="Arial"/>
                <w:sz w:val="21"/>
                <w:szCs w:val="21"/>
                <w:color w:val="auto"/>
                <w:vertAlign w:val="superscript"/>
              </w:rPr>
              <w:t>+</w:t>
            </w:r>
            <w:r>
              <w:rPr>
                <w:rFonts w:ascii="Arial" w:cs="Arial" w:eastAsia="Arial" w:hAnsi="Arial"/>
                <w:sz w:val="14"/>
                <w:szCs w:val="14"/>
                <w:color w:val="auto"/>
              </w:rPr>
              <w:t>*</w:t>
            </w:r>
          </w:p>
        </w:tc>
      </w:tr>
      <w:tr>
        <w:trPr>
          <w:trHeight w:val="34"/>
        </w:trPr>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4"/>
              </w:rPr>
              <w:t>2016 Equity Incentive Compensation Plan (incorporated by reference to the Company’s Definitive Proxy Statement</w:t>
            </w: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filed on February 26, 2016).</w:t>
            </w:r>
            <w:r>
              <w:rPr>
                <w:rFonts w:ascii="Arial" w:cs="Arial" w:eastAsia="Arial" w:hAnsi="Arial"/>
                <w:sz w:val="28"/>
                <w:szCs w:val="28"/>
                <w:color w:val="auto"/>
                <w:vertAlign w:val="superscript"/>
              </w:rPr>
              <w:t>+</w:t>
            </w:r>
          </w:p>
        </w:tc>
      </w:tr>
      <w:tr>
        <w:trPr>
          <w:trHeight w:val="188"/>
        </w:trPr>
        <w:tc>
          <w:tcPr>
            <w:tcW w:w="620" w:type="dxa"/>
            <w:vAlign w:val="bottom"/>
            <w:gridSpan w:val="6"/>
            <w:shd w:val="clear" w:color="auto" w:fill="CCEEFF"/>
          </w:tcPr>
          <w:p>
            <w:pPr>
              <w:jc w:val="center"/>
              <w:ind w:left="132"/>
              <w:spacing w:after="0" w:line="188"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hyperlink>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2"/>
              </w:rPr>
              <w:t>The Company’s 2007 Long-Term Equity Incentive Plan (incorporated by reference to the Company’s Definitive Proxy</w:t>
            </w:r>
          </w:p>
        </w:tc>
      </w:tr>
      <w:tr>
        <w:trPr>
          <w:trHeight w:val="249"/>
        </w:trPr>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740" w:type="dxa"/>
            <w:vAlign w:val="bottom"/>
            <w:tcBorders>
              <w:top w:val="single" w:sz="8" w:color="CCEEFF"/>
            </w:tcBorders>
            <w:gridSpan w:val="3"/>
            <w:shd w:val="clear" w:color="auto" w:fill="CCEEFF"/>
          </w:tcPr>
          <w:p>
            <w:pPr>
              <w:ind w:left="140"/>
              <w:spacing w:after="0" w:line="249" w:lineRule="exact"/>
              <w:rPr>
                <w:sz w:val="20"/>
                <w:szCs w:val="20"/>
                <w:color w:val="auto"/>
              </w:rPr>
            </w:pPr>
            <w:r>
              <w:rPr>
                <w:rFonts w:ascii="Arial" w:cs="Arial" w:eastAsia="Arial" w:hAnsi="Arial"/>
                <w:sz w:val="17"/>
                <w:szCs w:val="17"/>
                <w:color w:val="auto"/>
              </w:rPr>
              <w:t>Statement filed on March 3, 2014).</w:t>
            </w:r>
            <w:r>
              <w:rPr>
                <w:rFonts w:ascii="Arial" w:cs="Arial" w:eastAsia="Arial" w:hAnsi="Arial"/>
                <w:sz w:val="28"/>
                <w:szCs w:val="28"/>
                <w:color w:val="auto"/>
                <w:vertAlign w:val="superscript"/>
              </w:rPr>
              <w:t>+</w:t>
            </w: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4"/>
              </w:rPr>
              <w:t>Amendment to the 2007 Long-Term Equity Incentive Plan as of April 8, 2010 (incorporated by reference to Exhibit</w:t>
            </w: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10.7 to the Company’s Annual Report on Form 10-K Field on January 7, 2016).</w:t>
            </w:r>
            <w:r>
              <w:rPr>
                <w:rFonts w:ascii="Arial" w:cs="Arial" w:eastAsia="Arial" w:hAnsi="Arial"/>
                <w:sz w:val="28"/>
                <w:szCs w:val="28"/>
                <w:color w:val="auto"/>
                <w:vertAlign w:val="superscript"/>
              </w:rPr>
              <w:t>+</w:t>
            </w:r>
          </w:p>
        </w:tc>
      </w:tr>
      <w:tr>
        <w:trPr>
          <w:trHeight w:val="188"/>
        </w:trPr>
        <w:tc>
          <w:tcPr>
            <w:tcW w:w="620" w:type="dxa"/>
            <w:vAlign w:val="bottom"/>
            <w:gridSpan w:val="6"/>
            <w:shd w:val="clear" w:color="auto" w:fill="CCEEFF"/>
          </w:tcPr>
          <w:p>
            <w:pPr>
              <w:jc w:val="center"/>
              <w:ind w:left="132"/>
              <w:spacing w:after="0" w:line="188"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140" w:type="dxa"/>
            <w:vAlign w:val="bottom"/>
            <w:shd w:val="clear" w:color="auto" w:fill="CCEEFF"/>
          </w:tcPr>
          <w:p>
            <w:pPr>
              <w:spacing w:after="0"/>
              <w:rPr>
                <w:sz w:val="16"/>
                <w:szCs w:val="16"/>
                <w:color w:val="auto"/>
              </w:rPr>
            </w:pPr>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4"/>
              </w:rPr>
              <w:t>Amendment to the 2007 Long Term Equity Incentive Plan as of April 11, 2014 (incorporated by reference to Exhibit</w:t>
            </w:r>
          </w:p>
        </w:tc>
      </w:tr>
      <w:tr>
        <w:trPr>
          <w:trHeight w:val="249"/>
        </w:trPr>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740" w:type="dxa"/>
            <w:vAlign w:val="bottom"/>
            <w:tcBorders>
              <w:top w:val="single" w:sz="8" w:color="CCEEFF"/>
            </w:tcBorders>
            <w:gridSpan w:val="3"/>
            <w:shd w:val="clear" w:color="auto" w:fill="CCEEFF"/>
          </w:tcPr>
          <w:p>
            <w:pPr>
              <w:ind w:left="140"/>
              <w:spacing w:after="0" w:line="249" w:lineRule="exact"/>
              <w:rPr>
                <w:sz w:val="20"/>
                <w:szCs w:val="20"/>
                <w:color w:val="auto"/>
              </w:rPr>
            </w:pPr>
            <w:r>
              <w:rPr>
                <w:rFonts w:ascii="Arial" w:cs="Arial" w:eastAsia="Arial" w:hAnsi="Arial"/>
                <w:sz w:val="17"/>
                <w:szCs w:val="17"/>
                <w:color w:val="auto"/>
              </w:rPr>
              <w:t>10.8 of the Company’s Annual Report on Form 10-K filed January 6, 2015).</w:t>
            </w:r>
            <w:r>
              <w:rPr>
                <w:rFonts w:ascii="Arial" w:cs="Arial" w:eastAsia="Arial" w:hAnsi="Arial"/>
                <w:sz w:val="28"/>
                <w:szCs w:val="28"/>
                <w:color w:val="auto"/>
                <w:vertAlign w:val="superscript"/>
              </w:rPr>
              <w:t>+</w:t>
            </w: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2"/>
              </w:rPr>
              <w:t>2011 Executive Incentive Compensation Plan effective as of November 1, 2010 (incorporated by reference to Exhibit</w:t>
            </w: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10.9 of the Company’s Annual Report on Form 10-K filed January 6, 2015).</w:t>
            </w:r>
            <w:r>
              <w:rPr>
                <w:rFonts w:ascii="Arial" w:cs="Arial" w:eastAsia="Arial" w:hAnsi="Arial"/>
                <w:sz w:val="28"/>
                <w:szCs w:val="28"/>
                <w:color w:val="auto"/>
                <w:vertAlign w:val="superscript"/>
              </w:rPr>
              <w:t>+</w:t>
            </w:r>
          </w:p>
        </w:tc>
      </w:tr>
      <w:tr>
        <w:trPr>
          <w:trHeight w:val="188"/>
        </w:trPr>
        <w:tc>
          <w:tcPr>
            <w:tcW w:w="760" w:type="dxa"/>
            <w:vAlign w:val="bottom"/>
            <w:gridSpan w:val="7"/>
            <w:shd w:val="clear" w:color="auto" w:fill="CCEEFF"/>
          </w:tcPr>
          <w:p>
            <w:pPr>
              <w:jc w:val="center"/>
              <w:spacing w:after="0" w:line="188"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2"/>
              </w:rPr>
              <w:t>Joint Venture Framework Agreement dated November 20, 2013, between the Company and Dai Nippon Printing Co.,</w:t>
            </w:r>
          </w:p>
        </w:tc>
      </w:tr>
      <w:tr>
        <w:trPr>
          <w:trHeight w:val="249"/>
        </w:trPr>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740" w:type="dxa"/>
            <w:vAlign w:val="bottom"/>
            <w:tcBorders>
              <w:top w:val="single" w:sz="8" w:color="CCEEFF"/>
            </w:tcBorders>
            <w:gridSpan w:val="3"/>
            <w:shd w:val="clear" w:color="auto" w:fill="CCEEFF"/>
          </w:tcPr>
          <w:p>
            <w:pPr>
              <w:ind w:left="140"/>
              <w:spacing w:after="0" w:line="249" w:lineRule="exact"/>
              <w:rPr>
                <w:sz w:val="20"/>
                <w:szCs w:val="20"/>
                <w:color w:val="auto"/>
              </w:rPr>
            </w:pPr>
            <w:r>
              <w:rPr>
                <w:rFonts w:ascii="Arial" w:cs="Arial" w:eastAsia="Arial" w:hAnsi="Arial"/>
                <w:sz w:val="17"/>
                <w:szCs w:val="17"/>
                <w:color w:val="auto"/>
                <w:w w:val="97"/>
              </w:rPr>
              <w:t>Ltd (incorporated by reference to Exhibit 10.19 of the Company’s Annual Report on Form 10-K/A filed July 8, 2015).</w:t>
            </w:r>
            <w:r>
              <w:rPr>
                <w:rFonts w:ascii="Arial" w:cs="Arial" w:eastAsia="Arial" w:hAnsi="Arial"/>
                <w:sz w:val="28"/>
                <w:szCs w:val="28"/>
                <w:color w:val="auto"/>
                <w:w w:val="97"/>
                <w:vertAlign w:val="superscript"/>
              </w:rPr>
              <w:t>#</w:t>
            </w:r>
          </w:p>
        </w:tc>
      </w:tr>
      <w:tr>
        <w:trPr>
          <w:trHeight w:val="188"/>
        </w:trPr>
        <w:tc>
          <w:tcPr>
            <w:tcW w:w="620" w:type="dxa"/>
            <w:vAlign w:val="bottom"/>
            <w:gridSpan w:val="6"/>
          </w:tcPr>
          <w:p>
            <w:pPr>
              <w:jc w:val="center"/>
              <w:ind w:left="132"/>
              <w:spacing w:after="0" w:line="188"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140" w:type="dxa"/>
            <w:vAlign w:val="bottom"/>
          </w:tcPr>
          <w:p>
            <w:pPr>
              <w:spacing w:after="0"/>
              <w:rPr>
                <w:sz w:val="16"/>
                <w:szCs w:val="16"/>
                <w:color w:val="auto"/>
              </w:rPr>
            </w:pPr>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3"/>
              </w:rPr>
              <w:t>Joint Venture Operating Agreement dated November 20, 2013, between the Company and Dai Nippon Printing Co.,</w:t>
            </w:r>
          </w:p>
        </w:tc>
      </w:tr>
      <w:tr>
        <w:trPr>
          <w:trHeight w:val="249"/>
        </w:trPr>
        <w:tc>
          <w:tcPr>
            <w:tcW w:w="22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w w:val="97"/>
              </w:rPr>
              <w:t>Ltd. (incorporated by reference to Exhibit 10.20 of the Company’s Annual Report on Form 10-K/A filed July 8, 2015).</w:t>
            </w:r>
            <w:r>
              <w:rPr>
                <w:rFonts w:ascii="Arial" w:cs="Arial" w:eastAsia="Arial" w:hAnsi="Arial"/>
                <w:sz w:val="28"/>
                <w:szCs w:val="28"/>
                <w:color w:val="auto"/>
                <w:w w:val="97"/>
                <w:vertAlign w:val="superscript"/>
              </w:rPr>
              <w:t>#</w:t>
            </w:r>
          </w:p>
        </w:tc>
      </w:tr>
      <w:tr>
        <w:trPr>
          <w:trHeight w:val="188"/>
        </w:trPr>
        <w:tc>
          <w:tcPr>
            <w:tcW w:w="760" w:type="dxa"/>
            <w:vAlign w:val="bottom"/>
            <w:gridSpan w:val="7"/>
            <w:shd w:val="clear" w:color="auto" w:fill="CCEEFF"/>
          </w:tcPr>
          <w:p>
            <w:pPr>
              <w:jc w:val="center"/>
              <w:spacing w:after="0" w:line="188"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1"/>
              </w:rPr>
              <w:t>Outsourcing Agreement dated November 20, 2013, among the Company, Dai Nippon Printing Co., Ltd and Photronics</w:t>
            </w:r>
          </w:p>
        </w:tc>
      </w:tr>
      <w:tr>
        <w:trPr>
          <w:trHeight w:val="211"/>
        </w:trPr>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7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5"/>
              </w:rPr>
              <w:t>Semiconductor Mask Corporation (incorporated by reference to Exhibit 10.21 of the Company’s Annual Report on</w:t>
            </w:r>
          </w:p>
        </w:tc>
      </w:tr>
      <w:tr>
        <w:trPr>
          <w:trHeight w:val="252"/>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740" w:type="dxa"/>
            <w:vAlign w:val="bottom"/>
            <w:gridSpan w:val="3"/>
            <w:shd w:val="clear" w:color="auto" w:fill="CCEEFF"/>
          </w:tcPr>
          <w:p>
            <w:pPr>
              <w:ind w:left="140"/>
              <w:spacing w:after="0" w:line="252" w:lineRule="exact"/>
              <w:rPr>
                <w:sz w:val="20"/>
                <w:szCs w:val="20"/>
                <w:color w:val="auto"/>
              </w:rPr>
            </w:pPr>
            <w:r>
              <w:rPr>
                <w:rFonts w:ascii="Arial" w:cs="Arial" w:eastAsia="Arial" w:hAnsi="Arial"/>
                <w:sz w:val="18"/>
                <w:szCs w:val="18"/>
                <w:color w:val="auto"/>
              </w:rPr>
              <w:t>Form 10-K/A filed July 8, 2015).</w:t>
            </w:r>
            <w:r>
              <w:rPr>
                <w:rFonts w:ascii="Arial" w:cs="Arial" w:eastAsia="Arial" w:hAnsi="Arial"/>
                <w:sz w:val="29"/>
                <w:szCs w:val="29"/>
                <w:color w:val="auto"/>
                <w:vertAlign w:val="superscript"/>
              </w:rPr>
              <w:t>#</w:t>
            </w:r>
          </w:p>
        </w:tc>
      </w:tr>
      <w:tr>
        <w:trPr>
          <w:trHeight w:val="188"/>
        </w:trPr>
        <w:tc>
          <w:tcPr>
            <w:tcW w:w="760" w:type="dxa"/>
            <w:vAlign w:val="bottom"/>
            <w:gridSpan w:val="7"/>
          </w:tcPr>
          <w:p>
            <w:pPr>
              <w:jc w:val="center"/>
              <w:spacing w:after="0" w:line="188"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89"/>
              </w:rPr>
              <w:t>License Agreement dated November 20, 2013, between the Company and Photronics Semiconductor Mask Corporation</w:t>
            </w:r>
          </w:p>
        </w:tc>
      </w:tr>
      <w:tr>
        <w:trPr>
          <w:trHeight w:val="249"/>
        </w:trPr>
        <w:tc>
          <w:tcPr>
            <w:tcW w:w="22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49" w:lineRule="exact"/>
              <w:rPr>
                <w:sz w:val="20"/>
                <w:szCs w:val="20"/>
                <w:color w:val="auto"/>
              </w:rPr>
            </w:pPr>
            <w:r>
              <w:rPr>
                <w:rFonts w:ascii="Arial" w:cs="Arial" w:eastAsia="Arial" w:hAnsi="Arial"/>
                <w:sz w:val="17"/>
                <w:szCs w:val="17"/>
                <w:color w:val="auto"/>
              </w:rPr>
              <w:t>(incorporated by reference to Exhibit 10.22 of the Company’s Annual Report on Form 10-K/A filed July 8, 2015).</w:t>
            </w:r>
            <w:r>
              <w:rPr>
                <w:rFonts w:ascii="Arial" w:cs="Arial" w:eastAsia="Arial" w:hAnsi="Arial"/>
                <w:sz w:val="28"/>
                <w:szCs w:val="28"/>
                <w:color w:val="auto"/>
                <w:vertAlign w:val="superscript"/>
              </w:rPr>
              <w:t>#</w:t>
            </w:r>
          </w:p>
        </w:tc>
      </w:tr>
      <w:tr>
        <w:trPr>
          <w:trHeight w:val="188"/>
        </w:trPr>
        <w:tc>
          <w:tcPr>
            <w:tcW w:w="760" w:type="dxa"/>
            <w:vAlign w:val="bottom"/>
            <w:gridSpan w:val="7"/>
            <w:shd w:val="clear" w:color="auto" w:fill="CCEEFF"/>
          </w:tcPr>
          <w:p>
            <w:pPr>
              <w:jc w:val="center"/>
              <w:spacing w:after="0" w:line="188"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92"/>
              </w:rPr>
              <w:t>License Agreement dated November 20, 2013, between Dai Nippon Printing Co., Ltd and Photronics Semiconductor</w:t>
            </w:r>
          </w:p>
        </w:tc>
      </w:tr>
      <w:tr>
        <w:trPr>
          <w:trHeight w:val="211"/>
        </w:trPr>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7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3"/>
              </w:rPr>
              <w:t>Mask Corporation (incorporated by reference to Exhibit 10.23 of the Company’s Annual Report on Form 10-K/A filed</w:t>
            </w:r>
          </w:p>
        </w:tc>
      </w:tr>
      <w:tr>
        <w:trPr>
          <w:trHeight w:val="252"/>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740" w:type="dxa"/>
            <w:vAlign w:val="bottom"/>
            <w:gridSpan w:val="3"/>
            <w:shd w:val="clear" w:color="auto" w:fill="CCEEFF"/>
          </w:tcPr>
          <w:p>
            <w:pPr>
              <w:ind w:left="140"/>
              <w:spacing w:after="0" w:line="252" w:lineRule="exact"/>
              <w:rPr>
                <w:sz w:val="20"/>
                <w:szCs w:val="20"/>
                <w:color w:val="auto"/>
              </w:rPr>
            </w:pPr>
            <w:r>
              <w:rPr>
                <w:rFonts w:ascii="Arial" w:cs="Arial" w:eastAsia="Arial" w:hAnsi="Arial"/>
                <w:sz w:val="18"/>
                <w:szCs w:val="18"/>
                <w:color w:val="auto"/>
              </w:rPr>
              <w:t>July 8, 2015).</w:t>
            </w:r>
            <w:r>
              <w:rPr>
                <w:rFonts w:ascii="Arial" w:cs="Arial" w:eastAsia="Arial" w:hAnsi="Arial"/>
                <w:sz w:val="29"/>
                <w:szCs w:val="29"/>
                <w:color w:val="auto"/>
                <w:vertAlign w:val="superscript"/>
              </w:rPr>
              <w:t>#</w:t>
            </w:r>
          </w:p>
        </w:tc>
      </w:tr>
      <w:tr>
        <w:trPr>
          <w:trHeight w:val="188"/>
        </w:trPr>
        <w:tc>
          <w:tcPr>
            <w:tcW w:w="760" w:type="dxa"/>
            <w:vAlign w:val="bottom"/>
            <w:gridSpan w:val="7"/>
          </w:tcPr>
          <w:p>
            <w:pPr>
              <w:jc w:val="center"/>
              <w:spacing w:after="0" w:line="188"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5"/>
              </w:rPr>
              <w:t>Margin Agreement dated November 20, 2013, among the Company, Dai Nippon Printing Co., Ltd and Photronics</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w w:val="95"/>
              </w:rPr>
              <w:t>Semiconductor Mask Corporation (incorporated by reference to Exhibit 10.24 of the Company’s Annual Report on</w:t>
            </w:r>
          </w:p>
        </w:tc>
      </w:tr>
      <w:tr>
        <w:trPr>
          <w:trHeight w:val="252"/>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740" w:type="dxa"/>
            <w:vAlign w:val="bottom"/>
            <w:gridSpan w:val="3"/>
          </w:tcPr>
          <w:p>
            <w:pPr>
              <w:ind w:left="140"/>
              <w:spacing w:after="0" w:line="252" w:lineRule="exact"/>
              <w:rPr>
                <w:sz w:val="20"/>
                <w:szCs w:val="20"/>
                <w:color w:val="auto"/>
              </w:rPr>
            </w:pPr>
            <w:r>
              <w:rPr>
                <w:rFonts w:ascii="Arial" w:cs="Arial" w:eastAsia="Arial" w:hAnsi="Arial"/>
                <w:sz w:val="18"/>
                <w:szCs w:val="18"/>
                <w:color w:val="auto"/>
              </w:rPr>
              <w:t>Form 10-K/A filed July 8, 2015).</w:t>
            </w:r>
            <w:r>
              <w:rPr>
                <w:rFonts w:ascii="Arial" w:cs="Arial" w:eastAsia="Arial" w:hAnsi="Arial"/>
                <w:sz w:val="29"/>
                <w:szCs w:val="29"/>
                <w:color w:val="auto"/>
                <w:vertAlign w:val="superscript"/>
              </w:rPr>
              <w:t>#</w:t>
            </w:r>
          </w:p>
        </w:tc>
      </w:tr>
      <w:tr>
        <w:trPr>
          <w:trHeight w:val="188"/>
        </w:trPr>
        <w:tc>
          <w:tcPr>
            <w:tcW w:w="760" w:type="dxa"/>
            <w:vAlign w:val="bottom"/>
            <w:gridSpan w:val="7"/>
            <w:shd w:val="clear" w:color="auto" w:fill="CCEEFF"/>
          </w:tcPr>
          <w:p>
            <w:pPr>
              <w:jc w:val="center"/>
              <w:spacing w:after="0" w:line="188"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8740" w:type="dxa"/>
            <w:vAlign w:val="bottom"/>
            <w:gridSpan w:val="3"/>
            <w:shd w:val="clear" w:color="auto" w:fill="CCEEFF"/>
          </w:tcPr>
          <w:p>
            <w:pPr>
              <w:ind w:left="140"/>
              <w:spacing w:after="0" w:line="188" w:lineRule="exact"/>
              <w:rPr>
                <w:sz w:val="20"/>
                <w:szCs w:val="20"/>
                <w:color w:val="auto"/>
              </w:rPr>
            </w:pPr>
            <w:r>
              <w:rPr>
                <w:rFonts w:ascii="Arial" w:cs="Arial" w:eastAsia="Arial" w:hAnsi="Arial"/>
                <w:sz w:val="18"/>
                <w:szCs w:val="18"/>
                <w:color w:val="auto"/>
                <w:w w:val="89"/>
              </w:rPr>
              <w:t>Merger Agreement dated January 16, 2014, between Photronics Semiconductor Mask Corporation and DNP Photomask</w:t>
            </w:r>
          </w:p>
        </w:tc>
      </w:tr>
      <w:tr>
        <w:trPr>
          <w:trHeight w:val="211"/>
        </w:trPr>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7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1"/>
              </w:rPr>
              <w:t>Technology Taiwan Co., Ltd. (incorporated by reference to Exhibit 10.25 of the Company’s Annual Report on Form 10-</w:t>
            </w:r>
          </w:p>
        </w:tc>
      </w:tr>
      <w:tr>
        <w:trPr>
          <w:trHeight w:val="252"/>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740" w:type="dxa"/>
            <w:vAlign w:val="bottom"/>
            <w:gridSpan w:val="3"/>
            <w:shd w:val="clear" w:color="auto" w:fill="CCEEFF"/>
          </w:tcPr>
          <w:p>
            <w:pPr>
              <w:ind w:left="140"/>
              <w:spacing w:after="0" w:line="252" w:lineRule="exact"/>
              <w:rPr>
                <w:sz w:val="20"/>
                <w:szCs w:val="20"/>
                <w:color w:val="auto"/>
              </w:rPr>
            </w:pPr>
            <w:r>
              <w:rPr>
                <w:rFonts w:ascii="Arial" w:cs="Arial" w:eastAsia="Arial" w:hAnsi="Arial"/>
                <w:sz w:val="18"/>
                <w:szCs w:val="18"/>
                <w:color w:val="auto"/>
              </w:rPr>
              <w:t>K/A filed July 8, 2015).</w:t>
            </w:r>
            <w:r>
              <w:rPr>
                <w:rFonts w:ascii="Arial" w:cs="Arial" w:eastAsia="Arial" w:hAnsi="Arial"/>
                <w:sz w:val="29"/>
                <w:szCs w:val="29"/>
                <w:color w:val="auto"/>
                <w:vertAlign w:val="superscript"/>
              </w:rPr>
              <w:t>#</w:t>
            </w:r>
          </w:p>
        </w:tc>
      </w:tr>
      <w:tr>
        <w:trPr>
          <w:trHeight w:val="188"/>
        </w:trPr>
        <w:tc>
          <w:tcPr>
            <w:tcW w:w="760" w:type="dxa"/>
            <w:vAlign w:val="bottom"/>
            <w:gridSpan w:val="7"/>
          </w:tcPr>
          <w:p>
            <w:pPr>
              <w:jc w:val="center"/>
              <w:spacing w:after="0" w:line="188"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8740" w:type="dxa"/>
            <w:vAlign w:val="bottom"/>
            <w:gridSpan w:val="3"/>
          </w:tcPr>
          <w:p>
            <w:pPr>
              <w:ind w:left="140"/>
              <w:spacing w:after="0" w:line="188" w:lineRule="exact"/>
              <w:rPr>
                <w:sz w:val="20"/>
                <w:szCs w:val="20"/>
                <w:color w:val="auto"/>
              </w:rPr>
            </w:pPr>
            <w:r>
              <w:rPr>
                <w:rFonts w:ascii="Arial" w:cs="Arial" w:eastAsia="Arial" w:hAnsi="Arial"/>
                <w:sz w:val="18"/>
                <w:szCs w:val="18"/>
                <w:color w:val="auto"/>
                <w:w w:val="90"/>
              </w:rPr>
              <w:t>Executive Employment Agreement between the Company and Christopher J. Progler, Vice President, Chief Technology</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w w:val="94"/>
              </w:rPr>
              <w:t>Officer dated September 10, 2007 (incorporated by reference to Exhibit 10.22 to the Company’s Annual Report on</w:t>
            </w:r>
          </w:p>
        </w:tc>
      </w:tr>
      <w:tr>
        <w:trPr>
          <w:trHeight w:val="388"/>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Form 10-K filed on January 9, 2013).</w:t>
            </w:r>
            <w:r>
              <w:rPr>
                <w:rFonts w:ascii="Arial" w:cs="Arial" w:eastAsia="Arial" w:hAnsi="Arial"/>
                <w:sz w:val="29"/>
                <w:szCs w:val="29"/>
                <w:color w:val="auto"/>
                <w:vertAlign w:val="superscript"/>
              </w:rPr>
              <w:t>+</w:t>
            </w:r>
          </w:p>
        </w:tc>
      </w:tr>
      <w:tr>
        <w:trPr>
          <w:trHeight w:val="294"/>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2"/>
          </w:tcPr>
          <w:p>
            <w:pPr>
              <w:ind w:left="39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r>
      <w:tr>
        <w:trPr>
          <w:trHeight w:val="443"/>
        </w:trPr>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
        </w:trPr>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00"/>
          </w:cols>
          <w:pgMar w:left="1200" w:top="278" w:right="119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500"/>
          </w:cols>
          <w:pgMar w:left="1200" w:top="278" w:right="1199" w:bottom="1440" w:gutter="0" w:footer="0" w:header="0"/>
        </w:sectPr>
      </w:pPr>
    </w:p>
    <w:p>
      <w:pPr>
        <w:spacing w:after="0" w:line="14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4857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ind w:right="394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21590</wp:posOffset>
            </wp:positionV>
            <wp:extent cx="5371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5371465"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120" w:space="720"/>
            <w:col w:w="4660"/>
          </w:cols>
          <w:pgMar w:left="1200" w:top="278" w:right="1199" w:bottom="1440" w:gutter="0" w:footer="0" w:header="0"/>
          <w:type w:val="continuous"/>
        </w:sectPr>
      </w:pPr>
    </w:p>
    <w:p>
      <w:pPr>
        <w:jc w:val="both"/>
        <w:ind w:left="900" w:hanging="677"/>
        <w:spacing w:after="0" w:line="219" w:lineRule="auto"/>
        <w:tabs>
          <w:tab w:leader="none" w:pos="880" w:val="left"/>
        </w:tabs>
        <w:rPr>
          <w:rFonts w:ascii="Arial" w:cs="Arial" w:eastAsia="Arial" w:hAnsi="Arial"/>
          <w:sz w:val="18"/>
          <w:szCs w:val="18"/>
          <w:color w:val="0000EE"/>
        </w:rPr>
      </w:pPr>
      <w:hyperlink r:id="rId108">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7"/>
          <w:szCs w:val="17"/>
          <w:color w:val="0000EE"/>
        </w:rPr>
        <w:t>Executive Employment Agreement between the Company and Peter S. Kirlin dated May 4, 2015 (incorporated by reference to Exhibit 10.28 of the Company’s Quarterly Report on Form 10-Q filed on September 9, 2015).</w:t>
      </w:r>
      <w:r>
        <w:rPr>
          <w:rFonts w:ascii="Arial" w:cs="Arial" w:eastAsia="Arial" w:hAnsi="Arial"/>
          <w:sz w:val="28"/>
          <w:szCs w:val="28"/>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-298450</wp:posOffset>
            </wp:positionV>
            <wp:extent cx="6036310" cy="290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jc w:val="both"/>
        <w:ind w:left="900" w:hanging="677"/>
        <w:spacing w:after="0" w:line="211" w:lineRule="auto"/>
        <w:tabs>
          <w:tab w:leader="none" w:pos="88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10.19</w:t>
        </w:r>
      </w:hyperlink>
      <w:r>
        <w:rPr>
          <w:rFonts w:ascii="Arial" w:cs="Arial" w:eastAsia="Arial" w:hAnsi="Arial"/>
          <w:sz w:val="18"/>
          <w:szCs w:val="18"/>
          <w:color w:val="0000EE"/>
        </w:rPr>
        <w:tab/>
      </w:r>
      <w:r>
        <w:rPr>
          <w:rFonts w:ascii="Arial" w:cs="Arial" w:eastAsia="Arial" w:hAnsi="Arial"/>
          <w:sz w:val="17"/>
          <w:szCs w:val="17"/>
          <w:color w:val="0000EE"/>
        </w:rPr>
        <w:t>Executive Employment Agreement between the Company and Richelle E. Burr dated May 21, 2010 (incorporated by reference to Exhibit 10.30 of the Company’s Annual Report on Form 10-K filed on January 7, 2016).</w:t>
      </w:r>
      <w:r>
        <w:rPr>
          <w:rFonts w:ascii="Arial" w:cs="Arial" w:eastAsia="Arial" w:hAnsi="Arial"/>
          <w:sz w:val="28"/>
          <w:szCs w:val="28"/>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6310" cy="290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jc w:val="both"/>
        <w:ind w:left="900" w:hanging="677"/>
        <w:spacing w:after="0" w:line="226" w:lineRule="auto"/>
        <w:tabs>
          <w:tab w:leader="none" w:pos="880" w:val="left"/>
        </w:tabs>
        <w:rPr>
          <w:rFonts w:ascii="Arial" w:cs="Arial" w:eastAsia="Arial" w:hAnsi="Arial"/>
          <w:sz w:val="18"/>
          <w:szCs w:val="18"/>
          <w:color w:val="0000EE"/>
        </w:rPr>
      </w:pPr>
      <w:hyperlink r:id="rId112">
        <w:r>
          <w:rPr>
            <w:rFonts w:ascii="Arial" w:cs="Arial" w:eastAsia="Arial" w:hAnsi="Arial"/>
            <w:sz w:val="18"/>
            <w:szCs w:val="18"/>
            <w:u w:val="single" w:color="auto"/>
            <w:color w:val="0000EE"/>
          </w:rPr>
          <w:t>10.20</w:t>
        </w:r>
      </w:hyperlink>
      <w:r>
        <w:rPr>
          <w:rFonts w:ascii="Arial" w:cs="Arial" w:eastAsia="Arial" w:hAnsi="Arial"/>
          <w:sz w:val="18"/>
          <w:szCs w:val="18"/>
          <w:color w:val="0000EE"/>
        </w:rPr>
        <w:tab/>
      </w:r>
      <w:r>
        <w:rPr>
          <w:rFonts w:ascii="Arial" w:cs="Arial" w:eastAsia="Arial" w:hAnsi="Arial"/>
          <w:sz w:val="16"/>
          <w:szCs w:val="16"/>
          <w:color w:val="0000EE"/>
        </w:rPr>
        <w:t>Executive Employment Agreement between the Company and John P. Jordan dated September 5, 2017 (incorporated by reference to Exhibit 10.31 to the Company’s Annual Report on Form 10-K filed on December 20, 2017).</w:t>
      </w:r>
      <w:r>
        <w:rPr>
          <w:rFonts w:ascii="Arial" w:cs="Arial" w:eastAsia="Arial" w:hAnsi="Arial"/>
          <w:sz w:val="26"/>
          <w:szCs w:val="26"/>
          <w:color w:val="0000EE"/>
          <w:vertAlign w:val="superscript"/>
        </w:rPr>
        <w:t>+</w:t>
      </w:r>
    </w:p>
    <w:p>
      <w:pPr>
        <w:spacing w:after="0" w:line="2" w:lineRule="exact"/>
        <w:rPr>
          <w:sz w:val="20"/>
          <w:szCs w:val="20"/>
          <w:color w:val="auto"/>
        </w:rPr>
      </w:pPr>
    </w:p>
    <w:p>
      <w:pPr>
        <w:ind w:left="220"/>
        <w:spacing w:after="0"/>
        <w:tabs>
          <w:tab w:leader="none" w:pos="880" w:val="left"/>
        </w:tabs>
        <w:rPr>
          <w:rFonts w:ascii="Arial" w:cs="Arial" w:eastAsia="Arial" w:hAnsi="Arial"/>
          <w:sz w:val="18"/>
          <w:szCs w:val="18"/>
          <w:color w:val="0000EE"/>
        </w:rPr>
      </w:pPr>
      <w:hyperlink w:anchor="page82">
        <w:r>
          <w:rPr>
            <w:rFonts w:ascii="Arial" w:cs="Arial" w:eastAsia="Arial" w:hAnsi="Arial"/>
            <w:sz w:val="18"/>
            <w:szCs w:val="18"/>
            <w:u w:val="single" w:color="auto"/>
            <w:color w:val="0000EE"/>
          </w:rPr>
          <w:t>10.21</w:t>
        </w:r>
      </w:hyperlink>
      <w:r>
        <w:rPr>
          <w:rFonts w:ascii="Arial" w:cs="Arial" w:eastAsia="Arial" w:hAnsi="Arial"/>
          <w:sz w:val="18"/>
          <w:szCs w:val="18"/>
          <w:color w:val="0000EE"/>
        </w:rPr>
        <w:tab/>
      </w:r>
      <w:r>
        <w:rPr>
          <w:rFonts w:ascii="Arial" w:cs="Arial" w:eastAsia="Arial" w:hAnsi="Arial"/>
          <w:sz w:val="16"/>
          <w:szCs w:val="16"/>
          <w:color w:val="0000EE"/>
        </w:rPr>
        <w:t>Consulting Agreement between the Company and DEMA Associates, LLC dated January 20, 2018.*</w:t>
      </w:r>
    </w:p>
    <w:p>
      <w:pPr>
        <w:spacing w:after="0" w:line="19" w:lineRule="exact"/>
        <w:rPr>
          <w:sz w:val="20"/>
          <w:szCs w:val="20"/>
          <w:color w:val="auto"/>
        </w:rPr>
      </w:pPr>
    </w:p>
    <w:p>
      <w:pPr>
        <w:ind w:left="220"/>
        <w:spacing w:after="0"/>
        <w:tabs>
          <w:tab w:leader="none" w:pos="88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Form of Amendment to Executive Employment Agreement dated March 16, 2012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6036310" cy="290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ind w:left="900"/>
        <w:spacing w:after="0" w:line="191" w:lineRule="auto"/>
        <w:rPr>
          <w:sz w:val="20"/>
          <w:szCs w:val="20"/>
          <w:color w:val="auto"/>
        </w:rPr>
      </w:pPr>
      <w:r>
        <w:rPr>
          <w:rFonts w:ascii="Arial" w:cs="Arial" w:eastAsia="Arial" w:hAnsi="Arial"/>
          <w:sz w:val="18"/>
          <w:szCs w:val="18"/>
          <w:color w:val="auto"/>
        </w:rPr>
        <w:t>10.1 to the Company’s Current Report on Form 8-K filed on March 16, 2012).</w:t>
      </w:r>
      <w:r>
        <w:rPr>
          <w:rFonts w:ascii="Arial" w:cs="Arial" w:eastAsia="Arial" w:hAnsi="Arial"/>
          <w:sz w:val="29"/>
          <w:szCs w:val="29"/>
          <w:color w:val="auto"/>
          <w:vertAlign w:val="superscript"/>
        </w:rPr>
        <w:t>+</w:t>
      </w:r>
    </w:p>
    <w:p>
      <w:pPr>
        <w:jc w:val="both"/>
        <w:ind w:left="900" w:hanging="677"/>
        <w:spacing w:after="0" w:line="255" w:lineRule="auto"/>
        <w:tabs>
          <w:tab w:leader="none" w:pos="880" w:val="left"/>
        </w:tabs>
        <w:rPr>
          <w:rFonts w:ascii="Arial" w:cs="Arial" w:eastAsia="Arial" w:hAnsi="Arial"/>
          <w:sz w:val="18"/>
          <w:szCs w:val="18"/>
          <w:color w:val="0000EE"/>
        </w:rPr>
      </w:pPr>
      <w:hyperlink w:anchor="page86">
        <w:r>
          <w:rPr>
            <w:rFonts w:ascii="Arial" w:cs="Arial" w:eastAsia="Arial" w:hAnsi="Arial"/>
            <w:sz w:val="18"/>
            <w:szCs w:val="18"/>
            <w:u w:val="single" w:color="auto"/>
            <w:color w:val="0000EE"/>
          </w:rPr>
          <w:t>10.23</w:t>
        </w:r>
      </w:hyperlink>
      <w:r>
        <w:rPr>
          <w:rFonts w:ascii="Arial" w:cs="Arial" w:eastAsia="Arial" w:hAnsi="Arial"/>
          <w:sz w:val="18"/>
          <w:szCs w:val="18"/>
          <w:color w:val="0000EE"/>
        </w:rPr>
        <w:tab/>
        <w:t>Amendment No 4 dated as of August 17, 2018 to the Third Amended and Restated Credit Agreement dated as of December 5, 2013.*</w:t>
      </w:r>
    </w:p>
    <w:p>
      <w:pPr>
        <w:spacing w:after="0" w:line="1" w:lineRule="exact"/>
        <w:rPr>
          <w:sz w:val="20"/>
          <w:szCs w:val="20"/>
          <w:color w:val="auto"/>
        </w:rPr>
      </w:pPr>
    </w:p>
    <w:p>
      <w:pPr>
        <w:jc w:val="both"/>
        <w:ind w:left="900" w:hanging="677"/>
        <w:spacing w:after="0" w:line="259" w:lineRule="auto"/>
        <w:tabs>
          <w:tab w:leader="none" w:pos="880" w:val="left"/>
        </w:tabs>
        <w:rPr>
          <w:rFonts w:ascii="Arial" w:cs="Arial" w:eastAsia="Arial" w:hAnsi="Arial"/>
          <w:sz w:val="18"/>
          <w:szCs w:val="18"/>
          <w:color w:val="0000EE"/>
        </w:rPr>
      </w:pPr>
      <w:hyperlink w:anchor="page94">
        <w:r>
          <w:rPr>
            <w:rFonts w:ascii="Arial" w:cs="Arial" w:eastAsia="Arial" w:hAnsi="Arial"/>
            <w:sz w:val="18"/>
            <w:szCs w:val="18"/>
            <w:u w:val="single" w:color="auto"/>
            <w:color w:val="0000EE"/>
          </w:rPr>
          <w:t>10.24</w:t>
        </w:r>
      </w:hyperlink>
      <w:r>
        <w:rPr>
          <w:rFonts w:ascii="Arial" w:cs="Arial" w:eastAsia="Arial" w:hAnsi="Arial"/>
          <w:sz w:val="18"/>
          <w:szCs w:val="18"/>
          <w:color w:val="0000EE"/>
        </w:rPr>
        <w:tab/>
        <w:t>Fourth Amended and Restated Credit Agreement dated as of September 27, 2018 among Photronics, Inc. the Foreign Subsidiary Borrower Party Thereto, the Lender Party Thereto, JPMorgan Chase Bank, N.A. as Administrative and Collateral Agent and Bank of America, N.A. 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-424180</wp:posOffset>
            </wp:positionV>
            <wp:extent cx="6036310" cy="426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6036310" cy="426085"/>
                    </a:xfrm>
                    <a:prstGeom prst="rect">
                      <a:avLst/>
                    </a:prstGeom>
                    <a:noFill/>
                  </pic:spPr>
                </pic:pic>
              </a:graphicData>
            </a:graphic>
          </wp:anchor>
        </w:drawing>
      </w:r>
    </w:p>
    <w:p>
      <w:pPr>
        <w:jc w:val="both"/>
        <w:ind w:left="900" w:hanging="677"/>
        <w:spacing w:after="0" w:line="264" w:lineRule="auto"/>
        <w:tabs>
          <w:tab w:leader="none" w:pos="880" w:val="left"/>
        </w:tabs>
        <w:rPr>
          <w:rFonts w:ascii="Arial" w:cs="Arial" w:eastAsia="Arial" w:hAnsi="Arial"/>
          <w:sz w:val="18"/>
          <w:szCs w:val="18"/>
          <w:color w:val="0000EE"/>
        </w:rPr>
      </w:pPr>
      <w:hyperlink w:anchor="page211">
        <w:r>
          <w:rPr>
            <w:rFonts w:ascii="Arial" w:cs="Arial" w:eastAsia="Arial" w:hAnsi="Arial"/>
            <w:sz w:val="18"/>
            <w:szCs w:val="18"/>
            <w:u w:val="single" w:color="auto"/>
            <w:color w:val="0000EE"/>
          </w:rPr>
          <w:t>10.25</w:t>
        </w:r>
      </w:hyperlink>
      <w:r>
        <w:rPr>
          <w:rFonts w:ascii="Arial" w:cs="Arial" w:eastAsia="Arial" w:hAnsi="Arial"/>
          <w:sz w:val="18"/>
          <w:szCs w:val="18"/>
          <w:color w:val="0000EE"/>
        </w:rPr>
        <w:tab/>
        <w:t>Third Amended and Restated Security Agreement entered into as of September 27, 2018 by and among Photronics, Inc., the subsidiaries of the Company and JPMorgan Chase Bank N.A.*</w:t>
      </w:r>
    </w:p>
    <w:p>
      <w:pPr>
        <w:spacing w:after="0" w:line="1" w:lineRule="exact"/>
        <w:rPr>
          <w:sz w:val="20"/>
          <w:szCs w:val="20"/>
          <w:color w:val="auto"/>
        </w:rPr>
      </w:pPr>
    </w:p>
    <w:p>
      <w:pPr>
        <w:jc w:val="both"/>
        <w:ind w:left="900" w:hanging="677"/>
        <w:spacing w:after="0" w:line="264" w:lineRule="auto"/>
        <w:tabs>
          <w:tab w:leader="none" w:pos="880" w:val="left"/>
        </w:tabs>
        <w:rPr>
          <w:rFonts w:ascii="Arial" w:cs="Arial" w:eastAsia="Arial" w:hAnsi="Arial"/>
          <w:sz w:val="18"/>
          <w:szCs w:val="18"/>
          <w:color w:val="0000EE"/>
        </w:rPr>
      </w:pPr>
      <w:hyperlink w:anchor="page245">
        <w:r>
          <w:rPr>
            <w:rFonts w:ascii="Arial" w:cs="Arial" w:eastAsia="Arial" w:hAnsi="Arial"/>
            <w:sz w:val="18"/>
            <w:szCs w:val="18"/>
            <w:u w:val="single" w:color="auto"/>
            <w:color w:val="0000EE"/>
          </w:rPr>
          <w:t>10.26</w:t>
        </w:r>
      </w:hyperlink>
      <w:r>
        <w:rPr>
          <w:rFonts w:ascii="Arial" w:cs="Arial" w:eastAsia="Arial" w:hAnsi="Arial"/>
          <w:sz w:val="18"/>
          <w:szCs w:val="18"/>
          <w:color w:val="0000EE"/>
        </w:rPr>
        <w:tab/>
        <w:t>Fixed Asset Loan Agreement between Photronics DNP Mask Corporation Xiamen and Industrial and Commercial Bureau China Limited Xiamen Xiang’an Branch effective as of November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6036310" cy="290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jc w:val="both"/>
        <w:ind w:left="900" w:hanging="677"/>
        <w:spacing w:after="0" w:line="264" w:lineRule="auto"/>
        <w:tabs>
          <w:tab w:leader="none" w:pos="880" w:val="left"/>
        </w:tabs>
        <w:rPr>
          <w:rFonts w:ascii="Arial" w:cs="Arial" w:eastAsia="Arial" w:hAnsi="Arial"/>
          <w:sz w:val="18"/>
          <w:szCs w:val="18"/>
          <w:color w:val="0000EE"/>
        </w:rPr>
      </w:pPr>
      <w:hyperlink w:anchor="page264">
        <w:r>
          <w:rPr>
            <w:rFonts w:ascii="Arial" w:cs="Arial" w:eastAsia="Arial" w:hAnsi="Arial"/>
            <w:sz w:val="18"/>
            <w:szCs w:val="18"/>
            <w:u w:val="single" w:color="auto"/>
            <w:color w:val="0000EE"/>
          </w:rPr>
          <w:t>10.27</w:t>
        </w:r>
      </w:hyperlink>
      <w:r>
        <w:rPr>
          <w:rFonts w:ascii="Arial" w:cs="Arial" w:eastAsia="Arial" w:hAnsi="Arial"/>
          <w:sz w:val="18"/>
          <w:szCs w:val="18"/>
          <w:color w:val="0000EE"/>
        </w:rPr>
        <w:tab/>
        <w:t>Working Capital Loan Agreement between Industrial and Commercial Bureau China Limited Xiamen Xiang’an Branch and Photronics DNP Mask Corporation Xiamen effective as of November 7, 2018.*</w:t>
      </w:r>
    </w:p>
    <w:p>
      <w:pPr>
        <w:spacing w:after="0" w:line="1" w:lineRule="exact"/>
        <w:rPr>
          <w:sz w:val="20"/>
          <w:szCs w:val="20"/>
          <w:color w:val="auto"/>
        </w:rPr>
      </w:pPr>
    </w:p>
    <w:p>
      <w:pPr>
        <w:jc w:val="both"/>
        <w:ind w:left="900" w:hanging="677"/>
        <w:spacing w:after="0" w:line="259" w:lineRule="auto"/>
        <w:tabs>
          <w:tab w:leader="none" w:pos="880" w:val="left"/>
        </w:tabs>
        <w:rPr>
          <w:rFonts w:ascii="Arial" w:cs="Arial" w:eastAsia="Arial" w:hAnsi="Arial"/>
          <w:sz w:val="18"/>
          <w:szCs w:val="18"/>
          <w:color w:val="0000EE"/>
        </w:rPr>
      </w:pPr>
      <w:hyperlink r:id="rId117">
        <w:r>
          <w:rPr>
            <w:rFonts w:ascii="Arial" w:cs="Arial" w:eastAsia="Arial" w:hAnsi="Arial"/>
            <w:sz w:val="18"/>
            <w:szCs w:val="18"/>
            <w:u w:val="single" w:color="auto"/>
            <w:color w:val="0000EE"/>
          </w:rPr>
          <w:t>10.28</w:t>
        </w:r>
      </w:hyperlink>
      <w:r>
        <w:rPr>
          <w:rFonts w:ascii="Arial" w:cs="Arial" w:eastAsia="Arial" w:hAnsi="Arial"/>
          <w:sz w:val="18"/>
          <w:szCs w:val="18"/>
          <w:color w:val="0000EE"/>
        </w:rPr>
        <w:tab/>
        <w:t>Investment Agreement between Xiamen Torch Hi-Tech Industrial Development Zone Management Committee and Photronics Singapore Pte. Ltd. dated August 18, 2016 (incorporated by reference to Exhibit 10.35 to the Company’s Quarterly Report on Form 10-Q filed on 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-424180</wp:posOffset>
            </wp:positionV>
            <wp:extent cx="6036310" cy="426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6036310" cy="426085"/>
                    </a:xfrm>
                    <a:prstGeom prst="rect">
                      <a:avLst/>
                    </a:prstGeom>
                    <a:noFill/>
                  </pic:spPr>
                </pic:pic>
              </a:graphicData>
            </a:graphic>
          </wp:anchor>
        </w:drawing>
      </w:r>
    </w:p>
    <w:p>
      <w:pPr>
        <w:jc w:val="both"/>
        <w:ind w:left="900" w:hanging="677"/>
        <w:spacing w:after="0" w:line="238" w:lineRule="auto"/>
        <w:tabs>
          <w:tab w:leader="none" w:pos="88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10.29</w:t>
        </w:r>
      </w:hyperlink>
      <w:r>
        <w:rPr>
          <w:rFonts w:ascii="Arial" w:cs="Arial" w:eastAsia="Arial" w:hAnsi="Arial"/>
          <w:sz w:val="18"/>
          <w:szCs w:val="18"/>
          <w:color w:val="0000EE"/>
        </w:rPr>
        <w:tab/>
      </w:r>
      <w:r>
        <w:rPr>
          <w:rFonts w:ascii="Arial" w:cs="Arial" w:eastAsia="Arial" w:hAnsi="Arial"/>
          <w:sz w:val="17"/>
          <w:szCs w:val="17"/>
          <w:color w:val="0000EE"/>
        </w:rPr>
        <w:t>Contribution Agreement dated May 16, 2017 among Dai Nippon Printing Co., Ltd. (“DNP”), DNP Asia Pacific Pte. Ltd. (“DNP Asia Pacific”), Photronics, Inc. (“Photronics”), Photronics Singapore Pte. Ltd., (“Photronics Singapore”), and Xiamen American Japan Photronics Mask Co., Ltd. (“PDMCX”) (incorporated by reference to Exhibit 10.26 to the Company’s Quarterly Report on Form 10-Q/A filed on December 19, 2017).</w:t>
      </w:r>
      <w:r>
        <w:rPr>
          <w:rFonts w:ascii="Arial" w:cs="Arial" w:eastAsia="Arial" w:hAnsi="Arial"/>
          <w:sz w:val="28"/>
          <w:szCs w:val="28"/>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6036310" cy="426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6036310" cy="426085"/>
                    </a:xfrm>
                    <a:prstGeom prst="rect">
                      <a:avLst/>
                    </a:prstGeom>
                    <a:noFill/>
                  </pic:spPr>
                </pic:pic>
              </a:graphicData>
            </a:graphic>
          </wp:anchor>
        </w:drawing>
      </w:r>
    </w:p>
    <w:p>
      <w:pPr>
        <w:jc w:val="both"/>
        <w:ind w:left="900" w:hanging="677"/>
        <w:spacing w:after="0" w:line="215" w:lineRule="auto"/>
        <w:tabs>
          <w:tab w:leader="none" w:pos="880" w:val="left"/>
        </w:tabs>
        <w:rPr>
          <w:rFonts w:ascii="Arial" w:cs="Arial" w:eastAsia="Arial" w:hAnsi="Arial"/>
          <w:sz w:val="18"/>
          <w:szCs w:val="18"/>
          <w:color w:val="0000EE"/>
        </w:rPr>
      </w:pPr>
      <w:hyperlink r:id="rId121">
        <w:r>
          <w:rPr>
            <w:rFonts w:ascii="Arial" w:cs="Arial" w:eastAsia="Arial" w:hAnsi="Arial"/>
            <w:sz w:val="18"/>
            <w:szCs w:val="18"/>
            <w:u w:val="single" w:color="auto"/>
            <w:color w:val="0000EE"/>
          </w:rPr>
          <w:t>10.30</w:t>
        </w:r>
      </w:hyperlink>
      <w:r>
        <w:rPr>
          <w:rFonts w:ascii="Arial" w:cs="Arial" w:eastAsia="Arial" w:hAnsi="Arial"/>
          <w:sz w:val="18"/>
          <w:szCs w:val="18"/>
          <w:color w:val="0000EE"/>
        </w:rPr>
        <w:tab/>
        <w:t>Joint Venture Operating Agreement dated May 16, 2017 among Photronics, Photronics Singapore, DNP and DNP Asia Pacific (incorporated by reference to Exhibit 10.27 to the Company’s Quarterly Report on Form 10-Q/A filed on December 19, 2017).</w:t>
      </w:r>
      <w:r>
        <w:rPr>
          <w:rFonts w:ascii="Arial" w:cs="Arial" w:eastAsia="Arial" w:hAnsi="Arial"/>
          <w:sz w:val="29"/>
          <w:szCs w:val="29"/>
          <w:color w:val="0000EE"/>
          <w:vertAlign w:val="superscript"/>
        </w:rPr>
        <w:t>#</w:t>
      </w:r>
    </w:p>
    <w:p>
      <w:pPr>
        <w:spacing w:after="0" w:line="2" w:lineRule="exact"/>
        <w:rPr>
          <w:sz w:val="20"/>
          <w:szCs w:val="20"/>
          <w:color w:val="auto"/>
        </w:rPr>
      </w:pPr>
    </w:p>
    <w:p>
      <w:pPr>
        <w:jc w:val="both"/>
        <w:ind w:left="900" w:hanging="677"/>
        <w:spacing w:after="0" w:line="215" w:lineRule="auto"/>
        <w:tabs>
          <w:tab w:leader="none" w:pos="88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10.31</w:t>
        </w:r>
      </w:hyperlink>
      <w:r>
        <w:rPr>
          <w:rFonts w:ascii="Arial" w:cs="Arial" w:eastAsia="Arial" w:hAnsi="Arial"/>
          <w:sz w:val="18"/>
          <w:szCs w:val="18"/>
          <w:color w:val="0000EE"/>
        </w:rPr>
        <w:tab/>
        <w:t>Outsourcing Agreement dated May 16, 2017 among Photronics, DNP, Photronics DNP Photomask Corporation (“PDMC”), and PDMCX (incorporated by reference to Exhibit 10.28 to the Company’s Quarterly Report on Form 10-Q/A filed on December 19, 2017).</w:t>
      </w:r>
      <w:r>
        <w:rPr>
          <w:rFonts w:ascii="Arial" w:cs="Arial" w:eastAsia="Arial" w:hAnsi="Arial"/>
          <w:sz w:val="29"/>
          <w:szCs w:val="29"/>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6310" cy="290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jc w:val="both"/>
        <w:ind w:left="900" w:hanging="677"/>
        <w:spacing w:after="0" w:line="211" w:lineRule="auto"/>
        <w:tabs>
          <w:tab w:leader="none" w:pos="880" w:val="left"/>
        </w:tabs>
        <w:rPr>
          <w:rFonts w:ascii="Arial" w:cs="Arial" w:eastAsia="Arial" w:hAnsi="Arial"/>
          <w:sz w:val="18"/>
          <w:szCs w:val="18"/>
          <w:color w:val="0000EE"/>
        </w:rPr>
      </w:pPr>
      <w:hyperlink r:id="rId124">
        <w:r>
          <w:rPr>
            <w:rFonts w:ascii="Arial" w:cs="Arial" w:eastAsia="Arial" w:hAnsi="Arial"/>
            <w:sz w:val="18"/>
            <w:szCs w:val="18"/>
            <w:u w:val="single" w:color="auto"/>
            <w:color w:val="0000EE"/>
          </w:rPr>
          <w:t>10.32</w:t>
        </w:r>
      </w:hyperlink>
      <w:r>
        <w:rPr>
          <w:rFonts w:ascii="Arial" w:cs="Arial" w:eastAsia="Arial" w:hAnsi="Arial"/>
          <w:sz w:val="18"/>
          <w:szCs w:val="18"/>
          <w:color w:val="0000EE"/>
        </w:rPr>
        <w:tab/>
      </w:r>
      <w:r>
        <w:rPr>
          <w:rFonts w:ascii="Arial" w:cs="Arial" w:eastAsia="Arial" w:hAnsi="Arial"/>
          <w:sz w:val="17"/>
          <w:szCs w:val="17"/>
          <w:color w:val="0000EE"/>
        </w:rPr>
        <w:t>Amended and Restated License Agreement dated May 16, 2017 between DNP and PDMC. (incorporated by reference to Exhibit 10.29 to the Company’s Quarterly Report on Form 10-Q/A filed on December 19, 2017).</w:t>
      </w:r>
      <w:r>
        <w:rPr>
          <w:rFonts w:ascii="Arial" w:cs="Arial" w:eastAsia="Arial" w:hAnsi="Arial"/>
          <w:sz w:val="28"/>
          <w:szCs w:val="28"/>
          <w:color w:val="0000EE"/>
          <w:vertAlign w:val="superscript"/>
        </w:rPr>
        <w:t>#</w:t>
      </w:r>
    </w:p>
    <w:p>
      <w:pPr>
        <w:spacing w:after="0" w:line="2" w:lineRule="exact"/>
        <w:rPr>
          <w:sz w:val="20"/>
          <w:szCs w:val="20"/>
          <w:color w:val="auto"/>
        </w:rPr>
      </w:pPr>
    </w:p>
    <w:p>
      <w:pPr>
        <w:jc w:val="both"/>
        <w:ind w:left="900" w:hanging="677"/>
        <w:spacing w:after="0" w:line="215" w:lineRule="auto"/>
        <w:tabs>
          <w:tab w:leader="none" w:pos="88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10.33</w:t>
        </w:r>
      </w:hyperlink>
      <w:r>
        <w:rPr>
          <w:rFonts w:ascii="Arial" w:cs="Arial" w:eastAsia="Arial" w:hAnsi="Arial"/>
          <w:sz w:val="18"/>
          <w:szCs w:val="18"/>
          <w:color w:val="0000EE"/>
        </w:rPr>
        <w:tab/>
        <w:t>Investment Cooperation Agreement between Hefei State Hi-tech Industry Development Zone and Photronics UK, Ltd. (incorporated by reference to Exhibit 10.42 to the Company’s Annual Report on Form 10-K filed on December 20, 2017).</w:t>
      </w:r>
      <w:r>
        <w:rPr>
          <w:rFonts w:ascii="Arial" w:cs="Arial" w:eastAsia="Arial" w:hAnsi="Arial"/>
          <w:sz w:val="29"/>
          <w:szCs w:val="29"/>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6310" cy="1536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6036310" cy="153670"/>
                    </a:xfrm>
                    <a:prstGeom prst="rect">
                      <a:avLst/>
                    </a:prstGeom>
                    <a:noFill/>
                  </pic:spPr>
                </pic:pic>
              </a:graphicData>
            </a:graphic>
          </wp:anchor>
        </w:drawing>
      </w:r>
    </w:p>
    <w:p>
      <w:pPr>
        <w:ind w:left="900" w:hanging="575"/>
        <w:spacing w:after="0"/>
        <w:tabs>
          <w:tab w:leader="none" w:pos="900"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19" w:lineRule="exact"/>
        <w:rPr>
          <w:sz w:val="20"/>
          <w:szCs w:val="20"/>
          <w:color w:val="auto"/>
        </w:rPr>
      </w:pPr>
    </w:p>
    <w:p>
      <w:pPr>
        <w:ind w:left="260"/>
        <w:spacing w:after="0"/>
        <w:tabs>
          <w:tab w:leader="none" w:pos="880" w:val="left"/>
        </w:tabs>
        <w:rPr>
          <w:rFonts w:ascii="Arial" w:cs="Arial" w:eastAsia="Arial" w:hAnsi="Arial"/>
          <w:sz w:val="18"/>
          <w:szCs w:val="18"/>
          <w:color w:val="0000EE"/>
        </w:rPr>
      </w:pPr>
      <w:hyperlink w:anchor="page300">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Deloitte &amp; Touche LLP, Independent Registered Public Accounting Firm*</w:t>
      </w:r>
    </w:p>
    <w:p>
      <w:pPr>
        <w:spacing w:after="0" w:line="35" w:lineRule="exact"/>
        <w:rPr>
          <w:sz w:val="20"/>
          <w:szCs w:val="20"/>
          <w:color w:val="auto"/>
        </w:rPr>
      </w:pPr>
    </w:p>
    <w:p>
      <w:pPr>
        <w:ind w:left="900" w:hanging="632"/>
        <w:spacing w:after="0" w:line="264" w:lineRule="auto"/>
        <w:tabs>
          <w:tab w:leader="none" w:pos="880" w:val="left"/>
        </w:tabs>
        <w:rPr>
          <w:rFonts w:ascii="Arial" w:cs="Arial" w:eastAsia="Arial" w:hAnsi="Arial"/>
          <w:sz w:val="18"/>
          <w:szCs w:val="18"/>
          <w:color w:val="0000EE"/>
        </w:rPr>
      </w:pPr>
      <w:hyperlink w:anchor="page301">
        <w:r>
          <w:rPr>
            <w:rFonts w:ascii="Arial" w:cs="Arial" w:eastAsia="Arial" w:hAnsi="Arial"/>
            <w:sz w:val="18"/>
            <w:szCs w:val="18"/>
            <w:u w:val="single" w:color="auto"/>
            <w:color w:val="0000EE"/>
          </w:rPr>
          <w:t>31.1</w:t>
        </w:r>
      </w:hyperlink>
      <w:r>
        <w:rPr>
          <w:rFonts w:ascii="Arial" w:cs="Arial" w:eastAsia="Arial" w:hAnsi="Arial"/>
          <w:sz w:val="18"/>
          <w:szCs w:val="18"/>
          <w:color w:val="0000EE"/>
        </w:rPr>
        <w:tab/>
        <w:t>Certification of Chief Executive Officer pursuant to Rule 13a-14(a)/15d-14(a)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6036310" cy="290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ind w:left="900" w:hanging="632"/>
        <w:spacing w:after="0" w:line="264" w:lineRule="auto"/>
        <w:tabs>
          <w:tab w:leader="none" w:pos="880" w:val="left"/>
        </w:tabs>
        <w:rPr>
          <w:rFonts w:ascii="Arial" w:cs="Arial" w:eastAsia="Arial" w:hAnsi="Arial"/>
          <w:sz w:val="18"/>
          <w:szCs w:val="18"/>
          <w:color w:val="0000EE"/>
        </w:rPr>
      </w:pPr>
      <w:hyperlink w:anchor="page302">
        <w:r>
          <w:rPr>
            <w:rFonts w:ascii="Arial" w:cs="Arial" w:eastAsia="Arial" w:hAnsi="Arial"/>
            <w:sz w:val="18"/>
            <w:szCs w:val="18"/>
            <w:u w:val="single" w:color="auto"/>
            <w:color w:val="0000EE"/>
          </w:rPr>
          <w:t>31.2</w:t>
        </w:r>
      </w:hyperlink>
      <w:r>
        <w:rPr>
          <w:rFonts w:ascii="Arial" w:cs="Arial" w:eastAsia="Arial" w:hAnsi="Arial"/>
          <w:sz w:val="18"/>
          <w:szCs w:val="18"/>
          <w:color w:val="0000EE"/>
        </w:rPr>
        <w:tab/>
        <w:t>Certification of Chief Financial Officer pursuant to Rule 13a-14(a)/15d-14(a) of the Securities Exchange Act of 1934, as adopted pursuant to Section 302 of the Sarbanes-Oxley Act of 2002.*</w:t>
      </w:r>
    </w:p>
    <w:p>
      <w:pPr>
        <w:spacing w:after="0" w:line="1" w:lineRule="exact"/>
        <w:rPr>
          <w:sz w:val="20"/>
          <w:szCs w:val="20"/>
          <w:color w:val="auto"/>
        </w:rPr>
      </w:pPr>
    </w:p>
    <w:p>
      <w:pPr>
        <w:ind w:left="900" w:hanging="632"/>
        <w:spacing w:after="0" w:line="275" w:lineRule="auto"/>
        <w:tabs>
          <w:tab w:leader="none" w:pos="880" w:val="left"/>
        </w:tabs>
        <w:rPr>
          <w:rFonts w:ascii="Arial" w:cs="Arial" w:eastAsia="Arial" w:hAnsi="Arial"/>
          <w:sz w:val="18"/>
          <w:szCs w:val="18"/>
          <w:color w:val="0000EE"/>
        </w:rPr>
      </w:pPr>
      <w:hyperlink w:anchor="page303">
        <w:r>
          <w:rPr>
            <w:rFonts w:ascii="Arial" w:cs="Arial" w:eastAsia="Arial" w:hAnsi="Arial"/>
            <w:sz w:val="18"/>
            <w:szCs w:val="18"/>
            <w:u w:val="single" w:color="auto"/>
            <w:color w:val="0000EE"/>
          </w:rPr>
          <w:t>32.1</w:t>
        </w:r>
      </w:hyperlink>
      <w:r>
        <w:rPr>
          <w:rFonts w:ascii="Arial" w:cs="Arial" w:eastAsia="Arial" w:hAnsi="Arial"/>
          <w:sz w:val="18"/>
          <w:szCs w:val="18"/>
          <w:color w:val="0000EE"/>
        </w:rPr>
        <w:tab/>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6036310" cy="290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6036310" cy="29019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603631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84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5"/>
                <w:szCs w:val="15"/>
                <w:color w:val="auto"/>
              </w:rPr>
            </w:pPr>
          </w:p>
        </w:tc>
      </w:tr>
      <w:tr>
        <w:trPr>
          <w:trHeight w:val="181"/>
        </w:trPr>
        <w:tc>
          <w:tcPr>
            <w:tcW w:w="760" w:type="dxa"/>
            <w:vAlign w:val="bottom"/>
            <w:gridSpan w:val="3"/>
          </w:tcPr>
          <w:p>
            <w:pPr>
              <w:jc w:val="center"/>
              <w:spacing w:after="0" w:line="182" w:lineRule="exact"/>
              <w:rPr>
                <w:rFonts w:ascii="Arial" w:cs="Arial" w:eastAsia="Arial" w:hAnsi="Arial"/>
                <w:sz w:val="18"/>
                <w:szCs w:val="18"/>
                <w:color w:val="0000EE"/>
                <w:w w:val="91"/>
              </w:rPr>
            </w:pPr>
            <w:hyperlink w:anchor="page304">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200" w:type="dxa"/>
            <w:vAlign w:val="bottom"/>
          </w:tcPr>
          <w:p>
            <w:pPr>
              <w:spacing w:after="0"/>
              <w:rPr>
                <w:sz w:val="15"/>
                <w:szCs w:val="15"/>
                <w:color w:val="auto"/>
              </w:rPr>
            </w:pPr>
          </w:p>
        </w:tc>
        <w:tc>
          <w:tcPr>
            <w:tcW w:w="8540" w:type="dxa"/>
            <w:vAlign w:val="bottom"/>
            <w:gridSpan w:val="2"/>
          </w:tcPr>
          <w:p>
            <w:pPr>
              <w:spacing w:after="0" w:line="182"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w:t>
            </w:r>
          </w:p>
        </w:tc>
      </w:tr>
      <w:tr>
        <w:trPr>
          <w:trHeight w:val="242"/>
        </w:trPr>
        <w:tc>
          <w:tcPr>
            <w:tcW w:w="260" w:type="dxa"/>
            <w:vAlign w:val="bottom"/>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Sarbanes-Oxley Act of 2002.*</w:t>
            </w:r>
          </w:p>
        </w:tc>
      </w:tr>
      <w:tr>
        <w:trPr>
          <w:trHeight w:val="248"/>
        </w:trPr>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r>
      <w:tr>
        <w:trPr>
          <w:trHeight w:val="236"/>
        </w:trPr>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101.SCH</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48"/>
        </w:trPr>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6"/>
        </w:trPr>
        <w:tc>
          <w:tcPr>
            <w:tcW w:w="760" w:type="dxa"/>
            <w:vAlign w:val="bottom"/>
            <w:gridSpan w:val="3"/>
          </w:tcPr>
          <w:p>
            <w:pPr>
              <w:jc w:val="center"/>
              <w:spacing w:after="0"/>
              <w:rPr>
                <w:sz w:val="20"/>
                <w:szCs w:val="20"/>
                <w:color w:val="auto"/>
              </w:rPr>
            </w:pPr>
            <w:r>
              <w:rPr>
                <w:rFonts w:ascii="Arial" w:cs="Arial" w:eastAsia="Arial" w:hAnsi="Arial"/>
                <w:sz w:val="18"/>
                <w:szCs w:val="18"/>
                <w:color w:val="auto"/>
                <w:w w:val="92"/>
              </w:rPr>
              <w:t>101.DEF</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8"/>
        </w:trPr>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8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760" w:type="dxa"/>
            <w:vAlign w:val="bottom"/>
            <w:gridSpan w:val="3"/>
          </w:tcPr>
          <w:p>
            <w:pPr>
              <w:jc w:val="center"/>
              <w:spacing w:after="0"/>
              <w:rPr>
                <w:sz w:val="20"/>
                <w:szCs w:val="20"/>
                <w:color w:val="auto"/>
              </w:rPr>
            </w:pPr>
            <w:r>
              <w:rPr>
                <w:rFonts w:ascii="Arial" w:cs="Arial" w:eastAsia="Arial" w:hAnsi="Arial"/>
                <w:sz w:val="18"/>
                <w:szCs w:val="18"/>
                <w:color w:val="auto"/>
                <w:w w:val="88"/>
              </w:rPr>
              <w:t>101.PRE</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903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296" w:lineRule="exact"/>
        <w:rPr>
          <w:sz w:val="20"/>
          <w:szCs w:val="20"/>
          <w:color w:val="auto"/>
        </w:rPr>
      </w:pPr>
    </w:p>
    <w:p>
      <w:pPr>
        <w:ind w:left="340" w:hanging="339"/>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 management contract or compensatory plan or arrangement.</w:t>
      </w:r>
    </w:p>
    <w:p>
      <w:pPr>
        <w:spacing w:after="0" w:line="108" w:lineRule="exact"/>
        <w:rPr>
          <w:sz w:val="20"/>
          <w:szCs w:val="20"/>
          <w:color w:val="auto"/>
        </w:rPr>
      </w:pPr>
    </w:p>
    <w:p>
      <w:pPr>
        <w:ind w:left="340" w:hanging="339"/>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Portions of this exhibit have been omitted pursuant to a request for confidential treatment filed with the Securities and Exchange Commission.</w:t>
      </w:r>
    </w:p>
    <w:p>
      <w:pPr>
        <w:spacing w:after="0" w:line="108" w:lineRule="exact"/>
        <w:rPr>
          <w:sz w:val="20"/>
          <w:szCs w:val="20"/>
          <w:color w:val="auto"/>
        </w:rPr>
      </w:pPr>
    </w:p>
    <w:p>
      <w:pPr>
        <w:ind w:left="340" w:hanging="339"/>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an exhibit that is filed with this Annual Report on Form 10-K.</w:t>
      </w:r>
    </w:p>
    <w:p>
      <w:pPr>
        <w:spacing w:after="0" w:line="53" w:lineRule="exact"/>
        <w:rPr>
          <w:rFonts w:ascii="Arial" w:cs="Arial" w:eastAsia="Arial" w:hAnsi="Arial"/>
          <w:sz w:val="14"/>
          <w:szCs w:val="14"/>
          <w:color w:val="auto"/>
        </w:rPr>
      </w:pPr>
    </w:p>
    <w:p>
      <w:pPr>
        <w:ind w:left="360"/>
        <w:spacing w:after="0" w:line="270" w:lineRule="auto"/>
        <w:rPr>
          <w:rFonts w:ascii="Arial" w:cs="Arial" w:eastAsia="Arial" w:hAnsi="Arial"/>
          <w:sz w:val="14"/>
          <w:szCs w:val="14"/>
          <w:color w:val="auto"/>
        </w:rPr>
      </w:pPr>
      <w:r>
        <w:rPr>
          <w:rFonts w:ascii="Arial" w:cs="Arial" w:eastAsia="Arial" w:hAnsi="Arial"/>
          <w:sz w:val="14"/>
          <w:szCs w:val="14"/>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295275</wp:posOffset>
            </wp:positionV>
            <wp:extent cx="603631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278" w:right="119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PHOTRONICS, INC.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(Registrant)</w:t>
      </w:r>
    </w:p>
    <w:p>
      <w:pPr>
        <w:spacing w:after="0" w:line="262" w:lineRule="exact"/>
        <w:rPr>
          <w:sz w:val="20"/>
          <w:szCs w:val="20"/>
          <w:color w:val="auto"/>
        </w:rPr>
      </w:pPr>
    </w:p>
    <w:p>
      <w:pPr>
        <w:spacing w:after="0"/>
        <w:tabs>
          <w:tab w:leader="none" w:pos="420" w:val="left"/>
          <w:tab w:leader="none" w:pos="5040" w:val="left"/>
        </w:tabs>
        <w:rPr>
          <w:sz w:val="20"/>
          <w:szCs w:val="20"/>
          <w:color w:val="auto"/>
        </w:rPr>
      </w:pPr>
      <w:r>
        <w:rPr>
          <w:rFonts w:ascii="Arial" w:cs="Arial" w:eastAsia="Arial" w:hAnsi="Arial"/>
          <w:sz w:val="18"/>
          <w:szCs w:val="18"/>
          <w:color w:val="auto"/>
        </w:rPr>
        <w:t>By</w:t>
        <w:tab/>
        <w:t>/s/ JOHN P. JORDAN</w:t>
      </w:r>
      <w:r>
        <w:rPr>
          <w:sz w:val="20"/>
          <w:szCs w:val="20"/>
          <w:color w:val="auto"/>
        </w:rPr>
        <w:tab/>
      </w:r>
      <w:r>
        <w:rPr>
          <w:rFonts w:ascii="Arial" w:cs="Arial" w:eastAsia="Arial" w:hAnsi="Arial"/>
          <w:sz w:val="15"/>
          <w:szCs w:val="15"/>
          <w:color w:val="auto"/>
        </w:rPr>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13970</wp:posOffset>
            </wp:positionV>
            <wp:extent cx="2873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P. Jordan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Vice President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Accounting Officer/</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Principal Financial Officer)</w:t>
      </w:r>
    </w:p>
    <w:p>
      <w:pPr>
        <w:spacing w:after="0" w:line="74" w:lineRule="exact"/>
        <w:rPr>
          <w:sz w:val="20"/>
          <w:szCs w:val="20"/>
          <w:color w:val="auto"/>
        </w:rPr>
      </w:pPr>
    </w:p>
    <w:p>
      <w:pPr>
        <w:ind w:firstLine="358"/>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PETER S. KIRLIN</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21, 2018</w:t>
            </w:r>
          </w:p>
        </w:tc>
      </w:tr>
      <w:tr>
        <w:trPr>
          <w:trHeight w:val="221"/>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Peter S. Kirlin</w:t>
            </w:r>
          </w:p>
        </w:tc>
        <w:tc>
          <w:tcPr>
            <w:tcW w:w="1560" w:type="dxa"/>
            <w:vAlign w:val="bottom"/>
          </w:tcPr>
          <w:p>
            <w:pPr>
              <w:spacing w:after="0"/>
              <w:rPr>
                <w:sz w:val="19"/>
                <w:szCs w:val="19"/>
                <w:color w:val="auto"/>
              </w:rPr>
            </w:pPr>
          </w:p>
        </w:tc>
      </w:tr>
      <w:tr>
        <w:trPr>
          <w:trHeight w:val="215"/>
        </w:trPr>
        <w:tc>
          <w:tcPr>
            <w:tcW w:w="38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1560" w:type="dxa"/>
            <w:vAlign w:val="bottom"/>
          </w:tcPr>
          <w:p>
            <w:pPr>
              <w:spacing w:after="0"/>
              <w:rPr>
                <w:sz w:val="18"/>
                <w:szCs w:val="18"/>
                <w:color w:val="auto"/>
              </w:rPr>
            </w:pPr>
          </w:p>
        </w:tc>
      </w:tr>
      <w:tr>
        <w:trPr>
          <w:trHeight w:val="215"/>
        </w:trPr>
        <w:tc>
          <w:tcPr>
            <w:tcW w:w="38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19"/>
                <w:szCs w:val="19"/>
                <w:color w:val="auto"/>
              </w:rPr>
            </w:pPr>
          </w:p>
        </w:tc>
      </w:tr>
      <w:tr>
        <w:trPr>
          <w:trHeight w:val="48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P. JORDAN</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21, 2018</w:t>
            </w:r>
          </w:p>
        </w:tc>
      </w:tr>
      <w:tr>
        <w:trPr>
          <w:trHeight w:val="221"/>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John P. Jordan</w:t>
            </w:r>
          </w:p>
        </w:tc>
        <w:tc>
          <w:tcPr>
            <w:tcW w:w="1560" w:type="dxa"/>
            <w:vAlign w:val="bottom"/>
          </w:tcPr>
          <w:p>
            <w:pPr>
              <w:spacing w:after="0"/>
              <w:rPr>
                <w:sz w:val="19"/>
                <w:szCs w:val="19"/>
                <w:color w:val="auto"/>
              </w:rPr>
            </w:pPr>
          </w:p>
        </w:tc>
      </w:tr>
      <w:tr>
        <w:trPr>
          <w:trHeight w:val="215"/>
        </w:trPr>
        <w:tc>
          <w:tcPr>
            <w:tcW w:w="38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Senior Vice President</w:t>
            </w:r>
          </w:p>
        </w:tc>
        <w:tc>
          <w:tcPr>
            <w:tcW w:w="1560" w:type="dxa"/>
            <w:vAlign w:val="bottom"/>
          </w:tcPr>
          <w:p>
            <w:pPr>
              <w:spacing w:after="0"/>
              <w:rPr>
                <w:sz w:val="18"/>
                <w:szCs w:val="18"/>
                <w:color w:val="auto"/>
              </w:rPr>
            </w:pPr>
          </w:p>
        </w:tc>
      </w:tr>
      <w:tr>
        <w:trPr>
          <w:trHeight w:val="215"/>
        </w:trPr>
        <w:tc>
          <w:tcPr>
            <w:tcW w:w="38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560" w:type="dxa"/>
            <w:vAlign w:val="bottom"/>
          </w:tcPr>
          <w:p>
            <w:pPr>
              <w:spacing w:after="0"/>
              <w:rPr>
                <w:sz w:val="18"/>
                <w:szCs w:val="18"/>
                <w:color w:val="auto"/>
              </w:rPr>
            </w:pPr>
          </w:p>
        </w:tc>
      </w:tr>
      <w:tr>
        <w:trPr>
          <w:trHeight w:val="215"/>
        </w:trPr>
        <w:tc>
          <w:tcPr>
            <w:tcW w:w="380" w:type="dxa"/>
            <w:vAlign w:val="bottom"/>
          </w:tcPr>
          <w:p>
            <w:pPr>
              <w:spacing w:after="0"/>
              <w:rPr>
                <w:sz w:val="18"/>
                <w:szCs w:val="18"/>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(Principal Accounting Officer/</w:t>
            </w:r>
          </w:p>
        </w:tc>
        <w:tc>
          <w:tcPr>
            <w:tcW w:w="156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c>
          <w:tcPr>
            <w:tcW w:w="1560" w:type="dxa"/>
            <w:vAlign w:val="bottom"/>
          </w:tcPr>
          <w:p>
            <w:pPr>
              <w:spacing w:after="0"/>
              <w:rPr>
                <w:sz w:val="19"/>
                <w:szCs w:val="19"/>
                <w:color w:val="auto"/>
              </w:rPr>
            </w:pPr>
          </w:p>
        </w:tc>
      </w:tr>
      <w:tr>
        <w:trPr>
          <w:trHeight w:val="48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CONSTANTINE S. MACRICOSTAS</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21, 2018</w:t>
            </w:r>
          </w:p>
        </w:tc>
      </w:tr>
      <w:tr>
        <w:trPr>
          <w:trHeight w:val="221"/>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Constantine S. Macricostas</w:t>
            </w:r>
          </w:p>
        </w:tc>
        <w:tc>
          <w:tcPr>
            <w:tcW w:w="15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Executive Chairman of the Board</w:t>
            </w:r>
          </w:p>
        </w:tc>
        <w:tc>
          <w:tcPr>
            <w:tcW w:w="1560" w:type="dxa"/>
            <w:vAlign w:val="bottom"/>
          </w:tcPr>
          <w:p>
            <w:pPr>
              <w:spacing w:after="0"/>
              <w:rPr>
                <w:sz w:val="19"/>
                <w:szCs w:val="19"/>
                <w:color w:val="auto"/>
              </w:rPr>
            </w:pPr>
          </w:p>
        </w:tc>
      </w:tr>
      <w:tr>
        <w:trPr>
          <w:trHeight w:val="48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WALTER M. FIEDEROWICZ</w:t>
            </w:r>
          </w:p>
        </w:tc>
        <w:tc>
          <w:tcPr>
            <w:tcW w:w="1560" w:type="dxa"/>
            <w:vAlign w:val="bottom"/>
          </w:tcPr>
          <w:p>
            <w:pPr>
              <w:ind w:left="160"/>
              <w:spacing w:after="0"/>
              <w:rPr>
                <w:sz w:val="20"/>
                <w:szCs w:val="20"/>
                <w:color w:val="auto"/>
              </w:rPr>
            </w:pPr>
            <w:r>
              <w:rPr>
                <w:rFonts w:ascii="Arial" w:cs="Arial" w:eastAsia="Arial" w:hAnsi="Arial"/>
                <w:sz w:val="18"/>
                <w:szCs w:val="18"/>
                <w:color w:val="auto"/>
                <w:w w:val="87"/>
              </w:rPr>
              <w:t>December 21, 2018</w:t>
            </w:r>
          </w:p>
        </w:tc>
      </w:tr>
      <w:tr>
        <w:trPr>
          <w:trHeight w:val="221"/>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Walter M. Fiederowicz</w:t>
            </w:r>
          </w:p>
        </w:tc>
        <w:tc>
          <w:tcPr>
            <w:tcW w:w="15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500"/>
          </w:cols>
          <w:pgMar w:left="1200" w:top="278" w:right="1199" w:bottom="1440" w:gutter="0" w:footer="0" w:header="0"/>
        </w:sectPr>
      </w:pPr>
    </w:p>
    <w:p>
      <w:pPr>
        <w:spacing w:after="0" w:line="5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JOSEPH A. FIORITA,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21590</wp:posOffset>
            </wp:positionV>
            <wp:extent cx="2873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Joseph A. Fiorita, Jr.</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LIANG-CHOO HSIA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13970</wp:posOffset>
            </wp:positionV>
            <wp:extent cx="28733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Liang-Choo Hsia</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By</w:t>
        <w:tab/>
        <w:t>/s/ GEORGE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28575</wp:posOffset>
            </wp:positionV>
            <wp:extent cx="28733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George Macricostas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6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MITCHELL G. TYSON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13970</wp:posOffset>
            </wp:positionV>
            <wp:extent cx="28733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Mitchell G. Tyson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December 21, 2018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295275</wp:posOffset>
            </wp:positionV>
            <wp:extent cx="603631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2">
            <w:col w:w="3940" w:space="720"/>
            <w:col w:w="4840"/>
          </w:cols>
          <w:pgMar w:left="1200" w:top="278" w:right="119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308610</wp:posOffset>
            </wp:positionV>
            <wp:extent cx="726884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68845" cy="38100"/>
                    </a:xfrm>
                    <a:prstGeom prst="rect">
                      <a:avLst/>
                    </a:prstGeom>
                    <a:noFill/>
                  </pic:spPr>
                </pic:pic>
              </a:graphicData>
            </a:graphic>
          </wp:anchor>
        </w:drawing>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158115</wp:posOffset>
            </wp:positionV>
            <wp:extent cx="7259955" cy="1022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259955" cy="102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2200"/>
        <w:spacing w:after="0"/>
        <w:rPr>
          <w:sz w:val="20"/>
          <w:szCs w:val="20"/>
          <w:color w:val="auto"/>
        </w:rPr>
      </w:pPr>
      <w:r>
        <w:rPr>
          <w:rFonts w:ascii="Arial" w:cs="Arial" w:eastAsia="Arial" w:hAnsi="Arial"/>
          <w:sz w:val="21"/>
          <w:szCs w:val="21"/>
          <w:b w:val="1"/>
          <w:bCs w:val="1"/>
          <w:color w:val="auto"/>
        </w:rPr>
        <w:t>EMPLOYEE STOCK PURCHASE PLAN</w:t>
      </w:r>
    </w:p>
    <w:p>
      <w:pPr>
        <w:spacing w:after="0" w:line="29" w:lineRule="exact"/>
        <w:rPr>
          <w:sz w:val="20"/>
          <w:szCs w:val="20"/>
          <w:color w:val="auto"/>
        </w:rPr>
      </w:pPr>
    </w:p>
    <w:p>
      <w:pPr>
        <w:jc w:val="center"/>
        <w:ind w:left="2200"/>
        <w:spacing w:after="0"/>
        <w:rPr>
          <w:sz w:val="20"/>
          <w:szCs w:val="20"/>
          <w:color w:val="auto"/>
        </w:rPr>
      </w:pPr>
      <w:r>
        <w:rPr>
          <w:rFonts w:ascii="Arial" w:cs="Arial" w:eastAsia="Arial" w:hAnsi="Arial"/>
          <w:sz w:val="18"/>
          <w:szCs w:val="18"/>
          <w:b w:val="1"/>
          <w:bCs w:val="1"/>
          <w:color w:val="auto"/>
        </w:rPr>
        <w:t>(Amended and Current as of</w:t>
      </w:r>
    </w:p>
    <w:p>
      <w:pPr>
        <w:spacing w:after="0" w:line="6"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March 28, 2012)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 - </w:t>
      </w:r>
      <w:r>
        <w:rPr>
          <w:rFonts w:ascii="Arial" w:cs="Arial" w:eastAsia="Arial" w:hAnsi="Arial"/>
          <w:sz w:val="18"/>
          <w:szCs w:val="18"/>
          <w:b w:val="1"/>
          <w:bCs w:val="1"/>
          <w:i w:val="1"/>
          <w:iCs w:val="1"/>
          <w:color w:val="auto"/>
        </w:rPr>
        <w:t>General</w:t>
      </w:r>
    </w:p>
    <w:p>
      <w:pPr>
        <w:spacing w:after="0" w:line="254" w:lineRule="exact"/>
        <w:rPr>
          <w:sz w:val="20"/>
          <w:szCs w:val="20"/>
          <w:color w:val="auto"/>
        </w:rPr>
      </w:pPr>
    </w:p>
    <w:p>
      <w:pPr>
        <w:jc w:val="both"/>
        <w:ind w:left="660" w:hanging="644"/>
        <w:spacing w:after="0" w:line="25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214"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08"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II - </w:t>
      </w:r>
      <w:r>
        <w:rPr>
          <w:rFonts w:ascii="Arial" w:cs="Arial" w:eastAsia="Arial" w:hAnsi="Arial"/>
          <w:sz w:val="18"/>
          <w:szCs w:val="18"/>
          <w:b w:val="1"/>
          <w:bCs w:val="1"/>
          <w:i w:val="1"/>
          <w:iCs w:val="1"/>
          <w:color w:val="auto"/>
        </w:rPr>
        <w:t>Definitions</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following words and phrases, when used in the Plan, shall have the following respective meanings, unless the context clearly indicates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Leave of Absence"</w:t>
      </w:r>
    </w:p>
    <w:p>
      <w:pPr>
        <w:spacing w:after="0" w:line="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Photronics,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Internal Revenue Code of 1986, as amended from time to time, and applicable Treasury Department regulations issued thereunder.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"Common Stock"</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Common Stock, par value $0.01 per share, of the Company, or the securities adjusted or substituted therefor pursuant to Article XIV.</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6"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Photronics, Inc., a Connecticut corporation, or its successor or successors or any present or future subsidiary of Photronics, Inc., which may be designated to participate in the Plan by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"Disability"</w:t>
      </w:r>
    </w:p>
    <w:p>
      <w:pPr>
        <w:spacing w:after="0" w:line="2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Disability shall have the same meaning set forth in Section 22(e)(3) of the Code or any successor provision thereto. At present, a disability is defined as a physical or mental impairment or incapacity which, in the opinion of a physician selected by the Plan Committee, can be expected to result in death or has lasted or can be expected to last for a continuous period of at least twelve (12) months and renders the Participant unable to engage in any substantial, gainful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the Plan"</w:t>
      </w:r>
    </w:p>
    <w:p>
      <w:pPr>
        <w:spacing w:after="0" w:line="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Employee who is eligible to participate in the Plan in accordance with provisions of Articles IV and 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6"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Any person who, on an Offering Date, is a common law employee of the Company and whose customary employment is for more than twenty (20) hours per week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"Offering"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 Offering in accordance with the provisions of Article V.</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Date"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date of an Offering as established by the Plan Committee pursuant to Section 5.1 hereof.</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Eligible Employee who subscribes for Shares pursuant to Article VI.</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Photronics, Inc. Employee Stock Purchase Plan set forth herein, as amended from time to time in accordance with the provisions of Article XV.</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Committee"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provided for in Article XII to administer the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Date"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Purchase Date as provided in Sections 8.1 or 10.3, as appropriate.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offered under the Plan.</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masculine gender, whenever used in the Plan, shall be deemed to include the feminine gender, and whenever the plural is used it shall include the singular, if the context so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III - </w:t>
      </w:r>
      <w:r>
        <w:rPr>
          <w:rFonts w:ascii="Arial" w:cs="Arial" w:eastAsia="Arial" w:hAnsi="Arial"/>
          <w:sz w:val="18"/>
          <w:szCs w:val="18"/>
          <w:b w:val="1"/>
          <w:bCs w:val="1"/>
          <w:i w:val="1"/>
          <w:iCs w:val="1"/>
          <w:color w:val="auto"/>
        </w:rPr>
        <w:t>Shares Subject to the Plan</w:t>
      </w:r>
    </w:p>
    <w:p>
      <w:pPr>
        <w:spacing w:after="0" w:line="254" w:lineRule="exact"/>
        <w:rPr>
          <w:sz w:val="20"/>
          <w:szCs w:val="20"/>
          <w:color w:val="auto"/>
        </w:rPr>
      </w:pPr>
    </w:p>
    <w:p>
      <w:pPr>
        <w:jc w:val="both"/>
        <w:ind w:left="660" w:hanging="644"/>
        <w:spacing w:after="0" w:line="27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Article XIV hereof, the aggregate number of shares of Common Stock which may be issued under the Plan shall not exceed 1,500,000.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IV - </w:t>
      </w:r>
      <w:r>
        <w:rPr>
          <w:rFonts w:ascii="Arial" w:cs="Arial" w:eastAsia="Arial" w:hAnsi="Arial"/>
          <w:sz w:val="18"/>
          <w:szCs w:val="18"/>
          <w:b w:val="1"/>
          <w:bCs w:val="1"/>
          <w:i w:val="1"/>
          <w:iCs w:val="1"/>
          <w:color w:val="auto"/>
        </w:rPr>
        <w:t>Eligibility</w:t>
      </w:r>
    </w:p>
    <w:p>
      <w:pPr>
        <w:spacing w:after="0" w:line="254"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Each Employee who has been continuously employed by the Company for the one complete calendar month (or such longer period as may be determined by the Plan Committee) ending immediately prior to an Offering Date shall be eligible to participate in the Offering under the Plan made on such Offering Date.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4.2</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Notwithstanding the provisions of Section 4.1, no Employee shall be offered Shares if, immediately after he would subscribe for such Shares, such</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Employee would own capital stock (including shares of Common Stock which may be purchased under such subscription and under any other</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outstanding subscriptions under the Plan or options to purchase shares of Common Stock of the Company held by such Employee, as computed in</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accordance with Section 423[b][3] of the Code or any successor provision thereto) possessing 5% or more of the total combined voting power or</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value of all classes of stock of the Company. For purposes of determining the stock ownership of any Employee, the provisions of Section 424[d] of</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the Code shall apply.</w:t>
            </w:r>
          </w:p>
        </w:tc>
      </w:tr>
      <w:tr>
        <w:trPr>
          <w:trHeight w:val="457"/>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ind w:left="3160"/>
              <w:spacing w:after="0"/>
              <w:rPr>
                <w:sz w:val="20"/>
                <w:szCs w:val="20"/>
                <w:color w:val="auto"/>
              </w:rPr>
            </w:pPr>
            <w:r>
              <w:rPr>
                <w:rFonts w:ascii="Arial" w:cs="Arial" w:eastAsia="Arial" w:hAnsi="Arial"/>
                <w:sz w:val="18"/>
                <w:szCs w:val="18"/>
                <w:b w:val="1"/>
                <w:bCs w:val="1"/>
                <w:color w:val="auto"/>
              </w:rPr>
              <w:t xml:space="preserve">ARTICLE V - </w:t>
            </w:r>
            <w:r>
              <w:rPr>
                <w:rFonts w:ascii="Arial" w:cs="Arial" w:eastAsia="Arial" w:hAnsi="Arial"/>
                <w:sz w:val="18"/>
                <w:szCs w:val="18"/>
                <w:b w:val="1"/>
                <w:bCs w:val="1"/>
                <w:i w:val="1"/>
                <w:iCs w:val="1"/>
                <w:color w:val="auto"/>
              </w:rPr>
              <w:t>Offering Under the Plan</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5.1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Offerings under the Plan shall be made on such Offering Dates as shall be determined by the Plan Committee.  Notwithstanding anything to the</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contrary, no Offering shall be made on any date prior to the date that a required registration statement with respect to such Offering filed under the</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89"/>
              </w:rPr>
              <w:t>Securities Act of 1933, as amended, has become effective. Nothing contained herein shall be deemed to require that an Offering be made in any year.</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5.2</w:t>
            </w: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Subject to the limitations set forth in Sections 5.2[b] and 6.3, and to the other terms and conditions of the Plan, in each offering under the</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Plan, each Eligible Employee on an Offering Date shall be offered the right during the Subscription Period as provided in Section 6.2, to</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89"/>
              </w:rPr>
              <w:t>subscribe to purchase such number of Shares as the percentage designated by the Plan Committee for such offering (not to exceed 5%) of his</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Compensation would buy, at a price equal to the product of (i) the fair market value of a Share on the Offering Date, multiplied by (ii) the</w:t>
            </w:r>
          </w:p>
        </w:tc>
      </w:tr>
      <w:tr>
        <w:trPr>
          <w:trHeight w:val="229"/>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Purchase Price percentage utilized under Section 5.3 hereof.</w:t>
            </w:r>
          </w:p>
        </w:tc>
      </w:tr>
      <w:tr>
        <w:trPr>
          <w:trHeight w:val="442"/>
        </w:trPr>
        <w:tc>
          <w:tcPr>
            <w:tcW w:w="44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[b]</w:t>
            </w:r>
          </w:p>
        </w:tc>
        <w:tc>
          <w:tcPr>
            <w:tcW w:w="10340" w:type="dxa"/>
            <w:vAlign w:val="bottom"/>
          </w:tcPr>
          <w:p>
            <w:pPr>
              <w:ind w:left="220"/>
              <w:spacing w:after="0"/>
              <w:rPr>
                <w:sz w:val="20"/>
                <w:szCs w:val="20"/>
                <w:color w:val="auto"/>
              </w:rPr>
            </w:pPr>
            <w:r>
              <w:rPr>
                <w:rFonts w:ascii="Arial" w:cs="Arial" w:eastAsia="Arial" w:hAnsi="Arial"/>
                <w:sz w:val="18"/>
                <w:szCs w:val="18"/>
                <w:color w:val="auto"/>
                <w:w w:val="91"/>
              </w:rPr>
              <w:t>Notwithstanding anything to the contrary contained in Sub-Section [a] of this Section 5.2, no Eligible Employee shall be eligible to subscribe</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3"/>
              </w:rPr>
              <w:t>for Shares in an Offering if, immediately after he would subscribe for such Shares, such subscription would permit his rights to purchase</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89"/>
              </w:rPr>
              <w:t>shares of Common Stock under all employee stock purchase plans of the Company to accrue at a rate which exceeds $25,000 (or such other</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maximum amounts as may be prescribed from time to time under the Code) of the fair market value of such shares (determined as of the</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2"/>
              </w:rPr>
              <w:t>Offering Date for such Offering) for each calendar year in which such subscription would be outstanding at any time. For purposes of this</w:t>
            </w:r>
          </w:p>
        </w:tc>
      </w:tr>
      <w:tr>
        <w:trPr>
          <w:trHeight w:val="229"/>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limitation the provisions of Section 423[b][8] of the Code shall be applicable.</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5.3</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0"/>
              </w:rPr>
              <w:t>The Purchase Price per share subscribed for all Shares in a particular Offering shall be an amount equal to such percentages, not greater than 100%</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nor less than 85%, as shall be determined by the Plan Committee on or prior to the Offering Date, of the fair market value of a share of Common</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Stock (determined in accordance with the provisions of Article XIII) on one of the following dates with respect to such Offering, with such date to be</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determined by the Plan Committee on or prior to the Offering Date: (i) the Offering Date, (ii) the Purchase Date, or (iii) the Offering Date or the</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Purchase Date (whichever would result in a lower Purchase Price for the Common Stock).</w:t>
            </w:r>
          </w:p>
        </w:tc>
      </w:tr>
      <w:tr>
        <w:trPr>
          <w:trHeight w:val="55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ind w:left="4600"/>
              <w:spacing w:after="0"/>
              <w:rPr>
                <w:sz w:val="20"/>
                <w:szCs w:val="20"/>
                <w:color w:val="auto"/>
              </w:rPr>
            </w:pPr>
            <w:r>
              <w:rPr>
                <w:rFonts w:ascii="Arial" w:cs="Arial" w:eastAsia="Arial" w:hAnsi="Arial"/>
                <w:sz w:val="14"/>
                <w:szCs w:val="14"/>
                <w:color w:val="auto"/>
              </w:rPr>
              <w:t>4</w:t>
            </w:r>
          </w:p>
        </w:tc>
      </w:tr>
      <w:tr>
        <w:trPr>
          <w:trHeight w:val="102"/>
        </w:trPr>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5.4</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In order to participate in any Offering, an Eligible Employee entitled to subscribe for Shares in such Offering shall comply with the subscription</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procedures set forth in Article VI.</w:t>
            </w:r>
          </w:p>
        </w:tc>
      </w:tr>
      <w:tr>
        <w:trPr>
          <w:trHeight w:val="457"/>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jc w:val="center"/>
              <w:ind w:right="993"/>
              <w:spacing w:after="0"/>
              <w:rPr>
                <w:sz w:val="20"/>
                <w:szCs w:val="20"/>
                <w:color w:val="auto"/>
              </w:rPr>
            </w:pPr>
            <w:r>
              <w:rPr>
                <w:rFonts w:ascii="Arial" w:cs="Arial" w:eastAsia="Arial" w:hAnsi="Arial"/>
                <w:sz w:val="18"/>
                <w:szCs w:val="18"/>
                <w:b w:val="1"/>
                <w:bCs w:val="1"/>
                <w:color w:val="auto"/>
                <w:w w:val="91"/>
              </w:rPr>
              <w:t xml:space="preserve">ARTICLE VI - </w:t>
            </w:r>
            <w:r>
              <w:rPr>
                <w:rFonts w:ascii="Arial" w:cs="Arial" w:eastAsia="Arial" w:hAnsi="Arial"/>
                <w:sz w:val="18"/>
                <w:szCs w:val="18"/>
                <w:b w:val="1"/>
                <w:bCs w:val="1"/>
                <w:i w:val="1"/>
                <w:iCs w:val="1"/>
                <w:color w:val="auto"/>
                <w:w w:val="91"/>
              </w:rPr>
              <w:t>Subscriptions for Shares</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6.1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As soon as practicable after an Offering Date, the Company shall furnish to each Eligible Employee a Subscription Agreement setting forth the</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maximum number of Shares to which such Eligible Employee may subscribe in such Offering, the fair market value per share of Common Stock on</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89"/>
              </w:rPr>
              <w:t>the Offering Date, the Purchase Price for Shares in such Offering and such other terms and conditions consistent with the Plan as shall be determined</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by the Plan Committee.</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6.2</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Within fifteen (15) days after receipt of such Subscription Agreement, an Eligible Employee desiring to participate in the Offering shall notify the</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0"/>
              </w:rPr>
              <w:t>Plan Committee of the number of Shares for which he desires to subscribe. Such notification shall be effected by the Eligible Employee's completing,</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0"/>
              </w:rPr>
              <w:t>executing and returning to the Secretary of the Company the Subscription Agreement. All such subscriptions shall be deemed to have been made as</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of the Offering Date. No subscription shall be accepted from any person who is not an Eligible Employee on the date his subscription is received by</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the Company.</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6.3</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The minimum number of Shares for which an Eligible Employee will be permitted to subscribe in any Offering is ten (10) (or the number of Shares</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offered to him if fewer than ten). If at any time the Shares available for an Offering are oversubscribed, the Number of Shares for which each Eligible</w:t>
            </w:r>
          </w:p>
        </w:tc>
      </w:tr>
      <w:tr>
        <w:trPr>
          <w:trHeight w:val="215"/>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89"/>
              </w:rPr>
              <w:t>Employee is entitled to subscribe pursuant to Section 5.2 shall be reduced, pro rata, to such lower number as may be necessary to eliminate such over-</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subscription.</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6.4</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If an Eligible Employee fails to subscribe to the Shares within the period and in the manner prescribed in Section 6.2, he shall waive all rights to</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purchase Shares in that Offering.</w:t>
            </w:r>
          </w:p>
        </w:tc>
      </w:tr>
      <w:tr>
        <w:trPr>
          <w:trHeight w:val="457"/>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jc w:val="center"/>
              <w:ind w:right="993"/>
              <w:spacing w:after="0"/>
              <w:rPr>
                <w:sz w:val="20"/>
                <w:szCs w:val="20"/>
                <w:color w:val="auto"/>
              </w:rPr>
            </w:pPr>
            <w:r>
              <w:rPr>
                <w:rFonts w:ascii="Arial" w:cs="Arial" w:eastAsia="Arial" w:hAnsi="Arial"/>
                <w:sz w:val="18"/>
                <w:szCs w:val="18"/>
                <w:b w:val="1"/>
                <w:bCs w:val="1"/>
                <w:color w:val="auto"/>
                <w:w w:val="94"/>
              </w:rPr>
              <w:t xml:space="preserve">ARTICLE VII - </w:t>
            </w:r>
            <w:r>
              <w:rPr>
                <w:rFonts w:ascii="Arial" w:cs="Arial" w:eastAsia="Arial" w:hAnsi="Arial"/>
                <w:sz w:val="18"/>
                <w:szCs w:val="18"/>
                <w:b w:val="1"/>
                <w:bCs w:val="1"/>
                <w:i w:val="1"/>
                <w:iCs w:val="1"/>
                <w:color w:val="auto"/>
                <w:w w:val="94"/>
              </w:rPr>
              <w:t>Payment for Shares</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7.1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The aggregate Purchase Price for the Shares for which a Participant subscribes in any Offering in accordance with the provisions of Article VI of the</w:t>
            </w:r>
          </w:p>
        </w:tc>
      </w:tr>
      <w:tr>
        <w:trPr>
          <w:trHeight w:val="229"/>
        </w:trPr>
        <w:tc>
          <w:tcPr>
            <w:tcW w:w="440" w:type="dxa"/>
            <w:vAlign w:val="bottom"/>
          </w:tcPr>
          <w:p>
            <w:pPr>
              <w:spacing w:after="0"/>
              <w:rPr>
                <w:sz w:val="19"/>
                <w:szCs w:val="19"/>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Plan shall be paid by means of payroll deductions.</w:t>
            </w:r>
          </w:p>
        </w:tc>
      </w:tr>
      <w:tr>
        <w:trPr>
          <w:trHeight w:val="442"/>
        </w:trPr>
        <w:tc>
          <w:tcPr>
            <w:tcW w:w="440" w:type="dxa"/>
            <w:vAlign w:val="bottom"/>
          </w:tcPr>
          <w:p>
            <w:pPr>
              <w:jc w:val="right"/>
              <w:ind w:right="111"/>
              <w:spacing w:after="0"/>
              <w:rPr>
                <w:sz w:val="20"/>
                <w:szCs w:val="20"/>
                <w:color w:val="auto"/>
              </w:rPr>
            </w:pPr>
            <w:r>
              <w:rPr>
                <w:rFonts w:ascii="Arial" w:cs="Arial" w:eastAsia="Arial" w:hAnsi="Arial"/>
                <w:sz w:val="18"/>
                <w:szCs w:val="18"/>
                <w:color w:val="auto"/>
                <w:w w:val="87"/>
              </w:rPr>
              <w:t>7.2</w:t>
            </w:r>
          </w:p>
        </w:tc>
        <w:tc>
          <w:tcPr>
            <w:tcW w:w="640" w:type="dxa"/>
            <w:vAlign w:val="bottom"/>
          </w:tcPr>
          <w:p>
            <w:pPr>
              <w:ind w:left="220"/>
              <w:spacing w:after="0"/>
              <w:rPr>
                <w:sz w:val="20"/>
                <w:szCs w:val="20"/>
                <w:color w:val="auto"/>
              </w:rPr>
            </w:pPr>
            <w:r>
              <w:rPr>
                <w:rFonts w:ascii="Arial" w:cs="Arial" w:eastAsia="Arial" w:hAnsi="Arial"/>
                <w:sz w:val="18"/>
                <w:szCs w:val="18"/>
                <w:color w:val="auto"/>
              </w:rPr>
              <w:t>[a]</w:t>
            </w:r>
          </w:p>
        </w:tc>
        <w:tc>
          <w:tcPr>
            <w:tcW w:w="10340" w:type="dxa"/>
            <w:vAlign w:val="bottom"/>
          </w:tcPr>
          <w:p>
            <w:pPr>
              <w:ind w:left="220"/>
              <w:spacing w:after="0"/>
              <w:rPr>
                <w:sz w:val="20"/>
                <w:szCs w:val="20"/>
                <w:color w:val="auto"/>
              </w:rPr>
            </w:pPr>
            <w:r>
              <w:rPr>
                <w:rFonts w:ascii="Arial" w:cs="Arial" w:eastAsia="Arial" w:hAnsi="Arial"/>
                <w:sz w:val="18"/>
                <w:szCs w:val="18"/>
                <w:color w:val="auto"/>
                <w:w w:val="91"/>
              </w:rPr>
              <w:t>The aggregate Purchase Price for Shares shall be paid by payroll deductions in equal amounts over a period of 24 months (or such shorter</w:t>
            </w:r>
          </w:p>
        </w:tc>
      </w:tr>
      <w:tr>
        <w:trPr>
          <w:trHeight w:val="215"/>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w w:val="94"/>
              </w:rPr>
              <w:t>period as shall be determined by the Plan Committee in accordance with the Plan) from the Offering Date.  The period over which such</w:t>
            </w:r>
          </w:p>
        </w:tc>
      </w:tr>
      <w:tr>
        <w:trPr>
          <w:trHeight w:val="229"/>
        </w:trPr>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340" w:type="dxa"/>
            <w:vAlign w:val="bottom"/>
          </w:tcPr>
          <w:p>
            <w:pPr>
              <w:ind w:left="220"/>
              <w:spacing w:after="0"/>
              <w:rPr>
                <w:sz w:val="20"/>
                <w:szCs w:val="20"/>
                <w:color w:val="auto"/>
              </w:rPr>
            </w:pPr>
            <w:r>
              <w:rPr>
                <w:rFonts w:ascii="Arial" w:cs="Arial" w:eastAsia="Arial" w:hAnsi="Arial"/>
                <w:sz w:val="18"/>
                <w:szCs w:val="18"/>
                <w:color w:val="auto"/>
              </w:rPr>
              <w:t>payroll deductions are to be made in hereinafter referred to as the "Payment Period".</w:t>
            </w:r>
          </w:p>
        </w:tc>
      </w:tr>
      <w:tr>
        <w:trPr>
          <w:trHeight w:val="55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340" w:type="dxa"/>
            <w:vAlign w:val="bottom"/>
          </w:tcPr>
          <w:p>
            <w:pPr>
              <w:jc w:val="center"/>
              <w:ind w:right="993"/>
              <w:spacing w:after="0"/>
              <w:rPr>
                <w:sz w:val="20"/>
                <w:szCs w:val="20"/>
                <w:color w:val="auto"/>
              </w:rPr>
            </w:pPr>
            <w:r>
              <w:rPr>
                <w:rFonts w:ascii="Arial" w:cs="Arial" w:eastAsia="Arial" w:hAnsi="Arial"/>
                <w:sz w:val="14"/>
                <w:szCs w:val="14"/>
                <w:color w:val="auto"/>
                <w:w w:val="76"/>
              </w:rPr>
              <w:t>5</w:t>
            </w:r>
          </w:p>
        </w:tc>
      </w:tr>
      <w:tr>
        <w:trPr>
          <w:trHeight w:val="102"/>
        </w:trPr>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5" w:name="page76"/>
    <w:bookmarkEnd w:id="75"/>
    <w:p>
      <w:pPr>
        <w:jc w:val="both"/>
        <w:ind w:left="1300" w:hanging="648"/>
        <w:spacing w:after="0" w:line="26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Such payroll deductions with respect to an Offering shall commence as soon as practicable after the receipt of the Company of the executed Subscription Agreement authorizing such payroll deductions, and shall cease upon the earlier of the termination of the Payment Period or payment in full of the Purchase Price for such Shares. A Participant may cancel his subscription to the extent provided for in Article X, but no other change 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210" w:lineRule="exact"/>
        <w:rPr>
          <w:rFonts w:ascii="Arial" w:cs="Arial" w:eastAsia="Arial" w:hAnsi="Arial"/>
          <w:sz w:val="17"/>
          <w:szCs w:val="17"/>
          <w:color w:val="auto"/>
        </w:rPr>
      </w:pPr>
    </w:p>
    <w:p>
      <w:pPr>
        <w:jc w:val="both"/>
        <w:ind w:left="1300" w:hanging="648"/>
        <w:spacing w:after="0" w:line="284"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192" w:lineRule="exact"/>
        <w:rPr>
          <w:sz w:val="20"/>
          <w:szCs w:val="20"/>
          <w:color w:val="auto"/>
        </w:rPr>
      </w:pPr>
    </w:p>
    <w:p>
      <w:pPr>
        <w:jc w:val="both"/>
        <w:ind w:left="660" w:hanging="644"/>
        <w:spacing w:after="0" w:line="254"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216" w:lineRule="exact"/>
        <w:rPr>
          <w:sz w:val="20"/>
          <w:szCs w:val="20"/>
          <w:color w:val="auto"/>
        </w:rPr>
      </w:pPr>
    </w:p>
    <w:p>
      <w:pPr>
        <w:jc w:val="both"/>
        <w:ind w:left="660" w:hanging="644"/>
        <w:spacing w:after="0" w:line="275"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Failure to pay for subscribed Shares as provided in this Article VII shall constitute the cancellation of such subscription to the extent that any such Shares shall not have been so paid for.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VIII - </w:t>
      </w:r>
      <w:r>
        <w:rPr>
          <w:rFonts w:ascii="Arial" w:cs="Arial" w:eastAsia="Arial" w:hAnsi="Arial"/>
          <w:sz w:val="18"/>
          <w:szCs w:val="18"/>
          <w:b w:val="1"/>
          <w:bCs w:val="1"/>
          <w:i w:val="1"/>
          <w:iCs w:val="1"/>
          <w:color w:val="auto"/>
        </w:rPr>
        <w:t>Issuance of Shares</w:t>
      </w:r>
    </w:p>
    <w:p>
      <w:pPr>
        <w:spacing w:after="0" w:line="254" w:lineRule="exact"/>
        <w:rPr>
          <w:sz w:val="20"/>
          <w:szCs w:val="20"/>
          <w:color w:val="auto"/>
        </w:rPr>
      </w:pPr>
    </w:p>
    <w:p>
      <w:pPr>
        <w:jc w:val="both"/>
        <w:ind w:left="660" w:hanging="644"/>
        <w:spacing w:after="0" w:line="270"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6" w:name="page77"/>
    <w:bookmarkEnd w:id="76"/>
    <w:p>
      <w:pPr>
        <w:jc w:val="both"/>
        <w:ind w:left="660" w:right="20" w:hanging="644"/>
        <w:spacing w:after="0" w:line="262"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IX - </w:t>
      </w:r>
      <w:r>
        <w:rPr>
          <w:rFonts w:ascii="Arial" w:cs="Arial" w:eastAsia="Arial" w:hAnsi="Arial"/>
          <w:sz w:val="18"/>
          <w:szCs w:val="18"/>
          <w:b w:val="1"/>
          <w:bCs w:val="1"/>
          <w:i w:val="1"/>
          <w:iCs w:val="1"/>
          <w:color w:val="auto"/>
        </w:rPr>
        <w:t>Rights of Stockholders</w:t>
      </w:r>
    </w:p>
    <w:p>
      <w:pPr>
        <w:spacing w:after="0" w:line="254"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 - </w:t>
      </w:r>
      <w:r>
        <w:rPr>
          <w:rFonts w:ascii="Arial" w:cs="Arial" w:eastAsia="Arial" w:hAnsi="Arial"/>
          <w:sz w:val="18"/>
          <w:szCs w:val="18"/>
          <w:b w:val="1"/>
          <w:bCs w:val="1"/>
          <w:i w:val="1"/>
          <w:iCs w:val="1"/>
          <w:color w:val="auto"/>
        </w:rPr>
        <w:t>Voluntary Withdrawal/Termination of Employment</w:t>
      </w:r>
    </w:p>
    <w:p>
      <w:pPr>
        <w:spacing w:after="0" w:line="254" w:lineRule="exact"/>
        <w:rPr>
          <w:sz w:val="20"/>
          <w:szCs w:val="20"/>
          <w:color w:val="auto"/>
        </w:rPr>
      </w:pPr>
    </w:p>
    <w:p>
      <w:pPr>
        <w:jc w:val="both"/>
        <w:ind w:left="660" w:hanging="644"/>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A Participant may discontinue his payroll deductions under a Subscription Agreement at any time by giving written notice thereof to the Plan Committee, effective for all payroll periods commencing five (5) days after receipt of such notice by the Plan Committee.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199"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08" w:lineRule="exact"/>
        <w:rPr>
          <w:sz w:val="20"/>
          <w:szCs w:val="20"/>
          <w:color w:val="auto"/>
        </w:rPr>
      </w:pPr>
    </w:p>
    <w:p>
      <w:pPr>
        <w:jc w:val="both"/>
        <w:ind w:left="660" w:hanging="644"/>
        <w:spacing w:after="0" w:line="28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 xml:space="preserve">ARTICLE XI - </w:t>
      </w:r>
      <w:r>
        <w:rPr>
          <w:rFonts w:ascii="Arial" w:cs="Arial" w:eastAsia="Arial" w:hAnsi="Arial"/>
          <w:sz w:val="18"/>
          <w:szCs w:val="18"/>
          <w:b w:val="1"/>
          <w:bCs w:val="1"/>
          <w:i w:val="1"/>
          <w:iCs w:val="1"/>
          <w:color w:val="auto"/>
        </w:rPr>
        <w:t>Non-Transferability of Subscription Rights</w:t>
      </w:r>
    </w:p>
    <w:p>
      <w:pPr>
        <w:spacing w:after="0" w:line="254" w:lineRule="exact"/>
        <w:rPr>
          <w:sz w:val="20"/>
          <w:szCs w:val="20"/>
          <w:color w:val="auto"/>
        </w:rPr>
      </w:pPr>
    </w:p>
    <w:p>
      <w:pPr>
        <w:jc w:val="both"/>
        <w:ind w:left="660" w:hanging="644"/>
        <w:spacing w:after="0" w:line="269"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XII - </w:t>
      </w:r>
      <w:r>
        <w:rPr>
          <w:rFonts w:ascii="Arial" w:cs="Arial" w:eastAsia="Arial" w:hAnsi="Arial"/>
          <w:sz w:val="18"/>
          <w:szCs w:val="18"/>
          <w:b w:val="1"/>
          <w:bCs w:val="1"/>
          <w:i w:val="1"/>
          <w:iCs w:val="1"/>
          <w:color w:val="auto"/>
        </w:rPr>
        <w:t>Administration of the Plan</w:t>
      </w:r>
    </w:p>
    <w:p>
      <w:pPr>
        <w:spacing w:after="0" w:line="254" w:lineRule="exact"/>
        <w:rPr>
          <w:sz w:val="20"/>
          <w:szCs w:val="20"/>
          <w:color w:val="auto"/>
        </w:rPr>
      </w:pPr>
    </w:p>
    <w:p>
      <w:pPr>
        <w:jc w:val="both"/>
        <w:ind w:left="660" w:hanging="644"/>
        <w:spacing w:after="0" w:line="25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214"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08" w:lineRule="exact"/>
        <w:rPr>
          <w:sz w:val="20"/>
          <w:szCs w:val="20"/>
          <w:color w:val="auto"/>
        </w:rPr>
      </w:pPr>
    </w:p>
    <w:p>
      <w:pPr>
        <w:jc w:val="both"/>
        <w:ind w:left="660" w:hanging="644"/>
        <w:spacing w:after="0" w:line="257"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78" w:name="page79"/>
    <w:bookmarkEnd w:id="78"/>
    <w:p>
      <w:pPr>
        <w:jc w:val="both"/>
        <w:ind w:left="660" w:hanging="644"/>
        <w:spacing w:after="0" w:line="295"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185" w:lineRule="exact"/>
        <w:rPr>
          <w:sz w:val="20"/>
          <w:szCs w:val="20"/>
          <w:color w:val="auto"/>
        </w:rPr>
      </w:pPr>
    </w:p>
    <w:p>
      <w:pPr>
        <w:jc w:val="both"/>
        <w:ind w:left="660" w:hanging="644"/>
        <w:spacing w:after="0" w:line="305"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175"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08" w:lineRule="exact"/>
        <w:rPr>
          <w:sz w:val="20"/>
          <w:szCs w:val="20"/>
          <w:color w:val="auto"/>
        </w:rPr>
      </w:pPr>
    </w:p>
    <w:p>
      <w:pPr>
        <w:jc w:val="both"/>
        <w:ind w:left="660" w:hanging="644"/>
        <w:spacing w:after="0" w:line="275"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Plan Committee may adopt, and from time to time amend, such rules and regulations consistent with the purposes and provisions of the Plan, as it deems necessary or advisable to administer and effectuate the Plan.</w:t>
      </w:r>
    </w:p>
    <w:p>
      <w:pPr>
        <w:spacing w:after="0" w:line="197" w:lineRule="exact"/>
        <w:rPr>
          <w:sz w:val="20"/>
          <w:szCs w:val="20"/>
          <w:color w:val="auto"/>
        </w:rPr>
      </w:pPr>
    </w:p>
    <w:p>
      <w:pPr>
        <w:jc w:val="both"/>
        <w:ind w:left="660" w:hanging="644"/>
        <w:spacing w:after="0" w:line="275" w:lineRule="auto"/>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Plan Committee may shorten, lengthen (but not beyond thirty (30) days) or waive the time required by the Plan for the filing of any notice or other form under the Plan.</w:t>
      </w:r>
    </w:p>
    <w:p>
      <w:pPr>
        <w:spacing w:after="0" w:line="197"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XIII - </w:t>
      </w:r>
      <w:r>
        <w:rPr>
          <w:rFonts w:ascii="Arial" w:cs="Arial" w:eastAsia="Arial" w:hAnsi="Arial"/>
          <w:sz w:val="18"/>
          <w:szCs w:val="18"/>
          <w:b w:val="1"/>
          <w:bCs w:val="1"/>
          <w:i w:val="1"/>
          <w:iCs w:val="1"/>
          <w:color w:val="auto"/>
        </w:rPr>
        <w:t>Valuation of Shares of Common Stock</w:t>
      </w: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For purposes of the Plan, the "fair market value" of a share of Common Stock as of any date shall be determined as follows:</w:t>
      </w:r>
    </w:p>
    <w:p>
      <w:pPr>
        <w:spacing w:after="0" w:line="250" w:lineRule="exact"/>
        <w:rPr>
          <w:sz w:val="20"/>
          <w:szCs w:val="20"/>
          <w:color w:val="auto"/>
        </w:rPr>
      </w:pPr>
    </w:p>
    <w:p>
      <w:pPr>
        <w:jc w:val="both"/>
        <w:ind w:left="1300" w:hanging="648"/>
        <w:spacing w:after="0" w:line="309"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175" w:lineRule="exact"/>
        <w:rPr>
          <w:rFonts w:ascii="Arial" w:cs="Arial" w:eastAsia="Arial" w:hAnsi="Arial"/>
          <w:sz w:val="16"/>
          <w:szCs w:val="16"/>
          <w:color w:val="auto"/>
        </w:rPr>
      </w:pPr>
    </w:p>
    <w:p>
      <w:pPr>
        <w:jc w:val="both"/>
        <w:ind w:left="1300" w:hanging="648"/>
        <w:spacing w:after="0" w:line="25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 xml:space="preserve">ARTICLE XIV - </w:t>
      </w:r>
      <w:r>
        <w:rPr>
          <w:rFonts w:ascii="Arial" w:cs="Arial" w:eastAsia="Arial" w:hAnsi="Arial"/>
          <w:sz w:val="18"/>
          <w:szCs w:val="18"/>
          <w:b w:val="1"/>
          <w:bCs w:val="1"/>
          <w:i w:val="1"/>
          <w:iCs w:val="1"/>
          <w:color w:val="auto"/>
        </w:rPr>
        <w:t>Adjustments in Certain Events</w:t>
      </w:r>
    </w:p>
    <w:p>
      <w:pPr>
        <w:spacing w:after="0" w:line="254" w:lineRule="exact"/>
        <w:rPr>
          <w:sz w:val="20"/>
          <w:szCs w:val="20"/>
          <w:color w:val="auto"/>
        </w:rPr>
      </w:pPr>
    </w:p>
    <w:p>
      <w:pPr>
        <w:jc w:val="both"/>
        <w:ind w:left="660" w:hanging="644"/>
        <w:spacing w:after="0" w:line="26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XV - </w:t>
      </w:r>
      <w:r>
        <w:rPr>
          <w:rFonts w:ascii="Arial" w:cs="Arial" w:eastAsia="Arial" w:hAnsi="Arial"/>
          <w:sz w:val="18"/>
          <w:szCs w:val="18"/>
          <w:b w:val="1"/>
          <w:bCs w:val="1"/>
          <w:i w:val="1"/>
          <w:iCs w:val="1"/>
          <w:color w:val="auto"/>
        </w:rPr>
        <w:t>Termination and Amendment of the Plan</w:t>
      </w:r>
    </w:p>
    <w:p>
      <w:pPr>
        <w:spacing w:after="0" w:line="254" w:lineRule="exact"/>
        <w:rPr>
          <w:sz w:val="20"/>
          <w:szCs w:val="20"/>
          <w:color w:val="auto"/>
        </w:rPr>
      </w:pPr>
    </w:p>
    <w:p>
      <w:pPr>
        <w:jc w:val="both"/>
        <w:ind w:left="660" w:hanging="644"/>
        <w:spacing w:after="0" w:line="252"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5170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 xml:space="preserve">ARTICLE XVI - </w:t>
      </w:r>
      <w:r>
        <w:rPr>
          <w:rFonts w:ascii="Arial" w:cs="Arial" w:eastAsia="Arial" w:hAnsi="Arial"/>
          <w:sz w:val="18"/>
          <w:szCs w:val="18"/>
          <w:b w:val="1"/>
          <w:bCs w:val="1"/>
          <w:i w:val="1"/>
          <w:iCs w:val="1"/>
          <w:color w:val="auto"/>
        </w:rPr>
        <w:t>Miscellaneous</w:t>
      </w:r>
    </w:p>
    <w:p>
      <w:pPr>
        <w:spacing w:after="0" w:line="254"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208" w:lineRule="exact"/>
        <w:rPr>
          <w:sz w:val="20"/>
          <w:szCs w:val="20"/>
          <w:color w:val="auto"/>
        </w:rPr>
      </w:pPr>
    </w:p>
    <w:p>
      <w:pPr>
        <w:jc w:val="both"/>
        <w:ind w:left="660" w:hanging="644"/>
        <w:spacing w:after="0" w:line="262"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XVII - </w:t>
      </w:r>
      <w:r>
        <w:rPr>
          <w:rFonts w:ascii="Arial" w:cs="Arial" w:eastAsia="Arial" w:hAnsi="Arial"/>
          <w:sz w:val="18"/>
          <w:szCs w:val="18"/>
          <w:b w:val="1"/>
          <w:bCs w:val="1"/>
          <w:i w:val="1"/>
          <w:iCs w:val="1"/>
          <w:color w:val="auto"/>
        </w:rPr>
        <w:t>Effective Date</w:t>
      </w:r>
    </w:p>
    <w:p>
      <w:pPr>
        <w:spacing w:after="0" w:line="254" w:lineRule="exact"/>
        <w:rPr>
          <w:sz w:val="20"/>
          <w:szCs w:val="20"/>
          <w:color w:val="auto"/>
        </w:rPr>
      </w:pPr>
    </w:p>
    <w:p>
      <w:pPr>
        <w:jc w:val="both"/>
        <w:ind w:left="660" w:hanging="644"/>
        <w:spacing w:after="0" w:line="277"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Plan shall become effective at such time as the Plan has been adopted by the Board of Directors or such later date as shall be designated by the Board of Directors upon its adoption of the Plan; provided, however, that the Plan and all Subscription Agreements entered into thereunder shall be, and be deemed to have been, null and void if the Plan is not approved by the holders of a majority of the outstanding shares of Common Stock of the Company within twelve (12) months after the date on which the Plan is adopted by the Board of Directors.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72688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17780</wp:posOffset>
            </wp:positionV>
            <wp:extent cx="571500" cy="6394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571500" cy="63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20" w:firstLine="645"/>
        <w:spacing w:after="0" w:line="279" w:lineRule="auto"/>
        <w:rPr>
          <w:sz w:val="20"/>
          <w:szCs w:val="20"/>
          <w:color w:val="auto"/>
        </w:rPr>
      </w:pPr>
      <w:r>
        <w:rPr>
          <w:rFonts w:ascii="Arial" w:cs="Arial" w:eastAsia="Arial" w:hAnsi="Arial"/>
          <w:sz w:val="18"/>
          <w:szCs w:val="18"/>
          <w:b w:val="1"/>
          <w:bCs w:val="1"/>
          <w:color w:val="auto"/>
        </w:rPr>
        <w:t xml:space="preserve">This </w:t>
      </w:r>
      <w:r>
        <w:rPr>
          <w:rFonts w:ascii="Arial" w:cs="Arial" w:eastAsia="Arial" w:hAnsi="Arial"/>
          <w:sz w:val="18"/>
          <w:szCs w:val="18"/>
          <w:color w:val="auto"/>
        </w:rPr>
        <w:t>Agreement is entered into as of January 20, 2018 by and between Photronics, Inc., a Connecticut corporation (the “Company”) and DEMA</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Associates, LLC (“Consultant”).</w:t>
      </w:r>
    </w:p>
    <w:p>
      <w:pPr>
        <w:spacing w:after="0" w:line="190" w:lineRule="exact"/>
        <w:rPr>
          <w:sz w:val="20"/>
          <w:szCs w:val="20"/>
          <w:color w:val="auto"/>
        </w:rPr>
      </w:pPr>
    </w:p>
    <w:p>
      <w:pPr>
        <w:jc w:val="both"/>
        <w:ind w:right="220" w:firstLine="645"/>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that it will benefit from an ongoing consulting arrangement between Consultant and the Company,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Consultant will provide certain services on an independent contractor basis as outlined below and Consultant has agreed to provide certain consulting and advisory services to the Company pursuant to the terms set forth herein.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Consultant and the Company hereby agree as follows: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Consulting Services</w:t>
      </w:r>
    </w:p>
    <w:p>
      <w:pPr>
        <w:spacing w:after="0" w:line="25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During the term of this Agreement, Consultant agrees to make himself and or associates from DEMA Associates, LLC reasonably available to render at the request of the Company, such consulting services as are reasonably requested by the Company. Consultant will devote a reasonable amount of time, not to exceed forty hours (40) per month, to the provision of the Services. Consultant will provide an invoice to the Company to indicate the forty hours worked per month and the services provided to the Company. The form of invoice is attached hereto as Exhibit A. The Company will provide Consultant with a paid cell phone and a laptop computer.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Compensation</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As compensation for Consultant’s services during the term of this Agreement, the Company agrees to provide consulting fees and benefits under the terms specified below:</w:t>
      </w:r>
    </w:p>
    <w:p>
      <w:pPr>
        <w:spacing w:after="0" w:line="193"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In consideration for the consulting services, the Company will pay a consulting fee in the amount of three hundred and ninety thousand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($390,000) per year (“Consulting Fees”). The Company shall pay the Consulting Fees in equal monthly payments of thirty-two thousand five hundred dollars ($32,500.00) throughout the Consulting Period. The Consulting Fees will be paid at the address set forth above.</w:t>
      </w:r>
    </w:p>
    <w:p>
      <w:pPr>
        <w:spacing w:after="0" w:line="20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In the event that Consultant is required to travel in order to perform the Services under this Agreement, the Company will reimburse Consultant for such reasonable travel expenses incurred upon the presentation by Consultant of a detailed and itemized account of such expenses with proper documentation and such other supporting information as the Company may reasonably request. Except as provided above with respect to travel expenses, the Company will not be responsible for payment or reimbursement of Consultant’s expenses in his performance of the Services, unless such expense is approved in advance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2472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3) Term</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will be effective as of January 20, 2018 and will continue in effect for a period of four (4) years.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Non-Competition and Non-Solicitation</w:t>
      </w:r>
    </w:p>
    <w:p>
      <w:pPr>
        <w:spacing w:after="0" w:line="250"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Consultant hereby agrees that during the Consulting Period, and for a period of three (3) years after the termination of this Agreement, he will not, without first obtaining the Company’s prior written approval, directly or indirectly engage or prepare to engage in any activities in competition with the Company or accept employment, provide services to, or establish a business relationship with a business or individual engaged in or preparing to engage in competition with the Company. Consultant is free to engage in other work or business activities during the Consulting Period as long as they are not competitive with the Company. For purposes of this paragraph, the holding of less than one percent (1%) of the outstanding voting securities of any firm or business organization in competition with the Company shall not constitute activities or services precluded by this paragraph. Consultant also agrees that through the end of the Consulting Period and for a period of one (1) year thereafter, he will not, either directly or through others, solicit or attempt to solicit any employee or other personnel of the Company to terminate his or her relationship with the Company or to become an employee, consultant or independent contractor to or for any other person or entity. Further, Consultant agrees not to disparage the Company in any manner likely to be harmful to the Company’s business reputation, or the personal or business reputation of the Company’s directors, shareholders or employees. Consultant agrees that the Consulting Fees adequately compensate you for the restrictions of this paragraph.</w:t>
      </w:r>
    </w:p>
    <w:p>
      <w:pPr>
        <w:spacing w:after="0" w:line="213" w:lineRule="exact"/>
        <w:rPr>
          <w:sz w:val="20"/>
          <w:szCs w:val="20"/>
          <w:color w:val="auto"/>
        </w:rPr>
      </w:pPr>
    </w:p>
    <w:p>
      <w:pPr>
        <w:ind w:left="240" w:hanging="233"/>
        <w:spacing w:after="0"/>
        <w:tabs>
          <w:tab w:leader="none" w:pos="2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Liquidated Damages/Specific Performance</w:t>
      </w:r>
    </w:p>
    <w:p>
      <w:pPr>
        <w:spacing w:after="0" w:line="249" w:lineRule="exact"/>
        <w:rPr>
          <w:rFonts w:ascii="Arial" w:cs="Arial" w:eastAsia="Arial" w:hAnsi="Arial"/>
          <w:sz w:val="18"/>
          <w:szCs w:val="18"/>
          <w:b w:val="1"/>
          <w:bCs w:val="1"/>
          <w:i w:val="1"/>
          <w:iCs w:val="1"/>
          <w:color w:val="auto"/>
        </w:rPr>
      </w:pPr>
    </w:p>
    <w:p>
      <w:pPr>
        <w:ind w:left="980" w:right="20" w:hanging="328"/>
        <w:spacing w:after="0" w:line="255"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Consultant agrees that it would be impracticable or extremely difficult to ascertain the amount of actual damages caused by breach of Article (4), Non-Competition and Non-Solicitation, of this Agreement. Therefore, Consultant agrees that, in the event of such a breach, the Company will be entitled to withhold further payments of all Consulting Fees, recover all Consulting Fees already paid to Consultant, and obtain such injunctive and other relief as appropriate. Consultant further agree that this liquidated damage provision represents reasonable compensation for the loss which would be incurred by the Company because of any such breach.</w:t>
      </w:r>
    </w:p>
    <w:p>
      <w:pPr>
        <w:spacing w:after="0" w:line="216" w:lineRule="exact"/>
        <w:rPr>
          <w:rFonts w:ascii="Arial" w:cs="Arial" w:eastAsia="Arial" w:hAnsi="Arial"/>
          <w:sz w:val="18"/>
          <w:szCs w:val="18"/>
          <w:color w:val="auto"/>
        </w:rPr>
      </w:pPr>
    </w:p>
    <w:p>
      <w:pPr>
        <w:ind w:left="980" w:right="560" w:hanging="328"/>
        <w:spacing w:after="0" w:line="275"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the event Consultant claims that the Company is in breach of this Agreement, in addition to any other remedies available to Consultant, Consultant shall be entitled to obtain specific performance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227965</wp:posOffset>
            </wp:positionV>
            <wp:extent cx="72472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6. Independent Contractor Status of Consultant.</w:t>
      </w:r>
    </w:p>
    <w:p>
      <w:pPr>
        <w:spacing w:after="0" w:line="250"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Consultant’s legal status is as an independent contractor of Company. Nothing in this Agreement makes Consultant the agent, partner, joint venturer, employee or legal representative of Company for any purpose whatsoever; nor shall Consultant hold himself out as such. Consultant will have no authority to bind Company in any manner or for any purpose. Consultant will not be an employee of Company for any purpose, including for purposes of the Fair Labor Standards Act’s minimum wage and overtime provisions, nor any other provision of federal, state, or local law applicable to employees. Further, Consultant understands and agrees that he will not be entitled to any employment benefits that may be made available by the Company to its employees, including but not limited to vacation pay, sick leave, retirement benefits, social security, workers’ compensation, health or disability benefits, and unemployment insurance benefits. The parties acknowledge that Consultant was an employee of Company immediately prior to the commencement of this Agreement.</w:t>
      </w:r>
    </w:p>
    <w:p>
      <w:pPr>
        <w:spacing w:after="0" w:line="208" w:lineRule="exact"/>
        <w:rPr>
          <w:sz w:val="20"/>
          <w:szCs w:val="20"/>
          <w:color w:val="auto"/>
        </w:rPr>
      </w:pPr>
    </w:p>
    <w:p>
      <w:pPr>
        <w:ind w:left="980" w:right="60"/>
        <w:spacing w:after="0" w:line="262" w:lineRule="auto"/>
        <w:rPr>
          <w:sz w:val="20"/>
          <w:szCs w:val="20"/>
          <w:color w:val="auto"/>
        </w:rPr>
      </w:pPr>
      <w:r>
        <w:rPr>
          <w:rFonts w:ascii="Arial" w:cs="Arial" w:eastAsia="Arial" w:hAnsi="Arial"/>
          <w:sz w:val="18"/>
          <w:szCs w:val="18"/>
          <w:color w:val="auto"/>
        </w:rPr>
        <w:t>Consultant understands that the Company will not be responsible for withholding or paying any federal or state income, social security or other taxes in connection with any compensation paid under this Agreement, and Consultant agrees that he is solely responsible for any tax obligations which may arise from the payment of compensation to Consultant pursuant to this Agreement.</w:t>
      </w:r>
    </w:p>
    <w:p>
      <w:pPr>
        <w:spacing w:after="0" w:line="208" w:lineRule="exact"/>
        <w:rPr>
          <w:sz w:val="20"/>
          <w:szCs w:val="20"/>
          <w:color w:val="auto"/>
        </w:rPr>
      </w:pPr>
    </w:p>
    <w:p>
      <w:pPr>
        <w:ind w:left="240" w:hanging="233"/>
        <w:spacing w:after="0"/>
        <w:tabs>
          <w:tab w:leader="none" w:pos="2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Confidential Information.</w:t>
      </w:r>
    </w:p>
    <w:p>
      <w:pPr>
        <w:spacing w:after="0" w:line="249" w:lineRule="exact"/>
        <w:rPr>
          <w:rFonts w:ascii="Arial" w:cs="Arial" w:eastAsia="Arial" w:hAnsi="Arial"/>
          <w:sz w:val="18"/>
          <w:szCs w:val="18"/>
          <w:b w:val="1"/>
          <w:bCs w:val="1"/>
          <w:i w:val="1"/>
          <w:iCs w:val="1"/>
          <w:color w:val="auto"/>
        </w:rPr>
      </w:pPr>
    </w:p>
    <w:p>
      <w:pPr>
        <w:jc w:val="both"/>
        <w:ind w:firstLine="652"/>
        <w:spacing w:after="0" w:line="285" w:lineRule="auto"/>
        <w:tabs>
          <w:tab w:leader="none" w:pos="1099"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Consultant acknowledges that during his engagement with Company he may have access to certain confidential and proprietary information belonging to the Company or third parties who may have furnished such information under obligations of confidentiality, relating to and used in the Company’s business (collectively,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Consultant acknowledges that, unless otherwise available to the public, Confidential Information includes, but is not limited to, the following categories of information and material, including all copies, notes, or other reproductions or replicas thereof: financial statements and information; budgets, forecasts, and projections; business and strategic plans; marketing strategies; research and development projects; records relating to any intellectual property developed by, owned by, controlled, licensed, or maintained by the Company; information related to the Company’s inventions, research, products, designs, methods, know-how, formulae, techniques, systems, processes; customer lists; non-public information relating to the Company’s customers, suppliers, employees, distributors, or investors; the specific terms of the Company’s agreements or arrangements, whether oral or written, with any customer, supplier, vendor, or contractor with which the Company may be associated from time to time; and any and all information relating to the operation of the Company’s business which the Company may from time to time designate as confidential or proprietary or that Consultant reasonably knows should be, or has been, treated by the Company as confidential or proprietary. Confidential Information encompasses all formats in which information is preserved, whether electronic, print, or any other form, including all originals, copies, notes, or other reproductions or replicas thereof.</w:t>
      </w:r>
    </w:p>
    <w:p>
      <w:pPr>
        <w:spacing w:after="0" w:line="197" w:lineRule="exact"/>
        <w:rPr>
          <w:rFonts w:ascii="Arial" w:cs="Arial" w:eastAsia="Arial" w:hAnsi="Arial"/>
          <w:sz w:val="16"/>
          <w:szCs w:val="16"/>
          <w:b w:val="1"/>
          <w:bCs w:val="1"/>
          <w:color w:val="auto"/>
        </w:rPr>
      </w:pPr>
    </w:p>
    <w:p>
      <w:pPr>
        <w:jc w:val="both"/>
        <w:ind w:right="220" w:firstLine="652"/>
        <w:spacing w:after="0" w:line="262" w:lineRule="auto"/>
        <w:tabs>
          <w:tab w:leader="none" w:pos="1042"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Confidential Information does not include any information that: (i) at the time of disclosure is generally known to, or readily ascertainable by, the public; (ii) becomes known to the public through no fault of Consultant or other violation of this Agreement; or (iii) is disclosed to Consultant by a third party under no obligation to maintain the confidentiality of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2472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both"/>
        <w:ind w:firstLine="652"/>
        <w:spacing w:after="0" w:line="262" w:lineRule="auto"/>
        <w:tabs>
          <w:tab w:leader="none" w:pos="104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Consultant agrees that he will maintain the confidentiality of the Confidential Information at all times during and following his engagement by the Company and will not, directly or indirectly, use or disclose any Confidential Information for any purpose other than to the extent necessary to perform the Services.</w:t>
      </w:r>
    </w:p>
    <w:p>
      <w:pPr>
        <w:spacing w:after="0" w:line="208" w:lineRule="exact"/>
        <w:rPr>
          <w:rFonts w:ascii="Arial" w:cs="Arial" w:eastAsia="Arial" w:hAnsi="Arial"/>
          <w:sz w:val="18"/>
          <w:szCs w:val="18"/>
          <w:b w:val="1"/>
          <w:bCs w:val="1"/>
          <w:color w:val="auto"/>
        </w:rPr>
      </w:pPr>
    </w:p>
    <w:p>
      <w:pPr>
        <w:jc w:val="both"/>
        <w:ind w:right="20" w:firstLine="652"/>
        <w:spacing w:after="0" w:line="262" w:lineRule="auto"/>
        <w:tabs>
          <w:tab w:leader="none" w:pos="114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restrictions in Section 7(c) above will not apply to any information that Consultant is required to disclose by law, provided that the Consultant (i) notifies the Company of the existence and terms of such obligation, (ii) gives the Company a reasonable opportunity to seek a protective or similar order to prevent or limit such disclosure, and (iii) only discloses that information actually required to be disclosed.</w:t>
      </w:r>
    </w:p>
    <w:p>
      <w:pPr>
        <w:spacing w:after="0" w:line="208" w:lineRule="exact"/>
        <w:rPr>
          <w:rFonts w:ascii="Arial" w:cs="Arial" w:eastAsia="Arial" w:hAnsi="Arial"/>
          <w:sz w:val="18"/>
          <w:szCs w:val="18"/>
          <w:b w:val="1"/>
          <w:bCs w:val="1"/>
          <w:color w:val="auto"/>
        </w:rPr>
      </w:pPr>
    </w:p>
    <w:p>
      <w:pPr>
        <w:jc w:val="both"/>
        <w:ind w:firstLine="652"/>
        <w:spacing w:after="0" w:line="255" w:lineRule="auto"/>
        <w:tabs>
          <w:tab w:leader="none" w:pos="105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Upon termination of Consultant’s engagement with the Company for any reason, or at any time upon request of the Company, Consultant will promptly deliver to the Company all Confidential Information in any form along with all personal property belonging to the Company that is in Consultant’s possession, custody, or control, including, without limitation, all files, memoranda, designs, correspondence, manuals, programs, data, records, notes, notebooks, reports, papers, equipment, computer software, proposals, or any other file, material, document or possession (whether in hard copy or any electronic format), however obtained, along with any reproductions or copies.</w:t>
      </w:r>
    </w:p>
    <w:p>
      <w:pPr>
        <w:spacing w:after="0" w:line="216" w:lineRule="exact"/>
        <w:rPr>
          <w:sz w:val="20"/>
          <w:szCs w:val="20"/>
          <w:color w:val="auto"/>
        </w:rPr>
      </w:pPr>
    </w:p>
    <w:p>
      <w:pPr>
        <w:jc w:val="both"/>
        <w:ind w:firstLine="7"/>
        <w:spacing w:after="0" w:line="309" w:lineRule="auto"/>
        <w:tabs>
          <w:tab w:leader="none" w:pos="353"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Governing Law; Venue. </w:t>
      </w:r>
      <w:r>
        <w:rPr>
          <w:rFonts w:ascii="Arial" w:cs="Arial" w:eastAsia="Arial" w:hAnsi="Arial"/>
          <w:sz w:val="16"/>
          <w:szCs w:val="16"/>
          <w:color w:val="auto"/>
        </w:rPr>
        <w:t>This Agreement will be governed by and construed in accordance with the laws of the State of Connecticut, without regard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body of law known as choice of law. Each party (a) consents to the personal jurisdiction of said courts, (b) waives any venue or inconvenient forum defense to any proceeding maintained in such courts, and (c) agrees not to bring any proceeding arising out of or relating to this Agreement in any other court.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gridSpan w:val="3"/>
          </w:tcPr>
          <w:p>
            <w:pPr>
              <w:spacing w:after="0"/>
              <w:rPr>
                <w:sz w:val="20"/>
                <w:szCs w:val="20"/>
                <w:color w:val="auto"/>
              </w:rPr>
            </w:pPr>
            <w:r>
              <w:rPr>
                <w:rFonts w:ascii="Arial" w:cs="Arial" w:eastAsia="Arial" w:hAnsi="Arial"/>
                <w:sz w:val="18"/>
                <w:szCs w:val="18"/>
                <w:color w:val="auto"/>
              </w:rPr>
              <w:t>PHOTRONICS, INC.</w:t>
            </w:r>
          </w:p>
        </w:tc>
        <w:tc>
          <w:tcPr>
            <w:tcW w:w="6740" w:type="dxa"/>
            <w:vAlign w:val="bottom"/>
            <w:gridSpan w:val="2"/>
          </w:tcPr>
          <w:p>
            <w:pPr>
              <w:ind w:left="2060"/>
              <w:spacing w:after="0"/>
              <w:rPr>
                <w:sz w:val="20"/>
                <w:szCs w:val="20"/>
                <w:color w:val="auto"/>
              </w:rPr>
            </w:pPr>
            <w:r>
              <w:rPr>
                <w:rFonts w:ascii="Arial" w:cs="Arial" w:eastAsia="Arial" w:hAnsi="Arial"/>
                <w:sz w:val="18"/>
                <w:szCs w:val="18"/>
                <w:color w:val="auto"/>
              </w:rPr>
              <w:t>DEMA Associates, LLC</w:t>
            </w:r>
          </w:p>
        </w:tc>
      </w:tr>
      <w:tr>
        <w:trPr>
          <w:trHeight w:val="45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/s/ Richelle E. Burr</w:t>
            </w:r>
          </w:p>
        </w:tc>
        <w:tc>
          <w:tcPr>
            <w:tcW w:w="2760" w:type="dxa"/>
            <w:vAlign w:val="bottom"/>
          </w:tcPr>
          <w:p>
            <w:pPr>
              <w:ind w:left="206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Constantine S. Macricostas</w:t>
            </w:r>
          </w:p>
        </w:tc>
      </w:tr>
      <w:tr>
        <w:trPr>
          <w:trHeight w:val="229"/>
        </w:trPr>
        <w:tc>
          <w:tcPr>
            <w:tcW w:w="5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2760" w:type="dxa"/>
            <w:vAlign w:val="bottom"/>
          </w:tcPr>
          <w:p>
            <w:pPr>
              <w:ind w:left="2060"/>
              <w:spacing w:after="0" w:line="201" w:lineRule="exact"/>
              <w:rPr>
                <w:sz w:val="20"/>
                <w:szCs w:val="20"/>
                <w:color w:val="auto"/>
              </w:rPr>
            </w:pPr>
            <w:r>
              <w:rPr>
                <w:rFonts w:ascii="Arial" w:cs="Arial" w:eastAsia="Arial" w:hAnsi="Arial"/>
                <w:sz w:val="18"/>
                <w:szCs w:val="18"/>
                <w:color w:val="auto"/>
              </w:rPr>
              <w:t>Title:</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341"/>
        </w:trPr>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10.23</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17, 2018</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5, 2013</w:t>
      </w:r>
    </w:p>
    <w:p>
      <w:pPr>
        <w:spacing w:after="0" w:line="250" w:lineRule="exact"/>
        <w:rPr>
          <w:sz w:val="20"/>
          <w:szCs w:val="20"/>
          <w:color w:val="auto"/>
        </w:rPr>
      </w:pPr>
    </w:p>
    <w:p>
      <w:pPr>
        <w:jc w:val="both"/>
        <w:ind w:right="20" w:firstLine="1289"/>
        <w:spacing w:after="0" w:line="292" w:lineRule="auto"/>
        <w:rPr>
          <w:sz w:val="20"/>
          <w:szCs w:val="20"/>
          <w:color w:val="auto"/>
        </w:rPr>
      </w:pPr>
      <w:r>
        <w:rPr>
          <w:rFonts w:ascii="Arial" w:cs="Arial" w:eastAsia="Arial" w:hAnsi="Arial"/>
          <w:sz w:val="16"/>
          <w:szCs w:val="16"/>
          <w:color w:val="auto"/>
        </w:rPr>
        <w:t>THIS AMENDMENT NO. 4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17, 2018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Third Amended and Restated Credit Agreement dated as of December 5, 2013 by and among the Company, the Foreign Subsidiary Borrowers party thereto from time to time, the Lenders party thereto from time to time, the Collateral Agent and the Administrative Agent (as may be further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requested that the Lenders and the Administrative Agent agree to certain amendments to the Credit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 forth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5"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235" w:lineRule="exact"/>
        <w:rPr>
          <w:sz w:val="20"/>
          <w:szCs w:val="20"/>
          <w:color w:val="auto"/>
        </w:rPr>
      </w:pPr>
    </w:p>
    <w:p>
      <w:pPr>
        <w:ind w:firstLine="1296"/>
        <w:spacing w:after="0" w:line="275" w:lineRule="auto"/>
        <w:tabs>
          <w:tab w:leader="none" w:pos="198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224" w:lineRule="exact"/>
        <w:rPr>
          <w:sz w:val="20"/>
          <w:szCs w:val="20"/>
          <w:color w:val="auto"/>
        </w:rPr>
      </w:pPr>
    </w:p>
    <w:p>
      <w:pPr>
        <w:ind w:left="2040" w:hanging="744"/>
        <w:spacing w:after="0"/>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 6.03(a)(iii)</w:t>
      </w:r>
      <w:r>
        <w:rPr>
          <w:rFonts w:ascii="Arial" w:cs="Arial" w:eastAsia="Arial" w:hAnsi="Arial"/>
          <w:sz w:val="18"/>
          <w:szCs w:val="18"/>
          <w:color w:val="auto"/>
        </w:rPr>
        <w:t xml:space="preserve"> of the Credit Agreement is amended and restated in its entirety as follows:</w:t>
      </w:r>
    </w:p>
    <w:p>
      <w:pPr>
        <w:spacing w:after="0" w:line="250" w:lineRule="exact"/>
        <w:rPr>
          <w:sz w:val="20"/>
          <w:szCs w:val="20"/>
          <w:color w:val="auto"/>
        </w:rPr>
      </w:pPr>
    </w:p>
    <w:p>
      <w:pPr>
        <w:ind w:left="660" w:firstLine="644"/>
        <w:spacing w:after="0" w:line="339" w:lineRule="auto"/>
        <w:rPr>
          <w:sz w:val="20"/>
          <w:szCs w:val="20"/>
          <w:color w:val="auto"/>
        </w:rPr>
      </w:pPr>
      <w:r>
        <w:rPr>
          <w:rFonts w:ascii="Arial" w:cs="Arial" w:eastAsia="Arial" w:hAnsi="Arial"/>
          <w:sz w:val="16"/>
          <w:szCs w:val="16"/>
          <w:color w:val="auto"/>
        </w:rPr>
        <w:t>“ (iii) (A) any Loan Party (other than the Company) or any Subsidiary may sell, transfer, lease or otherwise dispose of its assets to, or otherwise dissolve into, a Loan Party and (B) the Company may sell, transfer, lease or otherwise dispose of its assets to, a Subsidiary Guarantor,”;</w:t>
      </w:r>
    </w:p>
    <w:p>
      <w:pPr>
        <w:spacing w:after="0" w:line="178" w:lineRule="exact"/>
        <w:rPr>
          <w:sz w:val="20"/>
          <w:szCs w:val="20"/>
          <w:color w:val="auto"/>
        </w:rPr>
      </w:pPr>
    </w:p>
    <w:p>
      <w:pPr>
        <w:jc w:val="both"/>
        <w:ind w:firstLine="1296"/>
        <w:spacing w:after="0" w:line="300" w:lineRule="auto"/>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(a) the Administrative Agent shall have received counterparts of (i) this Amendment duly executed by the Company, the Required Lenders and the Administrative Agent and (ii) the Consent and Reaffirmation attached hereto duly executed by the Subsidiary Guarantors and (b) the Company shall have paid, to the extent invoiced, reasonable attorneys’ fees and expenses of the Administrative Agent in connection with this Amendment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2472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6" w:name="page87"/>
    <w:bookmarkEnd w:id="86"/>
    <w:p>
      <w:pPr>
        <w:ind w:left="2000" w:hanging="704"/>
        <w:spacing w:after="0"/>
        <w:tabs>
          <w:tab w:leader="none" w:pos="200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warrants as follows:</w:t>
      </w:r>
    </w:p>
    <w:p>
      <w:pPr>
        <w:spacing w:after="0" w:line="262" w:lineRule="exact"/>
        <w:rPr>
          <w:sz w:val="20"/>
          <w:szCs w:val="20"/>
          <w:color w:val="auto"/>
        </w:rPr>
      </w:pPr>
    </w:p>
    <w:p>
      <w:pPr>
        <w:jc w:val="both"/>
        <w:ind w:firstLine="1296"/>
        <w:spacing w:after="0" w:line="309" w:lineRule="auto"/>
        <w:tabs>
          <w:tab w:leader="none" w:pos="21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2" w:lineRule="exact"/>
        <w:rPr>
          <w:rFonts w:ascii="Arial" w:cs="Arial" w:eastAsia="Arial" w:hAnsi="Arial"/>
          <w:sz w:val="16"/>
          <w:szCs w:val="16"/>
          <w:color w:val="auto"/>
        </w:rPr>
      </w:pPr>
    </w:p>
    <w:p>
      <w:pPr>
        <w:ind w:left="2100" w:hanging="804"/>
        <w:spacing w:after="0"/>
        <w:tabs>
          <w:tab w:leader="none" w:pos="21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As of the date hereof and giving effect to the terms of this Amendment, (i) no Default shall have occurred and be continuing and</w:t>
      </w:r>
    </w:p>
    <w:p>
      <w:pPr>
        <w:spacing w:after="0" w:line="45" w:lineRule="exact"/>
        <w:rPr>
          <w:rFonts w:ascii="Arial" w:cs="Arial" w:eastAsia="Arial" w:hAnsi="Arial"/>
          <w:sz w:val="16"/>
          <w:szCs w:val="16"/>
          <w:color w:val="auto"/>
        </w:rPr>
      </w:pPr>
    </w:p>
    <w:p>
      <w:pPr>
        <w:ind w:left="280" w:hanging="273"/>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set forth in the Credit Agreement, as amended hereby, are true and correct as of the date hereof.</w:t>
      </w:r>
    </w:p>
    <w:p>
      <w:pPr>
        <w:spacing w:after="0" w:line="285" w:lineRule="exact"/>
        <w:rPr>
          <w:sz w:val="20"/>
          <w:szCs w:val="20"/>
          <w:color w:val="auto"/>
        </w:rPr>
      </w:pPr>
    </w:p>
    <w:p>
      <w:pPr>
        <w:ind w:left="1960" w:hanging="664"/>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76" w:lineRule="exact"/>
        <w:rPr>
          <w:sz w:val="20"/>
          <w:szCs w:val="20"/>
          <w:color w:val="auto"/>
        </w:rPr>
      </w:pPr>
    </w:p>
    <w:p>
      <w:pPr>
        <w:ind w:firstLine="1296"/>
        <w:spacing w:after="0" w:line="275" w:lineRule="auto"/>
        <w:tabs>
          <w:tab w:leader="none" w:pos="20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223" w:lineRule="exact"/>
        <w:rPr>
          <w:rFonts w:ascii="Arial" w:cs="Arial" w:eastAsia="Arial" w:hAnsi="Arial"/>
          <w:sz w:val="18"/>
          <w:szCs w:val="18"/>
          <w:color w:val="auto"/>
        </w:rPr>
      </w:pPr>
    </w:p>
    <w:p>
      <w:pPr>
        <w:ind w:firstLine="1296"/>
        <w:spacing w:after="0" w:line="275" w:lineRule="auto"/>
        <w:tabs>
          <w:tab w:leader="none" w:pos="22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223" w:lineRule="exact"/>
        <w:rPr>
          <w:rFonts w:ascii="Arial" w:cs="Arial" w:eastAsia="Arial" w:hAnsi="Arial"/>
          <w:sz w:val="18"/>
          <w:szCs w:val="18"/>
          <w:color w:val="auto"/>
        </w:rPr>
      </w:pPr>
    </w:p>
    <w:p>
      <w:pPr>
        <w:jc w:val="both"/>
        <w:ind w:firstLine="1296"/>
        <w:spacing w:after="0" w:line="262" w:lineRule="auto"/>
        <w:tabs>
          <w:tab w:leader="none" w:pos="21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35" w:lineRule="exact"/>
        <w:rPr>
          <w:rFonts w:ascii="Arial" w:cs="Arial" w:eastAsia="Arial" w:hAnsi="Arial"/>
          <w:sz w:val="18"/>
          <w:szCs w:val="18"/>
          <w:color w:val="auto"/>
        </w:rPr>
      </w:pPr>
    </w:p>
    <w:p>
      <w:pPr>
        <w:ind w:left="2040" w:hanging="744"/>
        <w:spacing w:after="0"/>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Amendment shall constitute a Loan Document.</w:t>
      </w:r>
    </w:p>
    <w:p>
      <w:pPr>
        <w:spacing w:after="0" w:line="276" w:lineRule="exact"/>
        <w:rPr>
          <w:sz w:val="20"/>
          <w:szCs w:val="20"/>
          <w:color w:val="auto"/>
        </w:rPr>
      </w:pPr>
    </w:p>
    <w:p>
      <w:pPr>
        <w:ind w:left="1960" w:hanging="664"/>
        <w:spacing w:after="0"/>
        <w:tabs>
          <w:tab w:leader="none" w:pos="196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construed in accordance with and governed by the law of the State of New York.</w:t>
      </w:r>
    </w:p>
    <w:p>
      <w:pPr>
        <w:spacing w:after="0" w:line="287" w:lineRule="exact"/>
        <w:rPr>
          <w:rFonts w:ascii="Arial" w:cs="Arial" w:eastAsia="Arial" w:hAnsi="Arial"/>
          <w:sz w:val="17"/>
          <w:szCs w:val="17"/>
          <w:color w:val="auto"/>
        </w:rPr>
      </w:pPr>
    </w:p>
    <w:p>
      <w:pPr>
        <w:ind w:firstLine="1296"/>
        <w:spacing w:after="0" w:line="275" w:lineRule="auto"/>
        <w:tabs>
          <w:tab w:leader="none" w:pos="205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223" w:lineRule="exact"/>
        <w:rPr>
          <w:rFonts w:ascii="Arial" w:cs="Arial" w:eastAsia="Arial" w:hAnsi="Arial"/>
          <w:sz w:val="18"/>
          <w:szCs w:val="18"/>
          <w:color w:val="auto"/>
        </w:rPr>
      </w:pPr>
    </w:p>
    <w:p>
      <w:pPr>
        <w:jc w:val="both"/>
        <w:ind w:firstLine="1296"/>
        <w:spacing w:after="0" w:line="262" w:lineRule="auto"/>
        <w:tabs>
          <w:tab w:leader="none" w:pos="197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87" w:name="page88"/>
    <w:bookmarkEnd w:id="87"/>
    <w:p>
      <w:pPr>
        <w:ind w:left="10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pacing w:after="0" w:line="27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PHOTRONICS, INC.,</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the Company</w:t>
      </w:r>
    </w:p>
    <w:p>
      <w:pPr>
        <w:spacing w:after="0" w:line="2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-130175</wp:posOffset>
            </wp:positionV>
            <wp:extent cx="31889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115570</wp:posOffset>
            </wp:positionV>
            <wp:extent cx="72472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367" w:right="1440" w:bottom="1440" w:gutter="0" w:footer="0" w:header="0"/>
        </w:sectPr>
      </w:pPr>
    </w:p>
    <w:bookmarkStart w:id="88" w:name="page89"/>
    <w:bookmarkEnd w:id="88"/>
    <w:p>
      <w:pPr>
        <w:ind w:left="4520"/>
        <w:spacing w:after="0" w:line="275" w:lineRule="auto"/>
        <w:rPr>
          <w:sz w:val="20"/>
          <w:szCs w:val="20"/>
          <w:color w:val="auto"/>
        </w:rPr>
      </w:pPr>
      <w:r>
        <w:rPr>
          <w:rFonts w:ascii="Arial" w:cs="Arial" w:eastAsia="Arial" w:hAnsi="Arial"/>
          <w:sz w:val="18"/>
          <w:szCs w:val="18"/>
          <w:color w:val="auto"/>
        </w:rPr>
        <w:t>JPMORGAN CHASE BANK, N.A., individually as a Lender and as Administrative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-130175</wp:posOffset>
            </wp:positionV>
            <wp:extent cx="31889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 to Amendment No. 4</w:t>
      </w:r>
    </w:p>
    <w:p>
      <w:pPr>
        <w:spacing w:after="0" w:line="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Photronics, Inc.</w:t>
      </w:r>
    </w:p>
    <w:p>
      <w:pPr>
        <w:spacing w:after="0" w:line="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130175</wp:posOffset>
            </wp:positionV>
            <wp:extent cx="72472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420"/>
          </w:cols>
          <w:pgMar w:left="1440" w:top="609" w:right="1039" w:bottom="1440" w:gutter="0" w:footer="0" w:header="0"/>
        </w:sectPr>
      </w:pPr>
    </w:p>
    <w:bookmarkStart w:id="89" w:name="page90"/>
    <w:bookmarkEnd w:id="89"/>
    <w:p>
      <w:pPr>
        <w:ind w:left="4520"/>
        <w:spacing w:after="0"/>
        <w:rPr>
          <w:sz w:val="20"/>
          <w:szCs w:val="20"/>
          <w:color w:val="auto"/>
        </w:rPr>
      </w:pPr>
      <w:r>
        <w:rPr>
          <w:rFonts w:ascii="Arial" w:cs="Arial" w:eastAsia="Arial" w:hAnsi="Arial"/>
          <w:sz w:val="17"/>
          <w:szCs w:val="17"/>
          <w:color w:val="auto"/>
        </w:rPr>
        <w:t>RBS CITIZENS, NATIONAL ASSOCIATION,</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-130175</wp:posOffset>
            </wp:positionV>
            <wp:extent cx="31889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130175</wp:posOffset>
            </wp:positionV>
            <wp:extent cx="72472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90" w:name="page91"/>
    <w:bookmarkEnd w:id="90"/>
    <w:p>
      <w:pPr>
        <w:ind w:left="4520"/>
        <w:spacing w:after="0"/>
        <w:rPr>
          <w:sz w:val="20"/>
          <w:szCs w:val="20"/>
          <w:color w:val="auto"/>
        </w:rPr>
      </w:pPr>
      <w:r>
        <w:rPr>
          <w:rFonts w:ascii="Arial" w:cs="Arial" w:eastAsia="Arial" w:hAnsi="Arial"/>
          <w:sz w:val="17"/>
          <w:szCs w:val="17"/>
          <w:color w:val="auto"/>
        </w:rPr>
        <w:t>TD BANK, N.A.,</w:t>
      </w:r>
    </w:p>
    <w:p>
      <w:pPr>
        <w:spacing w:after="0" w:line="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-130175</wp:posOffset>
            </wp:positionV>
            <wp:extent cx="31889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285115</wp:posOffset>
            </wp:positionV>
            <wp:extent cx="72472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t>CONSENT AND REAFFIRMATION</w:t>
      </w:r>
    </w:p>
    <w:p>
      <w:pPr>
        <w:spacing w:after="0" w:line="250" w:lineRule="exact"/>
        <w:rPr>
          <w:sz w:val="20"/>
          <w:szCs w:val="20"/>
          <w:color w:val="auto"/>
        </w:rPr>
      </w:pPr>
    </w:p>
    <w:p>
      <w:pPr>
        <w:jc w:val="both"/>
        <w:ind w:firstLine="1289"/>
        <w:spacing w:after="0" w:line="216" w:lineRule="exact"/>
        <w:rPr>
          <w:sz w:val="20"/>
          <w:szCs w:val="20"/>
          <w:color w:val="auto"/>
        </w:rPr>
      </w:pPr>
      <w:r>
        <w:rPr>
          <w:rFonts w:ascii="Arial" w:cs="Arial" w:eastAsia="Arial" w:hAnsi="Arial"/>
          <w:sz w:val="17"/>
          <w:szCs w:val="17"/>
          <w:color w:val="auto"/>
        </w:rPr>
        <w:t>Each of the undersigned hereby acknowledges receipt of a copy of the foregoing Amendment No. 4 to the Third Amended and Restated Credit Agreement dated as of December 5, 2013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Photronics,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which Amendment No. 4 is dated as of August 17, 2018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 and as the same may from time to time hereafter be amended, modified or restated.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17, 2018</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2472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PHOTRONICS IDAHO,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-130175</wp:posOffset>
            </wp:positionV>
            <wp:extent cx="31889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-130175</wp:posOffset>
            </wp:positionV>
            <wp:extent cx="31889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-130175</wp:posOffset>
            </wp:positionV>
            <wp:extent cx="31889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-130175</wp:posOffset>
            </wp:positionV>
            <wp:extent cx="31889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2472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Signature Page to Consent and Reaffirmation to Signature Page to Amendment No. 4</w:t>
      </w:r>
    </w:p>
    <w:p>
      <w:pPr>
        <w:spacing w:after="0" w:line="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Inc.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Third Amended and Restated Credit Agreement dated as of December 5, 2013</w:t>
      </w:r>
    </w:p>
    <w:p>
      <w:pPr>
        <w:sectPr>
          <w:pgSz w:w="11900" w:h="16838" w:orient="portrait"/>
          <w:cols w:equalWidth="0" w:num="1">
            <w:col w:w="10219"/>
          </w:cols>
          <w:pgMar w:left="240" w:top="367"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170180</wp:posOffset>
            </wp:positionV>
            <wp:extent cx="7247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-127635</wp:posOffset>
            </wp:positionV>
            <wp:extent cx="7247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16510</wp:posOffset>
            </wp:positionV>
            <wp:extent cx="1654175" cy="358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1654175" cy="3581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FOURTH AMENDED AND RESTATED CREDIT AGREEMENT</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September 27, 2018</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PHOTRONICS, INC.</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Foreign Subsidiary Borrowers Party Hereto</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Lenders Party Hereto</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 and Collateral Agent</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0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269240</wp:posOffset>
            </wp:positionV>
            <wp:extent cx="25831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25831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1960" w:right="3140"/>
        <w:spacing w:after="0" w:line="262" w:lineRule="auto"/>
        <w:rPr>
          <w:sz w:val="20"/>
          <w:szCs w:val="20"/>
          <w:color w:val="auto"/>
        </w:rPr>
      </w:pPr>
      <w:r>
        <w:rPr>
          <w:rFonts w:ascii="Arial" w:cs="Arial" w:eastAsia="Arial" w:hAnsi="Arial"/>
          <w:sz w:val="18"/>
          <w:szCs w:val="18"/>
          <w:color w:val="auto"/>
        </w:rPr>
        <w:t>JPMORGAN CHASE BANK, N.A. and MERRILL LYNCH, PIERCE, FENNER &amp; SMITH INCORPORATED 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260985</wp:posOffset>
            </wp:positionV>
            <wp:extent cx="7247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286385</wp:posOffset>
            </wp:positionV>
            <wp:extent cx="7247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559435</wp:posOffset>
            </wp:positionV>
            <wp:extent cx="72472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20"/>
          </w:cols>
          <w:pgMar w:left="1440" w:top="269"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74"/>
        </w:trPr>
        <w:tc>
          <w:tcPr>
            <w:tcW w:w="10540" w:type="dxa"/>
            <w:vAlign w:val="bottom"/>
          </w:tcPr>
          <w:p>
            <w:pPr>
              <w:ind w:left="4620"/>
              <w:spacing w:after="0"/>
              <w:rPr>
                <w:sz w:val="20"/>
                <w:szCs w:val="20"/>
                <w:color w:val="auto"/>
              </w:rPr>
            </w:pPr>
            <w:r>
              <w:rPr>
                <w:rFonts w:ascii="Arial" w:cs="Arial" w:eastAsia="Arial" w:hAnsi="Arial"/>
                <w:sz w:val="21"/>
                <w:szCs w:val="21"/>
                <w:color w:val="auto"/>
              </w:rPr>
              <w:t>TABLE OF CONTENTS</w:t>
            </w:r>
          </w:p>
        </w:tc>
        <w:tc>
          <w:tcPr>
            <w:tcW w:w="880" w:type="dxa"/>
            <w:vAlign w:val="bottom"/>
          </w:tcPr>
          <w:p>
            <w:pPr>
              <w:spacing w:after="0"/>
              <w:rPr>
                <w:sz w:val="23"/>
                <w:szCs w:val="23"/>
                <w:color w:val="auto"/>
              </w:rPr>
            </w:pPr>
          </w:p>
        </w:tc>
      </w:tr>
      <w:tr>
        <w:trPr>
          <w:trHeight w:val="467"/>
        </w:trPr>
        <w:tc>
          <w:tcPr>
            <w:tcW w:w="10540" w:type="dxa"/>
            <w:vAlign w:val="bottom"/>
          </w:tcPr>
          <w:p>
            <w:pPr>
              <w:spacing w:after="0"/>
              <w:rPr>
                <w:sz w:val="24"/>
                <w:szCs w:val="2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Page</w:t>
            </w:r>
          </w:p>
        </w:tc>
      </w:tr>
      <w:tr>
        <w:trPr>
          <w:trHeight w:val="430"/>
        </w:trPr>
        <w:tc>
          <w:tcPr>
            <w:tcW w:w="10540" w:type="dxa"/>
            <w:vAlign w:val="bottom"/>
          </w:tcPr>
          <w:p>
            <w:pPr>
              <w:spacing w:after="0"/>
              <w:rPr>
                <w:sz w:val="20"/>
                <w:szCs w:val="20"/>
                <w:color w:val="auto"/>
              </w:rPr>
            </w:pPr>
            <w:r>
              <w:rPr>
                <w:rFonts w:ascii="Arial" w:cs="Arial" w:eastAsia="Arial" w:hAnsi="Arial"/>
                <w:sz w:val="18"/>
                <w:szCs w:val="18"/>
                <w:color w:val="auto"/>
              </w:rPr>
              <w:t>ARTICLE I Definitions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5"/>
        </w:trPr>
        <w:tc>
          <w:tcPr>
            <w:tcW w:w="10540" w:type="dxa"/>
            <w:vAlign w:val="bottom"/>
          </w:tcPr>
          <w:p>
            <w:pPr>
              <w:spacing w:after="0"/>
              <w:rPr>
                <w:sz w:val="20"/>
                <w:szCs w:val="20"/>
                <w:color w:val="auto"/>
              </w:rPr>
            </w:pPr>
            <w:r>
              <w:rPr>
                <w:rFonts w:ascii="Arial" w:cs="Arial" w:eastAsia="Arial" w:hAnsi="Arial"/>
                <w:sz w:val="18"/>
                <w:szCs w:val="18"/>
                <w:color w:val="auto"/>
              </w:rPr>
              <w:t>SECTION 1.01. Defined Terms</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1.02. Classification of Loans and Borrowings</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1.03. Terms Generally</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1.04. Accounting Terms; GAAP</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1.05. Status of Secured Obligations</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1.06. Amendment and Restatement of the Existing Credit 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10540" w:type="dxa"/>
            <w:vAlign w:val="bottom"/>
          </w:tcPr>
          <w:p>
            <w:pPr>
              <w:spacing w:after="0"/>
              <w:rPr>
                <w:sz w:val="20"/>
                <w:szCs w:val="20"/>
                <w:color w:val="auto"/>
              </w:rPr>
            </w:pPr>
            <w:r>
              <w:rPr>
                <w:rFonts w:ascii="Arial" w:cs="Arial" w:eastAsia="Arial" w:hAnsi="Arial"/>
                <w:sz w:val="18"/>
                <w:szCs w:val="18"/>
                <w:color w:val="auto"/>
              </w:rPr>
              <w:t>SECTION 1.07. Interest Rates</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0"/>
        </w:trPr>
        <w:tc>
          <w:tcPr>
            <w:tcW w:w="10540" w:type="dxa"/>
            <w:vAlign w:val="bottom"/>
          </w:tcPr>
          <w:p>
            <w:pPr>
              <w:spacing w:after="0"/>
              <w:rPr>
                <w:sz w:val="20"/>
                <w:szCs w:val="20"/>
                <w:color w:val="auto"/>
              </w:rPr>
            </w:pPr>
            <w:r>
              <w:rPr>
                <w:rFonts w:ascii="Arial" w:cs="Arial" w:eastAsia="Arial" w:hAnsi="Arial"/>
                <w:sz w:val="18"/>
                <w:szCs w:val="18"/>
                <w:color w:val="auto"/>
              </w:rPr>
              <w:t>ARTICLE II The Credits</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5"/>
        </w:trPr>
        <w:tc>
          <w:tcPr>
            <w:tcW w:w="10540" w:type="dxa"/>
            <w:vAlign w:val="bottom"/>
          </w:tcPr>
          <w:p>
            <w:pPr>
              <w:spacing w:after="0"/>
              <w:rPr>
                <w:sz w:val="20"/>
                <w:szCs w:val="20"/>
                <w:color w:val="auto"/>
              </w:rPr>
            </w:pPr>
            <w:r>
              <w:rPr>
                <w:rFonts w:ascii="Arial" w:cs="Arial" w:eastAsia="Arial" w:hAnsi="Arial"/>
                <w:sz w:val="18"/>
                <w:szCs w:val="18"/>
                <w:color w:val="auto"/>
              </w:rPr>
              <w:t>SECTION 2.01. Commitments</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2.02. Loans and Borrowings</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2.03. Requests for Revolving Borrowings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2.04. Determination of Dollar Amounts</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2.05. Swingline Loans</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2.06. Letters of Credit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2.07. Funding of Borrowings</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2.08. Interest Elections</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2.09. Termination and Reduction of Commitments</w:t>
            </w: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2.10. Repayment of Loans; Evidence of Debt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2.11. Prepayment of Loans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2.12. Fees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2.13.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2.14. Alternate Rate of Interest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2.15. Increased Costs</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2.16. Break Funding Payments</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2.17. Taxes</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2.18. Payments Generally; Pro Rata Treatment; Sharing of Set-offs</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2.19. Mitigation Obligations; Replacement of Lenders</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2.20. Expansion Option</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2.21. Market Disruption</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2.22. Judgment Currency</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2.23. Designation of Foreign Subsidiary Borrowers</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10540" w:type="dxa"/>
            <w:vAlign w:val="bottom"/>
          </w:tcPr>
          <w:p>
            <w:pPr>
              <w:spacing w:after="0"/>
              <w:rPr>
                <w:sz w:val="20"/>
                <w:szCs w:val="20"/>
                <w:color w:val="auto"/>
              </w:rPr>
            </w:pPr>
            <w:r>
              <w:rPr>
                <w:rFonts w:ascii="Arial" w:cs="Arial" w:eastAsia="Arial" w:hAnsi="Arial"/>
                <w:sz w:val="18"/>
                <w:szCs w:val="18"/>
                <w:color w:val="auto"/>
              </w:rPr>
              <w:t>SECTION 2.24. Defaulting Lenders</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0"/>
        </w:trPr>
        <w:tc>
          <w:tcPr>
            <w:tcW w:w="10540" w:type="dxa"/>
            <w:vAlign w:val="bottom"/>
          </w:tcPr>
          <w:p>
            <w:pPr>
              <w:spacing w:after="0"/>
              <w:rPr>
                <w:sz w:val="20"/>
                <w:szCs w:val="20"/>
                <w:color w:val="auto"/>
              </w:rPr>
            </w:pPr>
            <w:r>
              <w:rPr>
                <w:rFonts w:ascii="Arial" w:cs="Arial" w:eastAsia="Arial" w:hAnsi="Arial"/>
                <w:sz w:val="18"/>
                <w:szCs w:val="18"/>
                <w:color w:val="auto"/>
              </w:rPr>
              <w:t>ARTICLE III Representations and Warranties</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5"/>
        </w:trPr>
        <w:tc>
          <w:tcPr>
            <w:tcW w:w="10540" w:type="dxa"/>
            <w:vAlign w:val="bottom"/>
          </w:tcPr>
          <w:p>
            <w:pPr>
              <w:spacing w:after="0"/>
              <w:rPr>
                <w:sz w:val="20"/>
                <w:szCs w:val="20"/>
                <w:color w:val="auto"/>
              </w:rPr>
            </w:pPr>
            <w:r>
              <w:rPr>
                <w:rFonts w:ascii="Arial" w:cs="Arial" w:eastAsia="Arial" w:hAnsi="Arial"/>
                <w:sz w:val="18"/>
                <w:szCs w:val="18"/>
                <w:color w:val="auto"/>
              </w:rPr>
              <w:t>SECTION 3.01. Organization; Powers; Subsidiaries</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3.02. Authorization; Enforceability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3.03. Governmental Approvals; No Conflicts</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3.05. Properties</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3.06. Litigation and Environmental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3.07. Compliance with Laws and Agreements</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10540" w:type="dxa"/>
            <w:vAlign w:val="bottom"/>
          </w:tcPr>
          <w:p>
            <w:pPr>
              <w:spacing w:after="0"/>
              <w:rPr>
                <w:sz w:val="20"/>
                <w:szCs w:val="20"/>
                <w:color w:val="auto"/>
              </w:rPr>
            </w:pPr>
            <w:r>
              <w:rPr>
                <w:rFonts w:ascii="Arial" w:cs="Arial" w:eastAsia="Arial" w:hAnsi="Arial"/>
                <w:sz w:val="18"/>
                <w:szCs w:val="18"/>
                <w:color w:val="auto"/>
              </w:rPr>
              <w:t>SECTION 3.08. Investment Company Status</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10540" w:type="dxa"/>
            <w:vAlign w:val="bottom"/>
          </w:tcPr>
          <w:p>
            <w:pPr>
              <w:spacing w:after="0"/>
              <w:rPr>
                <w:sz w:val="20"/>
                <w:szCs w:val="20"/>
                <w:color w:val="auto"/>
              </w:rPr>
            </w:pPr>
            <w:r>
              <w:rPr>
                <w:rFonts w:ascii="Arial" w:cs="Arial" w:eastAsia="Arial" w:hAnsi="Arial"/>
                <w:sz w:val="18"/>
                <w:szCs w:val="18"/>
                <w:color w:val="auto"/>
              </w:rPr>
              <w:t>SECTION 3.09. Taxes</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81"/>
        </w:trPr>
        <w:tc>
          <w:tcPr>
            <w:tcW w:w="10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18"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Table of Contents</w:t>
            </w:r>
          </w:p>
        </w:tc>
        <w:tc>
          <w:tcPr>
            <w:tcW w:w="4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2"/>
        </w:trPr>
        <w:tc>
          <w:tcPr>
            <w:tcW w:w="4960" w:type="dxa"/>
            <w:vAlign w:val="bottom"/>
          </w:tcPr>
          <w:p>
            <w:pPr>
              <w:spacing w:after="0"/>
              <w:rPr>
                <w:sz w:val="23"/>
                <w:szCs w:val="23"/>
                <w:color w:val="auto"/>
              </w:rPr>
            </w:pPr>
          </w:p>
        </w:tc>
        <w:tc>
          <w:tcPr>
            <w:tcW w:w="5580" w:type="dxa"/>
            <w:vAlign w:val="bottom"/>
            <w:gridSpan w:val="2"/>
          </w:tcPr>
          <w:p>
            <w:pPr>
              <w:jc w:val="center"/>
              <w:ind w:right="4080"/>
              <w:spacing w:after="0"/>
              <w:rPr>
                <w:sz w:val="20"/>
                <w:szCs w:val="20"/>
                <w:color w:val="auto"/>
              </w:rPr>
            </w:pPr>
            <w:r>
              <w:rPr>
                <w:rFonts w:ascii="Arial" w:cs="Arial" w:eastAsia="Arial" w:hAnsi="Arial"/>
                <w:sz w:val="21"/>
                <w:szCs w:val="21"/>
                <w:color w:val="auto"/>
                <w:w w:val="93"/>
              </w:rPr>
              <w:t>(continued)</w:t>
            </w:r>
          </w:p>
        </w:tc>
        <w:tc>
          <w:tcPr>
            <w:tcW w:w="880" w:type="dxa"/>
            <w:vAlign w:val="bottom"/>
          </w:tcPr>
          <w:p>
            <w:pPr>
              <w:spacing w:after="0"/>
              <w:rPr>
                <w:sz w:val="23"/>
                <w:szCs w:val="23"/>
                <w:color w:val="auto"/>
              </w:rPr>
            </w:pPr>
          </w:p>
        </w:tc>
      </w:tr>
      <w:tr>
        <w:trPr>
          <w:trHeight w:val="467"/>
        </w:trPr>
        <w:tc>
          <w:tcPr>
            <w:tcW w:w="4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Page</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3.10. ERISA</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3.11. Disclosure</w:t>
            </w: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3.12. Federal Reserve Regulations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3.13. Liens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3.14. No Default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3.15. Security Interest in Collateral</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3.16. Anti-Corruption Laws and Sanctions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3.17. EEA Financial Institutions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IV Conditions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4.01. Effective Date</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4.02. Each Credit Event</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4.03. Designation of a Foreign Subsidiary Borrower</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V Affirmative Covenants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5.02. Notices of Material Events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5.03. Existence; Conduct of 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5.04. Payment of Obligations</w:t>
            </w: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5.05. Maintenance of Properties; 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5.06. Books and Records; Inspection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5.07. Compliance with Laws and Material Contractual Obligations</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5.08. Use of Proceeds</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5.09. Subsidiary Guarantors; Pledges; Additional Collateral; Further Assurances</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10540" w:type="dxa"/>
            <w:vAlign w:val="bottom"/>
            <w:gridSpan w:val="3"/>
          </w:tcPr>
          <w:p>
            <w:pPr>
              <w:ind w:left="60"/>
              <w:spacing w:after="0"/>
              <w:rPr>
                <w:sz w:val="20"/>
                <w:szCs w:val="20"/>
                <w:color w:val="auto"/>
              </w:rPr>
            </w:pPr>
            <w:r>
              <w:rPr>
                <w:rFonts w:ascii="Arial" w:cs="Arial" w:eastAsia="Arial" w:hAnsi="Arial"/>
                <w:sz w:val="18"/>
                <w:szCs w:val="18"/>
                <w:color w:val="auto"/>
              </w:rPr>
              <w:t>SECTION 5.10. Post-Closing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VI Negative Covenants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6.01. Indebtedness</w:t>
            </w: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6.02. Liens</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6.03. Fundamental Changes and Asset Sales</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6.04. Investments, Loans, Advances, Guarantees and Acquisitions</w:t>
            </w: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6.05. Swap Agreements</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6.06. Restricted Payments</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6.07. Transactions with Affiliates</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6.08. Restrictive Agreements</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6.09. Issuances of Equity Interests by Subsidiaries</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6.10. Amendment of Material Documents</w:t>
            </w: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6.11. Financial Covenants</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6.12. Anti-Corruption Laws and Sanctions</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VII Events of Default</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VIII The Administrative Agent and the Collateral Agent</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8.01. Authorization and Action</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8.02. Agents’ Reliance, Indemnification, Etc</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99"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Table of Contents</w:t>
            </w:r>
          </w:p>
        </w:tc>
        <w:tc>
          <w:tcPr>
            <w:tcW w:w="4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2"/>
        </w:trPr>
        <w:tc>
          <w:tcPr>
            <w:tcW w:w="4960" w:type="dxa"/>
            <w:vAlign w:val="bottom"/>
          </w:tcPr>
          <w:p>
            <w:pPr>
              <w:spacing w:after="0"/>
              <w:rPr>
                <w:sz w:val="23"/>
                <w:szCs w:val="23"/>
                <w:color w:val="auto"/>
              </w:rPr>
            </w:pPr>
          </w:p>
        </w:tc>
        <w:tc>
          <w:tcPr>
            <w:tcW w:w="5580" w:type="dxa"/>
            <w:vAlign w:val="bottom"/>
            <w:gridSpan w:val="2"/>
          </w:tcPr>
          <w:p>
            <w:pPr>
              <w:jc w:val="center"/>
              <w:ind w:right="4080"/>
              <w:spacing w:after="0"/>
              <w:rPr>
                <w:sz w:val="20"/>
                <w:szCs w:val="20"/>
                <w:color w:val="auto"/>
              </w:rPr>
            </w:pPr>
            <w:r>
              <w:rPr>
                <w:rFonts w:ascii="Arial" w:cs="Arial" w:eastAsia="Arial" w:hAnsi="Arial"/>
                <w:sz w:val="21"/>
                <w:szCs w:val="21"/>
                <w:color w:val="auto"/>
                <w:w w:val="93"/>
              </w:rPr>
              <w:t>(continued)</w:t>
            </w:r>
          </w:p>
        </w:tc>
        <w:tc>
          <w:tcPr>
            <w:tcW w:w="880" w:type="dxa"/>
            <w:vAlign w:val="bottom"/>
          </w:tcPr>
          <w:p>
            <w:pPr>
              <w:spacing w:after="0"/>
              <w:rPr>
                <w:sz w:val="23"/>
                <w:szCs w:val="23"/>
                <w:color w:val="auto"/>
              </w:rPr>
            </w:pPr>
          </w:p>
        </w:tc>
      </w:tr>
      <w:tr>
        <w:trPr>
          <w:trHeight w:val="467"/>
        </w:trPr>
        <w:tc>
          <w:tcPr>
            <w:tcW w:w="4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Page</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8.03. Posting of Communications</w:t>
            </w: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8.04. The Agents Individually</w:t>
            </w: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8.05. Successor Agents.</w:t>
            </w: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8.06. Acknowledgments of Lenders and Issuing Banks</w:t>
            </w: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8.07. Collateral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8.08. Credit Bidding</w:t>
            </w: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8.09. Certain ERISA Matters.</w:t>
            </w: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IX Miscellaneous</w:t>
            </w: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9.01. Notices</w:t>
            </w: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9.02. Waivers; Amendments</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9.03. Expenses; Indemnity; Damage Waiver</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9.04. Successors and Assigns</w:t>
            </w: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9.05. Survival</w:t>
            </w: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9.07. Severability</w:t>
            </w: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9.08. Right of Setoff</w:t>
            </w: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9.10. WAIVER OF JURY TRIAL</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9.11. Headings</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9.12. Confidentiality</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9.13. USA PATRIOT Act</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9.14. Appointment for Perfection</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9.15. Interest Rate Limitation</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9.16. No Advisory or Fiduciary Responsibility</w:t>
            </w:r>
          </w:p>
        </w:tc>
        <w:tc>
          <w:tcPr>
            <w:tcW w:w="8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9.17. Releases of Subsidiary Guarantors</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0540" w:type="dxa"/>
            <w:vAlign w:val="bottom"/>
            <w:gridSpan w:val="3"/>
          </w:tcPr>
          <w:p>
            <w:pPr>
              <w:spacing w:after="0"/>
              <w:rPr>
                <w:sz w:val="20"/>
                <w:szCs w:val="20"/>
                <w:color w:val="auto"/>
              </w:rPr>
            </w:pPr>
            <w:r>
              <w:rPr>
                <w:rFonts w:ascii="Arial" w:cs="Arial" w:eastAsia="Arial" w:hAnsi="Arial"/>
                <w:sz w:val="18"/>
                <w:szCs w:val="18"/>
                <w:color w:val="auto"/>
              </w:rPr>
              <w:t>SECTION 9.18. Acknowledgement and Consent to Bail-In of EEA Financial Institutions</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0"/>
        </w:trPr>
        <w:tc>
          <w:tcPr>
            <w:tcW w:w="10540" w:type="dxa"/>
            <w:vAlign w:val="bottom"/>
            <w:gridSpan w:val="3"/>
          </w:tcPr>
          <w:p>
            <w:pPr>
              <w:spacing w:after="0"/>
              <w:rPr>
                <w:sz w:val="20"/>
                <w:szCs w:val="20"/>
                <w:color w:val="auto"/>
              </w:rPr>
            </w:pPr>
            <w:r>
              <w:rPr>
                <w:rFonts w:ascii="Arial" w:cs="Arial" w:eastAsia="Arial" w:hAnsi="Arial"/>
                <w:sz w:val="18"/>
                <w:szCs w:val="18"/>
                <w:color w:val="auto"/>
              </w:rPr>
              <w:t>ARTICLE X Company Guarantee</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631"/>
        </w:trPr>
        <w:tc>
          <w:tcPr>
            <w:tcW w:w="4960" w:type="dxa"/>
            <w:vAlign w:val="bottom"/>
          </w:tcPr>
          <w:p>
            <w:pPr>
              <w:spacing w:after="0"/>
              <w:rPr>
                <w:sz w:val="24"/>
                <w:szCs w:val="24"/>
                <w:color w:val="auto"/>
              </w:rPr>
            </w:pPr>
          </w:p>
        </w:tc>
        <w:tc>
          <w:tcPr>
            <w:tcW w:w="5580" w:type="dxa"/>
            <w:vAlign w:val="bottom"/>
            <w:gridSpan w:val="2"/>
          </w:tcPr>
          <w:p>
            <w:pPr>
              <w:jc w:val="center"/>
              <w:ind w:right="4080"/>
              <w:spacing w:after="0"/>
              <w:rPr>
                <w:sz w:val="20"/>
                <w:szCs w:val="20"/>
                <w:color w:val="auto"/>
              </w:rPr>
            </w:pPr>
            <w:r>
              <w:rPr>
                <w:rFonts w:ascii="Arial" w:cs="Arial" w:eastAsia="Arial" w:hAnsi="Arial"/>
                <w:sz w:val="18"/>
                <w:szCs w:val="18"/>
                <w:color w:val="auto"/>
              </w:rPr>
              <w:t>iii</w:t>
            </w:r>
          </w:p>
        </w:tc>
        <w:tc>
          <w:tcPr>
            <w:tcW w:w="880" w:type="dxa"/>
            <w:vAlign w:val="bottom"/>
          </w:tcPr>
          <w:p>
            <w:pPr>
              <w:spacing w:after="0"/>
              <w:rPr>
                <w:sz w:val="24"/>
                <w:szCs w:val="24"/>
                <w:color w:val="auto"/>
              </w:rPr>
            </w:pPr>
          </w:p>
        </w:tc>
      </w:tr>
      <w:tr>
        <w:trPr>
          <w:trHeight w:val="60"/>
        </w:trPr>
        <w:tc>
          <w:tcPr>
            <w:tcW w:w="49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99" w:right="239" w:bottom="1440" w:gutter="0" w:footer="0" w:header="0"/>
        </w:sectPr>
      </w:pPr>
    </w:p>
    <w:bookmarkStart w:id="97" w:name="page98"/>
    <w:bookmarkEnd w:id="97"/>
    <w:p>
      <w:pPr>
        <w:jc w:val="center"/>
        <w:ind w:right="-279"/>
        <w:spacing w:after="0"/>
        <w:rPr>
          <w:sz w:val="20"/>
          <w:szCs w:val="20"/>
          <w:color w:val="auto"/>
        </w:rPr>
      </w:pPr>
      <w:r>
        <w:rPr>
          <w:rFonts w:ascii="Arial" w:cs="Arial" w:eastAsia="Arial" w:hAnsi="Arial"/>
          <w:sz w:val="21"/>
          <w:szCs w:val="21"/>
          <w:u w:val="single" w:color="auto"/>
          <w:color w:val="auto"/>
        </w:rPr>
        <w:t>Table of Contents</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(continued)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SCHEDULES:</w:t>
            </w:r>
          </w:p>
        </w:tc>
        <w:tc>
          <w:tcPr>
            <w:tcW w:w="5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5"/>
        </w:trPr>
        <w:tc>
          <w:tcPr>
            <w:tcW w:w="1440" w:type="dxa"/>
            <w:vAlign w:val="bottom"/>
          </w:tcPr>
          <w:p>
            <w:pPr>
              <w:spacing w:after="0"/>
              <w:rPr>
                <w:sz w:val="20"/>
                <w:szCs w:val="20"/>
                <w:color w:val="auto"/>
              </w:rPr>
            </w:pPr>
            <w:r>
              <w:rPr>
                <w:rFonts w:ascii="Arial" w:cs="Arial" w:eastAsia="Arial" w:hAnsi="Arial"/>
                <w:sz w:val="18"/>
                <w:szCs w:val="18"/>
                <w:color w:val="auto"/>
              </w:rPr>
              <w:t>Schedule 2.01A</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Commitments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2.01B</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Letter of Credit Commitments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2.06</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Existing Letters of Credit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3.01</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Subsidiaries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5.10</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Post-Closing Matters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6.01</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6.02</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Existing Liens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6.04</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Existing Investments, Loans and Advances; Taiwan JV Transactions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Schedule 6.07</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Affiliate Transactions</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Schedule 6.08</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5700" w:type="dxa"/>
            <w:vAlign w:val="bottom"/>
          </w:tcPr>
          <w:p>
            <w:pPr>
              <w:ind w:left="100"/>
              <w:spacing w:after="0"/>
              <w:rPr>
                <w:sz w:val="20"/>
                <w:szCs w:val="20"/>
                <w:color w:val="auto"/>
              </w:rPr>
            </w:pPr>
            <w:r>
              <w:rPr>
                <w:rFonts w:ascii="Arial" w:cs="Arial" w:eastAsia="Arial" w:hAnsi="Arial"/>
                <w:sz w:val="18"/>
                <w:szCs w:val="18"/>
                <w:color w:val="auto"/>
              </w:rPr>
              <w:t>Existing Restrictions</w:t>
            </w:r>
          </w:p>
        </w:tc>
      </w:tr>
      <w:tr>
        <w:trPr>
          <w:trHeight w:val="415"/>
        </w:trPr>
        <w:tc>
          <w:tcPr>
            <w:tcW w:w="1440" w:type="dxa"/>
            <w:vAlign w:val="bottom"/>
          </w:tcPr>
          <w:p>
            <w:pPr>
              <w:spacing w:after="0"/>
              <w:rPr>
                <w:sz w:val="20"/>
                <w:szCs w:val="20"/>
                <w:color w:val="auto"/>
              </w:rPr>
            </w:pPr>
            <w:r>
              <w:rPr>
                <w:rFonts w:ascii="Arial" w:cs="Arial" w:eastAsia="Arial" w:hAnsi="Arial"/>
                <w:sz w:val="18"/>
                <w:szCs w:val="18"/>
                <w:color w:val="auto"/>
              </w:rPr>
              <w:t>EXHIBITS:</w:t>
            </w:r>
          </w:p>
        </w:tc>
        <w:tc>
          <w:tcPr>
            <w:tcW w:w="5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A</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Assignment and Assumption</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B</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Opinion of Loan Parties’ Counsel</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C</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Increasing Lender Supplement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D</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Augmenting Lender Supplement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E</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List of Closing Documents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F-1</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Borrowing Subsidiary Agreement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F-2</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Borrowing Subsidiary Termination</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G</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Subsidiary Guaranty</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H</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Pledge Agreement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I-1</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Borrowing Request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I-2</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Interest Election Request</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J</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Promissory Note</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K-1</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w w:val="96"/>
              </w:rPr>
              <w:t>--   Form of U.S. Tax Certificate (Foreign Lenders That Are Not Partnerships)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K-2</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w w:val="92"/>
              </w:rPr>
              <w:t>--   Form of U.S. Tax Certificate (Foreign Participants That Are Not Partnerships)</w:t>
            </w:r>
          </w:p>
        </w:tc>
      </w:tr>
      <w:tr>
        <w:trPr>
          <w:trHeight w:val="215"/>
        </w:trPr>
        <w:tc>
          <w:tcPr>
            <w:tcW w:w="1440" w:type="dxa"/>
            <w:vAlign w:val="bottom"/>
          </w:tcPr>
          <w:p>
            <w:pPr>
              <w:spacing w:after="0"/>
              <w:rPr>
                <w:sz w:val="20"/>
                <w:szCs w:val="20"/>
                <w:color w:val="auto"/>
              </w:rPr>
            </w:pPr>
            <w:r>
              <w:rPr>
                <w:rFonts w:ascii="Arial" w:cs="Arial" w:eastAsia="Arial" w:hAnsi="Arial"/>
                <w:sz w:val="18"/>
                <w:szCs w:val="18"/>
                <w:color w:val="auto"/>
              </w:rPr>
              <w:t>Exhibit K-3</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w w:val="97"/>
              </w:rPr>
              <w:t>--   Form of U.S. Tax Certificate (Foreign Participants That Are Partnerships)</w:t>
            </w: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Exhibit K-4</w:t>
            </w:r>
          </w:p>
        </w:tc>
        <w:tc>
          <w:tcPr>
            <w:tcW w:w="6200" w:type="dxa"/>
            <w:vAlign w:val="bottom"/>
            <w:gridSpan w:val="2"/>
          </w:tcPr>
          <w:p>
            <w:pPr>
              <w:ind w:left="280"/>
              <w:spacing w:after="0"/>
              <w:rPr>
                <w:sz w:val="20"/>
                <w:szCs w:val="20"/>
                <w:color w:val="auto"/>
              </w:rPr>
            </w:pPr>
            <w:r>
              <w:rPr>
                <w:rFonts w:ascii="Arial" w:cs="Arial" w:eastAsia="Arial" w:hAnsi="Arial"/>
                <w:sz w:val="18"/>
                <w:szCs w:val="18"/>
                <w:color w:val="auto"/>
              </w:rPr>
              <w:t>--   Form of U.S. Tax Certificate (Foreign Lenders That Are Partnerships)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6689090</wp:posOffset>
            </wp:positionH>
            <wp:positionV relativeFrom="paragraph">
              <wp:posOffset>-4100830</wp:posOffset>
            </wp:positionV>
            <wp:extent cx="5626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562610" cy="17145"/>
                    </a:xfrm>
                    <a:prstGeom prst="rect">
                      <a:avLst/>
                    </a:prstGeom>
                    <a:noFill/>
                  </pic:spPr>
                </pic:pic>
              </a:graphicData>
            </a:graphic>
          </wp:anchor>
        </w:drawing>
      </w: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98" w:name="page99"/>
    <w:bookmarkEnd w:id="98"/>
    <w:p>
      <w:pPr>
        <w:jc w:val="both"/>
        <w:ind w:firstLine="1289"/>
        <w:spacing w:after="0" w:line="262" w:lineRule="auto"/>
        <w:rPr>
          <w:sz w:val="20"/>
          <w:szCs w:val="20"/>
          <w:color w:val="auto"/>
        </w:rPr>
      </w:pPr>
      <w:r>
        <w:rPr>
          <w:rFonts w:ascii="Arial" w:cs="Arial" w:eastAsia="Arial" w:hAnsi="Arial"/>
          <w:sz w:val="18"/>
          <w:szCs w:val="18"/>
          <w:color w:val="auto"/>
        </w:rPr>
        <w:t>FOURTH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27, 2018 among PHOTRONICS, INC., the FOREIGN SUBSIDIARY BORROWERS from time to time party hereto, the LENDERS from time to time party hereto, BANK OF AMERICA, N.A., as Syndication Agent, and JPMORGAN CHASE BANK, N.A., as Administrative Agent and Collateral Agent.</w:t>
      </w:r>
    </w:p>
    <w:p>
      <w:pPr>
        <w:spacing w:after="0" w:line="208"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WHEREAS, the Company, the lenders party thereto and JPMorgan Chase Bank, N.A., as administrative agent and collateral agent thereunder, are currently party to the Third Amended and Restated Credit Agreement, dated as of December 5, 2013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208" w:lineRule="exact"/>
        <w:rPr>
          <w:sz w:val="20"/>
          <w:szCs w:val="20"/>
          <w:color w:val="auto"/>
        </w:rPr>
      </w:pPr>
    </w:p>
    <w:p>
      <w:pPr>
        <w:jc w:val="both"/>
        <w:ind w:firstLine="1289"/>
        <w:spacing w:after="0" w:line="277" w:lineRule="auto"/>
        <w:rPr>
          <w:sz w:val="20"/>
          <w:szCs w:val="20"/>
          <w:color w:val="auto"/>
        </w:rPr>
      </w:pPr>
      <w:r>
        <w:rPr>
          <w:rFonts w:ascii="Arial" w:cs="Arial" w:eastAsia="Arial" w:hAnsi="Arial"/>
          <w:sz w:val="17"/>
          <w:szCs w:val="17"/>
          <w:color w:val="auto"/>
        </w:rPr>
        <w:t>WHEREAS, the Company, the Lenders, the Administrative Agent and the Collateral Agent have agreed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and extend other financial accommodations to or for the benefit of the Borrowers.</w:t>
      </w:r>
    </w:p>
    <w:p>
      <w:pPr>
        <w:spacing w:after="0" w:line="199"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Company and the Subsidiaries outstanding thereunder, which shall be payable in accordance with the terms hereof.</w:t>
      </w:r>
    </w:p>
    <w:p>
      <w:pPr>
        <w:spacing w:after="0" w:line="214"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WHEREAS, it is also the intent of the Company and the Subsidiary Guarantors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that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Existing Credit Agreement is hereby amended and restated as follows: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such Loan, or the Loans comprising such Borrowing, bearing interest at a rate determined by reference to the Alternate Base Rate.</w:t>
      </w:r>
    </w:p>
    <w:p>
      <w:pPr>
        <w:spacing w:after="0" w:line="197"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means, with respect to any Eurocurrency Borrowing for any Interest Period, an interest rate per annum (rounded upwards, if necessary, to the next 1/16 of 1%) equal to (a) the LIBO Rate for such Interest Period multiplied by (b) the Statutory 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472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99" w:name="page100"/>
    <w:bookmarkEnd w:id="99"/>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(including its branches and affiliates), in its capacity as administrative agent for the Lenders 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Subsidiary</w:t>
      </w:r>
      <w:r>
        <w:rPr>
          <w:rFonts w:ascii="Arial" w:cs="Arial" w:eastAsia="Arial" w:hAnsi="Arial"/>
          <w:sz w:val="18"/>
          <w:szCs w:val="18"/>
          <w:color w:val="auto"/>
        </w:rPr>
        <w:t>” means any Foreign Subsidiary to the extent such Foreign Subsidiary acting as a Subsidiary Guarantor would cause a Deemed Dividend Problem.</w:t>
      </w:r>
    </w:p>
    <w:p>
      <w:pPr>
        <w:spacing w:after="0" w:line="197"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the Administrative Agent and the Collateral Agent.</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means the aggregate of the Commitments of all of the Lenders, as reduced or increased from time to time pursuant to the terms and conditions hereof. As of the Effective Date, the Aggregate Commitment is $50,000,000.</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and (ii) any other currency (x) that is a lawful currency (other than Dollars) that is readily available and freely transferable and convertible into Dollars, (y) for which a LIBOR Screen Rate is available in the Administrative Agent’s determination and (z) that is agreed to by the Administrative Agent and each of the Lenders.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w:t>
      </w:r>
    </w:p>
    <w:p>
      <w:pPr>
        <w:spacing w:after="0" w:line="250"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and (c) the Adjusted LIBO Rate for a one month Interest Period in Dollars on such day (or if such day is not a Business Day, the immediately preceding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LIBO Rate for any day shall be based on the LIBO Rate (or if the LIBO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clauses (a) and (b) above and shall be determined without reference to clause (c) above. For the avoidance of doubt, if the Alternate Base Rate as so determined would be less than zero, such rate shall be deemed to be zero for purposes of this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Rate</w:t>
      </w:r>
      <w:r>
        <w:rPr>
          <w:rFonts w:ascii="Arial" w:cs="Arial" w:eastAsia="Arial" w:hAnsi="Arial"/>
          <w:sz w:val="18"/>
          <w:szCs w:val="18"/>
          <w:color w:val="auto"/>
        </w:rPr>
        <w:t>” has the meaning assigned to such term in Section 2.14(a).</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or corruption.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Party</w:t>
      </w:r>
      <w:r>
        <w:rPr>
          <w:rFonts w:ascii="Arial" w:cs="Arial" w:eastAsia="Arial" w:hAnsi="Arial"/>
          <w:sz w:val="18"/>
          <w:szCs w:val="18"/>
          <w:color w:val="auto"/>
        </w:rPr>
        <w:t>” has the meaning assigned to such term in Section 8.03(c).</w:t>
      </w:r>
    </w:p>
    <w:p>
      <w:pPr>
        <w:spacing w:after="0" w:line="250" w:lineRule="exact"/>
        <w:rPr>
          <w:sz w:val="20"/>
          <w:szCs w:val="20"/>
          <w:color w:val="auto"/>
        </w:rPr>
      </w:pPr>
    </w:p>
    <w:p>
      <w:pPr>
        <w:jc w:val="both"/>
        <w:ind w:firstLine="128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the percentage equal to a fraction the numerator of which is such Lender’s Commitment and the denominator of which is the Aggregate Commitment (if the Commitments have terminated or expired, the Applicable Percentages shall be determined based upon the Commitments most recently in effect, giving effect to any assignments);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Section 2.24 when a Defaulting Lender shall exist, any such Defaulting Lender’s Commitment shall be disregarded in the calculation.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0" w:name="page101"/>
    <w:bookmarkEnd w:id="100"/>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100% but 65% in the case of a pledge by the Company or any Domestic Subsidiary of its Equity Interests in an Affected Foreign Subsidiary.</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Eurocurrency Loan, or any ABR Loan or with respect to the commitment fees payable hereunder, as the case may be, the applicable rate per annum set forth below under the caption “Eurocurrency Spread”, “ABR Spread” or “Commitment Fee Rate”, as the case may be, based upon the Total Leverage Ratio applicable on such date: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r>
      <w:tr>
        <w:trPr>
          <w:trHeight w:val="168"/>
        </w:trPr>
        <w:tc>
          <w:tcPr>
            <w:tcW w:w="60" w:type="dxa"/>
            <w:vAlign w:val="bottom"/>
            <w:tcBorders>
              <w:left w:val="single" w:sz="8" w:color="auto"/>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Borders>
              <w:right w:val="single" w:sz="8" w:color="auto"/>
            </w:tcBorders>
            <w:gridSpan w:val="6"/>
          </w:tcPr>
          <w:p>
            <w:pPr>
              <w:jc w:val="center"/>
              <w:ind w:right="740"/>
              <w:spacing w:after="0" w:line="168" w:lineRule="exact"/>
              <w:rPr>
                <w:sz w:val="20"/>
                <w:szCs w:val="20"/>
                <w:color w:val="auto"/>
              </w:rPr>
            </w:pPr>
            <w:r>
              <w:rPr>
                <w:rFonts w:ascii="Arial" w:cs="Arial" w:eastAsia="Arial" w:hAnsi="Arial"/>
                <w:sz w:val="18"/>
                <w:szCs w:val="18"/>
                <w:color w:val="auto"/>
                <w:w w:val="90"/>
              </w:rPr>
              <w:t>Total Leverage Ratio:</w:t>
            </w:r>
          </w:p>
        </w:tc>
        <w:tc>
          <w:tcPr>
            <w:tcW w:w="600" w:type="dxa"/>
            <w:vAlign w:val="bottom"/>
          </w:tcPr>
          <w:p>
            <w:pPr>
              <w:spacing w:after="0"/>
              <w:rPr>
                <w:sz w:val="14"/>
                <w:szCs w:val="14"/>
                <w:color w:val="auto"/>
              </w:rPr>
            </w:pPr>
          </w:p>
        </w:tc>
        <w:tc>
          <w:tcPr>
            <w:tcW w:w="1560" w:type="dxa"/>
            <w:vAlign w:val="bottom"/>
            <w:tcBorders>
              <w:right w:val="single" w:sz="8" w:color="auto"/>
            </w:tcBorders>
            <w:gridSpan w:val="4"/>
          </w:tcPr>
          <w:p>
            <w:pPr>
              <w:jc w:val="center"/>
              <w:ind w:right="620"/>
              <w:spacing w:after="0" w:line="168" w:lineRule="exact"/>
              <w:rPr>
                <w:sz w:val="20"/>
                <w:szCs w:val="20"/>
                <w:color w:val="auto"/>
              </w:rPr>
            </w:pPr>
            <w:r>
              <w:rPr>
                <w:rFonts w:ascii="Arial" w:cs="Arial" w:eastAsia="Arial" w:hAnsi="Arial"/>
                <w:sz w:val="18"/>
                <w:szCs w:val="18"/>
                <w:color w:val="auto"/>
                <w:w w:val="92"/>
              </w:rPr>
              <w:t>Commitment</w:t>
            </w:r>
          </w:p>
        </w:tc>
        <w:tc>
          <w:tcPr>
            <w:tcW w:w="2140" w:type="dxa"/>
            <w:vAlign w:val="bottom"/>
            <w:tcBorders>
              <w:right w:val="single" w:sz="8" w:color="auto"/>
            </w:tcBorders>
            <w:gridSpan w:val="5"/>
          </w:tcPr>
          <w:p>
            <w:pPr>
              <w:jc w:val="center"/>
              <w:ind w:right="40"/>
              <w:spacing w:after="0" w:line="168" w:lineRule="exact"/>
              <w:rPr>
                <w:sz w:val="20"/>
                <w:szCs w:val="20"/>
                <w:color w:val="auto"/>
              </w:rPr>
            </w:pPr>
            <w:r>
              <w:rPr>
                <w:rFonts w:ascii="Arial" w:cs="Arial" w:eastAsia="Arial" w:hAnsi="Arial"/>
                <w:sz w:val="18"/>
                <w:szCs w:val="18"/>
                <w:color w:val="auto"/>
                <w:w w:val="91"/>
              </w:rPr>
              <w:t>Eurocurrency</w:t>
            </w:r>
          </w:p>
        </w:tc>
        <w:tc>
          <w:tcPr>
            <w:tcW w:w="800" w:type="dxa"/>
            <w:vAlign w:val="bottom"/>
          </w:tcPr>
          <w:p>
            <w:pPr>
              <w:spacing w:after="0"/>
              <w:rPr>
                <w:sz w:val="14"/>
                <w:szCs w:val="14"/>
                <w:color w:val="auto"/>
              </w:rPr>
            </w:pPr>
          </w:p>
        </w:tc>
        <w:tc>
          <w:tcPr>
            <w:tcW w:w="1320" w:type="dxa"/>
            <w:vAlign w:val="bottom"/>
            <w:tcBorders>
              <w:right w:val="single" w:sz="8" w:color="auto"/>
            </w:tcBorders>
            <w:gridSpan w:val="4"/>
          </w:tcPr>
          <w:p>
            <w:pPr>
              <w:jc w:val="center"/>
              <w:ind w:right="820"/>
              <w:spacing w:after="0" w:line="168" w:lineRule="exact"/>
              <w:rPr>
                <w:sz w:val="20"/>
                <w:szCs w:val="20"/>
                <w:color w:val="auto"/>
              </w:rPr>
            </w:pPr>
            <w:r>
              <w:rPr>
                <w:rFonts w:ascii="Arial" w:cs="Arial" w:eastAsia="Arial" w:hAnsi="Arial"/>
                <w:sz w:val="18"/>
                <w:szCs w:val="18"/>
                <w:color w:val="auto"/>
              </w:rPr>
              <w:t>ABR</w:t>
            </w:r>
          </w:p>
        </w:tc>
        <w:tc>
          <w:tcPr>
            <w:tcW w:w="40" w:type="dxa"/>
            <w:vAlign w:val="bottom"/>
            <w:tcBorders>
              <w:right w:val="single" w:sz="8" w:color="auto"/>
            </w:tcBorders>
          </w:tcPr>
          <w:p>
            <w:pPr>
              <w:spacing w:after="0"/>
              <w:rPr>
                <w:sz w:val="14"/>
                <w:szCs w:val="14"/>
                <w:color w:val="auto"/>
              </w:rPr>
            </w:pPr>
          </w:p>
        </w:tc>
      </w:tr>
      <w:tr>
        <w:trPr>
          <w:trHeight w:val="20"/>
        </w:trPr>
        <w:tc>
          <w:tcPr>
            <w:tcW w:w="60" w:type="dxa"/>
            <w:vAlign w:val="bottom"/>
            <w:tcBorders>
              <w:left w:val="single" w:sz="8" w:color="auto"/>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86"/>
              </w:rPr>
              <w:t>Fee Rate</w:t>
            </w:r>
          </w:p>
        </w:tc>
        <w:tc>
          <w:tcPr>
            <w:tcW w:w="62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6"/>
              </w:rPr>
              <w:t>Spread</w:t>
            </w:r>
          </w:p>
        </w:tc>
        <w:tc>
          <w:tcPr>
            <w:tcW w:w="60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gridSpan w:val="5"/>
          </w:tcPr>
          <w:p>
            <w:pPr>
              <w:jc w:val="center"/>
              <w:ind w:right="20"/>
              <w:spacing w:after="0" w:line="195" w:lineRule="exact"/>
              <w:rPr>
                <w:sz w:val="20"/>
                <w:szCs w:val="20"/>
                <w:color w:val="auto"/>
              </w:rPr>
            </w:pPr>
            <w:r>
              <w:rPr>
                <w:rFonts w:ascii="Arial" w:cs="Arial" w:eastAsia="Arial" w:hAnsi="Arial"/>
                <w:sz w:val="18"/>
                <w:szCs w:val="18"/>
                <w:color w:val="auto"/>
                <w:w w:val="86"/>
              </w:rPr>
              <w:t>Spread</w:t>
            </w:r>
          </w:p>
        </w:tc>
        <w:tc>
          <w:tcPr>
            <w:tcW w:w="40" w:type="dxa"/>
            <w:vAlign w:val="bottom"/>
            <w:tcBorders>
              <w:right w:val="single" w:sz="8" w:color="auto"/>
            </w:tcBorders>
          </w:tcPr>
          <w:p>
            <w:pPr>
              <w:spacing w:after="0"/>
              <w:rPr>
                <w:sz w:val="16"/>
                <w:szCs w:val="16"/>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175"/>
        </w:trPr>
        <w:tc>
          <w:tcPr>
            <w:tcW w:w="6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gridSpan w:val="2"/>
          </w:tcPr>
          <w:p>
            <w:pPr>
              <w:spacing w:after="0" w:line="175" w:lineRule="exact"/>
              <w:rPr>
                <w:sz w:val="20"/>
                <w:szCs w:val="20"/>
                <w:color w:val="auto"/>
              </w:rPr>
            </w:pPr>
            <w:r>
              <w:rPr>
                <w:rFonts w:ascii="Arial" w:cs="Arial" w:eastAsia="Arial" w:hAnsi="Arial"/>
                <w:sz w:val="18"/>
                <w:szCs w:val="18"/>
                <w:color w:val="auto"/>
              </w:rPr>
              <w:t>Category 1:</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right w:val="single" w:sz="8" w:color="auto"/>
            </w:tcBorders>
            <w:gridSpan w:val="4"/>
          </w:tcPr>
          <w:p>
            <w:pPr>
              <w:jc w:val="center"/>
              <w:ind w:right="1020"/>
              <w:spacing w:after="0" w:line="175" w:lineRule="exact"/>
              <w:rPr>
                <w:sz w:val="20"/>
                <w:szCs w:val="20"/>
                <w:color w:val="auto"/>
              </w:rPr>
            </w:pPr>
            <w:r>
              <w:rPr>
                <w:rFonts w:ascii="Arial" w:cs="Arial" w:eastAsia="Arial" w:hAnsi="Arial"/>
                <w:sz w:val="18"/>
                <w:szCs w:val="18"/>
                <w:color w:val="auto"/>
                <w:w w:val="90"/>
              </w:rPr>
              <w:t>≤ 1.00 to 1.00</w:t>
            </w:r>
          </w:p>
        </w:tc>
        <w:tc>
          <w:tcPr>
            <w:tcW w:w="1380" w:type="dxa"/>
            <w:vAlign w:val="bottom"/>
            <w:gridSpan w:val="3"/>
          </w:tcPr>
          <w:p>
            <w:pPr>
              <w:jc w:val="center"/>
              <w:ind w:left="671"/>
              <w:spacing w:after="0" w:line="175" w:lineRule="exact"/>
              <w:rPr>
                <w:sz w:val="20"/>
                <w:szCs w:val="20"/>
                <w:color w:val="auto"/>
              </w:rPr>
            </w:pPr>
            <w:r>
              <w:rPr>
                <w:rFonts w:ascii="Arial" w:cs="Arial" w:eastAsia="Arial" w:hAnsi="Arial"/>
                <w:sz w:val="18"/>
                <w:szCs w:val="18"/>
                <w:color w:val="auto"/>
                <w:w w:val="90"/>
              </w:rPr>
              <w:t>0.15%</w:t>
            </w:r>
          </w:p>
        </w:tc>
        <w:tc>
          <w:tcPr>
            <w:tcW w:w="1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300" w:type="dxa"/>
            <w:vAlign w:val="bottom"/>
            <w:gridSpan w:val="3"/>
          </w:tcPr>
          <w:p>
            <w:pPr>
              <w:jc w:val="center"/>
              <w:ind w:left="711"/>
              <w:spacing w:after="0" w:line="175" w:lineRule="exact"/>
              <w:rPr>
                <w:sz w:val="20"/>
                <w:szCs w:val="20"/>
                <w:color w:val="auto"/>
              </w:rPr>
            </w:pPr>
            <w:r>
              <w:rPr>
                <w:rFonts w:ascii="Arial" w:cs="Arial" w:eastAsia="Arial" w:hAnsi="Arial"/>
                <w:sz w:val="18"/>
                <w:szCs w:val="18"/>
                <w:color w:val="auto"/>
                <w:w w:val="90"/>
              </w:rPr>
              <w:t>1.00%</w:t>
            </w:r>
          </w:p>
        </w:tc>
        <w:tc>
          <w:tcPr>
            <w:tcW w:w="2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240" w:type="dxa"/>
            <w:vAlign w:val="bottom"/>
            <w:gridSpan w:val="3"/>
          </w:tcPr>
          <w:p>
            <w:pPr>
              <w:jc w:val="center"/>
              <w:ind w:left="791"/>
              <w:spacing w:after="0" w:line="175" w:lineRule="exact"/>
              <w:rPr>
                <w:sz w:val="20"/>
                <w:szCs w:val="20"/>
                <w:color w:val="auto"/>
              </w:rPr>
            </w:pPr>
            <w:r>
              <w:rPr>
                <w:rFonts w:ascii="Arial" w:cs="Arial" w:eastAsia="Arial" w:hAnsi="Arial"/>
                <w:sz w:val="18"/>
                <w:szCs w:val="18"/>
                <w:color w:val="auto"/>
                <w:w w:val="92"/>
              </w:rPr>
              <w:t>0%</w:t>
            </w:r>
          </w:p>
        </w:tc>
        <w:tc>
          <w:tcPr>
            <w:tcW w:w="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175"/>
        </w:trPr>
        <w:tc>
          <w:tcPr>
            <w:tcW w:w="6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gridSpan w:val="2"/>
          </w:tcPr>
          <w:p>
            <w:pPr>
              <w:spacing w:after="0" w:line="175" w:lineRule="exact"/>
              <w:rPr>
                <w:sz w:val="20"/>
                <w:szCs w:val="20"/>
                <w:color w:val="auto"/>
              </w:rPr>
            </w:pPr>
            <w:r>
              <w:rPr>
                <w:rFonts w:ascii="Arial" w:cs="Arial" w:eastAsia="Arial" w:hAnsi="Arial"/>
                <w:sz w:val="18"/>
                <w:szCs w:val="18"/>
                <w:color w:val="auto"/>
              </w:rPr>
              <w:t>Category 2:</w:t>
            </w:r>
          </w:p>
        </w:tc>
        <w:tc>
          <w:tcPr>
            <w:tcW w:w="700" w:type="dxa"/>
            <w:vAlign w:val="bottom"/>
          </w:tcPr>
          <w:p>
            <w:pPr>
              <w:spacing w:after="0"/>
              <w:rPr>
                <w:sz w:val="15"/>
                <w:szCs w:val="15"/>
                <w:color w:val="auto"/>
              </w:rPr>
            </w:pPr>
          </w:p>
        </w:tc>
        <w:tc>
          <w:tcPr>
            <w:tcW w:w="2300" w:type="dxa"/>
            <w:vAlign w:val="bottom"/>
            <w:tcBorders>
              <w:right w:val="single" w:sz="8" w:color="auto"/>
            </w:tcBorders>
            <w:gridSpan w:val="6"/>
          </w:tcPr>
          <w:p>
            <w:pPr>
              <w:jc w:val="center"/>
              <w:ind w:right="740"/>
              <w:spacing w:after="0" w:line="175" w:lineRule="exact"/>
              <w:rPr>
                <w:sz w:val="20"/>
                <w:szCs w:val="20"/>
                <w:color w:val="auto"/>
              </w:rPr>
            </w:pPr>
            <w:r>
              <w:rPr>
                <w:rFonts w:ascii="Arial" w:cs="Arial" w:eastAsia="Arial" w:hAnsi="Arial"/>
                <w:sz w:val="18"/>
                <w:szCs w:val="18"/>
                <w:color w:val="auto"/>
                <w:w w:val="90"/>
              </w:rPr>
              <w:t>&gt; 1.00 to 1.00 but</w:t>
            </w:r>
          </w:p>
        </w:tc>
        <w:tc>
          <w:tcPr>
            <w:tcW w:w="1380" w:type="dxa"/>
            <w:vAlign w:val="bottom"/>
            <w:gridSpan w:val="3"/>
          </w:tcPr>
          <w:p>
            <w:pPr>
              <w:jc w:val="center"/>
              <w:ind w:left="671"/>
              <w:spacing w:after="0" w:line="175" w:lineRule="exact"/>
              <w:rPr>
                <w:sz w:val="20"/>
                <w:szCs w:val="20"/>
                <w:color w:val="auto"/>
              </w:rPr>
            </w:pPr>
            <w:r>
              <w:rPr>
                <w:rFonts w:ascii="Arial" w:cs="Arial" w:eastAsia="Arial" w:hAnsi="Arial"/>
                <w:sz w:val="18"/>
                <w:szCs w:val="18"/>
                <w:color w:val="auto"/>
                <w:w w:val="90"/>
              </w:rPr>
              <w:t>0.20%</w:t>
            </w:r>
          </w:p>
        </w:tc>
        <w:tc>
          <w:tcPr>
            <w:tcW w:w="1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300" w:type="dxa"/>
            <w:vAlign w:val="bottom"/>
            <w:gridSpan w:val="3"/>
          </w:tcPr>
          <w:p>
            <w:pPr>
              <w:jc w:val="center"/>
              <w:ind w:left="711"/>
              <w:spacing w:after="0" w:line="175" w:lineRule="exact"/>
              <w:rPr>
                <w:sz w:val="20"/>
                <w:szCs w:val="20"/>
                <w:color w:val="auto"/>
              </w:rPr>
            </w:pPr>
            <w:r>
              <w:rPr>
                <w:rFonts w:ascii="Arial" w:cs="Arial" w:eastAsia="Arial" w:hAnsi="Arial"/>
                <w:sz w:val="18"/>
                <w:szCs w:val="18"/>
                <w:color w:val="auto"/>
                <w:w w:val="90"/>
              </w:rPr>
              <w:t>1.25%</w:t>
            </w:r>
          </w:p>
        </w:tc>
        <w:tc>
          <w:tcPr>
            <w:tcW w:w="2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300" w:type="dxa"/>
            <w:vAlign w:val="bottom"/>
            <w:gridSpan w:val="4"/>
          </w:tcPr>
          <w:p>
            <w:pPr>
              <w:jc w:val="center"/>
              <w:ind w:left="711"/>
              <w:spacing w:after="0" w:line="175" w:lineRule="exact"/>
              <w:rPr>
                <w:sz w:val="20"/>
                <w:szCs w:val="20"/>
                <w:color w:val="auto"/>
              </w:rPr>
            </w:pPr>
            <w:r>
              <w:rPr>
                <w:rFonts w:ascii="Arial" w:cs="Arial" w:eastAsia="Arial" w:hAnsi="Arial"/>
                <w:sz w:val="18"/>
                <w:szCs w:val="18"/>
                <w:color w:val="auto"/>
                <w:w w:val="90"/>
              </w:rPr>
              <w:t>0.25%</w:t>
            </w:r>
          </w:p>
        </w:tc>
        <w:tc>
          <w:tcPr>
            <w:tcW w:w="8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0"/>
              </w:rPr>
              <w:t>≤ 2.00 to 1.00</w:t>
            </w:r>
          </w:p>
        </w:tc>
        <w:tc>
          <w:tcPr>
            <w:tcW w:w="880" w:type="dxa"/>
            <w:vAlign w:val="bottom"/>
            <w:tcBorders>
              <w:right w:val="single" w:sz="8" w:color="auto"/>
            </w:tcBorders>
            <w:gridSpan w:val="2"/>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r>
      <w:tr>
        <w:trPr>
          <w:trHeight w:val="27"/>
        </w:trPr>
        <w:tc>
          <w:tcPr>
            <w:tcW w:w="60" w:type="dxa"/>
            <w:vAlign w:val="bottom"/>
            <w:tcBorders>
              <w:left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175"/>
        </w:trPr>
        <w:tc>
          <w:tcPr>
            <w:tcW w:w="6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gridSpan w:val="2"/>
          </w:tcPr>
          <w:p>
            <w:pPr>
              <w:spacing w:after="0" w:line="175" w:lineRule="exact"/>
              <w:rPr>
                <w:sz w:val="20"/>
                <w:szCs w:val="20"/>
                <w:color w:val="auto"/>
              </w:rPr>
            </w:pPr>
            <w:r>
              <w:rPr>
                <w:rFonts w:ascii="Arial" w:cs="Arial" w:eastAsia="Arial" w:hAnsi="Arial"/>
                <w:sz w:val="18"/>
                <w:szCs w:val="18"/>
                <w:color w:val="auto"/>
              </w:rPr>
              <w:t>Category 3:</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right w:val="single" w:sz="8" w:color="auto"/>
            </w:tcBorders>
            <w:gridSpan w:val="5"/>
          </w:tcPr>
          <w:p>
            <w:pPr>
              <w:jc w:val="center"/>
              <w:ind w:right="880"/>
              <w:spacing w:after="0" w:line="175" w:lineRule="exact"/>
              <w:rPr>
                <w:sz w:val="20"/>
                <w:szCs w:val="20"/>
                <w:color w:val="auto"/>
              </w:rPr>
            </w:pPr>
            <w:r>
              <w:rPr>
                <w:rFonts w:ascii="Arial" w:cs="Arial" w:eastAsia="Arial" w:hAnsi="Arial"/>
                <w:sz w:val="18"/>
                <w:szCs w:val="18"/>
                <w:color w:val="auto"/>
                <w:w w:val="90"/>
              </w:rPr>
              <w:t>&gt; 2.00 to 1.00</w:t>
            </w:r>
          </w:p>
        </w:tc>
        <w:tc>
          <w:tcPr>
            <w:tcW w:w="1380" w:type="dxa"/>
            <w:vAlign w:val="bottom"/>
            <w:gridSpan w:val="3"/>
          </w:tcPr>
          <w:p>
            <w:pPr>
              <w:jc w:val="center"/>
              <w:ind w:left="671"/>
              <w:spacing w:after="0" w:line="175" w:lineRule="exact"/>
              <w:rPr>
                <w:sz w:val="20"/>
                <w:szCs w:val="20"/>
                <w:color w:val="auto"/>
              </w:rPr>
            </w:pPr>
            <w:r>
              <w:rPr>
                <w:rFonts w:ascii="Arial" w:cs="Arial" w:eastAsia="Arial" w:hAnsi="Arial"/>
                <w:sz w:val="18"/>
                <w:szCs w:val="18"/>
                <w:color w:val="auto"/>
                <w:w w:val="90"/>
              </w:rPr>
              <w:t>0.25%</w:t>
            </w:r>
          </w:p>
        </w:tc>
        <w:tc>
          <w:tcPr>
            <w:tcW w:w="1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300" w:type="dxa"/>
            <w:vAlign w:val="bottom"/>
            <w:gridSpan w:val="3"/>
          </w:tcPr>
          <w:p>
            <w:pPr>
              <w:jc w:val="center"/>
              <w:ind w:left="711"/>
              <w:spacing w:after="0" w:line="175" w:lineRule="exact"/>
              <w:rPr>
                <w:sz w:val="20"/>
                <w:szCs w:val="20"/>
                <w:color w:val="auto"/>
              </w:rPr>
            </w:pPr>
            <w:r>
              <w:rPr>
                <w:rFonts w:ascii="Arial" w:cs="Arial" w:eastAsia="Arial" w:hAnsi="Arial"/>
                <w:sz w:val="18"/>
                <w:szCs w:val="18"/>
                <w:color w:val="auto"/>
                <w:w w:val="90"/>
              </w:rPr>
              <w:t>1.50%</w:t>
            </w:r>
          </w:p>
        </w:tc>
        <w:tc>
          <w:tcPr>
            <w:tcW w:w="2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300" w:type="dxa"/>
            <w:vAlign w:val="bottom"/>
            <w:gridSpan w:val="4"/>
          </w:tcPr>
          <w:p>
            <w:pPr>
              <w:jc w:val="center"/>
              <w:ind w:left="711"/>
              <w:spacing w:after="0" w:line="175" w:lineRule="exact"/>
              <w:rPr>
                <w:sz w:val="20"/>
                <w:szCs w:val="20"/>
                <w:color w:val="auto"/>
              </w:rPr>
            </w:pPr>
            <w:r>
              <w:rPr>
                <w:rFonts w:ascii="Arial" w:cs="Arial" w:eastAsia="Arial" w:hAnsi="Arial"/>
                <w:sz w:val="18"/>
                <w:szCs w:val="18"/>
                <w:color w:val="auto"/>
                <w:w w:val="90"/>
              </w:rPr>
              <w:t>0.50%</w:t>
            </w:r>
          </w:p>
        </w:tc>
        <w:tc>
          <w:tcPr>
            <w:tcW w:w="820" w:type="dxa"/>
            <w:vAlign w:val="bottom"/>
            <w:tcBorders>
              <w:right w:val="single" w:sz="8" w:color="auto"/>
            </w:tcBorders>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w:t>
      </w:r>
    </w:p>
    <w:p>
      <w:pPr>
        <w:spacing w:after="0" w:line="250" w:lineRule="exact"/>
        <w:rPr>
          <w:sz w:val="20"/>
          <w:szCs w:val="20"/>
          <w:color w:val="auto"/>
        </w:rPr>
      </w:pPr>
    </w:p>
    <w:p>
      <w:pPr>
        <w:jc w:val="both"/>
        <w:ind w:firstLine="1296"/>
        <w:spacing w:after="0" w:line="309" w:lineRule="auto"/>
        <w:tabs>
          <w:tab w:leader="none" w:pos="1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at any time the Company fails to deliver the Financials on or before the date the Financials are due pursuant to Section 5.01, Category 3 shall be deemed applicable for the period commencing five (5) Business Days after the required date of delivery and ending on the date which is five (5) Business Days after the Financials are actually delivered, after which the Category shall be determined in accordance with the table above as applicable;</w:t>
      </w:r>
    </w:p>
    <w:p>
      <w:pPr>
        <w:spacing w:after="0" w:line="175" w:lineRule="exact"/>
        <w:rPr>
          <w:rFonts w:ascii="Arial" w:cs="Arial" w:eastAsia="Arial" w:hAnsi="Arial"/>
          <w:sz w:val="16"/>
          <w:szCs w:val="16"/>
          <w:color w:val="auto"/>
        </w:rPr>
      </w:pPr>
    </w:p>
    <w:p>
      <w:pPr>
        <w:jc w:val="both"/>
        <w:ind w:firstLine="1296"/>
        <w:spacing w:after="0" w:line="262" w:lineRule="auto"/>
        <w:tabs>
          <w:tab w:leader="none" w:pos="15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if any, to the Category then in effect shall be effective five (5)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208" w:lineRule="exact"/>
        <w:rPr>
          <w:rFonts w:ascii="Arial" w:cs="Arial" w:eastAsia="Arial" w:hAnsi="Arial"/>
          <w:sz w:val="18"/>
          <w:szCs w:val="18"/>
          <w:color w:val="auto"/>
        </w:rPr>
      </w:pPr>
    </w:p>
    <w:p>
      <w:pPr>
        <w:jc w:val="both"/>
        <w:ind w:firstLine="1296"/>
        <w:spacing w:after="0" w:line="257" w:lineRule="auto"/>
        <w:tabs>
          <w:tab w:leader="none" w:pos="16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foregoing, Category 1 shall be deemed to be applicable until the Administrative Agent’s receipt of the applicable Financials for the Company’s first fiscal quarter ending after the Effective Date (unless such Financials demonstrate that Category 2 or 3 should have been applicable during such period, in which case such other Category shall be deemed to be applicable during such period) and adjustments to the Category then in effect shall thereafter be effected in accordance with the preceding paragraphs.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8.03(a).</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1" w:name="page102"/>
    <w:bookmarkEnd w:id="101"/>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each of JPMorgan Chase Bank, N.A. and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a joint bookrunner and joint lead arranger hereunder.</w:t>
      </w:r>
    </w:p>
    <w:p>
      <w:pPr>
        <w:spacing w:after="0" w:line="214"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2.20.</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xml:space="preserve">” means, at any time with respect to any Lender, the Commitment of such Lender then in effect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Revolving Credit Exposure of such Lender at such time (excluding, for the purpose of calculating the commitment fee under Section 2.12, any Lender’s Swingline Exposure).</w:t>
      </w:r>
    </w:p>
    <w:p>
      <w:pPr>
        <w:spacing w:after="0" w:line="208"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8" w:lineRule="exact"/>
        <w:rPr>
          <w:sz w:val="20"/>
          <w:szCs w:val="20"/>
          <w:color w:val="auto"/>
        </w:rPr>
      </w:pPr>
    </w:p>
    <w:p>
      <w:pPr>
        <w:jc w:val="both"/>
        <w:ind w:firstLine="128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w:t>
      </w:r>
    </w:p>
    <w:p>
      <w:pPr>
        <w:spacing w:after="0" w:line="1" w:lineRule="exact"/>
        <w:rPr>
          <w:sz w:val="20"/>
          <w:szCs w:val="20"/>
          <w:color w:val="auto"/>
        </w:rPr>
      </w:pPr>
    </w:p>
    <w:p>
      <w:pPr>
        <w:ind w:firstLine="7"/>
        <w:spacing w:after="0" w:line="258"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Agreement</w:t>
      </w:r>
      <w:r>
        <w:rPr>
          <w:rFonts w:ascii="Arial" w:cs="Arial" w:eastAsia="Arial" w:hAnsi="Arial"/>
          <w:sz w:val="16"/>
          <w:szCs w:val="16"/>
          <w:color w:val="auto"/>
        </w:rPr>
        <w:t>” means any agreement entered into by the Company or any Subsidiary in connection with Banking Services.</w:t>
      </w:r>
    </w:p>
    <w:p>
      <w:pPr>
        <w:spacing w:after="0" w:line="273"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2" w:name="page103"/>
    <w:bookmarkEnd w:id="102"/>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as required by the Beneficial Ownership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50" w:lineRule="exact"/>
        <w:rPr>
          <w:sz w:val="20"/>
          <w:szCs w:val="20"/>
          <w:color w:val="auto"/>
        </w:rPr>
      </w:pPr>
    </w:p>
    <w:p>
      <w:pPr>
        <w:jc w:val="both"/>
        <w:ind w:firstLine="1289"/>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the Company or any Foreign Subsidiary Borrower.</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97"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any Borrower for a Revolving Borrowing in accordance with Section 2.03 in the form attached hereto as Exhibit I-1.</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Agreement</w:t>
      </w:r>
      <w:r>
        <w:rPr>
          <w:rFonts w:ascii="Arial" w:cs="Arial" w:eastAsia="Arial" w:hAnsi="Arial"/>
          <w:sz w:val="18"/>
          <w:szCs w:val="18"/>
          <w:color w:val="auto"/>
        </w:rPr>
        <w:t>” means a Borrowing Subsidiary Agreement substantially in the form of Exhibit F-1.</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Subsidiary Termination</w:t>
      </w:r>
      <w:r>
        <w:rPr>
          <w:rFonts w:ascii="Arial" w:cs="Arial" w:eastAsia="Arial" w:hAnsi="Arial"/>
          <w:sz w:val="18"/>
          <w:szCs w:val="18"/>
          <w:color w:val="auto"/>
        </w:rPr>
        <w:t>” means a Borrowing Subsidiary Termination substantially in the form of Exhibit F-2.</w:t>
      </w:r>
    </w:p>
    <w:p>
      <w:pPr>
        <w:spacing w:after="0" w:line="250"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Eurocurrency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the relevant Agreed Currency in the London interbank market or the principal financial center of such Agreed Currency (and, if the Borrowings or LC Disbursements which are the subject of a borrowing, drawing, payment, reimbursement or rate selection are denominated in euro, the term “Business Day” shall also exclude any day on which the TARGET2 payment system is not open for the settlement of payments in euro).</w:t>
      </w:r>
    </w:p>
    <w:p>
      <w:pPr>
        <w:spacing w:after="0" w:line="216"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without duplication, any cash expenditures for any purchase or other acquisition of any asset which would be classified as a fixed or capital asset on a consolidated balance sheet of the Company and its Subsidiaries prepared in accordance with GAAP.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3" w:name="page104"/>
    <w:bookmarkEnd w:id="103"/>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214"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the Company; (b) occupation of a majority of the seats (other than vacant seats) on the board of directors of the Company by Persons who were not (i) directors of the Company on the date of this Agreement or (ii) nominated or appointed by the board of directors of the Company;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any Foreign Subsidiary Borrower, other than, to the extent such Subsidiaries are Foreign Subsidiary Borrowers, PKL, PKLT and the Taiwan JV, in respect of which the Company will continue to own and Control more than 50%.</w:t>
      </w:r>
    </w:p>
    <w:p>
      <w:pPr>
        <w:spacing w:after="0" w:line="207"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11"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50"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Pledged Equity, all “Collateral” as defined in the Security Agreement and all other property pledged in favor of the Collateral Agent, on behalf of itself and the Holders of Secured Obligations, pursuant to the Collateral Documents from time to time. It is hereby understood and agreed that “Collateral” shall not include any real property (including any leasehold interests therein and improvements or fixtures relating thereto) and the Lenders hereby authorize the Collateral Agent to release its Liens on the real estate encumbered by the “Mortgages” pursuant to the Existing Credit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4" w:name="page105"/>
    <w:bookmarkEnd w:id="104"/>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JPMorgan Chase Bank, N.A. in its capacity as Collateral Agent for the Holders of Secured Obligations and any successor Collateral Agent appointed pursuant to the terms of this Agreement.</w:t>
      </w:r>
    </w:p>
    <w:p>
      <w:pPr>
        <w:spacing w:after="0" w:line="197"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the Pledge Agreements and all other agreements, instruments and documents executed in connection with this Agreement that are intended to create, evidence or perfect Liens to secure the Secured Obligations.</w:t>
      </w:r>
    </w:p>
    <w:p>
      <w:pPr>
        <w:spacing w:after="0" w:line="175" w:lineRule="exact"/>
        <w:rPr>
          <w:sz w:val="20"/>
          <w:szCs w:val="20"/>
          <w:color w:val="auto"/>
        </w:rPr>
      </w:pPr>
    </w:p>
    <w:p>
      <w:pPr>
        <w:jc w:val="both"/>
        <w:ind w:firstLine="128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or terminated from time to time pursuant to Section 2.09, (b) increased from time to time pursuant to Section 2.20 and (c) reduced or increased from time to time pursuant to assignments by or to such Lender pursuant to Section 9.04. The initial amount of each Lender’s Commitment is set forth on </w:t>
      </w:r>
      <w:r>
        <w:rPr>
          <w:rFonts w:ascii="Arial" w:cs="Arial" w:eastAsia="Arial" w:hAnsi="Arial"/>
          <w:sz w:val="18"/>
          <w:szCs w:val="18"/>
          <w:u w:val="single" w:color="auto"/>
          <w:color w:val="auto"/>
        </w:rPr>
        <w:t>Schedule 2.01A</w:t>
      </w:r>
      <w:r>
        <w:rPr>
          <w:rFonts w:ascii="Arial" w:cs="Arial" w:eastAsia="Arial" w:hAnsi="Arial"/>
          <w:sz w:val="18"/>
          <w:szCs w:val="18"/>
          <w:color w:val="auto"/>
        </w:rPr>
        <w:t>, or in the Assignment and Assumption or other documentation or record (as such term is defined in Section 9-102(a)(70) of the New York Uniform Commercial Code) contemplated hereby pursuant to which such Lender shall have assumed its Commitment, as applicable.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 as amended from time to time, and any successor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35" w:lineRule="exact"/>
        <w:rPr>
          <w:sz w:val="20"/>
          <w:szCs w:val="20"/>
          <w:color w:val="auto"/>
        </w:rPr>
      </w:pPr>
    </w:p>
    <w:p>
      <w:pPr>
        <w:jc w:val="both"/>
        <w:ind w:firstLine="128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collectively, any notice, demand, communication, information, document or other material provided by or on behalf of any Borrower pursuant to any Loan Document or the transactions contemplated therein which is distributed by the Administrative Agent, any Lender or the Issuing Bank by means of electronic communications pursuant to Section 8.03(c), including through an Approved Electronic Platform.</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Photronics, Inc., a Connecticut corporation.</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is defined in Section 2.04.</w:t>
      </w:r>
    </w:p>
    <w:p>
      <w:pPr>
        <w:spacing w:after="0" w:line="250" w:lineRule="exact"/>
        <w:rPr>
          <w:sz w:val="20"/>
          <w:szCs w:val="20"/>
          <w:color w:val="auto"/>
        </w:rPr>
      </w:pPr>
    </w:p>
    <w:p>
      <w:pPr>
        <w:jc w:val="both"/>
        <w:ind w:firstLine="128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Consolidated Net Income for such period, minus the aggregate amount of extraordinary, unusual or non-recurring income or gains for such period to the extent required to be separately stated in the Company’s financial statements in accordance with GAAP, minus any unrealized non-cash gains or income attributable to the application of “mark to market” accounting rules in accordance with GAAP for such period, plus, without duplication and to the extent deducted from revenues in determining Consolidated Net Income for such period, the sum of (a) the aggregate amount of Consolidated Interest Expense for such period, plus (b) the aggregate amount of income tax expense for such period, plus (c) the aggregate amount of depreciation and amortization for such period, plus (d) non-cash expenses related to stock-based compensation, plus (e) any extraordinary or non-recurring non-cash expenses, write-downs, write-offs, or losses including impairment or restructuring charges or any unrealized non-cash losses attributable to the application of “mark to market” accounting rules in accordance with GAAP for such period, plus (f) any write-downs, write-offs, or losses incurred in connection with the repayment of the Existing Convertible Notes described in clause (i) of the definition thereof, plus (g) the aggregate amount of fees, costs and expenses paid on the Effective Date to the Administrative Agent and the Lenders, including for reimbursement of costs, fees or expenses of the Administrative Agent or any Lender, in connection with the Loan Documents and/or the transactions contemplated thereby, all as determined on a consolidated basis with respect to the Company and its consolidated Subsidiaries in accordance with GAAP, minus, to the extent included in determining Consolidated Net Income for such period, any cash payments made during such period in respect of items described in clauses (d) and (e) above subsequent to the fiscal quarter in which the relevant non-cash expense or loss was reflected in a statement of Consolidated Net Income. For the purposes of calculating Consolidated EBITDA for any period of four consecutive fiscal quarters (each, a “</w:t>
      </w:r>
      <w:r>
        <w:rPr>
          <w:rFonts w:ascii="Arial" w:cs="Arial" w:eastAsia="Arial" w:hAnsi="Arial"/>
          <w:sz w:val="16"/>
          <w:szCs w:val="16"/>
          <w:u w:val="single" w:color="auto"/>
          <w:color w:val="auto"/>
        </w:rPr>
        <w:t>Reference Period</w:t>
      </w:r>
      <w:r>
        <w:rPr>
          <w:rFonts w:ascii="Arial" w:cs="Arial" w:eastAsia="Arial" w:hAnsi="Arial"/>
          <w:sz w:val="16"/>
          <w:szCs w:val="16"/>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of property or series of related acquisitions of property (excluding, for the avoidance of doubt, the acquisition of property pursuant to the Taiwan JV Transactions)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sale, transfer or disposition of property or series of related sales, transfers, or dispositions of property that yields gross proceeds to the Company or any of its Subsidiaries in excess of $10,000,000.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5" w:name="page106"/>
    <w:bookmarkEnd w:id="105"/>
    <w:p>
      <w:pPr>
        <w:jc w:val="both"/>
        <w:ind w:firstLine="128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reference to any period, the interest expense (including without limitation interest expense under Capital Lease Obligations that is treated as interest in accordance with GAAP but excluding the amortization of deferred financing costs or fees) of the Company and its Subsidiaries calculated on a consolidated basis for such period with respect to (a) all outstanding Indebtedness of the Company and its Subsidiaries allocable to such period in accordance with GAAP and (b) Swap Agreements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w:t>
      </w:r>
    </w:p>
    <w:p>
      <w:pPr>
        <w:spacing w:after="0" w:line="201" w:lineRule="exact"/>
        <w:rPr>
          <w:sz w:val="20"/>
          <w:szCs w:val="20"/>
          <w:color w:val="auto"/>
        </w:rPr>
      </w:pPr>
    </w:p>
    <w:p>
      <w:pPr>
        <w:jc w:val="both"/>
        <w:ind w:firstLine="128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and (b) the undistributed earnings of any Subsidiary of the Company to the extent that the declaration or payment of dividends or similar distributions by such Subsidiary is not at the time permitted by the terms of any contractual obligation (other than under any Loan Document) or any organizational or governing documents, any law, treaty, rule or regulation or any determination of an arbitrator or other Governmental Authority, in each case applicable to such Subsidiary.</w:t>
      </w:r>
    </w:p>
    <w:p>
      <w:pPr>
        <w:spacing w:after="0" w:line="189"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Company and its Subsidiaries calculated in accordance with GAAP on a consolidated basis as of such date.</w:t>
      </w:r>
    </w:p>
    <w:p>
      <w:pPr>
        <w:spacing w:after="0" w:line="197" w:lineRule="exact"/>
        <w:rPr>
          <w:sz w:val="20"/>
          <w:szCs w:val="20"/>
          <w:color w:val="auto"/>
        </w:rPr>
      </w:pPr>
    </w:p>
    <w:p>
      <w:pPr>
        <w:jc w:val="both"/>
        <w:ind w:firstLine="128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Indebtedness</w:t>
      </w:r>
      <w:r>
        <w:rPr>
          <w:rFonts w:ascii="Arial" w:cs="Arial" w:eastAsia="Arial" w:hAnsi="Arial"/>
          <w:sz w:val="17"/>
          <w:szCs w:val="17"/>
          <w:color w:val="auto"/>
        </w:rPr>
        <w:t>”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clauses (a) or (b) hereof of another Person guaranteed by the Company or any of its Subsidiaries.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6" w:name="page107"/>
    <w:bookmarkEnd w:id="106"/>
    <w:p>
      <w:pPr>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Risk Event</w:t>
      </w:r>
      <w:r>
        <w:rPr>
          <w:rFonts w:ascii="Arial" w:cs="Arial" w:eastAsia="Arial" w:hAnsi="Arial"/>
          <w:sz w:val="18"/>
          <w:szCs w:val="18"/>
          <w:color w:val="auto"/>
        </w:rPr>
        <w:t>” means:</w:t>
      </w:r>
    </w:p>
    <w:p>
      <w:pPr>
        <w:spacing w:after="0" w:line="276" w:lineRule="exact"/>
        <w:rPr>
          <w:sz w:val="20"/>
          <w:szCs w:val="20"/>
          <w:color w:val="auto"/>
        </w:rPr>
      </w:pPr>
    </w:p>
    <w:p>
      <w:pPr>
        <w:ind w:left="2040" w:hanging="744"/>
        <w:spacing w:after="0"/>
        <w:tabs>
          <w:tab w:leader="none" w:pos="2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law, action or failure to act by any Governmental Authority in any Borrower’s or Letter of Credit beneficiary’s country which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has the effect of:</w:t>
      </w:r>
    </w:p>
    <w:p>
      <w:pPr>
        <w:spacing w:after="0" w:line="262" w:lineRule="exact"/>
        <w:rPr>
          <w:sz w:val="20"/>
          <w:szCs w:val="20"/>
          <w:color w:val="auto"/>
        </w:rPr>
      </w:pPr>
    </w:p>
    <w:p>
      <w:pPr>
        <w:jc w:val="both"/>
        <w:ind w:left="1300" w:firstLine="641"/>
        <w:spacing w:after="0" w:line="262" w:lineRule="auto"/>
        <w:tabs>
          <w:tab w:leader="none" w:pos="28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changing the obligations under the relevant Letter of Credit, this Agreement or any of the other Loan Documents as originally agreed or otherwise creating any additional liability, cost or expense to the Issuing Banks, the Lenders or the Administrative Agent,</w:t>
      </w:r>
    </w:p>
    <w:p>
      <w:pPr>
        <w:spacing w:after="0" w:line="235" w:lineRule="exact"/>
        <w:rPr>
          <w:rFonts w:ascii="Arial" w:cs="Arial" w:eastAsia="Arial" w:hAnsi="Arial"/>
          <w:sz w:val="18"/>
          <w:szCs w:val="18"/>
          <w:color w:val="auto"/>
        </w:rPr>
      </w:pPr>
    </w:p>
    <w:p>
      <w:pPr>
        <w:ind w:left="2680" w:hanging="739"/>
        <w:spacing w:after="0"/>
        <w:tabs>
          <w:tab w:leader="none" w:pos="2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changing the ownership or control by such Borrower or Letter of Credit beneficiary of its business, or</w:t>
      </w:r>
    </w:p>
    <w:p>
      <w:pPr>
        <w:spacing w:after="0" w:line="276" w:lineRule="exact"/>
        <w:rPr>
          <w:rFonts w:ascii="Arial" w:cs="Arial" w:eastAsia="Arial" w:hAnsi="Arial"/>
          <w:sz w:val="18"/>
          <w:szCs w:val="18"/>
          <w:color w:val="auto"/>
        </w:rPr>
      </w:pPr>
    </w:p>
    <w:p>
      <w:pPr>
        <w:ind w:left="2680" w:hanging="739"/>
        <w:spacing w:after="0"/>
        <w:tabs>
          <w:tab w:leader="none" w:pos="2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preventing or restricting the conversion into or transfer of the applicable Agreed Currency;</w:t>
      </w:r>
    </w:p>
    <w:p>
      <w:pPr>
        <w:spacing w:after="0" w:line="276" w:lineRule="exact"/>
        <w:rPr>
          <w:rFonts w:ascii="Arial" w:cs="Arial" w:eastAsia="Arial" w:hAnsi="Arial"/>
          <w:sz w:val="18"/>
          <w:szCs w:val="18"/>
          <w:color w:val="auto"/>
        </w:rPr>
      </w:pPr>
    </w:p>
    <w:p>
      <w:pPr>
        <w:ind w:left="2060" w:hanging="764"/>
        <w:spacing w:after="0"/>
        <w:tabs>
          <w:tab w:leader="none" w:pos="2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force majeure; or</w:t>
      </w:r>
    </w:p>
    <w:p>
      <w:pPr>
        <w:spacing w:after="0" w:line="276" w:lineRule="exact"/>
        <w:rPr>
          <w:rFonts w:ascii="Arial" w:cs="Arial" w:eastAsia="Arial" w:hAnsi="Arial"/>
          <w:sz w:val="18"/>
          <w:szCs w:val="18"/>
          <w:color w:val="auto"/>
        </w:rPr>
      </w:pPr>
    </w:p>
    <w:p>
      <w:pPr>
        <w:ind w:left="2100" w:hanging="804"/>
        <w:spacing w:after="0"/>
        <w:tabs>
          <w:tab w:leader="none" w:pos="2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similar event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which, in relation to (i), (ii) and (iii), directly or indirectly, prevents or restricts the payment or transfer of any amounts owing under the relevant Letter of Credit or other Loan Documents in the applicable Agreed Currency into an account designated by the Administrative Agent or the relevant Issuing Bank and freely available to the Administrative Agent or the relevant Issuing Bank.</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Event</w:t>
      </w:r>
      <w:r>
        <w:rPr>
          <w:rFonts w:ascii="Arial" w:cs="Arial" w:eastAsia="Arial" w:hAnsi="Arial"/>
          <w:sz w:val="16"/>
          <w:szCs w:val="16"/>
          <w:color w:val="auto"/>
        </w:rPr>
        <w:t>” means a Borrowing, the issuance, amendment, renewal or extension of a Letter of Credit, an LC Disbursement or any of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any Issuing Bank, the Swingline Lender or any other Lender.</w:t>
      </w:r>
    </w:p>
    <w:p>
      <w:pPr>
        <w:spacing w:after="0" w:line="250"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Dividend Problem</w:t>
      </w:r>
      <w:r>
        <w:rPr>
          <w:rFonts w:ascii="Arial" w:cs="Arial" w:eastAsia="Arial" w:hAnsi="Arial"/>
          <w:sz w:val="18"/>
          <w:szCs w:val="18"/>
          <w:color w:val="auto"/>
        </w:rPr>
        <w:t>” means, with respect to any Foreign Subsidiary, such Foreign Subsidiary’s accumulated and undistributed earnings and profits being deemed to be repatriated to the Company or the applicable parent Domestic Subsidiary under Section 956 of the Code or any successor or similar law and the effect of such repatriation causing or expected to cause adverse tax consequences in excess of $1,000,000 in the aggregate to the Company or such parent Domestic Subsidiary, in each case as determined by the Company in its commercially reasonable judgment acting in good faith and in consultation with its legal and tax advisors.</w:t>
      </w:r>
    </w:p>
    <w:p>
      <w:pPr>
        <w:spacing w:after="0" w:line="216"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7" w:name="page108"/>
    <w:bookmarkEnd w:id="107"/>
    <w:p>
      <w:pPr>
        <w:jc w:val="both"/>
        <w:ind w:firstLine="12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98" w:lineRule="exact"/>
        <w:rPr>
          <w:sz w:val="20"/>
          <w:szCs w:val="20"/>
          <w:color w:val="auto"/>
        </w:rPr>
      </w:pPr>
    </w:p>
    <w:p>
      <w:pPr>
        <w:jc w:val="both"/>
        <w:ind w:firstLine="128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50"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97"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50"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on which the conditions specified in Section 4.01 are satisfied (or waived in accordance with Section 9.02).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8" w:name="page109"/>
    <w:bookmarkEnd w:id="108"/>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Subsidiary</w:t>
      </w:r>
      <w:r>
        <w:rPr>
          <w:rFonts w:ascii="Arial" w:cs="Arial" w:eastAsia="Arial" w:hAnsi="Arial"/>
          <w:sz w:val="16"/>
          <w:szCs w:val="16"/>
          <w:color w:val="auto"/>
        </w:rPr>
        <w:t>” means any Foreign Subsidiary that is approved from time to time by the Administrative Agent and each of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35"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208"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16"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Notwithstanding the foregoing, neither Permitted Convertible Notes nor Permitted Call Spread Swap Agreements shall constitute Equity Interests.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208" w:lineRule="exact"/>
        <w:rPr>
          <w:sz w:val="20"/>
          <w:szCs w:val="20"/>
          <w:color w:val="auto"/>
        </w:rPr>
      </w:pPr>
    </w:p>
    <w:p>
      <w:pPr>
        <w:jc w:val="both"/>
        <w:ind w:firstLine="128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09" w:name="page110"/>
    <w:bookmarkEnd w:id="10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w:t>
      </w:r>
      <w:r>
        <w:rPr>
          <w:rFonts w:ascii="Arial" w:cs="Arial" w:eastAsia="Arial" w:hAnsi="Arial"/>
          <w:sz w:val="18"/>
          <w:szCs w:val="18"/>
          <w:color w:val="auto"/>
        </w:rPr>
        <w:t>” means the European Union.</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and/or “</w:t>
      </w:r>
      <w:r>
        <w:rPr>
          <w:rFonts w:ascii="Arial" w:cs="Arial" w:eastAsia="Arial" w:hAnsi="Arial"/>
          <w:sz w:val="18"/>
          <w:szCs w:val="18"/>
          <w:u w:val="single" w:color="auto"/>
          <w:color w:val="auto"/>
        </w:rPr>
        <w:t>EUR</w:t>
      </w:r>
      <w:r>
        <w:rPr>
          <w:rFonts w:ascii="Arial" w:cs="Arial" w:eastAsia="Arial" w:hAnsi="Arial"/>
          <w:sz w:val="18"/>
          <w:szCs w:val="18"/>
          <w:color w:val="auto"/>
        </w:rPr>
        <w:t>” means the single currency of the Participating Member States.</w:t>
      </w:r>
    </w:p>
    <w:p>
      <w:pPr>
        <w:spacing w:after="0" w:line="250"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w:t>
      </w:r>
      <w:r>
        <w:rPr>
          <w:rFonts w:ascii="Arial" w:cs="Arial" w:eastAsia="Arial" w:hAnsi="Arial"/>
          <w:sz w:val="17"/>
          <w:szCs w:val="17"/>
          <w:color w:val="auto"/>
        </w:rPr>
        <w:t>”, when used in reference to a currency means an Agreed Currency and when used in reference to any Loan or Borrowing, means that such Loan, or the Loans comprising such Borrowing, bears interest at a rate determined by reference to the Adjusted LIBO Rate.</w:t>
      </w:r>
    </w:p>
    <w:p>
      <w:pPr>
        <w:spacing w:after="0" w:line="175"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Payment Office</w:t>
      </w:r>
      <w:r>
        <w:rPr>
          <w:rFonts w:ascii="Arial" w:cs="Arial" w:eastAsia="Arial" w:hAnsi="Arial"/>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50" w:lineRule="exact"/>
        <w:rPr>
          <w:sz w:val="20"/>
          <w:szCs w:val="20"/>
          <w:color w:val="auto"/>
        </w:rPr>
      </w:pPr>
    </w:p>
    <w:p>
      <w:pPr>
        <w:jc w:val="both"/>
        <w:ind w:firstLine="128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206"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any Issuing Bank or any other recipient of any payment to be made by or on account of any obligation of any Loan Party hereunder,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Company is located, (c) in the case of a Foreign Lender (other than an assignee pursuant to a request by the Company under Section 2.19(b)), any U.S. federal withholding tax that is imposed on amounts payable to such Foreign Lender pursuant to a law in effect on the date on which such Foreign Lender becomes a party to this Agreement (or designates a new lending office) or is attributable to such Foreign Lender’s failure to comply with Section 2.17(e), except to the extent that such Foreign Lender (or its assignor, if any) was entitled, at the time of designation of a new lending office (or assignment), to receive additional amounts from the Company with respect to such withholding tax pursuant to Section 2.17(a), and (d) any withholding Taxes imposed under FATCA.</w:t>
      </w:r>
    </w:p>
    <w:p>
      <w:pPr>
        <w:spacing w:after="0" w:line="20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Convertible Notes</w:t>
      </w:r>
      <w:r>
        <w:rPr>
          <w:rFonts w:ascii="Arial" w:cs="Arial" w:eastAsia="Arial" w:hAnsi="Arial"/>
          <w:sz w:val="18"/>
          <w:szCs w:val="18"/>
          <w:color w:val="auto"/>
        </w:rPr>
        <w:t>” means the 3.25% Convertible Senior Notes due 2019 issued pursuant to the Indenture dated January 22, 2015, by and between the Company and The Bank of New York Mellon Trust Company, N.A., as trustee, as amended, restated, replaced, refinanced, supplemented or otherwise modified from time to time.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is defined in the recitals hereof.</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is defined in Section 2.06(a).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0" w:name="page111"/>
    <w:bookmarkEnd w:id="11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is defined in Section 2.01.</w:t>
      </w:r>
    </w:p>
    <w:p>
      <w:pPr>
        <w:spacing w:after="0" w:line="250" w:lineRule="exact"/>
        <w:rPr>
          <w:sz w:val="20"/>
          <w:szCs w:val="20"/>
          <w:color w:val="auto"/>
        </w:rPr>
      </w:pPr>
    </w:p>
    <w:p>
      <w:pPr>
        <w:jc w:val="both"/>
        <w:ind w:firstLine="128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9" w:lineRule="exact"/>
        <w:rPr>
          <w:sz w:val="20"/>
          <w:szCs w:val="20"/>
          <w:color w:val="auto"/>
        </w:rPr>
      </w:pPr>
    </w:p>
    <w:p>
      <w:pPr>
        <w:jc w:val="both"/>
        <w:ind w:firstLine="134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the chief financial officer, any vice president of finance, principal accounting officer, treasurer or controller of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5"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means the annual or quarterly financial statements, and accompanying certificates and other documents, of the Company and its Subsidiaries required to be delivered pursuant to Section 5.01(a) or 5.01(b).</w:t>
      </w:r>
    </w:p>
    <w:p>
      <w:pPr>
        <w:spacing w:after="0" w:line="197"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each Foreign Subsidiary and with respect to which any one or more of the Company and its Domestic Subsidiaries directly owns or Controls more than 50% of such Foreign Subsidiary’s Equity Interests.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Borrower Sublimit</w:t>
      </w:r>
      <w:r>
        <w:rPr>
          <w:rFonts w:ascii="Arial" w:cs="Arial" w:eastAsia="Arial" w:hAnsi="Arial"/>
          <w:sz w:val="18"/>
          <w:szCs w:val="18"/>
          <w:color w:val="auto"/>
        </w:rPr>
        <w:t>” means $25,000,000.</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Currencies</w:t>
      </w:r>
      <w:r>
        <w:rPr>
          <w:rFonts w:ascii="Arial" w:cs="Arial" w:eastAsia="Arial" w:hAnsi="Arial"/>
          <w:sz w:val="18"/>
          <w:szCs w:val="18"/>
          <w:color w:val="auto"/>
        </w:rPr>
        <w:t>” means Agreed Currencies other than Dollars.</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Letter of Credit</w:t>
      </w:r>
      <w:r>
        <w:rPr>
          <w:rFonts w:ascii="Arial" w:cs="Arial" w:eastAsia="Arial" w:hAnsi="Arial"/>
          <w:sz w:val="18"/>
          <w:szCs w:val="18"/>
          <w:color w:val="auto"/>
        </w:rPr>
        <w:t>” means a Letter of Credit denominated in a Foreign Currency.</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Sublimit</w:t>
      </w:r>
      <w:r>
        <w:rPr>
          <w:rFonts w:ascii="Arial" w:cs="Arial" w:eastAsia="Arial" w:hAnsi="Arial"/>
          <w:sz w:val="18"/>
          <w:szCs w:val="18"/>
          <w:color w:val="auto"/>
        </w:rPr>
        <w:t>” means $25,000,000.</w:t>
      </w:r>
    </w:p>
    <w:p>
      <w:pPr>
        <w:spacing w:after="0" w:line="250" w:lineRule="exact"/>
        <w:rPr>
          <w:sz w:val="20"/>
          <w:szCs w:val="20"/>
          <w:color w:val="auto"/>
        </w:rPr>
      </w:pPr>
    </w:p>
    <w:p>
      <w:pPr>
        <w:jc w:val="both"/>
        <w:ind w:firstLine="128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that is organized under the laws of a jurisdiction other than that in which the Company is located. For purposes of this definition, the United States of America, each State thereof and the District of Columbia shall be deemed to constitute a single jurisdiction.</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w:t>
      </w:r>
      <w:r>
        <w:rPr>
          <w:rFonts w:ascii="Arial" w:cs="Arial" w:eastAsia="Arial" w:hAnsi="Arial"/>
          <w:sz w:val="18"/>
          <w:szCs w:val="18"/>
          <w:color w:val="auto"/>
        </w:rPr>
        <w:t>” means any Eligible Foreign Subsidiary that has been designated as a Foreign Subsidiary Borrower pursuant to Section 2.23 and that has not ceased to be a Foreign Subsidiary Borrower pursuant to such Section.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1" w:name="page112"/>
    <w:bookmarkEnd w:id="11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8" w:lineRule="exact"/>
        <w:rPr>
          <w:sz w:val="20"/>
          <w:szCs w:val="20"/>
          <w:color w:val="auto"/>
        </w:rPr>
      </w:pPr>
    </w:p>
    <w:p>
      <w:pPr>
        <w:jc w:val="both"/>
        <w:ind w:firstLine="128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 of Secured Obligations</w:t>
      </w:r>
      <w:r>
        <w:rPr>
          <w:rFonts w:ascii="Arial" w:cs="Arial" w:eastAsia="Arial" w:hAnsi="Arial"/>
          <w:sz w:val="18"/>
          <w:szCs w:val="18"/>
          <w:color w:val="auto"/>
        </w:rPr>
        <w:t>” means the Secured Parties.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has the meaning assigned to such term in the definition of “LIBO Rate”.</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2.20.</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has the meaning assigned to such term in Section 2.20.</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has the meaning assigned to such term in Section 2.20.</w:t>
      </w:r>
    </w:p>
    <w:p>
      <w:pPr>
        <w:spacing w:after="0" w:line="250" w:lineRule="exact"/>
        <w:rPr>
          <w:sz w:val="20"/>
          <w:szCs w:val="20"/>
          <w:color w:val="auto"/>
        </w:rPr>
      </w:pPr>
    </w:p>
    <w:p>
      <w:pPr>
        <w:jc w:val="both"/>
        <w:ind w:firstLine="128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and accrued expenses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w:t>
      </w:r>
    </w:p>
    <w:p>
      <w:pPr>
        <w:spacing w:after="0" w:line="5" w:lineRule="exact"/>
        <w:rPr>
          <w:sz w:val="20"/>
          <w:szCs w:val="20"/>
          <w:color w:val="auto"/>
        </w:rPr>
      </w:pPr>
    </w:p>
    <w:p>
      <w:pPr>
        <w:jc w:val="both"/>
        <w:ind w:firstLine="7"/>
        <w:spacing w:after="0" w:line="250" w:lineRule="auto"/>
        <w:tabs>
          <w:tab w:leader="none" w:pos="2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contingent or otherwise, of such Person as an account party in respect of letters of credit and letters of guaranty, (j) all obligations, contingent or otherwise, of such Person in respect of bankers’ acceptances, (k) all obligations of such Person under any Swap Agreement or under any similar type of agreement and (l) all obligations of such Person under Sale and Leaseback Transactions.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and for avoidance of doubt, obligations arising under any Permitted Call Spread Swap Agreement shall not be considered Indebtedness.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2" w:name="page113"/>
    <w:bookmarkEnd w:id="112"/>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and Other Taxes, imposed on or with respect to any payment made by or on account of any obligation of any Loan Party under any Loan Document.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applicable Borrower to convert or continue a Revolving Borrowing in accordance with Section 2.08 in the form attached hereto as Exhibit I-2.</w:t>
      </w:r>
    </w:p>
    <w:p>
      <w:pPr>
        <w:spacing w:after="0" w:line="197"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ABR Loan (other than a Swingline Loan), the last day of each March, June, September and December and the Maturity Date, (b) with respect to any Eurocurrency Loan, the last day of each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the Maturity Date and (c) with respect to any Swingline Loan, the day that such Loan is required to be repaid and the Maturity Date.</w:t>
      </w:r>
    </w:p>
    <w:p>
      <w:pPr>
        <w:spacing w:after="0" w:line="200" w:lineRule="exact"/>
        <w:rPr>
          <w:sz w:val="20"/>
          <w:szCs w:val="20"/>
          <w:color w:val="auto"/>
        </w:rPr>
      </w:pPr>
    </w:p>
    <w:p>
      <w:pPr>
        <w:jc w:val="both"/>
        <w:ind w:firstLine="128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thereafter, as the applicable Borrower (or the Company on behalf of the applicable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xml:space="preserve">” means, at any time, for any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3" w:name="page114"/>
    <w:bookmarkEnd w:id="113"/>
    <w:p>
      <w:pPr>
        <w:jc w:val="both"/>
        <w:ind w:firstLine="128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each of JPMorgan Chase Bank, N.A., Bank of America, N.A., Citizens Bank, N.A. and TD Bank, N.A.,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spacing w:after="0" w:line="201"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any corporation, partnership, limited liability company or other legal entity or arrangement in which the Company or any Subsidiary has an equity investment and direct or indirect Control.</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 at such time plus (b) the aggregate Dollar Amount of all LC Disbursements that have not yet been reimbursed by or on behalf of the Company at such time. The LC Exposure of any Lender at any time shall be its Applicable Percentage of the total LC Exposure at such time.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50"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and any other Person that shall have become a Lender hereunder pursuant to Section 2.20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50"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xml:space="preserve">” means, with respect to each Issuing Bank, the commitment of such Issuing Bank to issue Letters of Credit hereunder. The initial amount of each Issuing Bank’s Letter of Credit Commitment is set forth on </w:t>
      </w:r>
      <w:r>
        <w:rPr>
          <w:rFonts w:ascii="Arial" w:cs="Arial" w:eastAsia="Arial" w:hAnsi="Arial"/>
          <w:sz w:val="18"/>
          <w:szCs w:val="18"/>
          <w:u w:val="single" w:color="auto"/>
          <w:color w:val="auto"/>
        </w:rPr>
        <w:t>Schedule 2.01B</w:t>
      </w:r>
      <w:r>
        <w:rPr>
          <w:rFonts w:ascii="Arial" w:cs="Arial" w:eastAsia="Arial" w:hAnsi="Arial"/>
          <w:sz w:val="18"/>
          <w:szCs w:val="18"/>
          <w:color w:val="auto"/>
        </w:rPr>
        <w:t>, or if an Issuing Bank has entered into an Assignment and Assumption, the amount set forth for such Issuing Bank as its Letter of Credit Commitment in the Register maintained by the Administrative Agent.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such term in Section 2.06(b).</w:t>
      </w:r>
    </w:p>
    <w:p>
      <w:pPr>
        <w:spacing w:after="0" w:line="250" w:lineRule="exact"/>
        <w:rPr>
          <w:sz w:val="20"/>
          <w:szCs w:val="20"/>
          <w:color w:val="auto"/>
        </w:rPr>
      </w:pPr>
    </w:p>
    <w:p>
      <w:pPr>
        <w:jc w:val="both"/>
        <w:ind w:firstLine="128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day and time, with respect to any Eurocurrency Borrowing denominated in any Agreed Currency and for any Interest Period, the London interbank offered rate as administered by ICE Benchmark Administration (or any other Person that takes over the administration of such rate) for such Agreed Currency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w:t>
      </w:r>
      <w:r>
        <w:rPr>
          <w:rFonts w:ascii="Arial" w:cs="Arial" w:eastAsia="Arial" w:hAnsi="Arial"/>
          <w:sz w:val="16"/>
          <w:szCs w:val="16"/>
          <w:u w:val="single" w:color="auto"/>
          <w:color w:val="auto"/>
        </w:rPr>
        <w:t>LIBOR Screen Rate</w:t>
      </w:r>
      <w:r>
        <w:rPr>
          <w:rFonts w:ascii="Arial" w:cs="Arial" w:eastAsia="Arial" w:hAnsi="Arial"/>
          <w:sz w:val="16"/>
          <w:szCs w:val="16"/>
          <w:color w:val="auto"/>
        </w:rPr>
        <w:t xml:space="preserve">”) at approximately 11:00 a.m., London time, on the Quotation Day for such Agreed Currency and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LIBOR Screen Rate as so determined would be less than zero, such rate shall be deemed to be zero for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 LIBOR Screen Rate shall not be available at such time for such Interest Period (the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then the LIBO Rate for such Agreed Currency and such Interest Period shall be the Interpolated Rate;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Interpolated Rate shall be less than zero, such rate shall be deemed to be zero for the purposes of this Agreement. It is understood and agreed that all of the terms and conditions of this definition of “LIBO Rate” shall be subject to Section 2.14.</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4" w:name="page115"/>
    <w:bookmarkEnd w:id="11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has the meaning assigned to such term in the definition of “LIBO Rate”.</w:t>
      </w:r>
    </w:p>
    <w:p>
      <w:pPr>
        <w:spacing w:after="0" w:line="250"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has the meaning assigned to such term in 6.11(c).</w:t>
      </w:r>
    </w:p>
    <w:p>
      <w:pPr>
        <w:spacing w:after="0" w:line="250"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each Borrowing Subsidiary Agreement, each Borrowing Subsidiary Termination, the Subsidiary Guaranty, the Collateral Documents (including, without limitation, the Pledge Agreements), any promissory notes executed and delivered pursuant to Section 2.10(e), any Letter of Credit applications and any agreements between the Borrower and an Issuing Bank regarding such Issuing Bank’s Letter of Credit Commitment or the respective rights and obligations between the Borrower and such Issuing Bank in connection with the issuance of Letters of Credit and any and all other instruments and documents executed and delivered in connection with any of the foregoing.</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and the Subsidiary Guarantors.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made by the Lenders to the Borrowers, or otherwise incurred by the Borrowers, pursuant to this Agreement.</w:t>
      </w:r>
    </w:p>
    <w:p>
      <w:pPr>
        <w:spacing w:after="0" w:line="261"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208" w:lineRule="exact"/>
        <w:rPr>
          <w:sz w:val="20"/>
          <w:szCs w:val="20"/>
          <w:color w:val="auto"/>
        </w:rPr>
      </w:pPr>
    </w:p>
    <w:p>
      <w:pPr>
        <w:jc w:val="both"/>
        <w:ind w:firstLine="128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assets, property or condition (financial or otherwise) of the Company and the Subsidiaries taken as a whole or (b) the ability of any Borrower or any other Loan Party to perform any of its obligations under this Agreement or any other Loan Document or (c) the rights of or remedies available to the Lenders under this Agreement or any other Loan Document.</w:t>
      </w:r>
    </w:p>
    <w:p>
      <w:pPr>
        <w:spacing w:after="0" w:line="192"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the Loans and Letters of Credit), or obligations in respect of one or more Swap Agreements, of any one or more of the Company and its Subsidiaries in an aggregate principal amount exceeding $15,000,000.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5" w:name="page116"/>
    <w:bookmarkEnd w:id="115"/>
    <w:p>
      <w:pPr>
        <w:jc w:val="both"/>
        <w:ind w:firstLine="128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Subsidiary (i) which, as of the most recent fiscal year of the Company, for the period of four consecutive fiscal quarters then ended, for which financial statements have been delivered pursuant to Section 5.01, contributed greater than fifteen percent (15%) of the Company’s Consolidated EBITDA for such period or (ii) which contributed greater than fifteen percent (15%) of the Company’s Consolidated Total Assets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the aggregate amount of the Company’s Consolidated EBITDA or Company’s Consolidated Total Assets attributable to Subsidiaries (other than Affected Foreign Subsidiaries) that are not Subsidiary Guarantors exceeds twenty percent (20%) of the Company’s Consolidated EBITDA for any such period or twenty percent (20%) of the Company’s Consolidated Total Assets as of the end of any such fiscal year, the Company (or, in the event the Company has failed to do so within ten days, the Administrative Agent) shall designate sufficient Subsidiaries (other than Affected Foreign Subsidiaries) as “Material Subsidiaries” to eliminate such excess, and such designated Subsidiaries shall for all purposes of this Agreement constitute Material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Person becoming a Subsidiary pursuant to an acquisition, the foregoing financial tests shall be applied on a Pro Forma Basis immediately upon consummation of such acquisition and, assuming such Subsidiary would constitute a Material Subsidiary on a Pro Forma Basis, the Company shall comply with Section 5.09.</w:t>
      </w:r>
    </w:p>
    <w:p>
      <w:pPr>
        <w:spacing w:after="0" w:line="213"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September 27, 2023;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such date is not a Business Day, the Maturity Date shall be the next preceding Business Day.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50"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Money Credit Event</w:t>
      </w:r>
      <w:r>
        <w:rPr>
          <w:rFonts w:ascii="Arial" w:cs="Arial" w:eastAsia="Arial" w:hAnsi="Arial"/>
          <w:sz w:val="16"/>
          <w:szCs w:val="16"/>
          <w:color w:val="auto"/>
        </w:rPr>
        <w:t>” means with respect to any Issuing Bank, any increase (directly or indirectly) in such Issuing Bank’s exposure (whether by way of additional credit or banking facilities or otherwise, including as part of a restructuring) to the Borrower or any Governmental Authority in the Borrower’s or any applicable Letter of Credit beneficiary’s country occurring by reason of (i) any law, action or requirement of any Governmental Authority in the Borrower’s or such Letter of Credit beneficiary’s country, or (ii) any request in respect of external indebtedness of borrowers in the Borrower’s or such Letter of Credit beneficiary’s country applicable to banks generally which conduct business with such borrowers, or (iii) any agreement in relation to clause (i) or (ii), in each case to the extent calculated by reference to the aggregate Revolving Credit Exposures outstanding prior to such increase.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50" w:lineRule="exact"/>
        <w:rPr>
          <w:sz w:val="20"/>
          <w:szCs w:val="20"/>
          <w:color w:val="auto"/>
        </w:rPr>
      </w:pPr>
    </w:p>
    <w:p>
      <w:pPr>
        <w:jc w:val="both"/>
        <w:ind w:firstLine="128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of the aforesaid rates as so determined would be less than zero, such rate shall be deemed to be zero for purposes of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6" w:name="page117"/>
    <w:bookmarkEnd w:id="116"/>
    <w:p>
      <w:pPr>
        <w:jc w:val="both"/>
        <w:ind w:firstLine="128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Treasury.</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stamp, court or documentary, intangible, recording, filing taxes or any other excise or property or similar taxes, charges or similar levies arising from any payment made hereunder or from the execution, delivery or enforcement of, or otherwise with respect to, this Agreement or any other Loan Document.</w:t>
      </w:r>
    </w:p>
    <w:p>
      <w:pPr>
        <w:spacing w:after="0" w:line="208" w:lineRule="exact"/>
        <w:rPr>
          <w:sz w:val="20"/>
          <w:szCs w:val="20"/>
          <w:color w:val="auto"/>
        </w:rPr>
      </w:pPr>
    </w:p>
    <w:p>
      <w:pPr>
        <w:jc w:val="both"/>
        <w:ind w:right="20" w:firstLine="128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92"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Foreign Currency Rate</w:t>
      </w:r>
      <w:r>
        <w:rPr>
          <w:rFonts w:ascii="Arial" w:cs="Arial" w:eastAsia="Arial" w:hAnsi="Arial"/>
          <w:sz w:val="16"/>
          <w:szCs w:val="16"/>
          <w:color w:val="auto"/>
        </w:rPr>
        <w:t>” means, for any amount payable in a Foreign Currency, the rate of interest per annum as determined by the Administrative Agent at which overnight or weekend deposits in the relevant currency (or if such amount due remains unpaid for more than three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plus any taxes, levies, imposts, duties, deductions, charges or withholdings imposed upon, or charged to, the Administrative Agent by any relevant correspondent bank in respect of such amount in such relevant currency.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 107-56 (signed into law October 26, 2001)).</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7" w:name="page118"/>
    <w:bookmarkEnd w:id="117"/>
    <w:p>
      <w:pPr>
        <w:jc w:val="both"/>
        <w:ind w:firstLine="12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(whether by purchase, merger, consolidation or otherwise) or series of related acquisitions by the Company or any Subsidiary of all or substantially all the assets of, or more than a majority of the Equity Interests in, a Person or division or line of business of a Person if, at the time of and immediately after giving effect thereto, (a) no Default has occurred and is continuing or would arise after giving effect thereto, (b) such Person or division or line of business is engaged in the same or a similar line of business as the Company and the Subsidiaries or business reasonably related or complimentary thereto, (c) all actions required to be taken with respect to such acquired or newly formed Subsidiary under Sections 5.09 and 5.10 shall have been taken, (d) the Company and the Subsidiaries are in compliance with the covenants contained in Section 6.11 on a Pro Forma Basis after giving effect to such acquisition and recomputed as of the last day of the most recently ended fiscal quarter of the Company for which financial statements are available, as if such acquisition (and any related incurrence or repayment of Indebtedness, with any new Indebtedness being deemed to be amortized over the applicable testing period in accordance with its terms) had occurred on the first day of each relevant period for testing such compliance and, if the aggregate consideration (including the concurrent repayment or assumption of any indebtedness and related investments) paid in respect of such acquisition exceeds $50,000,000, the Company shall have delivered to the Administrative Agent a certificate of a Financial Officer of the Company to such effect, together with all relevant financial information, statements and projections requested by the Administrative Agent and (e) in the case of an acquisition or merger involving the Company or a Subsidiary, the Company or such Subsidiary is the surviving entity of such merger and/or consolidation.</w:t>
      </w:r>
    </w:p>
    <w:p>
      <w:pPr>
        <w:spacing w:after="0" w:line="194" w:lineRule="exact"/>
        <w:rPr>
          <w:sz w:val="20"/>
          <w:szCs w:val="20"/>
          <w:color w:val="auto"/>
        </w:rPr>
      </w:pPr>
    </w:p>
    <w:p>
      <w:pPr>
        <w:jc w:val="both"/>
        <w:ind w:firstLine="128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Call Spread Swap Agreements</w:t>
      </w:r>
      <w:r>
        <w:rPr>
          <w:rFonts w:ascii="Arial" w:cs="Arial" w:eastAsia="Arial" w:hAnsi="Arial"/>
          <w:sz w:val="16"/>
          <w:szCs w:val="16"/>
          <w:color w:val="auto"/>
        </w:rPr>
        <w:t xml:space="preserve">” means (a) any Swap Agreement (including, but not limited to, any bond hedge transaction or capped call transaction) pursuant to which the Company acquires an option requiring the counterparty thereto to deliver to the Company shares of common stock of the Company, the cash value of such shares or a combination thereof from time to time upon exercise of such option and (b) any Swap Agreement pursuant to which the Company issues to the counterparty thereto warrants to acquire common stock of the Company (whether such warrant is settled in shares, cash or a combination thereof), in each case entered into by the Company in connection with the issuance of Convertible Debt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firstLine="7"/>
        <w:spacing w:after="0" w:line="252" w:lineRule="auto"/>
        <w:tabs>
          <w:tab w:leader="none" w:pos="2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conditions and covenants of each such Swap Agreement shall be such as are customary for Swap Agreements of such type (as determined by the Board of Directors of the Company in good faith) and (ii) in the case of clause (b) above, such Swap Agreement would be classified as an equity instrument in accordance with GAAP, and the settlement of such Swap Agreement does not require the Company to make any payment in cash or cash equivalents that would disqualify such Swap Agreement from so being classified as an equity instrument.</w:t>
      </w:r>
    </w:p>
    <w:p>
      <w:pPr>
        <w:spacing w:after="0" w:line="21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(i) the Existing Convertible Notes and (ii) any unsecured notes issued by the Company or any Subsidiary that are convertible into common stock of the Company or any Subsidiary, cash or any combination thereof and (other than in the case of intercompany Indebtedness) are permitted to be issued pursuant to the definition of Permitted Unsecured Indebtedness.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50" w:lineRule="exact"/>
        <w:rPr>
          <w:sz w:val="20"/>
          <w:szCs w:val="20"/>
          <w:color w:val="auto"/>
        </w:rPr>
      </w:pPr>
    </w:p>
    <w:p>
      <w:pPr>
        <w:ind w:right="20" w:firstLine="1296"/>
        <w:spacing w:after="0" w:line="275" w:lineRule="auto"/>
        <w:tabs>
          <w:tab w:leader="none" w:pos="16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 or as to which the grace period, if any, related thereto has not expired;</w:t>
      </w:r>
    </w:p>
    <w:p>
      <w:pPr>
        <w:spacing w:after="0" w:line="197" w:lineRule="exact"/>
        <w:rPr>
          <w:rFonts w:ascii="Arial" w:cs="Arial" w:eastAsia="Arial" w:hAnsi="Arial"/>
          <w:sz w:val="18"/>
          <w:szCs w:val="18"/>
          <w:color w:val="auto"/>
        </w:rPr>
      </w:pPr>
    </w:p>
    <w:p>
      <w:pPr>
        <w:jc w:val="both"/>
        <w:ind w:firstLine="1296"/>
        <w:spacing w:after="0" w:line="262" w:lineRule="auto"/>
        <w:tabs>
          <w:tab w:leader="none" w:pos="16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and other like Liens imposed by law, arising in the ordinary course of business and securing obligations that are not overdue by more than thirty (30) days or are not in excess of $10,000,000, individually, or in the aggregate, or are being contested in compliance with Section 5.04;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8" w:name="page119"/>
    <w:bookmarkEnd w:id="118"/>
    <w:p>
      <w:pPr>
        <w:ind w:firstLine="1296"/>
        <w:spacing w:after="0" w:line="275" w:lineRule="auto"/>
        <w:tabs>
          <w:tab w:leader="none" w:pos="15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97" w:lineRule="exact"/>
        <w:rPr>
          <w:rFonts w:ascii="Arial" w:cs="Arial" w:eastAsia="Arial" w:hAnsi="Arial"/>
          <w:sz w:val="18"/>
          <w:szCs w:val="18"/>
          <w:color w:val="auto"/>
        </w:rPr>
      </w:pPr>
    </w:p>
    <w:p>
      <w:pPr>
        <w:ind w:right="20" w:firstLine="1296"/>
        <w:spacing w:after="0" w:line="275" w:lineRule="auto"/>
        <w:tabs>
          <w:tab w:leader="none" w:pos="15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97" w:lineRule="exact"/>
        <w:rPr>
          <w:rFonts w:ascii="Arial" w:cs="Arial" w:eastAsia="Arial" w:hAnsi="Arial"/>
          <w:sz w:val="18"/>
          <w:szCs w:val="18"/>
          <w:color w:val="auto"/>
        </w:rPr>
      </w:pPr>
    </w:p>
    <w:p>
      <w:pPr>
        <w:ind w:left="1580" w:hanging="284"/>
        <w:spacing w:after="0"/>
        <w:tabs>
          <w:tab w:leader="none" w:pos="1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49" w:lineRule="exact"/>
        <w:rPr>
          <w:rFonts w:ascii="Arial" w:cs="Arial" w:eastAsia="Arial" w:hAnsi="Arial"/>
          <w:sz w:val="18"/>
          <w:szCs w:val="18"/>
          <w:color w:val="auto"/>
        </w:rPr>
      </w:pPr>
    </w:p>
    <w:p>
      <w:pPr>
        <w:jc w:val="both"/>
        <w:ind w:firstLine="1296"/>
        <w:spacing w:after="0" w:line="262" w:lineRule="auto"/>
        <w:tabs>
          <w:tab w:leader="none" w:pos="15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50" w:lineRule="exact"/>
        <w:rPr>
          <w:sz w:val="20"/>
          <w:szCs w:val="20"/>
          <w:color w:val="auto"/>
        </w:rPr>
      </w:pPr>
    </w:p>
    <w:p>
      <w:pPr>
        <w:jc w:val="both"/>
        <w:ind w:left="660" w:firstLine="636"/>
        <w:spacing w:after="0" w:line="262" w:lineRule="auto"/>
        <w:tabs>
          <w:tab w:leader="none" w:pos="16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208" w:lineRule="exact"/>
        <w:rPr>
          <w:rFonts w:ascii="Arial" w:cs="Arial" w:eastAsia="Arial" w:hAnsi="Arial"/>
          <w:sz w:val="18"/>
          <w:szCs w:val="18"/>
          <w:color w:val="auto"/>
        </w:rPr>
      </w:pPr>
    </w:p>
    <w:p>
      <w:pPr>
        <w:ind w:left="660" w:firstLine="636"/>
        <w:spacing w:after="0" w:line="275"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commercial paper maturing within one year from the date of acquisition thereof and having, at such date of acquisition, the credit rating of A1 from S&amp;P or P1 from Moody’s;</w:t>
      </w:r>
    </w:p>
    <w:p>
      <w:pPr>
        <w:spacing w:after="0" w:line="197" w:lineRule="exact"/>
        <w:rPr>
          <w:rFonts w:ascii="Arial" w:cs="Arial" w:eastAsia="Arial" w:hAnsi="Arial"/>
          <w:sz w:val="18"/>
          <w:szCs w:val="18"/>
          <w:color w:val="auto"/>
        </w:rPr>
      </w:pPr>
    </w:p>
    <w:p>
      <w:pPr>
        <w:jc w:val="both"/>
        <w:ind w:left="660" w:firstLine="636"/>
        <w:spacing w:after="0" w:line="257" w:lineRule="auto"/>
        <w:tabs>
          <w:tab w:leader="none" w:pos="1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214" w:lineRule="exact"/>
        <w:rPr>
          <w:rFonts w:ascii="Arial" w:cs="Arial" w:eastAsia="Arial" w:hAnsi="Arial"/>
          <w:sz w:val="18"/>
          <w:szCs w:val="18"/>
          <w:color w:val="auto"/>
        </w:rPr>
      </w:pPr>
    </w:p>
    <w:p>
      <w:pPr>
        <w:ind w:left="660" w:firstLine="636"/>
        <w:spacing w:after="0" w:line="275" w:lineRule="auto"/>
        <w:tabs>
          <w:tab w:leader="none" w:pos="161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97" w:lineRule="exact"/>
        <w:rPr>
          <w:rFonts w:ascii="Arial" w:cs="Arial" w:eastAsia="Arial" w:hAnsi="Arial"/>
          <w:sz w:val="18"/>
          <w:szCs w:val="18"/>
          <w:color w:val="auto"/>
        </w:rPr>
      </w:pPr>
    </w:p>
    <w:p>
      <w:pPr>
        <w:ind w:left="660" w:firstLine="636"/>
        <w:spacing w:after="0" w:line="275" w:lineRule="auto"/>
        <w:tabs>
          <w:tab w:leader="none" w:pos="16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taxable or tax exempt obligations of any state of the United States of America or any municipality thereof maturing within three years of the date of acquisition thereof and which is rated “A1” or higher by Moody’s or “AA” or higher by S&amp;P;</w:t>
      </w:r>
    </w:p>
    <w:p>
      <w:pPr>
        <w:spacing w:after="0" w:line="197" w:lineRule="exact"/>
        <w:rPr>
          <w:rFonts w:ascii="Arial" w:cs="Arial" w:eastAsia="Arial" w:hAnsi="Arial"/>
          <w:sz w:val="18"/>
          <w:szCs w:val="18"/>
          <w:color w:val="auto"/>
        </w:rPr>
      </w:pPr>
    </w:p>
    <w:p>
      <w:pPr>
        <w:ind w:left="660" w:right="20" w:firstLine="636"/>
        <w:spacing w:after="0" w:line="275" w:lineRule="auto"/>
        <w:tabs>
          <w:tab w:leader="none" w:pos="15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fixed income securities maturing within one year of the date of acquisition thereof and which are rated “A” or higher by Moody’s or S&amp;P;</w:t>
      </w:r>
    </w:p>
    <w:p>
      <w:pPr>
        <w:spacing w:after="0" w:line="197" w:lineRule="exact"/>
        <w:rPr>
          <w:rFonts w:ascii="Arial" w:cs="Arial" w:eastAsia="Arial" w:hAnsi="Arial"/>
          <w:sz w:val="18"/>
          <w:szCs w:val="18"/>
          <w:color w:val="auto"/>
        </w:rPr>
      </w:pPr>
    </w:p>
    <w:p>
      <w:pPr>
        <w:ind w:left="660" w:right="20" w:firstLine="636"/>
        <w:spacing w:after="0" w:line="305" w:lineRule="auto"/>
        <w:tabs>
          <w:tab w:leader="none" w:pos="16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the aggregate amount of such investments does not exceed 10% of Permitted Investments, investments in fixed income securities maturing within two years of the date of acquisition thereof and which are rated between “BBB-” and “BBB+” by S&amp;P;</w:t>
      </w:r>
    </w:p>
    <w:p>
      <w:pPr>
        <w:spacing w:after="0" w:line="174" w:lineRule="exact"/>
        <w:rPr>
          <w:rFonts w:ascii="Arial" w:cs="Arial" w:eastAsia="Arial" w:hAnsi="Arial"/>
          <w:sz w:val="17"/>
          <w:szCs w:val="17"/>
          <w:color w:val="auto"/>
        </w:rPr>
      </w:pPr>
    </w:p>
    <w:p>
      <w:pPr>
        <w:ind w:left="660" w:firstLine="636"/>
        <w:spacing w:after="0" w:line="275" w:lineRule="auto"/>
        <w:tabs>
          <w:tab w:leader="none" w:pos="16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money market mutual funds having assets in excess of $1,000,000,000 whose sole investments are any securities described in clauses (a) through (g) above; 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19" w:name="page120"/>
    <w:bookmarkEnd w:id="119"/>
    <w:p>
      <w:pPr>
        <w:jc w:val="both"/>
        <w:ind w:left="660" w:firstLine="636"/>
        <w:spacing w:after="0" w:line="262" w:lineRule="auto"/>
        <w:tabs>
          <w:tab w:leader="none" w:pos="15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Foreign Subsidiary, investments of comparable tenure and credit quality to those described in the foregoing clauses (a) through (h) or other high quality short term investments, in each case, customarily utilized in countries in which such Foreign Subsidiary operates for short term cash management purposes.</w:t>
      </w:r>
    </w:p>
    <w:p>
      <w:pPr>
        <w:spacing w:after="0" w:line="208" w:lineRule="exact"/>
        <w:rPr>
          <w:sz w:val="20"/>
          <w:szCs w:val="20"/>
          <w:color w:val="auto"/>
        </w:rPr>
      </w:pPr>
    </w:p>
    <w:p>
      <w:pPr>
        <w:jc w:val="both"/>
        <w:ind w:firstLine="128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Indebtedness</w:t>
      </w:r>
      <w:r>
        <w:rPr>
          <w:rFonts w:ascii="Arial" w:cs="Arial" w:eastAsia="Arial" w:hAnsi="Arial"/>
          <w:sz w:val="17"/>
          <w:szCs w:val="17"/>
          <w:color w:val="auto"/>
        </w:rPr>
        <w:t>” means any unsecured Indebtedness of the Company (including (x) any Permitted Convertible Notes and (y) unsecured Subordinated Indebtedness to the extent subordinated to the Secured Obligations on terms reasonably acceptable to the Administrative Agent) so long as (i) the Indebtedness thereunder does not mature, and is otherwise not subject to any mandatory prepayment, redemption, defeasance, scheduled amortization or other scheduled payments of principal, in each case prior to the date that is six (6) months after the Maturity Date (it being understood that neither (x) any provision requiring an offer to purchase such Indebtedness as a result of change of control or asset sale or other fundamental change nor (y) any early conversion of any Permitted Convertible Notes in accordance with the terms thereof shall violate the foregoing restriction), (ii) both immediately prior to and after giving effect (including giving effect on a Pro Forma Basis) thereto, (x) no Default or Event of Default shall exist or would result therefrom and (y) the Company shall be in compliance with the covenants contained in Section 6.11, (iii) such Indebtedness is not guaranteed by any Subsidiary of the Company other than the Subsidiary Guarantors (which guarantees, if such Indebtedness is subordinated, shall be expressly subordinated to the Secured Obligations on terms not less favorable to the Lenders than the subordination terms of such Subordinated Indebtedness) and (iv) the covenants applicable to such Indebtedness are not more onerous or more restrictive in any material respect (taken as a whole) than the applicable covenants set forth in this Agreement.</w:t>
      </w:r>
    </w:p>
    <w:p>
      <w:pPr>
        <w:spacing w:after="0" w:line="210"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PKL</w:t>
      </w:r>
      <w:r>
        <w:rPr>
          <w:rFonts w:ascii="Arial" w:cs="Arial" w:eastAsia="Arial" w:hAnsi="Arial"/>
          <w:sz w:val="18"/>
          <w:szCs w:val="18"/>
          <w:color w:val="auto"/>
        </w:rPr>
        <w:t>” means PKL, Ltd., a Korean corporation.</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PKLT</w:t>
      </w:r>
      <w:r>
        <w:rPr>
          <w:rFonts w:ascii="Arial" w:cs="Arial" w:eastAsia="Arial" w:hAnsi="Arial"/>
          <w:sz w:val="18"/>
          <w:szCs w:val="18"/>
          <w:color w:val="auto"/>
        </w:rPr>
        <w:t>” means PKLT Co., Ltd., a Taiwanese corporation.</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xml:space="preserve">” means 29 CFR § 2510.3-101 </w:t>
      </w:r>
      <w:r>
        <w:rPr>
          <w:rFonts w:ascii="Arial" w:cs="Arial" w:eastAsia="Arial" w:hAnsi="Arial"/>
          <w:sz w:val="17"/>
          <w:szCs w:val="17"/>
          <w:i w:val="1"/>
          <w:iCs w:val="1"/>
          <w:color w:val="auto"/>
        </w:rPr>
        <w:t>et seq.</w:t>
      </w:r>
      <w:r>
        <w:rPr>
          <w:rFonts w:ascii="Arial" w:cs="Arial" w:eastAsia="Arial" w:hAnsi="Arial"/>
          <w:sz w:val="17"/>
          <w:szCs w:val="17"/>
          <w:color w:val="auto"/>
        </w:rPr>
        <w:t>, as modified by Section 3(42) of ERISA, as amended from time to time.</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Debt Domain, Intralinks, Syndtrak or a substantially similar electronic transmission system.</w:t>
      </w:r>
    </w:p>
    <w:p>
      <w:pPr>
        <w:spacing w:after="0" w:line="250"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xml:space="preserve">” means that certain Second Amended and Restated Pledge Agreement substantially in the form of Exhibit H (including any and all supplements thereto) dated as of the Effective Date and executed by the relevant Loan Parties, and, in the case of any pledge of Equity Interests of a Foreign Subsidiary, any other pledge agreements, share mortgages, charges and comparable instruments and documents from time to time executed pursuant to the terms of Section 5.09 in favor of the Collateral Agent for the benefit of the </w:t>
      </w:r>
      <w:r>
        <w:rPr>
          <w:rFonts w:ascii="Arial" w:cs="Arial" w:eastAsia="Arial" w:hAnsi="Arial"/>
          <w:sz w:val="18"/>
          <w:szCs w:val="18"/>
          <w:u w:val="single" w:color="auto"/>
          <w:color w:val="auto"/>
        </w:rPr>
        <w:t>Holders of Secured Obligations</w:t>
      </w:r>
      <w:r>
        <w:rPr>
          <w:rFonts w:ascii="Arial" w:cs="Arial" w:eastAsia="Arial" w:hAnsi="Arial"/>
          <w:sz w:val="18"/>
          <w:szCs w:val="18"/>
          <w:color w:val="auto"/>
        </w:rPr>
        <w:t xml:space="preserve"> as amended, restated, supplemented or otherwise modified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Subsidiary</w:t>
      </w:r>
      <w:r>
        <w:rPr>
          <w:rFonts w:ascii="Arial" w:cs="Arial" w:eastAsia="Arial" w:hAnsi="Arial"/>
          <w:sz w:val="17"/>
          <w:szCs w:val="17"/>
          <w:color w:val="auto"/>
        </w:rPr>
        <w:t>” means (i) each Domestic Subsidiary and (ii) each First Tier Foreign Subsidiary that is a Material Subsidiary.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0" w:name="page121"/>
    <w:bookmarkEnd w:id="120"/>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means all pledged Equity Interests in or upon which a security interest or Lien is from time to time granted to the Collateral Agent, for the benefit of the Holders of Secured Obligations, under the Pledge Agreements.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means the lawful currency of the United Kingdom.</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Subsidiary</w:t>
      </w:r>
      <w:r>
        <w:rPr>
          <w:rFonts w:ascii="Arial" w:cs="Arial" w:eastAsia="Arial" w:hAnsi="Arial"/>
          <w:sz w:val="18"/>
          <w:szCs w:val="18"/>
          <w:color w:val="auto"/>
        </w:rPr>
        <w:t>” means any Subsidiary that (i) is organized under the laws of the People’s Republic of China (“PRC”) or (ii) has its principal place of business in PRC.</w:t>
      </w:r>
    </w:p>
    <w:p>
      <w:pPr>
        <w:spacing w:after="0" w:line="197"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Transactions</w:t>
      </w:r>
      <w:r>
        <w:rPr>
          <w:rFonts w:ascii="Arial" w:cs="Arial" w:eastAsia="Arial" w:hAnsi="Arial"/>
          <w:sz w:val="18"/>
          <w:szCs w:val="18"/>
          <w:color w:val="auto"/>
        </w:rPr>
        <w:t>” means the sale of up to 49.99% of the shares of the PRC Subsidiary to a third party in connection with the formation and operation of a joint venture.</w:t>
      </w:r>
    </w:p>
    <w:p>
      <w:pPr>
        <w:spacing w:after="0" w:line="197"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216"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on a basis in accordance with GAAP and Regulation S-X and otherwise reasonably satisfactory to the Administrative Agent.</w:t>
      </w:r>
    </w:p>
    <w:p>
      <w:pPr>
        <w:spacing w:after="0" w:line="197"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97" w:lineRule="exact"/>
        <w:rPr>
          <w:sz w:val="20"/>
          <w:szCs w:val="20"/>
          <w:color w:val="auto"/>
        </w:rPr>
      </w:pPr>
    </w:p>
    <w:p>
      <w:pPr>
        <w:jc w:val="both"/>
        <w:ind w:firstLine="128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Quotation Day</w:t>
      </w:r>
      <w:r>
        <w:rPr>
          <w:rFonts w:ascii="Arial" w:cs="Arial" w:eastAsia="Arial" w:hAnsi="Arial"/>
          <w:sz w:val="16"/>
          <w:szCs w:val="16"/>
          <w:color w:val="auto"/>
        </w:rPr>
        <w:t>” means, with respect to any Eurocurrency Borrowing for any Interest Period, (i) if the currency is Pounds Sterling, the first day of such Interest Period, (ii) if the currency is euro, the day that is two (2) TARGET2 Days before the first day of such Interest Period, and (iii) for any other currency, two Business Days prior to the commencement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85"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 Rate</w:t>
      </w:r>
      <w:r>
        <w:rPr>
          <w:rFonts w:ascii="Arial" w:cs="Arial" w:eastAsia="Arial" w:hAnsi="Arial"/>
          <w:sz w:val="18"/>
          <w:szCs w:val="18"/>
          <w:color w:val="auto"/>
        </w:rPr>
        <w:t>” means the arithmetic mean of the rates (rounded upwards to four decimal places) supplied to the Administrative Agent at its request by the Reference Banks (as the case may be) as of the applicable time on the Quotation Day for Loans in the applicable currency and the applicable Interest Period as the rate at which the relevant Reference Bank could borrow funds in the London (or other applicable) interbank market in the relevant currency and for the relevant period, were it to do so by asking for and then accepting interbank offers in reasonable market size in that currency and for that period.</w:t>
      </w:r>
    </w:p>
    <w:p>
      <w:pPr>
        <w:spacing w:after="0" w:line="216"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such banks as may be appointed by the Administrative Agent in consultation with the Company. No Lender shall be obligated to be a Reference Bank without its consent.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1" w:name="page122"/>
    <w:bookmarkEnd w:id="121"/>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and advisors of such Person and such Person’s Affiliates.</w:t>
      </w:r>
    </w:p>
    <w:p>
      <w:pPr>
        <w:spacing w:after="0" w:line="197"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Section 2.24, at any time, two (2) or more unaffiliated Lenders having Revolving Credit Exposures and unused Commitments representing more than 50% of the sum of the Total Revolving Credit Exposure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declaring the Loans to be due and payable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for all purposes after the Loans become due and payable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the Commitments expire or terminate, then, as to each Lender, clause (a) of the definition of Swingline Exposure shall only be applicable for purposes of determining its Revolving Credit Exposure to the extent such Lender shall have funded its participation in the outstanding Swingline Loans to the extent required under Section 2.05(c).</w:t>
      </w:r>
    </w:p>
    <w:p>
      <w:pPr>
        <w:spacing w:after="0" w:line="216" w:lineRule="exact"/>
        <w:rPr>
          <w:sz w:val="20"/>
          <w:szCs w:val="20"/>
          <w:color w:val="auto"/>
        </w:rPr>
      </w:pPr>
    </w:p>
    <w:p>
      <w:pPr>
        <w:jc w:val="both"/>
        <w:ind w:firstLine="128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Notwithstanding the foregoing, and for the avoidance of doubt, (i) the conversion of (including any cash payment upon conversion), or payment of any principal or premium on, or payment of any interest with respect to, any Permitted Convertible Notes shall not constitute a Restricted Payment and (ii) any payment with respect to, or early unwind or settlement of, any Permitted Call Spread Swap Agreement shall not constitute a Restricted Payment. Notwithstanding the foregoing, any cash payment made to repurchase any Equity Interests of the Company issued in connection with the conversion of any Permitted Convertible Notes at the maturity thereof shall not be considered a “Restricted Payment” so long as (x) such repurchases are made at then prevailing market prices and (y) the aggregate amount of cash delivered by the Company with respect to such conversions, including the related repurchases, does not exceed the par value of such converted Permitted Convertible Notes plus any accrued and unpaid interest thereon through the date of such conversions plus the net cash proceeds, if any, received by the Company pursuant to the related exercise or early unwind or termination of the related Permitted Call Spread Swap Agreements.</w:t>
      </w:r>
    </w:p>
    <w:p>
      <w:pPr>
        <w:spacing w:after="0" w:line="198"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Loans and its LC Exposure and Swingline Exposure at such time.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5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5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sale or other transfer of property by any Person with the intent to lease such property as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35"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97" w:lineRule="exact"/>
        <w:rPr>
          <w:sz w:val="20"/>
          <w:szCs w:val="20"/>
          <w:color w:val="auto"/>
        </w:rPr>
      </w:pPr>
    </w:p>
    <w:p>
      <w:pPr>
        <w:jc w:val="both"/>
        <w:ind w:firstLine="128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OFAC, the U.S. Department of State, the United Nations Security Council, the European Union, any EU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2" w:name="page123"/>
    <w:bookmarkEnd w:id="122"/>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 member state, Her Majesty’s Treasury of the United Kingdom or other relevant sanctions authority.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50"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(i) Banking Services Obligations and (ii) Swap Obligations owing to one or more Secured Parties or their respective Affiliates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obligations arising under Permitted Call Spread Swap Agreements shall not be considered Secured Obligations and (ii)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216"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the holders of the Secured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Swap Agreements and Banking Services Agreements entered into with such Person by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w:t>
      </w:r>
    </w:p>
    <w:p>
      <w:pPr>
        <w:spacing w:after="0" w:line="188"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Third Amended and Restated Security Agreement (including any and all supplements thereto), dated as of the Effective Date, between the Loan Parties and the Collateral Agent, for the benefit of the Collateral Agent and the other Holders of Secured Obligations, as the same may be amended, restated or otherwise modified from time to time.</w:t>
      </w:r>
    </w:p>
    <w:p>
      <w:pPr>
        <w:spacing w:after="0" w:line="208" w:lineRule="exact"/>
        <w:rPr>
          <w:sz w:val="20"/>
          <w:szCs w:val="20"/>
          <w:color w:val="auto"/>
        </w:rPr>
      </w:pPr>
    </w:p>
    <w:p>
      <w:pPr>
        <w:jc w:val="both"/>
        <w:ind w:firstLine="128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Ancillary Obligations</w:t>
      </w:r>
      <w:r>
        <w:rPr>
          <w:rFonts w:ascii="Arial" w:cs="Arial" w:eastAsia="Arial" w:hAnsi="Arial"/>
          <w:sz w:val="18"/>
          <w:szCs w:val="18"/>
          <w:color w:val="auto"/>
        </w:rPr>
        <w:t xml:space="preserve">”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definition of “Specified Ancillary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218" w:lineRule="exact"/>
        <w:rPr>
          <w:sz w:val="20"/>
          <w:szCs w:val="20"/>
          <w:color w:val="auto"/>
        </w:rPr>
      </w:pPr>
    </w:p>
    <w:p>
      <w:pPr>
        <w:jc w:val="both"/>
        <w:ind w:firstLine="128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Capital Expenditures</w:t>
      </w:r>
      <w:r>
        <w:rPr>
          <w:rFonts w:ascii="Arial" w:cs="Arial" w:eastAsia="Arial" w:hAnsi="Arial"/>
          <w:sz w:val="16"/>
          <w:szCs w:val="16"/>
          <w:color w:val="auto"/>
        </w:rPr>
        <w:t>” means, solely for purposes of calculating the Interest Coverage Ratio for each period of four (4) consecutive fiscal quarters ending October 31, 2018, January 31, 2019 and April 30, 2019, Capital Expenditures made by or on behalf of the PRC Subsidiaries.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3" w:name="page124"/>
    <w:bookmarkEnd w:id="123"/>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208"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the Prudential Regulation Authority, the European Central Bank or other Governmental Authority for any category of deposits or liabilities customarily used to fund loans in the applicable currency, expressed in the case of each such requirement as a decimal. Such reserve, liquid asset, fees or similar requirements shall include those imposed pursuant to Regulation D of the Board. Eurocurrency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211"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the Company or any Subsidiary means any Indebtedness of such Person the payment of which is subordinated to payment of the obligations under the Loan Documents to the written satisfaction of, and the terms and conditions of which are otherwise satisfactory to, the Administrative Agent.</w:t>
      </w:r>
    </w:p>
    <w:p>
      <w:pPr>
        <w:spacing w:after="0" w:line="208"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 Documents</w:t>
      </w:r>
      <w:r>
        <w:rPr>
          <w:rFonts w:ascii="Arial" w:cs="Arial" w:eastAsia="Arial" w:hAnsi="Arial"/>
          <w:sz w:val="18"/>
          <w:szCs w:val="18"/>
          <w:color w:val="auto"/>
        </w:rPr>
        <w:t>” means any document, agreement or instrument evidencing any Subordinated Indebtedness or entered into in connection with any Subordinated Indebtedness.</w:t>
      </w:r>
    </w:p>
    <w:p>
      <w:pPr>
        <w:spacing w:after="0" w:line="197"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xml:space="preserve">” means each Subsidiary (other than Affected Foreign Subsidiaries) that is a party to the Subsidiary Guaranty. The Subsidiary Guarantors on the Effective Date are identified as such in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w:t>
      </w:r>
    </w:p>
    <w:p>
      <w:pPr>
        <w:spacing w:after="0" w:line="197"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xml:space="preserve">” means that certain Third Amended and Restated Guaranty, dated as of the Effective Date,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(including any and all supplements thereto) and executed by each Subsidiary Guarantor party thereto, and, in the case of any guaranty by a Foreign Subsidiary, any other guaranty agreements as are requested by the Administrative Agent and its counsel, in each case as amended, restated, supplemented or otherwise modified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4" w:name="page125"/>
    <w:bookmarkEnd w:id="124"/>
    <w:p>
      <w:pPr>
        <w:jc w:val="both"/>
        <w:ind w:firstLine="128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216"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214" w:lineRule="exact"/>
        <w:rPr>
          <w:sz w:val="20"/>
          <w:szCs w:val="20"/>
          <w:color w:val="auto"/>
        </w:rPr>
      </w:pPr>
    </w:p>
    <w:p>
      <w:pPr>
        <w:jc w:val="both"/>
        <w:ind w:firstLine="128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(a) its Applicable Percentage of the total Swingline Exposure at such time other than with respect to any Swingline Loans made by such Lender in its capacity as a Swingline Lender and (b) the aggregate principal amount of all Swingline Loans made by such Lender as a Swingline Lender outstanding at such time (less the amount of participations funded by the other Lenders in such Swingline Loans).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Chase Bank, N.A., in its capacity as lender of Swingline Loans hereunder.</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2.05.</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$10,000,000.</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Syndication Agent</w:t>
      </w:r>
      <w:r>
        <w:rPr>
          <w:rFonts w:ascii="Arial" w:cs="Arial" w:eastAsia="Arial" w:hAnsi="Arial"/>
          <w:sz w:val="16"/>
          <w:szCs w:val="16"/>
          <w:color w:val="auto"/>
        </w:rPr>
        <w:t>” means Bank of America, N.A., in its capacity as syndication agent for the credit facility evidenced by this Agreement.</w:t>
      </w:r>
    </w:p>
    <w:p>
      <w:pPr>
        <w:spacing w:after="0" w:line="2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Taiwan JV</w:t>
      </w:r>
      <w:r>
        <w:rPr>
          <w:rFonts w:ascii="Arial" w:cs="Arial" w:eastAsia="Arial" w:hAnsi="Arial"/>
          <w:sz w:val="18"/>
          <w:szCs w:val="18"/>
          <w:color w:val="auto"/>
        </w:rPr>
        <w:t>” means the Joint Venture between the Company and Dai Nippon Printing Co., Ltd.</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Taiwan JV Transactions</w:t>
      </w:r>
      <w:r>
        <w:rPr>
          <w:rFonts w:ascii="Arial" w:cs="Arial" w:eastAsia="Arial" w:hAnsi="Arial"/>
          <w:sz w:val="16"/>
          <w:szCs w:val="16"/>
          <w:color w:val="auto"/>
        </w:rPr>
        <w:t>” means the transactions described in Schedule 6.04 hereto related to the creation and operation of the Taiwan JV.</w:t>
      </w:r>
    </w:p>
    <w:p>
      <w:pPr>
        <w:spacing w:after="0" w:line="273"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 Day</w:t>
      </w:r>
      <w:r>
        <w:rPr>
          <w:rFonts w:ascii="Arial" w:cs="Arial" w:eastAsia="Arial" w:hAnsi="Arial"/>
          <w:sz w:val="18"/>
          <w:szCs w:val="18"/>
          <w:color w:val="auto"/>
        </w:rPr>
        <w:t>” means a day that TARGET2 is open for the settlement of payments in euro.</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has the meaning assigned to such term in Section 6.11(b).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5" w:name="page126"/>
    <w:bookmarkEnd w:id="125"/>
    <w:p>
      <w:pPr>
        <w:jc w:val="both"/>
        <w:ind w:right="20"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xml:space="preserve">” means, at any time, the sum of the outstanding principal amount of all Lenders’ Revolving Loans, their LC Exposure and their Swingline Exposure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clause (a) of the definition of Swingline Exposure shall only be applicable to the extent Lenders shall have funded their respective participations in the outstanding Swingline Loans.</w:t>
      </w:r>
    </w:p>
    <w:p>
      <w:pPr>
        <w:spacing w:after="0" w:line="208"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75"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97" w:lineRule="exact"/>
        <w:rPr>
          <w:sz w:val="20"/>
          <w:szCs w:val="20"/>
          <w:color w:val="auto"/>
        </w:rPr>
      </w:pPr>
    </w:p>
    <w:p>
      <w:pPr>
        <w:jc w:val="both"/>
        <w:ind w:right="20"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2.17(e)(ii)(B)(3).</w:t>
      </w:r>
    </w:p>
    <w:p>
      <w:pPr>
        <w:spacing w:after="0" w:line="250"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8"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Borrowing”).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6" w:name="page127"/>
    <w:bookmarkEnd w:id="126"/>
    <w:p>
      <w:pPr>
        <w:jc w:val="both"/>
        <w:ind w:firstLine="1289"/>
        <w:spacing w:after="0" w:line="284" w:lineRule="auto"/>
        <w:rPr>
          <w:sz w:val="20"/>
          <w:szCs w:val="20"/>
          <w:color w:val="auto"/>
        </w:rPr>
      </w:pPr>
      <w:r>
        <w:rPr>
          <w:rFonts w:ascii="Arial" w:cs="Arial" w:eastAsia="Arial" w:hAnsi="Arial"/>
          <w:sz w:val="16"/>
          <w:szCs w:val="16"/>
          <w:u w:val="single" w:color="auto"/>
          <w:color w:val="auto"/>
        </w:rPr>
        <w:t>SECTION 1.03. 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to any law, rule or regulation herein shall, unless otherwise specified, refer to such law, rule or regulation as amended, modified or supplemented from time to time and (g) the words “asset” and “property” shall be construed to have the same meaning and effect and to refer to any and all tangible and intangible assets and properties, including cash, securities, accounts and contract rights.</w:t>
      </w:r>
    </w:p>
    <w:p>
      <w:pPr>
        <w:spacing w:after="0" w:line="196" w:lineRule="exact"/>
        <w:rPr>
          <w:sz w:val="20"/>
          <w:szCs w:val="20"/>
          <w:color w:val="auto"/>
        </w:rPr>
      </w:pPr>
    </w:p>
    <w:p>
      <w:pPr>
        <w:jc w:val="both"/>
        <w:ind w:firstLine="1289"/>
        <w:spacing w:after="0" w:line="283"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79"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Status of Secured Obligations</w:t>
      </w:r>
      <w:r>
        <w:rPr>
          <w:rFonts w:ascii="Arial" w:cs="Arial" w:eastAsia="Arial" w:hAnsi="Arial"/>
          <w:sz w:val="17"/>
          <w:szCs w:val="17"/>
          <w:color w:val="auto"/>
        </w:rPr>
        <w:t xml:space="preserve">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other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7" w:name="page128"/>
    <w:bookmarkEnd w:id="127"/>
    <w:p>
      <w:pPr>
        <w:jc w:val="both"/>
        <w:ind w:firstLine="1289"/>
        <w:spacing w:after="0" w:line="284"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Amendment and Restatement of the Existing Credit Agreement</w:t>
      </w:r>
      <w:r>
        <w:rPr>
          <w:rFonts w:ascii="Arial" w:cs="Arial" w:eastAsia="Arial" w:hAnsi="Arial"/>
          <w:sz w:val="16"/>
          <w:szCs w:val="16"/>
          <w:color w:val="auto"/>
        </w:rPr>
        <w:t>. The parties to this Agreement agree that, upon (i) the execution and delivery by each of the parties hereto of this Agreement and (ii) satisfaction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All Loans made and Secured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the Existing Letters of Credit which remain outstanding on the Effective Date shall continue as Letters of Credit under (and shall be governed by the terms of) this Agreement, (c) all obligations constituting “Secured Obligations” with any Lender or any Affiliate of any Lender which are outstanding on the Effective Date shall continue as Secured Obligations under this Agreement and the other Loan Documents, (d) the Administrative Agent shall administer such reallocations, sales, assignments or other relevant actions in respect of each Lender’s credit and loan exposure under the Existing Credit Agreement as are necessary in order that each such Lender’s Revolving Credit Exposure and outstanding Revolving Loans hereunder reflect such Lender’s Applicable Percentage of the outstanding aggregate Revolving Credit Exposures on the Effective Date and (e) the Company hereby agrees to compensate each Lender for any and all losses, costs and expenses incurred by such Lender in connection with the sale and assignment of any Eurocurrency Loans (including the “Eurocurrency Loans” under the Existing Credit Agreement) and such reallocation described above, in each case on the terms and in the manner set forth in Section 2.16 hereof.</w:t>
      </w:r>
    </w:p>
    <w:p>
      <w:pPr>
        <w:spacing w:after="0" w:line="196"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Interest Rates</w:t>
      </w:r>
      <w:r>
        <w:rPr>
          <w:rFonts w:ascii="Arial" w:cs="Arial" w:eastAsia="Arial" w:hAnsi="Arial"/>
          <w:sz w:val="18"/>
          <w:szCs w:val="18"/>
          <w:color w:val="auto"/>
        </w:rPr>
        <w:t>. The Administrative Agent does not warrant or accept responsibility for, and shall not have any liability with respect to, the administration, submission or any other matter related to the rates in the definition of “LIBO Rate” or with respect to any comparable or successor rate thereto, or replacement rate therefor.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50" w:lineRule="exact"/>
        <w:rPr>
          <w:sz w:val="20"/>
          <w:szCs w:val="20"/>
          <w:color w:val="auto"/>
        </w:rPr>
      </w:pPr>
    </w:p>
    <w:p>
      <w:pPr>
        <w:jc w:val="both"/>
        <w:ind w:firstLine="1289"/>
        <w:spacing w:after="0" w:line="266"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Commitments</w:t>
      </w:r>
      <w:r>
        <w:rPr>
          <w:rFonts w:ascii="Arial" w:cs="Arial" w:eastAsia="Arial" w:hAnsi="Arial"/>
          <w:sz w:val="17"/>
          <w:szCs w:val="17"/>
          <w:color w:val="auto"/>
        </w:rPr>
        <w:t>. Prior to the Effective Date, certain revolving loans were previously made to the Company under the Existing Credit Agreement which remain outstanding as of the date of this Agreement (such outstanding revolving loans being hereinafter referred to as the “</w:t>
      </w:r>
      <w:r>
        <w:rPr>
          <w:rFonts w:ascii="Arial" w:cs="Arial" w:eastAsia="Arial" w:hAnsi="Arial"/>
          <w:sz w:val="17"/>
          <w:szCs w:val="17"/>
          <w:u w:val="single" w:color="auto"/>
          <w:color w:val="auto"/>
        </w:rPr>
        <w:t>Existing Loans</w:t>
      </w:r>
      <w:r>
        <w:rPr>
          <w:rFonts w:ascii="Arial" w:cs="Arial" w:eastAsia="Arial" w:hAnsi="Arial"/>
          <w:sz w:val="17"/>
          <w:szCs w:val="17"/>
          <w:color w:val="auto"/>
        </w:rPr>
        <w:t>”). Subject to the terms and conditions set forth in this Agreement, the Borrowers and each of the Lenders agree that on the Effective Date but subject to the satisfaction of the conditions precedent set forth in Section 4.01 and the reallocation and other transactions described in Section 1.05, the Existing Loans shall be reevidenced as Revolving Loans under this Agreement and the terms of the Existing Loans shall be restated in their entirety and shall be evidenced by this Agreement. Subject to the terms and conditions set forth herein, each Lender (severally and not jointly) agrees to make Revolving Loans to any Borrower in Agreed Currencies from time to time during the Availability Period in an aggregate principal amount that will not result (after giving effect to any application of proceeds of such Borrowing to any Swingline Loans outstanding pursuant to Section 2.10(a)) in (i) subject to Sections 2.04 and 2.11(b), the Dollar Amount of such Lender’s Revolving Credit Exposure exceeding such Lender’s Commitment, (ii) subject to Sections 2.04 and 2.11(b), the Dollar Amount of the Total Revolving Credit Exposure exceeding the Aggregate Commitment, (iii) subject to Sections 2.04 and 2.11(b), the Dollar Amount of the total outstanding Revolving Loans and LC Exposure, in each case denominated in Foreign Currencies, exceeding the Foreign Currency Sublimit or (iv) subject to Section 2.04, the Dollar Amount of the total outstanding Revolving Loans made to Foreign Subsidiary Borrowers exceeding the Foreign Borrower Sublimit. Within the foregoing limits and subject to the terms and conditions set forth herein, the Borrowers may borrow, prepay and reborrow Revolving Loans.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8" w:name="page129"/>
    <w:bookmarkEnd w:id="128"/>
    <w:p>
      <w:pPr>
        <w:jc w:val="both"/>
        <w:ind w:firstLine="1289"/>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(a) Each Revolving Loan (other than a Swingline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216" w:lineRule="exact"/>
        <w:rPr>
          <w:sz w:val="20"/>
          <w:szCs w:val="20"/>
          <w:color w:val="auto"/>
        </w:rPr>
      </w:pPr>
    </w:p>
    <w:p>
      <w:pPr>
        <w:jc w:val="both"/>
        <w:ind w:firstLine="1296"/>
        <w:spacing w:after="0" w:line="295" w:lineRule="auto"/>
        <w:tabs>
          <w:tab w:leader="none" w:pos="16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Subject to Section 2.14, each Revolving Borrowing shall be comprised entirely of ABR Loans or Eurocurrency Loans as the relevant Borrower may request in accordance herewith; provided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relevant Borrower to repay such Loan in accordance with the terms of this Agreement.</w:t>
      </w:r>
    </w:p>
    <w:p>
      <w:pPr>
        <w:spacing w:after="0" w:line="185" w:lineRule="exact"/>
        <w:rPr>
          <w:rFonts w:ascii="Arial" w:cs="Arial" w:eastAsia="Arial" w:hAnsi="Arial"/>
          <w:sz w:val="16"/>
          <w:szCs w:val="16"/>
          <w:color w:val="auto"/>
        </w:rPr>
      </w:pPr>
    </w:p>
    <w:p>
      <w:pPr>
        <w:jc w:val="both"/>
        <w:ind w:firstLine="1296"/>
        <w:spacing w:after="0" w:line="269" w:lineRule="auto"/>
        <w:tabs>
          <w:tab w:leader="none" w:pos="1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Eurocurrency Revolving Borrowing, such Borrowing shall be in an aggregate amount that is an integral multiple of $500,000 (or, if such Borrowing is denominated in a Foreign Currency, 500,000 units of such currency) and not less than $3,000,000 (or, if such Borrowing is denominated in a Foreign Currency 3,000,000 units of such currency). At the time that each ABR Revolving Borrowing is made, such Borrowing shall be in an aggregate amount that is an integral multiple of $100,000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Revolving Borrowing may be in an aggregate amount that is equal to the entire unused balance of the Aggregate Commitment or that is required to finance the reimbursement of an LC Disbursement as contemplated by Section 2.06(e). Each Swingline Loan shall be in an amount that is an integral multiple of $100,000 and not less than $1,000,000.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ten (10) Eurocurrency Revolving Borrowings outstanding.</w:t>
      </w:r>
    </w:p>
    <w:p>
      <w:pPr>
        <w:spacing w:after="0" w:line="207" w:lineRule="exact"/>
        <w:rPr>
          <w:rFonts w:ascii="Arial" w:cs="Arial" w:eastAsia="Arial" w:hAnsi="Arial"/>
          <w:sz w:val="17"/>
          <w:szCs w:val="17"/>
          <w:color w:val="auto"/>
        </w:rPr>
      </w:pPr>
    </w:p>
    <w:p>
      <w:pPr>
        <w:ind w:firstLine="1296"/>
        <w:spacing w:after="0" w:line="275" w:lineRule="auto"/>
        <w:tabs>
          <w:tab w:leader="none" w:pos="160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29" w:name="page130"/>
    <w:bookmarkEnd w:id="129"/>
    <w:p>
      <w:pPr>
        <w:jc w:val="both"/>
        <w:ind w:firstLine="1289"/>
        <w:spacing w:after="0" w:line="26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To request a Revolving Borrowing, the applicable Borrower, or the Company on behalf of the applicable Borrower, shall notify the Administrative Agent of such request (a) by irrevocable written notice (via a written Borrowing Request signed by the Company (on its own behalf or, as applicable, on behalf of a Foreign Subsidiary Borrower)) in the case of a Eurocurrency Borrowing, not later than 11:00 a.m., Local Time, three (3) Business Days (in the case of a Eurocurrency Borrowing denominated in Dollars) or by irrevocable written notice (via a written Borrowing Request signed by the Company (on its own behalf or, as applicable, on behalf of a Foreign Subsidiary Borrower)) not later than 11:00 a.m., Local Time, four (4) Business Days (in the case of a Eurocurrency Borrowing denominated in a Foreign Currency), in each case before the date of the proposed Borrowing or (b) by irrevocable written notice (via a written Borrowing Request signed by the Company (on its own behalf or, as applicable, on behalf of a Foreign Subsidiary Borrower)) in the case of an ABR Borrowing, not later than 11:00 a.m., New York City time, on the date of the proposed Borrowing. Each such Borrowing Request shall specify the following information in compliance with Section 2.02:</w:t>
      </w:r>
    </w:p>
    <w:p>
      <w:pPr>
        <w:spacing w:after="0" w:line="211" w:lineRule="exact"/>
        <w:rPr>
          <w:sz w:val="20"/>
          <w:szCs w:val="20"/>
          <w:color w:val="auto"/>
        </w:rPr>
      </w:pPr>
    </w:p>
    <w:p>
      <w:pPr>
        <w:ind w:left="1560" w:hanging="264"/>
        <w:spacing w:after="0"/>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of the applicable Borrower;</w:t>
      </w:r>
    </w:p>
    <w:p>
      <w:pPr>
        <w:spacing w:after="0" w:line="249" w:lineRule="exact"/>
        <w:rPr>
          <w:rFonts w:ascii="Arial" w:cs="Arial" w:eastAsia="Arial" w:hAnsi="Arial"/>
          <w:sz w:val="18"/>
          <w:szCs w:val="18"/>
          <w:color w:val="auto"/>
        </w:rPr>
      </w:pPr>
    </w:p>
    <w:p>
      <w:pPr>
        <w:ind w:left="1600" w:hanging="304"/>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principal amount of the requested Borrowing;</w:t>
      </w:r>
    </w:p>
    <w:p>
      <w:pPr>
        <w:spacing w:after="0" w:line="249" w:lineRule="exact"/>
        <w:rPr>
          <w:rFonts w:ascii="Arial" w:cs="Arial" w:eastAsia="Arial" w:hAnsi="Arial"/>
          <w:sz w:val="18"/>
          <w:szCs w:val="18"/>
          <w:color w:val="auto"/>
        </w:rPr>
      </w:pPr>
    </w:p>
    <w:p>
      <w:pPr>
        <w:ind w:left="1660" w:hanging="364"/>
        <w:spacing w:after="0"/>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49" w:lineRule="exact"/>
        <w:rPr>
          <w:rFonts w:ascii="Arial" w:cs="Arial" w:eastAsia="Arial" w:hAnsi="Arial"/>
          <w:sz w:val="18"/>
          <w:szCs w:val="18"/>
          <w:color w:val="auto"/>
        </w:rPr>
      </w:pPr>
    </w:p>
    <w:p>
      <w:pPr>
        <w:ind w:left="1640" w:hanging="344"/>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Eurocurrency Borrowing;</w:t>
      </w:r>
    </w:p>
    <w:p>
      <w:pPr>
        <w:spacing w:after="0" w:line="249" w:lineRule="exact"/>
        <w:rPr>
          <w:rFonts w:ascii="Arial" w:cs="Arial" w:eastAsia="Arial" w:hAnsi="Arial"/>
          <w:sz w:val="18"/>
          <w:szCs w:val="18"/>
          <w:color w:val="auto"/>
        </w:rPr>
      </w:pPr>
    </w:p>
    <w:p>
      <w:pPr>
        <w:ind w:left="660" w:firstLine="636"/>
        <w:spacing w:after="0" w:line="275" w:lineRule="auto"/>
        <w:tabs>
          <w:tab w:leader="none" w:pos="16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 Eurocurrency Borrowing, the Agreed Currency and initial Interest Period to be applicable thereto, which shall be a period contemplated by the definition of the term “Interest Period”; and</w:t>
      </w:r>
    </w:p>
    <w:p>
      <w:pPr>
        <w:spacing w:after="0" w:line="197" w:lineRule="exact"/>
        <w:rPr>
          <w:rFonts w:ascii="Arial" w:cs="Arial" w:eastAsia="Arial" w:hAnsi="Arial"/>
          <w:sz w:val="18"/>
          <w:szCs w:val="18"/>
          <w:color w:val="auto"/>
        </w:rPr>
      </w:pPr>
    </w:p>
    <w:p>
      <w:pPr>
        <w:ind w:left="660" w:firstLine="636"/>
        <w:spacing w:after="0" w:line="275" w:lineRule="auto"/>
        <w:tabs>
          <w:tab w:leader="none" w:pos="17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 which shall comply with the requirements of Section 2.07.</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 election as to the Type of Revolving Borrowing is specified, then, in the case of a Borrowing denominated in Dollars, the requested Revolving Borrowing shall be an ABR Borrowing. If no Interest Period is specified with respect to any requested Eurocurrency Revolving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250" w:lineRule="exact"/>
        <w:rPr>
          <w:sz w:val="20"/>
          <w:szCs w:val="20"/>
          <w:color w:val="auto"/>
        </w:rPr>
      </w:pPr>
    </w:p>
    <w:p>
      <w:pPr>
        <w:ind w:right="20" w:firstLine="1296"/>
        <w:spacing w:after="0" w:line="275" w:lineRule="auto"/>
        <w:tabs>
          <w:tab w:leader="none" w:pos="16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Eurocurrency Borrowing as of the date three (3) Business Days prior to the date of such Borrowing or, if applicable, the date of conversion/continuation of any Borrowing as a Eurocurrency Borrowing,</w:t>
      </w:r>
    </w:p>
    <w:p>
      <w:pPr>
        <w:spacing w:after="0" w:line="197" w:lineRule="exact"/>
        <w:rPr>
          <w:rFonts w:ascii="Arial" w:cs="Arial" w:eastAsia="Arial" w:hAnsi="Arial"/>
          <w:sz w:val="18"/>
          <w:szCs w:val="18"/>
          <w:color w:val="auto"/>
        </w:rPr>
      </w:pPr>
    </w:p>
    <w:p>
      <w:pPr>
        <w:ind w:left="1600" w:hanging="304"/>
        <w:spacing w:after="0"/>
        <w:tabs>
          <w:tab w:leader="none" w:pos="1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LC Exposure as of the date of each request for the issuance, amendment, renewal or extension of any Letter of Credit, and</w:t>
      </w:r>
    </w:p>
    <w:p>
      <w:pPr>
        <w:spacing w:after="0" w:line="261" w:lineRule="exact"/>
        <w:rPr>
          <w:rFonts w:ascii="Arial" w:cs="Arial" w:eastAsia="Arial" w:hAnsi="Arial"/>
          <w:sz w:val="17"/>
          <w:szCs w:val="17"/>
          <w:color w:val="auto"/>
        </w:rPr>
      </w:pPr>
    </w:p>
    <w:p>
      <w:pPr>
        <w:ind w:firstLine="1296"/>
        <w:spacing w:after="0" w:line="305" w:lineRule="auto"/>
        <w:tabs>
          <w:tab w:leader="none" w:pos="1606"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outstanding Credit Events on and as of the last Business Day of each calendar quarter and, during the continuation of an Event of Default, on any other Business Day elected by the Administrative Agent in its discretion or upon instruction by the Required Lenders.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0" w:name="page131"/>
    <w:bookmarkEnd w:id="130"/>
    <w:p>
      <w:pPr>
        <w:jc w:val="both"/>
        <w:ind w:firstLine="1289"/>
        <w:spacing w:after="0" w:line="29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Swingline Loans</w:t>
      </w:r>
      <w:r>
        <w:rPr>
          <w:rFonts w:ascii="Arial" w:cs="Arial" w:eastAsia="Arial" w:hAnsi="Arial"/>
          <w:sz w:val="16"/>
          <w:szCs w:val="16"/>
          <w:color w:val="auto"/>
        </w:rPr>
        <w:t xml:space="preserve">. (a) Subject to the terms and conditions set forth herein, the Swingline Lender may in its sole discretion make Swingline Loans in Dollars to the Company from time to time during the Availability Period, in an aggregate principal amount at any time outstanding that will not result in (i) the aggregate principal amount of outstanding Swingline Loans exceeding the Swingline Sublimit, (ii) the Swingline Lender’s Revolving Credit Exposure exceeding its Commitment or (iii) the Dollar Amount of the Total Revolving Credit Exposure exceeding the Aggregate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Company may borrow, prepay and reborrow Swingline Loans.</w:t>
      </w:r>
    </w:p>
    <w:p>
      <w:pPr>
        <w:spacing w:after="0" w:line="188" w:lineRule="exact"/>
        <w:rPr>
          <w:sz w:val="20"/>
          <w:szCs w:val="20"/>
          <w:color w:val="auto"/>
        </w:rPr>
      </w:pPr>
    </w:p>
    <w:p>
      <w:pPr>
        <w:jc w:val="both"/>
        <w:ind w:firstLine="1296"/>
        <w:spacing w:after="0" w:line="290" w:lineRule="auto"/>
        <w:tabs>
          <w:tab w:leader="none" w:pos="16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request a Swingline Loan, the Company shall notify the Administrative Agent of such request by irrevocable written notice (via a written Borrowing Request in a form approved by the Administrative Agent and signed by the Company), not later than 12:00 noon,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Company. The Swingline Lender shall make each Swingline Loan available to the Company by means of a credit to the general deposit account of the Company with the Administrative Agent designated for such purpose (or, in the case of a Swingline Loan made to finance the reimbursement of an LC Disbursement as provided in Section 2.06(e), by remittance to such Issuing Bank) by 3:00 p.m., New York City time, on the requested date of such Swingline Loan.</w:t>
      </w:r>
    </w:p>
    <w:p>
      <w:pPr>
        <w:spacing w:after="0" w:line="189" w:lineRule="exact"/>
        <w:rPr>
          <w:rFonts w:ascii="Arial" w:cs="Arial" w:eastAsia="Arial" w:hAnsi="Arial"/>
          <w:sz w:val="16"/>
          <w:szCs w:val="16"/>
          <w:color w:val="auto"/>
        </w:rPr>
      </w:pPr>
    </w:p>
    <w:p>
      <w:pPr>
        <w:jc w:val="both"/>
        <w:ind w:firstLine="1296"/>
        <w:spacing w:after="0" w:line="282" w:lineRule="auto"/>
        <w:tabs>
          <w:tab w:leader="none" w:pos="159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Swingline Lender may by written notice given to the Administrative Agent require the Lenders to acquire participations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hereby absolutely and unconditionally agrees, upon receipt of notice as provided above, to pay to the Administrative Agent, for the account of the Swingline Lender, such Lender’s Applicable Percentage of such Swingline Loan or Loans. Notwithstanding the foregoing, upon the occurrence of (i) the Maturity Date, (ii) any Event of Default described in clause (h), (i) or (j) of </w:t>
      </w:r>
      <w:r>
        <w:rPr>
          <w:rFonts w:ascii="Arial" w:cs="Arial" w:eastAsia="Arial" w:hAnsi="Arial"/>
          <w:sz w:val="16"/>
          <w:szCs w:val="16"/>
          <w:u w:val="single" w:color="auto"/>
          <w:color w:val="auto"/>
        </w:rPr>
        <w:t>Article VII</w:t>
      </w:r>
      <w:r>
        <w:rPr>
          <w:rFonts w:ascii="Arial" w:cs="Arial" w:eastAsia="Arial" w:hAnsi="Arial"/>
          <w:sz w:val="16"/>
          <w:szCs w:val="16"/>
          <w:color w:val="auto"/>
        </w:rPr>
        <w:t>, (iii) the date on which the Loans are accelerated, or (iv) the termination of the Commitments, each Lender shall be deemed to absolutely and unconditionally acquire participations in all of the Swingline Loans outstanding at such time in an amount equal to its Applicable Percentage of such Swingline Loans in each case without notice or any further action from the Swingline Lender, any Lender or the Administrative Agent (such occurrence an “</w:t>
      </w:r>
      <w:r>
        <w:rPr>
          <w:rFonts w:ascii="Arial" w:cs="Arial" w:eastAsia="Arial" w:hAnsi="Arial"/>
          <w:sz w:val="16"/>
          <w:szCs w:val="16"/>
          <w:u w:val="single" w:color="auto"/>
          <w:color w:val="auto"/>
        </w:rPr>
        <w:t>Automatic Participation Event</w:t>
      </w:r>
      <w:r>
        <w:rPr>
          <w:rFonts w:ascii="Arial" w:cs="Arial" w:eastAsia="Arial" w:hAnsi="Arial"/>
          <w:sz w:val="16"/>
          <w:szCs w:val="16"/>
          <w:color w:val="auto"/>
        </w:rPr>
        <w:t xml:space="preserve">”). Upon the occurrence of an Automatic Participation Event,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1" w:name="page132"/>
    <w:bookmarkEnd w:id="131"/>
    <w:p>
      <w:pPr>
        <w:jc w:val="both"/>
        <w:ind w:firstLine="1296"/>
        <w:spacing w:after="0" w:line="268" w:lineRule="auto"/>
        <w:tabs>
          <w:tab w:leader="none" w:pos="160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Swingline Lender may be replaced at any time by written agreement among the Company, the Administrative Agent, the replaced Swingline Lender and the successor Swingline Lender. The Administrative Agent shall notify the Lenders of any such replacement of the Swingline Lender. At the time any such replacement shall become effective, the Company shall pay all unpaid interest accrued for the account of the replaced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210" w:lineRule="exact"/>
        <w:rPr>
          <w:rFonts w:ascii="Arial" w:cs="Arial" w:eastAsia="Arial" w:hAnsi="Arial"/>
          <w:sz w:val="17"/>
          <w:szCs w:val="17"/>
          <w:color w:val="auto"/>
        </w:rPr>
      </w:pPr>
    </w:p>
    <w:p>
      <w:pPr>
        <w:jc w:val="both"/>
        <w:ind w:firstLine="1296"/>
        <w:spacing w:after="0" w:line="262" w:lineRule="auto"/>
        <w:tabs>
          <w:tab w:leader="none" w:pos="15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Swingline Lender, the Swingline Lender may resign as a Swingline Lender at any time upon thirty (30) days’ prior written notice to the Administrative Agent, the Company and the Lenders, in which case, such Swingline Lender shall be replaced in accordance with Section 2.05(d) above.</w:t>
      </w:r>
    </w:p>
    <w:p>
      <w:pPr>
        <w:spacing w:after="0" w:line="208" w:lineRule="exact"/>
        <w:rPr>
          <w:sz w:val="20"/>
          <w:szCs w:val="20"/>
          <w:color w:val="auto"/>
        </w:rPr>
      </w:pPr>
    </w:p>
    <w:p>
      <w:pPr>
        <w:jc w:val="both"/>
        <w:ind w:firstLine="1289"/>
        <w:spacing w:after="0" w:line="283"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the Company may request the issuance of Letters of Credit denominated in Agreed Currencies for the support of its or its Subsidiaries’ obligations, in a form reasonably acceptable to the Administrative Agent and the relevant Issuing Bank, at any time and from time to time during the Availability Period, and such Issuing Bank may agree, but shall have no obligation, to issue such Letters of Credit. In the event of any inconsistency between the terms and conditions of this Agreement and the terms and conditions of any Letter of Credit Agreement, the terms and conditions of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such Issuing Bank is requested to issue Letters of Credit with respect to a jurisdiction the relevant Issuing Bank deems, in its reasonable judgment, may at any time subject it to a New Money Credit Event or a Country Risk Event, the Company shall, at the request of an Issuing Bank, guaranty and indemnify the requesting Issuing Bank against any and all costs, liabilities and losses resulting from such New Money Credit Event or Country Risk Event, in each case in a form and substance reasonably satisfactory to the relevant Issuing Bank. The letters of credit identified on Schedule 2.06 (the “</w:t>
      </w: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shall be deemed to be “Letters of Credit” issued on the Effective Date for all purposes of the Loan Documents. Notwithstanding anything herein to the contrary, no Issuing Bank shall have any obligation hereunder to issue, and shall not issue, any Letter of Credit 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result in a violation of one or more policies of such Issuing Bank applicable to letters of credit generally. The Company unconditionally and irrevocably agrees that, in connection with any Letter of Credit issued for the support of any Subsidiary’s obligations as provided in the first sentence of this paragraph, the Company will be fully responsible for the reimbursement of LC Disbursements in accordance with the terms hereof, the payment of interest thereon and the payment of fees due under Section 2.12(b) to the same extent as if it were the sole account party in respect of such Letter of Credit (the Company hereby irrevocably waiving any defenses that might otherwise be available to it as a guarantor or surety of the obligations of such a Subsidiary that is an account party in respect of any such Letter of Credit).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2" w:name="page133"/>
    <w:bookmarkEnd w:id="132"/>
    <w:p>
      <w:pPr>
        <w:jc w:val="both"/>
        <w:ind w:firstLine="1296"/>
        <w:spacing w:after="0" w:line="283" w:lineRule="auto"/>
        <w:tabs>
          <w:tab w:leader="none" w:pos="165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relevant Issuing Bank) to an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relevant Issuing Bank and using such Issuing Bank’s standard form (each, a “</w:t>
      </w:r>
      <w:r>
        <w:rPr>
          <w:rFonts w:ascii="Arial" w:cs="Arial" w:eastAsia="Arial" w:hAnsi="Arial"/>
          <w:sz w:val="16"/>
          <w:szCs w:val="16"/>
          <w:u w:val="single" w:color="auto"/>
          <w:color w:val="auto"/>
        </w:rPr>
        <w:t>Letter of Credit Agreement</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Company shall be deemed to represent and warrant that), after giving effect to such issuance, amendment, renewal or extension, subject to Sections 2.04 and 2.11(b), (i) the Dollar Amount of the LC Exposure shall not exceed $15,000,000, (ii) the sum of (x) the aggregate undrawn amount of all outstanding Letters of Credit issued by any Issuing Bank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all LC Disbursements made by such Issuing Bank that have not yet been reimbursed by or on behalf of the Company at such time shall not exceed such Issuing Bank’s Letter of Credit Commitment, (iii) the Dollar Amount of the Total Revolving Credit Exposure shall not exceed the Aggregate Commitment, (iv) the Dollar Amount of each Lender’s Revolving Credit Exposure shall not exceed such Lender’s Commitment and (v) the Dollar Amount of the total outstanding Revolving Loans and LC Exposure, in each case denominated in Foreign Currencies, shall not exceed the Foreign Currency Sublimit. The Company may, at any time and from time to time, reduce the Letter of Credit Commitment of any Issuing Bank with the consent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reduce the Letter of Credit Commitment of any Issuing Bank if, after giving effect of such reduction, the conditions set forth in the immediately preceding clauses (i) through (v) shall not be satisfied.</w:t>
      </w:r>
    </w:p>
    <w:p>
      <w:pPr>
        <w:spacing w:after="0" w:line="199" w:lineRule="exact"/>
        <w:rPr>
          <w:rFonts w:ascii="Arial" w:cs="Arial" w:eastAsia="Arial" w:hAnsi="Arial"/>
          <w:sz w:val="16"/>
          <w:szCs w:val="16"/>
          <w:color w:val="auto"/>
        </w:rPr>
      </w:pPr>
    </w:p>
    <w:p>
      <w:pPr>
        <w:jc w:val="both"/>
        <w:ind w:firstLine="1296"/>
        <w:spacing w:after="0" w:line="309" w:lineRule="auto"/>
        <w:tabs>
          <w:tab w:leader="none" w:pos="163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Letter of Credit shall expire (or be subject to termination by notice from the relevant Issuing Bank to the beneficiary thereof)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w:t>
      </w:r>
    </w:p>
    <w:p>
      <w:pPr>
        <w:spacing w:after="0" w:line="175" w:lineRule="exact"/>
        <w:rPr>
          <w:rFonts w:ascii="Arial" w:cs="Arial" w:eastAsia="Arial" w:hAnsi="Arial"/>
          <w:sz w:val="16"/>
          <w:szCs w:val="16"/>
          <w:color w:val="auto"/>
        </w:rPr>
      </w:pPr>
    </w:p>
    <w:p>
      <w:pPr>
        <w:jc w:val="both"/>
        <w:ind w:firstLine="1296"/>
        <w:spacing w:after="0" w:line="268" w:lineRule="auto"/>
        <w:tabs>
          <w:tab w:leader="none" w:pos="158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3" w:name="page134"/>
    <w:bookmarkEnd w:id="133"/>
    <w:p>
      <w:pPr>
        <w:jc w:val="both"/>
        <w:ind w:firstLine="1296"/>
        <w:spacing w:after="0" w:line="282" w:lineRule="auto"/>
        <w:tabs>
          <w:tab w:leader="none" w:pos="160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xml:space="preserve">. If any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an Issuing Bank shall so elect in its sole discretion by notice to the Company, in such other Agreed Currency which was paid by such Issuing Bank pursuant to such LC Disbursement in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(i) the Business Day that the Company receives such notice, if such notice is received prior to 10:00 a.m., Local Time, on the day of receipt, or (ii) the Business Day immediately following the day that the Company receives such notice, if such notice is not received prior to such time on the day of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subject to the conditions to borrowing set forth herein, request in accordance with Section 2.03 or 2.05 that such payment be financed with (i) to the extent such LC Disbursement was made in Dollars, an ABR Revolving Borrowing, Eurocurrency Revolving Borrowing or Swingline Loan in Dollars in an amount equal to such LC Disbursement or (ii) to the extent that such LC Disbursement was made in a Foreign Currency, a Eurocurrency Revolving Borrowing in such Foreign Currency in an amount equal to such LC Disbursement and, in each case, to the extent so financed, the Company’s obligation to make such payment shall be discharged and replaced by the resulting ABR Revolving Borrowing, Eurocurrency Revolving Borrowing or Swingline Loan, as applicable. If the Company fails to make such payment when due, the Administrative Agent shall notify each Lender of the applicable LC Disbursement, the payment then due from the Company in respect thereof and such Lender’s Applicable Percentage thereof. Promptly following receipt of such notice, each Lender shall pay to the Administrative Agent its Applicable Percentage of the payment then due from the Company, in the same manner as provided in Section 2.07 with respect to Loans made by such Lender (and Section 2.07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relevant Issuing Bank the amounts so received by it from the Lenders. Promptly following receipt by the Administrative Agent of any payment from the Company pursuant to this paragraph, the Administrative Agent shall distribute such payment to the relevant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4" w:name="page135"/>
    <w:bookmarkEnd w:id="134"/>
    <w:p>
      <w:pPr>
        <w:jc w:val="both"/>
        <w:ind w:firstLine="1296"/>
        <w:spacing w:after="0" w:line="283" w:lineRule="auto"/>
        <w:tabs>
          <w:tab w:leader="none" w:pos="157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7" w:lineRule="exact"/>
        <w:rPr>
          <w:rFonts w:ascii="Arial" w:cs="Arial" w:eastAsia="Arial" w:hAnsi="Arial"/>
          <w:sz w:val="16"/>
          <w:szCs w:val="16"/>
          <w:color w:val="auto"/>
        </w:rPr>
      </w:pPr>
    </w:p>
    <w:p>
      <w:pPr>
        <w:jc w:val="both"/>
        <w:ind w:firstLine="1296"/>
        <w:spacing w:after="0" w:line="255" w:lineRule="auto"/>
        <w:tabs>
          <w:tab w:leader="none" w:pos="165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Company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Company of its obligation to reimburse such Issuing Bank and the Lenders with respect to any such LC Disbursement.</w:t>
      </w:r>
    </w:p>
    <w:p>
      <w:pPr>
        <w:spacing w:after="0" w:line="216" w:lineRule="exact"/>
        <w:rPr>
          <w:rFonts w:ascii="Arial" w:cs="Arial" w:eastAsia="Arial" w:hAnsi="Arial"/>
          <w:sz w:val="18"/>
          <w:szCs w:val="18"/>
          <w:color w:val="auto"/>
        </w:rPr>
      </w:pPr>
    </w:p>
    <w:p>
      <w:pPr>
        <w:jc w:val="both"/>
        <w:ind w:firstLine="1296"/>
        <w:spacing w:after="0" w:line="269" w:lineRule="auto"/>
        <w:tabs>
          <w:tab w:leader="none" w:pos="168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at the Overnight Foreign Currency Rate for such Agreed Currency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then effective Applicable Rate with respect to Eurocurrency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fails to reimburse such LC Disbursement when due pursuant to paragraph (e) of this Section, then Section 2.13(c)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5" w:name="page136"/>
    <w:bookmarkEnd w:id="135"/>
    <w:p>
      <w:pPr>
        <w:jc w:val="both"/>
        <w:ind w:firstLine="1296"/>
        <w:spacing w:after="0" w:line="268" w:lineRule="auto"/>
        <w:tabs>
          <w:tab w:leader="none" w:pos="157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Replacement of an Issuing Bank</w:t>
      </w:r>
      <w:r>
        <w:rPr>
          <w:rFonts w:ascii="Arial" w:cs="Arial" w:eastAsia="Arial" w:hAnsi="Arial"/>
          <w:sz w:val="17"/>
          <w:szCs w:val="17"/>
          <w:color w:val="auto"/>
        </w:rPr>
        <w:t>. (A) Any Issuing Bank may be replaced at any time by written agreement among the Company, the Administrative Agent, the replaced Issuing Bank and the successor Issuing Bank. The Administrative Agent shall notify the Lenders of any such replacement of an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210" w:lineRule="exact"/>
        <w:rPr>
          <w:rFonts w:ascii="Arial" w:cs="Arial" w:eastAsia="Arial" w:hAnsi="Arial"/>
          <w:sz w:val="17"/>
          <w:szCs w:val="17"/>
          <w:color w:val="auto"/>
        </w:rPr>
      </w:pPr>
    </w:p>
    <w:p>
      <w:pPr>
        <w:jc w:val="both"/>
        <w:ind w:firstLine="1941"/>
        <w:spacing w:after="0" w:line="262" w:lineRule="auto"/>
        <w:tabs>
          <w:tab w:leader="none" w:pos="22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days’ prior written notice to the Administrative Agent, the Company and the Lenders, in which case, such Issuing Bank shall be replaced in accordance with Section 2.06(i)(A) above.</w:t>
      </w:r>
    </w:p>
    <w:p>
      <w:pPr>
        <w:spacing w:after="0" w:line="208" w:lineRule="exact"/>
        <w:rPr>
          <w:rFonts w:ascii="Arial" w:cs="Arial" w:eastAsia="Arial" w:hAnsi="Arial"/>
          <w:sz w:val="18"/>
          <w:szCs w:val="18"/>
          <w:color w:val="auto"/>
        </w:rPr>
      </w:pPr>
    </w:p>
    <w:p>
      <w:pPr>
        <w:jc w:val="both"/>
        <w:ind w:firstLine="1296"/>
        <w:spacing w:after="0" w:line="283" w:lineRule="auto"/>
        <w:tabs>
          <w:tab w:leader="none" w:pos="157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from two (2) or more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the Dollar Amount of the LC Exposure as of such date plus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w:t>
      </w:r>
      <w:r>
        <w:rPr>
          <w:rFonts w:ascii="Arial" w:cs="Arial" w:eastAsia="Arial" w:hAnsi="Arial"/>
          <w:sz w:val="16"/>
          <w:szCs w:val="16"/>
          <w:u w:val="single" w:color="auto"/>
          <w:color w:val="auto"/>
        </w:rPr>
        <w:t>Article VII</w:t>
      </w:r>
      <w:r>
        <w:rPr>
          <w:rFonts w:ascii="Arial" w:cs="Arial" w:eastAsia="Arial" w:hAnsi="Arial"/>
          <w:sz w:val="16"/>
          <w:szCs w:val="16"/>
          <w:color w:val="auto"/>
        </w:rPr>
        <w:t>.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Secured Obligations.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and, to the extent not so applied, shall be held for the satisfaction of the reimbursement obligations of the Company for the LC Exposure at such time or, if the maturity of the Loans has been accelerated (but subject to the consent of Lenders with LC Exposure representing greater than 50% of the total LC Exposure), be applied to satisfy other Secured Obligations.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6" w:name="page137"/>
    <w:bookmarkEnd w:id="136"/>
    <w:p>
      <w:pPr>
        <w:jc w:val="both"/>
        <w:ind w:firstLine="1296"/>
        <w:spacing w:after="0" w:line="283" w:lineRule="auto"/>
        <w:tabs>
          <w:tab w:leader="none" w:pos="1601"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In the event that the Loans become immediately due and payable on any date pursuant to Article VII, all amounts (i) that the Company is at the time or thereafter becomes required to reimburse or otherwise pay to the Administrative Agent in respect of LC Disbursements made under any Foreign Currency Letter of Credit (other than amounts in respect of which the Company has deposited cash collateral pursuant to paragraph (j) above, if such cash collateral was deposited in the applicable Foreign Currency to the extent so deposited or applied), (ii) that the Lenders are at the time or thereafter become required to pay to the Administrative Agent and the Administrative Agent is at the time or thereafter becomes required to distribute to an Issuing Bank pursuant to paragraph (e) of this Section in respect of unreimbursed LC Disbursements made under any Foreign Currency Letter of Credit and</w:t>
      </w:r>
    </w:p>
    <w:p>
      <w:pPr>
        <w:spacing w:after="0" w:line="1" w:lineRule="exact"/>
        <w:rPr>
          <w:rFonts w:ascii="Arial" w:cs="Arial" w:eastAsia="Arial" w:hAnsi="Arial"/>
          <w:sz w:val="16"/>
          <w:szCs w:val="16"/>
          <w:color w:val="auto"/>
        </w:rPr>
      </w:pPr>
    </w:p>
    <w:p>
      <w:pPr>
        <w:jc w:val="both"/>
        <w:ind w:firstLine="7"/>
        <w:spacing w:after="0" w:line="251" w:lineRule="auto"/>
        <w:tabs>
          <w:tab w:leader="none" w:pos="3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each Lender’s participation in any Foreign Currency Letter of Credit under which an LC Disbursement has been made shall, automatically and with no further action required, be converted into the Dollar Amount, calculated using the Administrative Agent’s currency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Dollars at the rates otherwise applicable hereunder.</w:t>
      </w:r>
    </w:p>
    <w:p>
      <w:pPr>
        <w:spacing w:after="0" w:line="218" w:lineRule="exact"/>
        <w:rPr>
          <w:rFonts w:ascii="Arial" w:cs="Arial" w:eastAsia="Arial" w:hAnsi="Arial"/>
          <w:sz w:val="18"/>
          <w:szCs w:val="18"/>
          <w:color w:val="auto"/>
        </w:rPr>
      </w:pPr>
    </w:p>
    <w:p>
      <w:pPr>
        <w:jc w:val="both"/>
        <w:ind w:firstLine="1296"/>
        <w:spacing w:after="0" w:line="267" w:lineRule="auto"/>
        <w:tabs>
          <w:tab w:leader="none" w:pos="1561"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Issuing Bank Agreements</w:t>
      </w:r>
      <w:r>
        <w:rPr>
          <w:rFonts w:ascii="Arial" w:cs="Arial" w:eastAsia="Arial" w:hAnsi="Arial"/>
          <w:sz w:val="17"/>
          <w:szCs w:val="17"/>
          <w:color w:val="auto"/>
        </w:rPr>
        <w:t>. Each Issuing Bank agrees that, unless otherwise requested by the Administrative Agent, such Issuing Bank shall report in writing to the Administrative Agent (i) on the first Business Day of each week, the daily activity (set forth by day) in respect of its Letters of Credit during the immediately preceding week, including all issuances, extensions, amendments and renewals, all expirations and cancellations and all disbursements and reimbursements (it being understood and agreed that no such reports shall be required at any time during which such Issuing Bank does not have Letters of Credit outstanding hereunder), (ii) on or prior to each Business Day on which such Issuing Bank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(iii) on each Business Day on which such Issuing Bank makes any LC Disbursement, the date of such LC Disbursement and the amount of such LC Disbursement, (iv) on any Business Day on which the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w:t>
      </w:r>
    </w:p>
    <w:p>
      <w:pPr>
        <w:spacing w:after="0" w:line="213" w:lineRule="exact"/>
        <w:rPr>
          <w:sz w:val="20"/>
          <w:szCs w:val="20"/>
          <w:color w:val="auto"/>
        </w:rPr>
      </w:pPr>
    </w:p>
    <w:p>
      <w:pPr>
        <w:jc w:val="both"/>
        <w:ind w:firstLine="1289"/>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xml:space="preserve">. (a) 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2.05. Except in respect of the provisions of this Agreement covering the reimbursement of Letters of Credit, the Administrative Agent will make such Loans available to the relevant Borrower by promptly crediting the funds so received in the aforesaid account of the Administrative Agent to (x) an account of such Borrower maintained with the Administrative Agent in New York City and designated by the relevant Borrower in the applicable Borrowing Request, in the case of Loans denominated in Dollars and (y) an account of such Borrower maintained with the Administrative Agent in the relevant jurisdiction and designated by such Borrower in the applicable Borrowing Request, in the case of Loans denominated in a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an LC Disbursement as provided in Section 2.06(e) shall be remitted by the Administrative Agent to the relevant Issuing Bank.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7" w:name="page138"/>
    <w:bookmarkEnd w:id="137"/>
    <w:p>
      <w:pPr>
        <w:jc w:val="both"/>
        <w:ind w:firstLine="1296"/>
        <w:spacing w:after="0" w:line="267" w:lineRule="auto"/>
        <w:tabs>
          <w:tab w:leader="none" w:pos="1592"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NYFRB Rate and a rate determined by the Administrative Agent in accordance with banking industry rules on interbank compensation (including without limitation the Overnight Foreign Currency Rate in the case of Loans denominated in a Foreign Currency) or (ii) in the case of such Borrower, the interest rate applicable to ABR Loans. If such Lender pays such amount to the Administrative Agent, then such amount shall constitute such Lender’s Loan included in such Borrowing.</w:t>
      </w:r>
    </w:p>
    <w:p>
      <w:pPr>
        <w:spacing w:after="0" w:line="213"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specified in the applicable Borrowing Request and, in the case of a Eurocurrency Borrowing, shall have an initial Interest Period as specified in such Borrowing Request. Thereafter, the relevant Borrower may elect to convert such Borrowing to a different Type or to continue such Borrowing and, in the case of a Eurocurrency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88" w:lineRule="exact"/>
        <w:rPr>
          <w:sz w:val="20"/>
          <w:szCs w:val="20"/>
          <w:color w:val="auto"/>
        </w:rPr>
      </w:pPr>
    </w:p>
    <w:p>
      <w:pPr>
        <w:jc w:val="both"/>
        <w:ind w:firstLine="1296"/>
        <w:spacing w:after="0" w:line="254" w:lineRule="auto"/>
        <w:tabs>
          <w:tab w:leader="none" w:pos="16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make an election pursuant to this Section, a Borrower, or the Company on its behalf, shall notify the Administrative Agent of such election (by irrevocable written notice (via an Interest Election Request signed by such Borrower or the Company, as applicable)) by the time that a Borrowing Request would be required under Section 2.03 if such Borrower were requesting a Revolving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Eurocurrency Loans that does not comply with Section 2.02(d) or (iii) convert any Borrowing to a Borrowing of a Type not available under such Borrowing.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8" w:name="page139"/>
    <w:bookmarkEnd w:id="138"/>
    <w:p>
      <w:pPr>
        <w:ind w:left="1300"/>
        <w:spacing w:after="0"/>
        <w:rPr>
          <w:sz w:val="20"/>
          <w:szCs w:val="20"/>
          <w:color w:val="auto"/>
        </w:rPr>
      </w:pPr>
      <w:r>
        <w:rPr>
          <w:rFonts w:ascii="Arial" w:cs="Arial" w:eastAsia="Arial" w:hAnsi="Arial"/>
          <w:sz w:val="18"/>
          <w:szCs w:val="18"/>
          <w:color w:val="auto"/>
        </w:rPr>
        <w:t>(c) Each Interest Election Request shall specify the following information in compliance with Section 2.02:</w:t>
      </w:r>
    </w:p>
    <w:p>
      <w:pPr>
        <w:spacing w:after="0" w:line="250" w:lineRule="exact"/>
        <w:rPr>
          <w:sz w:val="20"/>
          <w:szCs w:val="20"/>
          <w:color w:val="auto"/>
        </w:rPr>
      </w:pPr>
    </w:p>
    <w:p>
      <w:pPr>
        <w:jc w:val="both"/>
        <w:ind w:left="660" w:firstLine="636"/>
        <w:spacing w:after="0" w:line="262" w:lineRule="auto"/>
        <w:tabs>
          <w:tab w:leader="none" w:pos="16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08" w:lineRule="exact"/>
        <w:rPr>
          <w:rFonts w:ascii="Arial" w:cs="Arial" w:eastAsia="Arial" w:hAnsi="Arial"/>
          <w:sz w:val="18"/>
          <w:szCs w:val="18"/>
          <w:color w:val="auto"/>
        </w:rPr>
      </w:pPr>
    </w:p>
    <w:p>
      <w:pPr>
        <w:ind w:left="1600" w:hanging="304"/>
        <w:spacing w:after="0"/>
        <w:tabs>
          <w:tab w:leader="none" w:pos="1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49" w:lineRule="exact"/>
        <w:rPr>
          <w:rFonts w:ascii="Arial" w:cs="Arial" w:eastAsia="Arial" w:hAnsi="Arial"/>
          <w:sz w:val="18"/>
          <w:szCs w:val="18"/>
          <w:color w:val="auto"/>
        </w:rPr>
      </w:pPr>
    </w:p>
    <w:p>
      <w:pPr>
        <w:ind w:left="1660" w:hanging="364"/>
        <w:spacing w:after="0"/>
        <w:tabs>
          <w:tab w:leader="none" w:pos="1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Eurocurrency Borrowing; and</w:t>
      </w:r>
    </w:p>
    <w:p>
      <w:pPr>
        <w:spacing w:after="0" w:line="249" w:lineRule="exact"/>
        <w:rPr>
          <w:rFonts w:ascii="Arial" w:cs="Arial" w:eastAsia="Arial" w:hAnsi="Arial"/>
          <w:sz w:val="18"/>
          <w:szCs w:val="18"/>
          <w:color w:val="auto"/>
        </w:rPr>
      </w:pPr>
    </w:p>
    <w:p>
      <w:pPr>
        <w:ind w:left="660" w:firstLine="636"/>
        <w:spacing w:after="0" w:line="275" w:lineRule="auto"/>
        <w:tabs>
          <w:tab w:leader="none" w:pos="16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resulting Borrowing is a Eurocurrency Borrowing, the Interest Period and Agreed Currency to be applicable thereto after giving effect to such election, which Interest Period shall be a period contemplated by the definition of the term “Interest Period”.</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97" w:lineRule="exact"/>
        <w:rPr>
          <w:sz w:val="20"/>
          <w:szCs w:val="20"/>
          <w:color w:val="auto"/>
        </w:rPr>
      </w:pPr>
    </w:p>
    <w:p>
      <w:pPr>
        <w:ind w:firstLine="1296"/>
        <w:spacing w:after="0" w:line="275" w:lineRule="auto"/>
        <w:tabs>
          <w:tab w:leader="none" w:pos="15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97" w:lineRule="exact"/>
        <w:rPr>
          <w:rFonts w:ascii="Arial" w:cs="Arial" w:eastAsia="Arial" w:hAnsi="Arial"/>
          <w:sz w:val="18"/>
          <w:szCs w:val="18"/>
          <w:color w:val="auto"/>
        </w:rPr>
      </w:pPr>
    </w:p>
    <w:p>
      <w:pPr>
        <w:jc w:val="both"/>
        <w:ind w:firstLine="1296"/>
        <w:spacing w:after="0" w:line="286" w:lineRule="auto"/>
        <w:tabs>
          <w:tab w:leader="none" w:pos="15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relevant Borrower fails to deliver a timely Interest Election Request with respect to a Eurocurrency Borrowing prior to the end of the Interest Period applicable thereto, then, unless such Borrowing is repaid as provided herein, at the end of such Interest Period (i) in the case of a Borrowing denominated in Dollars, such Borrowing shall be converted to an ABR Borrowing and (ii) in the case of a Borrowing denominated in a Foreign Currency, such Borrowing shall automatically continue as a Eurocurrency Borrowing in the same Agreed Currency with an Interest Period of one month unless (x) such Eurocurrency Borrowing is or was repaid in accordance with Section 2.11 or (y) such Borrower shall have given the Administrative Agent an Interest Election Request requesting that, at the end of such Interest Period, such Eurocurrency Borrowing continue as a Eurocurrency Borrowing for the same or another Interest Period. Notwithstanding any contrary provision hereof, if an Event of Default has occurred and is continuing and the Administrative Agent, at the request of the Required Lenders, so notifies the Company, then, so long as an Event of Default is continuing (i) no outstanding Borrowing denominated in Dollars may be converted to or continued as a Eurocurrency Borrowing , (ii) unless repaid, each Eurocurrency Borrowing denominated in Dollars shall be converted to an ABR Borrowing at the end of the Interest Period applicable thereto and (iii) unless repaid, each Eurocurrency Borrowing denominated in a Foreign Currency shall automatically be continued as a Eurocurrency Borrowing with an Interest Period of one month.</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 (a) Unless previously terminated, the Commitments shall terminate on the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35" w:lineRule="exact"/>
        <w:rPr>
          <w:sz w:val="20"/>
          <w:szCs w:val="20"/>
          <w:color w:val="auto"/>
        </w:rPr>
      </w:pPr>
    </w:p>
    <w:p>
      <w:pPr>
        <w:jc w:val="both"/>
        <w:ind w:firstLine="1296"/>
        <w:spacing w:after="0" w:line="257" w:lineRule="auto"/>
        <w:tabs>
          <w:tab w:leader="none" w:pos="16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Company may at any time terminate, or from time to time reduce,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shall be in an amount that is an integral multiple of $1,000,000 and not less than $1,000,000 and (ii) the Company shall not terminate or reduce the Commitments if, after giving effect to any concurrent prepayment of the Loans in accordance with Section 2.11, the Dollar Amount of the Total Revolving Credit Exposure would exceed the Aggregate Commitment.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9" w:name="page140"/>
    <w:bookmarkEnd w:id="139"/>
    <w:p>
      <w:pPr>
        <w:jc w:val="both"/>
        <w:ind w:firstLine="1296"/>
        <w:spacing w:after="0" w:line="252" w:lineRule="auto"/>
        <w:tabs>
          <w:tab w:leader="none" w:pos="15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Company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222" w:lineRule="exact"/>
        <w:rPr>
          <w:sz w:val="20"/>
          <w:szCs w:val="20"/>
          <w:color w:val="auto"/>
        </w:rPr>
      </w:pPr>
    </w:p>
    <w:p>
      <w:pPr>
        <w:jc w:val="both"/>
        <w:ind w:firstLine="1289"/>
        <w:spacing w:after="0" w:line="231"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 (a) Each Borrower hereby unconditionally promises to pay (i) to the Administrative Agent for the account of each Lender the then unpaid principal amount of each Revolving Loan made to such Borrower on the Maturity Date in the currency of such Loan and (ii) in the case of the Company, to the Administrative Agent for the account of the Swingline Lender the then unpaid principal amount of each Swingline Loan on the earlier of the Maturity Date and the first date after such Swingline Loan is made that is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or last day of a calendar month and is at least two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Company shall repay all Swingline Loans then outstanding and the proceeds of any such Borrowing shall be applied by the Administrative Agent to repay any Swingline Loans outstanding.</w:t>
      </w:r>
    </w:p>
    <w:p>
      <w:pPr>
        <w:spacing w:after="0" w:line="229" w:lineRule="exact"/>
        <w:rPr>
          <w:sz w:val="20"/>
          <w:szCs w:val="20"/>
          <w:color w:val="auto"/>
        </w:rPr>
      </w:pPr>
    </w:p>
    <w:p>
      <w:pPr>
        <w:jc w:val="both"/>
        <w:ind w:firstLine="1296"/>
        <w:spacing w:after="0" w:line="262" w:lineRule="auto"/>
        <w:tabs>
          <w:tab w:leader="none" w:pos="1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208" w:lineRule="exact"/>
        <w:rPr>
          <w:rFonts w:ascii="Arial" w:cs="Arial" w:eastAsia="Arial" w:hAnsi="Arial"/>
          <w:sz w:val="18"/>
          <w:szCs w:val="18"/>
          <w:color w:val="auto"/>
        </w:rPr>
      </w:pPr>
    </w:p>
    <w:p>
      <w:pPr>
        <w:jc w:val="both"/>
        <w:ind w:firstLine="1296"/>
        <w:spacing w:after="0" w:line="257" w:lineRule="auto"/>
        <w:tabs>
          <w:tab w:leader="none" w:pos="16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214" w:lineRule="exact"/>
        <w:rPr>
          <w:rFonts w:ascii="Arial" w:cs="Arial" w:eastAsia="Arial" w:hAnsi="Arial"/>
          <w:sz w:val="18"/>
          <w:szCs w:val="18"/>
          <w:color w:val="auto"/>
        </w:rPr>
      </w:pPr>
    </w:p>
    <w:p>
      <w:pPr>
        <w:jc w:val="both"/>
        <w:ind w:firstLine="1296"/>
        <w:spacing w:after="0" w:line="262" w:lineRule="auto"/>
        <w:tabs>
          <w:tab w:leader="none" w:pos="16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Obligations.</w:t>
      </w:r>
    </w:p>
    <w:p>
      <w:pPr>
        <w:spacing w:after="0" w:line="208" w:lineRule="exact"/>
        <w:rPr>
          <w:rFonts w:ascii="Arial" w:cs="Arial" w:eastAsia="Arial" w:hAnsi="Arial"/>
          <w:sz w:val="18"/>
          <w:szCs w:val="18"/>
          <w:color w:val="auto"/>
        </w:rPr>
      </w:pPr>
    </w:p>
    <w:p>
      <w:pPr>
        <w:jc w:val="both"/>
        <w:ind w:firstLine="1296"/>
        <w:spacing w:after="0" w:line="277" w:lineRule="auto"/>
        <w:tabs>
          <w:tab w:leader="none" w:pos="163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the form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 Thereafter, the Loans evidenced by such promissory note and interest thereon shall at all times (including after assignment pursuant to Section 9.04) be represented by one or more promissory notes in such form.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0" w:name="page141"/>
    <w:bookmarkEnd w:id="140"/>
    <w:p>
      <w:pPr>
        <w:ind w:left="13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81" w:lineRule="auto"/>
        <w:tabs>
          <w:tab w:leader="none" w:pos="1582"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 Administrative Agent (and, in the case of prepayment of a Swingline Loan, the Swingline Lender) by written notice (promptly followed by telephonic confirmation of such request) of any prepayment hereunder (i) in the case of prepayment of a Eurocurrency Revolving Borrowing, not later than 11:00 a.m., Local Time, three (3) Business Days (in the case of a Eurocurrency Borrowing denominated in Dollars) or four (4) Business Days (in the case of a Eurocurrency Borrowing denominated in a Foreign Currency), in each case, before the date of prepayment, (ii) in the case of prepayment of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Loans included in the prepaid Revolving Borrowing. Prepayments shall be accompanied by (i) accrued interest to the extent required by Section 2.13 and</w:t>
      </w:r>
    </w:p>
    <w:p>
      <w:pPr>
        <w:spacing w:after="0" w:line="6" w:lineRule="exact"/>
        <w:rPr>
          <w:rFonts w:ascii="Arial" w:cs="Arial" w:eastAsia="Arial" w:hAnsi="Arial"/>
          <w:sz w:val="16"/>
          <w:szCs w:val="16"/>
          <w:color w:val="auto"/>
        </w:rPr>
      </w:pPr>
    </w:p>
    <w:p>
      <w:pPr>
        <w:ind w:left="280" w:hanging="273"/>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break funding payments pursuant to Section 2.16.</w:t>
      </w:r>
    </w:p>
    <w:p>
      <w:pPr>
        <w:spacing w:after="0" w:line="234" w:lineRule="exact"/>
        <w:rPr>
          <w:rFonts w:ascii="Arial" w:cs="Arial" w:eastAsia="Arial" w:hAnsi="Arial"/>
          <w:sz w:val="18"/>
          <w:szCs w:val="18"/>
          <w:color w:val="auto"/>
        </w:rPr>
      </w:pPr>
    </w:p>
    <w:p>
      <w:pPr>
        <w:jc w:val="both"/>
        <w:ind w:firstLine="1296"/>
        <w:spacing w:after="0" w:line="286" w:lineRule="auto"/>
        <w:tabs>
          <w:tab w:leader="none" w:pos="1588"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at any time, (i) other than as a result of fluctuations in currency exchange rates, (A) the aggregate principal Dollar Amount of the Total Revolving Credit Exposure (calculated, with respect to those Credit Events denominated in Foreign Currencies, as of the most recent Computation Date with respect to each such Credit Event) exceeds the Aggregate Commitment, (B) the aggregate principal Dollar Amount of the Total Revolving Credit Exposure denominated in Foreign Currencies (the “</w:t>
      </w:r>
      <w:r>
        <w:rPr>
          <w:rFonts w:ascii="Arial" w:cs="Arial" w:eastAsia="Arial" w:hAnsi="Arial"/>
          <w:sz w:val="16"/>
          <w:szCs w:val="16"/>
          <w:u w:val="single" w:color="auto"/>
          <w:color w:val="auto"/>
        </w:rPr>
        <w:t>Foreign Currency Exposure</w:t>
      </w:r>
      <w:r>
        <w:rPr>
          <w:rFonts w:ascii="Arial" w:cs="Arial" w:eastAsia="Arial" w:hAnsi="Arial"/>
          <w:sz w:val="16"/>
          <w:szCs w:val="16"/>
          <w:color w:val="auto"/>
        </w:rPr>
        <w:t>”) (so calculated), as of the most recent Computation Date with respect to each such Credit Event, exceeds the Foreign Currency Sublimit or (C) the sum of the aggregate principal Dollar Amount of all Loans (so calculated) outstanding to the Foreign Subsidiary Borrowers exceeds the Foreign Borrower Sublimit or (ii) solely as a result of fluctuations in currency exchange rates, (A) the aggregate principal Dollar Amount of the Total Revolving Credit Exposure (so calculated) exceeds 105% of the Aggregate Commitment, (B) the Foreign Currency Exposure, as of the most recent Computation Date with respect to each such Credit Event, exceeds 105% of the Foreign Currency Sublimit or (C) the sum of the aggregate principal Dollar Amount of all Loans (so calculated) outstanding to the Foreign Subsidiary Borrowers exceeds 105% of the Foreign Borrower Sublimit, the Borrowers shall in each case immediately repay Borrowings or cash collateralize LC Exposure in an account with the Administrative Agent pursuant to Section 2.06(j), as applicable, in an aggregate principal amount sufficient to eliminate any such excess.</w:t>
      </w:r>
    </w:p>
    <w:p>
      <w:pPr>
        <w:spacing w:after="0" w:line="193" w:lineRule="exact"/>
        <w:rPr>
          <w:sz w:val="20"/>
          <w:szCs w:val="20"/>
          <w:color w:val="auto"/>
        </w:rPr>
      </w:pPr>
    </w:p>
    <w:p>
      <w:pPr>
        <w:jc w:val="both"/>
        <w:ind w:firstLine="1289"/>
        <w:spacing w:after="0" w:line="23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Company agrees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such Commitment terminates;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Lender continues to have any Revolving Credit Exposure after its Commitment terminates, then such commitment fee shall continue to accrue on the amount of such Lender’s Revolving Credit Exposure from and including the date on which its Commitment terminates to but excluding the date on which such Lender ceases to have any Revolving Credit Exposure. Commitment fees accrued through and including the last day of March, June, September and December of each year shall be payable in arrears on the fifteenth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such last day and on the date on which the Commitments terminate,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1" w:name="page142"/>
    <w:bookmarkEnd w:id="141"/>
    <w:p>
      <w:pPr>
        <w:jc w:val="both"/>
        <w:ind w:firstLine="1296"/>
        <w:spacing w:after="0" w:line="256" w:lineRule="auto"/>
        <w:tabs>
          <w:tab w:leader="none" w:pos="164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Loans on the average daily Dollar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relevant Issuing Bank for its own account a fronting fee, which shall accrue at a rate per annum separately agreed upon between the Company and the relevant Issuing Bank on the average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fifteenth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such last day,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such Foreign Currency.</w:t>
      </w:r>
    </w:p>
    <w:p>
      <w:pPr>
        <w:spacing w:after="0" w:line="214" w:lineRule="exact"/>
        <w:rPr>
          <w:rFonts w:ascii="Arial" w:cs="Arial" w:eastAsia="Arial" w:hAnsi="Arial"/>
          <w:sz w:val="17"/>
          <w:szCs w:val="17"/>
          <w:color w:val="auto"/>
        </w:rPr>
      </w:pPr>
    </w:p>
    <w:p>
      <w:pPr>
        <w:ind w:right="20" w:firstLine="1296"/>
        <w:spacing w:after="0" w:line="275" w:lineRule="auto"/>
        <w:tabs>
          <w:tab w:leader="none" w:pos="16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197" w:lineRule="exact"/>
        <w:rPr>
          <w:rFonts w:ascii="Arial" w:cs="Arial" w:eastAsia="Arial" w:hAnsi="Arial"/>
          <w:sz w:val="18"/>
          <w:szCs w:val="18"/>
          <w:color w:val="auto"/>
        </w:rPr>
      </w:pPr>
    </w:p>
    <w:p>
      <w:pPr>
        <w:jc w:val="both"/>
        <w:ind w:firstLine="1296"/>
        <w:spacing w:after="0" w:line="262" w:lineRule="auto"/>
        <w:tabs>
          <w:tab w:leader="none" w:pos="1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(except as otherwise expressly provided in this Section) and immediately available funds, to the Administrative Agent (or to the relevant Issuing Bank, in the case of fees payable to it) for distribution, in the case of commitment fees and participation fees, to the Lenders. Fees paid shall not be refundable under any circumstances.</w:t>
      </w:r>
    </w:p>
    <w:p>
      <w:pPr>
        <w:spacing w:after="0" w:line="208" w:lineRule="exact"/>
        <w:rPr>
          <w:sz w:val="20"/>
          <w:szCs w:val="20"/>
          <w:color w:val="auto"/>
        </w:rPr>
      </w:pPr>
    </w:p>
    <w:p>
      <w:pPr>
        <w:ind w:right="20" w:firstLine="1289"/>
        <w:spacing w:after="0" w:line="275"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(a) The Loans comprising each ABR Borrowing (including each Swingline Loan) shall bear interest at the Alternate Base Rate plus the Applicable Rate.</w:t>
      </w:r>
    </w:p>
    <w:p>
      <w:pPr>
        <w:spacing w:after="0" w:line="197" w:lineRule="exact"/>
        <w:rPr>
          <w:sz w:val="20"/>
          <w:szCs w:val="20"/>
          <w:color w:val="auto"/>
        </w:rPr>
      </w:pPr>
    </w:p>
    <w:p>
      <w:pPr>
        <w:ind w:firstLine="1296"/>
        <w:spacing w:after="0" w:line="275" w:lineRule="auto"/>
        <w:tabs>
          <w:tab w:leader="none" w:pos="16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Adjusted LIBO Rate for the Interest Period in effect for such Borrowing plus the Applicable Rate.</w:t>
      </w:r>
    </w:p>
    <w:p>
      <w:pPr>
        <w:spacing w:after="0" w:line="197" w:lineRule="exact"/>
        <w:rPr>
          <w:rFonts w:ascii="Arial" w:cs="Arial" w:eastAsia="Arial" w:hAnsi="Arial"/>
          <w:sz w:val="18"/>
          <w:szCs w:val="18"/>
          <w:color w:val="auto"/>
        </w:rPr>
      </w:pPr>
    </w:p>
    <w:p>
      <w:pPr>
        <w:jc w:val="both"/>
        <w:ind w:firstLine="1296"/>
        <w:spacing w:after="0" w:line="255" w:lineRule="auto"/>
        <w:tabs>
          <w:tab w:leader="none" w:pos="16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216" w:lineRule="exact"/>
        <w:rPr>
          <w:rFonts w:ascii="Arial" w:cs="Arial" w:eastAsia="Arial" w:hAnsi="Arial"/>
          <w:sz w:val="18"/>
          <w:szCs w:val="18"/>
          <w:color w:val="auto"/>
        </w:rPr>
      </w:pPr>
    </w:p>
    <w:p>
      <w:pPr>
        <w:jc w:val="both"/>
        <w:ind w:firstLine="1296"/>
        <w:spacing w:after="0" w:line="295" w:lineRule="auto"/>
        <w:tabs>
          <w:tab w:leader="none" w:pos="16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upon termination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2" w:name="page143"/>
    <w:bookmarkEnd w:id="142"/>
    <w:p>
      <w:pPr>
        <w:jc w:val="both"/>
        <w:ind w:firstLine="1296"/>
        <w:spacing w:after="0" w:line="274" w:lineRule="auto"/>
        <w:tabs>
          <w:tab w:leader="none" w:pos="163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(i) computed by reference to the Alternate Base Rate at times when the Alternate Base Rate is based on the Prime Rate shall be computed on the basis of a year of 365 days (or 366 days in a leap year) and (ii) for Borrowings denominated in Pounds Sterling shall be computed on the basis of a year of 365 days,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66" w:lineRule="auto"/>
        <w:tabs>
          <w:tab w:leader="none" w:pos="1581"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If at the time that the Administrative Agent shall seek to determine the LIBOR Screen Rate on the Quotation Day for any Interest Period for a Eurocurrency Borrowing, the LIBOR Screen Rate shall not be available for such Interest Period and/or for the applicable currency with respect to such Eurocurrency Borrowing for any reason, and the Administrative Agent shall reasonably determine that it is not possible to determine the Interpolated Rate (which conclusion shall be conclusive and binding absent manifest error), then the Reference Bank Rate shall be the LIBO Rate for such Interest Period for such Eurocurrency Borrowing; provided that if the Reference Bank Rate shall be less than zero, such rate shall be deemed to be zero for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further, however, that if less than two (2) Reference Banks shall supply a rate to the Administrative Agent for purposes of determining the LIBO Rate for such Eurocurrency Borrowing, (i) if such Borrowing shall be requested in Dollars, then such Borrowing shall be made as an ABR Borrowing at the Alternate Base Rate and (ii) if such Borrowing shall be requested in any Foreign Currency, the LIBO Rate shall be equal to the rate determined by the Administrative Agent in its reasonable discretion after consultation with the Company and consented to in writing by the Required Lenders (the “</w:t>
      </w:r>
      <w:r>
        <w:rPr>
          <w:rFonts w:ascii="Arial" w:cs="Arial" w:eastAsia="Arial" w:hAnsi="Arial"/>
          <w:sz w:val="17"/>
          <w:szCs w:val="17"/>
          <w:u w:val="single" w:color="auto"/>
          <w:color w:val="auto"/>
        </w:rPr>
        <w:t>Alternative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until such time as the Alternative Rate shall be determined and so consented to by the Required Lenders, Borrowings shall not be available in such Foreign Currency. It is hereby understood and agreed that, notwithstanding anything to the foregoing set forth in this Section 2.14(a), if at any time the conditions set forth in Section 2.14(c)(i) or (ii) are in effect, the provisions of this Section 2.14(a) shall no longer be applicable for any purpose of determining any alternative rate of interest under this Agreement and Section 2.14(c) shall instead be applicable for all purposes of determining any alternative rate of interest under this Agreement.</w:t>
      </w:r>
    </w:p>
    <w:p>
      <w:pPr>
        <w:spacing w:after="0" w:line="216" w:lineRule="exact"/>
        <w:rPr>
          <w:rFonts w:ascii="Arial" w:cs="Arial" w:eastAsia="Arial" w:hAnsi="Arial"/>
          <w:sz w:val="17"/>
          <w:szCs w:val="17"/>
          <w:color w:val="auto"/>
        </w:rPr>
      </w:pPr>
    </w:p>
    <w:p>
      <w:pPr>
        <w:ind w:left="1600" w:hanging="304"/>
        <w:spacing w:after="0"/>
        <w:tabs>
          <w:tab w:leader="none" w:pos="1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50" w:lineRule="exact"/>
        <w:rPr>
          <w:sz w:val="20"/>
          <w:szCs w:val="20"/>
          <w:color w:val="auto"/>
        </w:rPr>
      </w:pPr>
    </w:p>
    <w:p>
      <w:pPr>
        <w:jc w:val="both"/>
        <w:ind w:left="660" w:firstLine="636"/>
        <w:spacing w:after="0" w:line="284" w:lineRule="auto"/>
        <w:tabs>
          <w:tab w:leader="none" w:pos="161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and binding absent manifest error) that adequate and reasonable means do not exist for ascertaining the Adjusted LIBO Rate or the LIBO Rate, as applicable (including because the LIBOR Screen Rate is not available or published on a current basis), for the applicable currency and such Interest Period; or</w:t>
      </w:r>
    </w:p>
    <w:p>
      <w:pPr>
        <w:spacing w:after="0" w:line="192" w:lineRule="exact"/>
        <w:rPr>
          <w:rFonts w:ascii="Arial" w:cs="Arial" w:eastAsia="Arial" w:hAnsi="Arial"/>
          <w:sz w:val="17"/>
          <w:szCs w:val="17"/>
          <w:color w:val="auto"/>
        </w:rPr>
      </w:pPr>
    </w:p>
    <w:p>
      <w:pPr>
        <w:jc w:val="both"/>
        <w:ind w:left="660" w:firstLine="636"/>
        <w:spacing w:after="0" w:line="262" w:lineRule="auto"/>
        <w:tabs>
          <w:tab w:leader="none" w:pos="16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the applicable currency and such Interest Period will not adequately and fairly reflect the cost to such Lenders of making or maintaining their Loans included in such Borrowing for the applicable currency and such Interest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3" w:name="page144"/>
    <w:bookmarkEnd w:id="143"/>
    <w:p>
      <w:pPr>
        <w:jc w:val="both"/>
        <w:spacing w:after="0" w:line="252" w:lineRule="auto"/>
        <w:rPr>
          <w:sz w:val="20"/>
          <w:szCs w:val="20"/>
          <w:color w:val="auto"/>
        </w:rPr>
      </w:pPr>
      <w:r>
        <w:rPr>
          <w:rFonts w:ascii="Arial" w:cs="Arial" w:eastAsia="Arial" w:hAnsi="Arial"/>
          <w:sz w:val="18"/>
          <w:szCs w:val="18"/>
          <w:color w:val="auto"/>
        </w:rPr>
        <w:t xml:space="preserve">then the Administrative Agent shall give notice thereof to the applicable Borrower and the Lenders by telephone or telecopy as promptly as practicable thereafter and, until the Administrative Agent notifies the applicable Borrower and the Lenders that the circumstances giving rise to such notice no longer exist, (i) any Interest Election Request that requests the conversion of any Borrowing to, or continuation of any Borrowing as, a Eurocurrency Borrowing shall be ineffective and, unless repaid (A) in the case of a Eurocurrency Borrowing denominated in Dollars, such Borrowing shall be made as an ABR Borrowing and (B) in the case of a Eurocurrency Borrowing denominated in a Foreign Currency, such Eurocurrency Borrowing shall be repaid on the last day of the then current Interest Period applicable thereto and (ii) if any Borrowing Request requests a Eurocurrency Borrowing in Dollars, such Borrowing shall be made as an ABR Borrowing (and if such Borrowing Request requests a Eurocurrency Revolving Borrowing denominated in a Foreign Currency, such Borrowing Request shall be ineffective);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affect only one Type of Borrowings, then the other Type of Borrowings shall be permitted.</w:t>
      </w:r>
    </w:p>
    <w:p>
      <w:pPr>
        <w:spacing w:after="0" w:line="219" w:lineRule="exact"/>
        <w:rPr>
          <w:sz w:val="20"/>
          <w:szCs w:val="20"/>
          <w:color w:val="auto"/>
        </w:rPr>
      </w:pPr>
    </w:p>
    <w:p>
      <w:pPr>
        <w:jc w:val="both"/>
        <w:ind w:firstLine="1296"/>
        <w:spacing w:after="0" w:line="283" w:lineRule="auto"/>
        <w:tabs>
          <w:tab w:leader="none" w:pos="1623"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at any time the Administrative Agent determines (which determination shall be conclusive absent manifest error) that (i) the circumstances set forth in Section 2.14(b)(i) have arisen and such circumstances are unlikely to be temporary or (ii) the circumstances set forth in Section 2.14(b)(i) have not arisen but (w) the supervisor for the administrator of the LIBOR Screen Rate has made a public statement that the administrator of the LIBOR Screen Rate is insolvent (and there is no successor administrator that will continue publication of the LIBOR Screen Rate), (x) the administrator of the LIBOR Screen Rate has made a public statement identifying a specific date after which the LIBOR Screen Rate will permanently or indefinitely cease to be published by it (and there is no successor administrator that will continue publication of the LIBOR Screen Rate), (y) the supervisor for the administrator of the LIBOR Screen Rate has made a public statement identifying a specific date after which the LIBOR Screen Rate will permanently or indefinitely cease to be published or (z) the supervisor for the administrator of the LIBOR Screen Rate or a Governmental Authority having jurisdiction over the Administrative Agent has made a public statement identifying a specific date after which the LIBOR Screen Rate may no longer be used for determining interest rates for loans, then the Administrative Agent and the Company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alternate rate of interest as so determined would be less than zero, such rate shall be deemed to be zero for the purposes of this Agreement. Notwithstanding anything to the contrary in Section 9.02,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Section 2.14(c) (but, in the case of the circumstances described in clause (ii) of the first sentence of this Section 2.14(c), only to the extent the LIBOR Screen Rate for the applicable currency and such Interest Period is not available or published at such time on a current basis), (x) any Interest Election Request that requests the conversion of any Borrowing to, or continuation of any Borrowing as, a Eurocurrency Borrowing in the applicable currency or for the applicable Interest Period, as the case may be, shall be ineffective, (y) if any Borrowing Request requests a Eurocurrency Borrowing in Dollars, such Borrowing shall be made as an ABR Borrowing and (z) if any Borrowing Request requests a Eurocurrency Borrowing in a Foreign Currency, then such request shall be ineffective.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4" w:name="page145"/>
    <w:bookmarkEnd w:id="144"/>
    <w:p>
      <w:pPr>
        <w:ind w:left="13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250" w:lineRule="exact"/>
        <w:rPr>
          <w:sz w:val="20"/>
          <w:szCs w:val="20"/>
          <w:color w:val="auto"/>
        </w:rPr>
      </w:pPr>
    </w:p>
    <w:p>
      <w:pPr>
        <w:jc w:val="both"/>
        <w:ind w:left="660" w:firstLine="636"/>
        <w:spacing w:after="0" w:line="262" w:lineRule="auto"/>
        <w:tabs>
          <w:tab w:leader="none" w:pos="16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208" w:lineRule="exact"/>
        <w:rPr>
          <w:rFonts w:ascii="Arial" w:cs="Arial" w:eastAsia="Arial" w:hAnsi="Arial"/>
          <w:sz w:val="18"/>
          <w:szCs w:val="18"/>
          <w:color w:val="auto"/>
        </w:rPr>
      </w:pPr>
    </w:p>
    <w:p>
      <w:pPr>
        <w:ind w:left="660" w:firstLine="636"/>
        <w:spacing w:after="0" w:line="275" w:lineRule="auto"/>
        <w:tabs>
          <w:tab w:leader="none" w:pos="16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affecting this Agreement or Loans made by such Lender or any Letter of Credit or participation therein; or</w:t>
      </w:r>
    </w:p>
    <w:p>
      <w:pPr>
        <w:spacing w:after="0" w:line="223" w:lineRule="exact"/>
        <w:rPr>
          <w:rFonts w:ascii="Arial" w:cs="Arial" w:eastAsia="Arial" w:hAnsi="Arial"/>
          <w:sz w:val="18"/>
          <w:szCs w:val="18"/>
          <w:color w:val="auto"/>
        </w:rPr>
      </w:pPr>
    </w:p>
    <w:p>
      <w:pPr>
        <w:jc w:val="both"/>
        <w:ind w:left="660" w:firstLine="636"/>
        <w:spacing w:after="0" w:line="262" w:lineRule="auto"/>
        <w:tabs>
          <w:tab w:leader="none" w:pos="21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the Administrative Agent, any Lender or any Issuing Bank to any Taxes (other than (A) Indemnified Taxes, (B) Excluded Taxes and (C) Other Taxes) on its loans, loan principal, letters of credit, commitments, or other obligations, or its deposits, reserves, other liabilities or capital attributable thereto;</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the result of any of the foregoing shall be to increase the cost to the Administrative Agent or such Lender of making, continuing, converting into or maintaining any Loan or of maintaining its obligation to make any such Loan or to increase the cost to the Administrative Agent, such Lender or such Issuing Bank of participating in, issuing or maintaining any Letter of Credit or to reduce the amount of any sum received or receivable by the Administrative Agent, such Lender or such Issuing Bank hereunder, whether of principal, interest or otherwise, then the applicable Borrower will pay to the Administrative Agent, such Lender or such Issuing Bank, as the case may be, such additional amount or amounts as will compensate the Administrative Agent, such Lender or such Issuing Bank, as the case may be, for such additional costs incurred or reduction suffered.</w:t>
      </w:r>
    </w:p>
    <w:p>
      <w:pPr>
        <w:spacing w:after="0" w:line="201" w:lineRule="exact"/>
        <w:rPr>
          <w:sz w:val="20"/>
          <w:szCs w:val="20"/>
          <w:color w:val="auto"/>
        </w:rPr>
      </w:pPr>
    </w:p>
    <w:p>
      <w:pPr>
        <w:jc w:val="both"/>
        <w:ind w:firstLine="1296"/>
        <w:spacing w:after="0" w:line="269" w:lineRule="auto"/>
        <w:tabs>
          <w:tab w:leader="none" w:pos="15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207" w:lineRule="exact"/>
        <w:rPr>
          <w:rFonts w:ascii="Arial" w:cs="Arial" w:eastAsia="Arial" w:hAnsi="Arial"/>
          <w:sz w:val="17"/>
          <w:szCs w:val="17"/>
          <w:color w:val="auto"/>
        </w:rPr>
      </w:pPr>
    </w:p>
    <w:p>
      <w:pPr>
        <w:jc w:val="both"/>
        <w:ind w:firstLine="1296"/>
        <w:spacing w:after="0" w:line="257" w:lineRule="auto"/>
        <w:tabs>
          <w:tab w:leader="none" w:pos="15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10 days after receipt thereof.</w:t>
      </w:r>
    </w:p>
    <w:p>
      <w:pPr>
        <w:spacing w:after="0" w:line="214" w:lineRule="exact"/>
        <w:rPr>
          <w:rFonts w:ascii="Arial" w:cs="Arial" w:eastAsia="Arial" w:hAnsi="Arial"/>
          <w:sz w:val="18"/>
          <w:szCs w:val="18"/>
          <w:color w:val="auto"/>
        </w:rPr>
      </w:pPr>
    </w:p>
    <w:p>
      <w:pPr>
        <w:jc w:val="both"/>
        <w:ind w:firstLine="1296"/>
        <w:spacing w:after="0" w:line="292" w:lineRule="auto"/>
        <w:tabs>
          <w:tab w:leader="none" w:pos="1609"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compensate a Lender or an Issuing Bank pursuant to this Section for any increased costs or reductions incurred more than 270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5" w:name="page146"/>
    <w:bookmarkEnd w:id="145"/>
    <w:p>
      <w:pPr>
        <w:jc w:val="both"/>
        <w:ind w:firstLine="1289"/>
        <w:spacing w:after="0" w:line="266"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In the event of (a) the payment of any principal of any Eurocurrency Loan other than on the last day of an Interest Period applicable thereto (including as a result of an Event of Default or as a result of any prepayment pursuant to Section 2.11),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2.11(a) and is revoked in accordance therewith) or (d) the assignment of any Eurocurrency Loan other than on the last day of the Interest Period applicable thereto as a result of a request by the Company pursuant to Section 2.19 or 9.02(e), then, in any such event, the Borrowers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thirty (30) days after receipt thereof.</w:t>
      </w:r>
    </w:p>
    <w:p>
      <w:pPr>
        <w:spacing w:after="0" w:line="214" w:lineRule="exact"/>
        <w:rPr>
          <w:sz w:val="20"/>
          <w:szCs w:val="20"/>
          <w:color w:val="auto"/>
        </w:rPr>
      </w:pPr>
    </w:p>
    <w:p>
      <w:pPr>
        <w:jc w:val="both"/>
        <w:ind w:firstLine="1289"/>
        <w:spacing w:after="0" w:line="270"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Taxes</w:t>
      </w:r>
      <w:r>
        <w:rPr>
          <w:rFonts w:ascii="Arial" w:cs="Arial" w:eastAsia="Arial" w:hAnsi="Arial"/>
          <w:sz w:val="17"/>
          <w:szCs w:val="17"/>
          <w:color w:val="auto"/>
        </w:rPr>
        <w:t>. (a) Any and all payments by or on account of any obligation of each Borrower hereunder or any other Loan Documents shall be made free and clear of and without deduction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(i) make such deductions and (ii) pay the full amount deducted to the relevant Governmental Authority in accordance with applicable law and, if such Tax is an Indemnified Tax, then the sum payable by the applicable Borrower shall be increased as necessary so that after making all required deductions (including deductions applicable to additional sums payable under this Section) the Administrative Agent, relevant Lender receives an amount equal to the sum it would have received had no such deductions been made.</w:t>
      </w:r>
    </w:p>
    <w:p>
      <w:pPr>
        <w:spacing w:after="0" w:line="206" w:lineRule="exact"/>
        <w:rPr>
          <w:sz w:val="20"/>
          <w:szCs w:val="20"/>
          <w:color w:val="auto"/>
        </w:rPr>
      </w:pPr>
    </w:p>
    <w:p>
      <w:pPr>
        <w:ind w:right="20" w:firstLine="1296"/>
        <w:spacing w:after="0" w:line="275" w:lineRule="auto"/>
        <w:tabs>
          <w:tab w:leader="none" w:pos="15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each Borrower shall pay any Other Taxes related to such Borrower and imposed on or incurred by the Administrative Agent or a Lender to the relevant Governmental Authority in accordance with applicable law.</w:t>
      </w:r>
    </w:p>
    <w:p>
      <w:pPr>
        <w:spacing w:after="0" w:line="197" w:lineRule="exact"/>
        <w:rPr>
          <w:rFonts w:ascii="Arial" w:cs="Arial" w:eastAsia="Arial" w:hAnsi="Arial"/>
          <w:sz w:val="18"/>
          <w:szCs w:val="18"/>
          <w:color w:val="auto"/>
        </w:rPr>
      </w:pPr>
    </w:p>
    <w:p>
      <w:pPr>
        <w:jc w:val="both"/>
        <w:ind w:firstLine="1296"/>
        <w:spacing w:after="0" w:line="253" w:lineRule="auto"/>
        <w:tabs>
          <w:tab w:leader="none" w:pos="16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relevant Borrower shall indemnify the Administrative Agent and each Lender, within ten (10) days after written demand therefor, for the full amount of any Indemnified Taxes or Other Taxes paid by the Administrative Agent or such Lender on or with respect to any payment by or on account of any obligation of such Borrower hereunder or any other Loan Documents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Company by a Lender or by the Administrative Agent on its own behalf or on behalf of a Lender, shall be conclusive absent manifest error.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6" w:name="page147"/>
    <w:bookmarkEnd w:id="146"/>
    <w:p>
      <w:pPr>
        <w:jc w:val="both"/>
        <w:ind w:firstLine="1296"/>
        <w:spacing w:after="0" w:line="262" w:lineRule="auto"/>
        <w:tabs>
          <w:tab w:leader="none" w:pos="1616"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practicable after any payment of Taxes by any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8" w:lineRule="exact"/>
        <w:rPr>
          <w:rFonts w:ascii="Arial" w:cs="Arial" w:eastAsia="Arial" w:hAnsi="Arial"/>
          <w:sz w:val="18"/>
          <w:szCs w:val="18"/>
          <w:color w:val="auto"/>
        </w:rPr>
      </w:pPr>
    </w:p>
    <w:p>
      <w:pPr>
        <w:jc w:val="both"/>
        <w:ind w:firstLine="1296"/>
        <w:spacing w:after="0" w:line="268" w:lineRule="auto"/>
        <w:tabs>
          <w:tab w:leader="none" w:pos="1606"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7" w:lineRule="exact"/>
        <w:rPr>
          <w:rFonts w:ascii="Arial" w:cs="Arial" w:eastAsia="Arial" w:hAnsi="Arial"/>
          <w:sz w:val="17"/>
          <w:szCs w:val="17"/>
          <w:color w:val="auto"/>
        </w:rPr>
      </w:pPr>
    </w:p>
    <w:p>
      <w:pPr>
        <w:ind w:left="1880" w:hanging="261"/>
        <w:spacing w:after="0"/>
        <w:tabs>
          <w:tab w:leader="none" w:pos="18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76" w:lineRule="exact"/>
        <w:rPr>
          <w:rFonts w:ascii="Arial" w:cs="Arial" w:eastAsia="Arial" w:hAnsi="Arial"/>
          <w:sz w:val="18"/>
          <w:szCs w:val="18"/>
          <w:color w:val="auto"/>
        </w:rPr>
      </w:pPr>
    </w:p>
    <w:p>
      <w:pPr>
        <w:jc w:val="both"/>
        <w:ind w:left="1300" w:firstLine="641"/>
        <w:spacing w:after="0" w:line="257" w:lineRule="auto"/>
        <w:tabs>
          <w:tab w:leader="none" w:pos="2784"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spacing w:after="0" w:line="241" w:lineRule="exact"/>
        <w:rPr>
          <w:rFonts w:ascii="Arial" w:cs="Arial" w:eastAsia="Arial" w:hAnsi="Arial"/>
          <w:sz w:val="18"/>
          <w:szCs w:val="18"/>
          <w:color w:val="auto"/>
        </w:rPr>
      </w:pPr>
    </w:p>
    <w:p>
      <w:pPr>
        <w:jc w:val="both"/>
        <w:ind w:left="1300" w:firstLine="641"/>
        <w:spacing w:after="0" w:line="257" w:lineRule="auto"/>
        <w:tabs>
          <w:tab w:leader="none" w:pos="2828"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214" w:lineRule="exact"/>
        <w:rPr>
          <w:sz w:val="20"/>
          <w:szCs w:val="20"/>
          <w:color w:val="auto"/>
        </w:rPr>
      </w:pPr>
    </w:p>
    <w:p>
      <w:pPr>
        <w:jc w:val="both"/>
        <w:ind w:left="1940" w:firstLine="1"/>
        <w:spacing w:after="0" w:line="254" w:lineRule="auto"/>
        <w:tabs>
          <w:tab w:leader="none" w:pos="22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7" w:name="page148"/>
    <w:bookmarkEnd w:id="147"/>
    <w:p>
      <w:pPr>
        <w:ind w:left="740" w:firstLine="1"/>
        <w:spacing w:after="0" w:line="275" w:lineRule="auto"/>
        <w:tabs>
          <w:tab w:leader="none" w:pos="10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an executed copy of IRS Form W-8ECI;</w:t>
      </w:r>
    </w:p>
    <w:p>
      <w:pPr>
        <w:spacing w:after="0" w:line="197" w:lineRule="exact"/>
        <w:rPr>
          <w:rFonts w:ascii="Arial" w:cs="Arial" w:eastAsia="Arial" w:hAnsi="Arial"/>
          <w:sz w:val="18"/>
          <w:szCs w:val="18"/>
          <w:color w:val="auto"/>
        </w:rPr>
      </w:pPr>
    </w:p>
    <w:p>
      <w:pPr>
        <w:ind w:left="1000" w:hanging="259"/>
        <w:spacing w:after="0"/>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5" w:lineRule="exact"/>
        <w:rPr>
          <w:rFonts w:ascii="Arial" w:cs="Arial" w:eastAsia="Arial" w:hAnsi="Arial"/>
          <w:sz w:val="16"/>
          <w:szCs w:val="16"/>
          <w:color w:val="auto"/>
        </w:rPr>
      </w:pPr>
    </w:p>
    <w:p>
      <w:pPr>
        <w:jc w:val="both"/>
        <w:ind w:left="7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(x) a certificate substantially in the form of </w:t>
      </w:r>
      <w:r>
        <w:rPr>
          <w:rFonts w:ascii="Arial" w:cs="Arial" w:eastAsia="Arial" w:hAnsi="Arial"/>
          <w:sz w:val="18"/>
          <w:szCs w:val="18"/>
          <w:u w:val="single" w:color="auto"/>
          <w:color w:val="auto"/>
        </w:rPr>
        <w:t>Exhibit K-1</w:t>
      </w:r>
      <w:r>
        <w:rPr>
          <w:rFonts w:ascii="Arial" w:cs="Arial" w:eastAsia="Arial" w:hAnsi="Arial"/>
          <w:sz w:val="18"/>
          <w:szCs w:val="18"/>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an executed copy of IRS Form W-8BEN or IRS Form W-8BEN-E; or</w:t>
      </w:r>
    </w:p>
    <w:p>
      <w:pPr>
        <w:spacing w:after="0" w:line="217" w:lineRule="exact"/>
        <w:rPr>
          <w:rFonts w:ascii="Arial" w:cs="Arial" w:eastAsia="Arial" w:hAnsi="Arial"/>
          <w:sz w:val="16"/>
          <w:szCs w:val="16"/>
          <w:color w:val="auto"/>
        </w:rPr>
      </w:pPr>
    </w:p>
    <w:p>
      <w:pPr>
        <w:jc w:val="both"/>
        <w:ind w:left="740" w:firstLine="1"/>
        <w:spacing w:after="0" w:line="254" w:lineRule="auto"/>
        <w:tabs>
          <w:tab w:leader="none" w:pos="9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IRS Form W-8IMY, accompanied by IRS Form W-8ECI, IRS Form W-8BEN or IRS Form W-8BEN-E, a U.S. Tax Compliance Certificate substantially in the form of </w:t>
      </w:r>
      <w:r>
        <w:rPr>
          <w:rFonts w:ascii="Arial" w:cs="Arial" w:eastAsia="Arial" w:hAnsi="Arial"/>
          <w:sz w:val="18"/>
          <w:szCs w:val="18"/>
          <w:u w:val="single" w:color="auto"/>
          <w:color w:val="auto"/>
        </w:rPr>
        <w:t>Exhibit K-2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K-3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K-4</w:t>
      </w:r>
      <w:r>
        <w:rPr>
          <w:rFonts w:ascii="Arial" w:cs="Arial" w:eastAsia="Arial" w:hAnsi="Arial"/>
          <w:sz w:val="18"/>
          <w:szCs w:val="18"/>
          <w:color w:val="auto"/>
        </w:rPr>
        <w:t xml:space="preserve"> on behalf of each such direct and indirect partner;</w:t>
      </w:r>
    </w:p>
    <w:p>
      <w:pPr>
        <w:spacing w:after="0" w:line="243" w:lineRule="exact"/>
        <w:rPr>
          <w:sz w:val="20"/>
          <w:szCs w:val="20"/>
          <w:color w:val="auto"/>
        </w:rPr>
      </w:pPr>
    </w:p>
    <w:p>
      <w:pPr>
        <w:jc w:val="both"/>
        <w:ind w:left="100" w:firstLine="641"/>
        <w:spacing w:after="0" w:line="272" w:lineRule="auto"/>
        <w:tabs>
          <w:tab w:leader="none" w:pos="16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228" w:lineRule="exact"/>
        <w:rPr>
          <w:rFonts w:ascii="Arial" w:cs="Arial" w:eastAsia="Arial" w:hAnsi="Arial"/>
          <w:sz w:val="17"/>
          <w:szCs w:val="17"/>
          <w:color w:val="auto"/>
        </w:rPr>
      </w:pPr>
    </w:p>
    <w:p>
      <w:pPr>
        <w:jc w:val="both"/>
        <w:ind w:left="100" w:firstLine="641"/>
        <w:spacing w:after="0" w:line="268" w:lineRule="auto"/>
        <w:tabs>
          <w:tab w:leader="none" w:pos="15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48260</wp:posOffset>
            </wp:positionV>
            <wp:extent cx="72472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20"/>
          </w:cols>
          <w:pgMar w:left="1440" w:top="367" w:right="239" w:bottom="1440" w:gutter="0" w:footer="0" w:header="0"/>
        </w:sectPr>
      </w:pPr>
    </w:p>
    <w:bookmarkStart w:id="148" w:name="page149"/>
    <w:bookmarkEnd w:id="148"/>
    <w:p>
      <w:pPr>
        <w:ind w:firstLine="645"/>
        <w:spacing w:after="0" w:line="275"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97" w:lineRule="exact"/>
        <w:rPr>
          <w:sz w:val="20"/>
          <w:szCs w:val="20"/>
          <w:color w:val="auto"/>
        </w:rPr>
      </w:pPr>
    </w:p>
    <w:p>
      <w:pPr>
        <w:jc w:val="both"/>
        <w:ind w:firstLine="1296"/>
        <w:spacing w:after="0" w:line="285" w:lineRule="auto"/>
        <w:tabs>
          <w:tab w:leader="none" w:pos="156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Administrative Agent or a Lender determines, in its sole discretion, that it has received a refund of any Taxes or Other Taxes as to which it has been indemnified by the Borrowers or with respect to which a Borrower has paid additional amounts pursuant to this Section 2.17, it shall pay over such refund to such Borrower (but only to the extent of indemnity payments made, or additional amounts paid, by such Borrower under this Section 2.17 with respect to the Taxes or Other Taxes giving rise to such refund), net of all out-of-pocket expenses (including Taxes) of the Administrative Agent or such Lender and without interest (other than any interest paid by the relevant Governmental Authority with respect to such refund); provided,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Administrative Agent or a Lender be required to pay any amount to a Borrower pursuant to this paragraph (f) the payment of which would place the Administrative Agent or such Lender, as applicable,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Administrative Agent or any Lender to make available its tax returns (or any other information relating to its taxes which it deems confidential) to any Borrower or any other Person.</w:t>
      </w:r>
    </w:p>
    <w:p>
      <w:pPr>
        <w:spacing w:after="0" w:line="194" w:lineRule="exact"/>
        <w:rPr>
          <w:rFonts w:ascii="Arial" w:cs="Arial" w:eastAsia="Arial" w:hAnsi="Arial"/>
          <w:sz w:val="16"/>
          <w:szCs w:val="16"/>
          <w:color w:val="auto"/>
        </w:rPr>
      </w:pPr>
    </w:p>
    <w:p>
      <w:pPr>
        <w:jc w:val="both"/>
        <w:ind w:firstLine="1296"/>
        <w:spacing w:after="0" w:line="287" w:lineRule="auto"/>
        <w:tabs>
          <w:tab w:leader="none" w:pos="1622"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Lender shall severally indemnify the Administrative Agent, within ten (10) days after demand therefor, for (i) any Indemnified Taxes or Other Taxes attributable to such Lender (but only to the extent that the Borrowers have not already indemnified the Administrative Agent for such Indemnified Taxes or Other Taxes and without limiting the obligation of the Borrowers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(g).</w:t>
      </w:r>
    </w:p>
    <w:p>
      <w:pPr>
        <w:spacing w:after="0" w:line="195" w:lineRule="exact"/>
        <w:rPr>
          <w:rFonts w:ascii="Arial" w:cs="Arial" w:eastAsia="Arial" w:hAnsi="Arial"/>
          <w:sz w:val="16"/>
          <w:szCs w:val="16"/>
          <w:color w:val="auto"/>
        </w:rPr>
      </w:pPr>
    </w:p>
    <w:p>
      <w:pPr>
        <w:jc w:val="both"/>
        <w:ind w:firstLine="1296"/>
        <w:spacing w:after="0" w:line="262" w:lineRule="auto"/>
        <w:tabs>
          <w:tab w:leader="none" w:pos="16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the Loan Parties and the Administrative Agent shall treat (and the Lenders hereby authorize the Administrative Agent to treat) this Agreement and the Loans as not qualifying as “grandfathered obligations” within the meaning of Treasury Regulation Section 1.1471-2(b)(2)(i).</w:t>
      </w:r>
    </w:p>
    <w:p>
      <w:pPr>
        <w:spacing w:after="0" w:line="208" w:lineRule="exact"/>
        <w:rPr>
          <w:rFonts w:ascii="Arial" w:cs="Arial" w:eastAsia="Arial" w:hAnsi="Arial"/>
          <w:sz w:val="18"/>
          <w:szCs w:val="18"/>
          <w:color w:val="auto"/>
        </w:rPr>
      </w:pPr>
    </w:p>
    <w:p>
      <w:pPr>
        <w:ind w:left="1560" w:hanging="264"/>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this Section 2.17, the term “Lender” includes any Issuing Bank.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83" w:lineRule="auto"/>
        <w:tabs>
          <w:tab w:leader="none" w:pos="1599"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Borrower shall make each 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Local Time, in the city of the Administrative Agent’s Eurocurrency Payment Office for such currency, in each case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Eurocurrency Payment Office for such currency, except payments to be made directly to an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203" w:lineRule="exact"/>
        <w:rPr>
          <w:rFonts w:ascii="Arial" w:cs="Arial" w:eastAsia="Arial" w:hAnsi="Arial"/>
          <w:sz w:val="16"/>
          <w:szCs w:val="16"/>
          <w:color w:val="auto"/>
        </w:rPr>
      </w:pPr>
    </w:p>
    <w:p>
      <w:pPr>
        <w:jc w:val="both"/>
        <w:ind w:firstLine="1296"/>
        <w:spacing w:after="0" w:line="295" w:lineRule="auto"/>
        <w:tabs>
          <w:tab w:leader="none" w:pos="15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Subject at all times to the terms and conditions of the final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5" w:lineRule="exact"/>
        <w:rPr>
          <w:rFonts w:ascii="Arial" w:cs="Arial" w:eastAsia="Arial" w:hAnsi="Arial"/>
          <w:sz w:val="16"/>
          <w:szCs w:val="16"/>
          <w:color w:val="auto"/>
        </w:rPr>
      </w:pPr>
    </w:p>
    <w:p>
      <w:pPr>
        <w:jc w:val="both"/>
        <w:ind w:firstLine="1296"/>
        <w:spacing w:after="0" w:line="284" w:lineRule="auto"/>
        <w:tabs>
          <w:tab w:leader="none" w:pos="1613"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0" w:name="page151"/>
    <w:bookmarkEnd w:id="150"/>
    <w:p>
      <w:pPr>
        <w:jc w:val="both"/>
        <w:ind w:firstLine="1296"/>
        <w:spacing w:after="0" w:line="268" w:lineRule="auto"/>
        <w:tabs>
          <w:tab w:leader="none" w:pos="1592"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 each of the Lenders or each of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210" w:lineRule="exact"/>
        <w:rPr>
          <w:rFonts w:ascii="Arial" w:cs="Arial" w:eastAsia="Arial" w:hAnsi="Arial"/>
          <w:sz w:val="17"/>
          <w:szCs w:val="17"/>
          <w:color w:val="auto"/>
        </w:rPr>
      </w:pPr>
    </w:p>
    <w:p>
      <w:pPr>
        <w:jc w:val="both"/>
        <w:ind w:firstLine="1296"/>
        <w:spacing w:after="0" w:line="272" w:lineRule="auto"/>
        <w:tabs>
          <w:tab w:leader="none" w:pos="160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201" w:lineRule="exact"/>
        <w:rPr>
          <w:sz w:val="20"/>
          <w:szCs w:val="20"/>
          <w:color w:val="auto"/>
        </w:rPr>
      </w:pPr>
    </w:p>
    <w:p>
      <w:pPr>
        <w:jc w:val="both"/>
        <w:ind w:firstLine="1289"/>
        <w:spacing w:after="0" w:line="270"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 (a) If any Lender requests compensation under Section 2.15, or if any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spacing w:after="0" w:line="206" w:lineRule="exact"/>
        <w:rPr>
          <w:sz w:val="20"/>
          <w:szCs w:val="20"/>
          <w:color w:val="auto"/>
        </w:rPr>
      </w:pPr>
    </w:p>
    <w:p>
      <w:pPr>
        <w:jc w:val="both"/>
        <w:ind w:firstLine="1296"/>
        <w:spacing w:after="0" w:line="283" w:lineRule="auto"/>
        <w:tabs>
          <w:tab w:leader="none" w:pos="1614"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(and if a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(a)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1" w:name="page152"/>
    <w:bookmarkEnd w:id="151"/>
    <w:p>
      <w:pPr>
        <w:jc w:val="both"/>
        <w:ind w:firstLine="1289"/>
        <w:spacing w:after="0" w:line="281"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Expansion Option</w:t>
      </w:r>
      <w:r>
        <w:rPr>
          <w:rFonts w:ascii="Arial" w:cs="Arial" w:eastAsia="Arial" w:hAnsi="Arial"/>
          <w:sz w:val="16"/>
          <w:szCs w:val="16"/>
          <w:color w:val="auto"/>
        </w:rPr>
        <w:t>. The Company may from time to time elect to increase the Commitments or enter into one or more tranches of term loans (each an “</w:t>
      </w:r>
      <w:r>
        <w:rPr>
          <w:rFonts w:ascii="Arial" w:cs="Arial" w:eastAsia="Arial" w:hAnsi="Arial"/>
          <w:sz w:val="16"/>
          <w:szCs w:val="16"/>
          <w:u w:val="single" w:color="auto"/>
          <w:color w:val="auto"/>
        </w:rPr>
        <w:t>Incremental Term Loan</w:t>
      </w:r>
      <w:r>
        <w:rPr>
          <w:rFonts w:ascii="Arial" w:cs="Arial" w:eastAsia="Arial" w:hAnsi="Arial"/>
          <w:sz w:val="16"/>
          <w:szCs w:val="16"/>
          <w:color w:val="auto"/>
        </w:rPr>
        <w:t>”), in each case, in minimum increments of $5,000,000 so long as, after giving effect thereto, the aggregate amount of such increases and all such Incremental Term Loans does not exceed $50,000,000. The Company may arrange for any such increase or tranche to be provided by one or more Lenders (each Lender so agreeing to an increase in its Commitment or to participate in such Incremental Term Loans,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Ineligible Institution may be an Augmenting Lender), to increase their existing Commitments, or to participate in such Incremental Term Loans, or extend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Augmenting Lender, shall be subject to the approval of the Company and the Administrative Agent and (ii) (x) in the case of an Increasing Lender, the Company and such Increasing Lender execute an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(y) in the case of an Augmenting Lender, the Company and such Augmenting Lender execute an agreement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No consent of any Lender (other than the Lenders participating in the increase or any Incremental Term Loan) shall be required for any increase in Commitments and/or Incremental Term Loan pursuant to this Section 2.20. Increases and new Commitments and Incremental Term Loans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Commitments (or in the Commitment of any Lender) or tranche of Incremental Term Loans shall become effective under this paragraph unless,</w:t>
      </w:r>
    </w:p>
    <w:p>
      <w:pPr>
        <w:spacing w:after="0" w:line="7" w:lineRule="exact"/>
        <w:rPr>
          <w:sz w:val="20"/>
          <w:szCs w:val="20"/>
          <w:color w:val="auto"/>
        </w:rPr>
      </w:pPr>
    </w:p>
    <w:p>
      <w:pPr>
        <w:jc w:val="both"/>
        <w:ind w:firstLine="7"/>
        <w:spacing w:after="0" w:line="280" w:lineRule="auto"/>
        <w:tabs>
          <w:tab w:leader="none" w:pos="2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Company and (B) the Company shall be in compliance (on a Pro Forma Basis reasonably acceptable to the Administrative Agent) with the covenants contained in Section 6.11 and (ii) the Administrative Agent shall have received documents and opinions consistent with those delivered on the Effective Date as to the organizational power and authority of the Borrowers to borrow hereunder after giving effect to such increase or Incremental Term Loan. On the effective date of any increase in the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Borrowers shall be deemed to have repaid and reborrowed all outstanding Revolving Loans as of the date of any increase in the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Eurocurrency Loan, shall be subject to indemnification by the Borrowers pursuant to the provisions of Section 2.16 if the deemed payment occurs other than on the last day of the related Interest Periods. The Incremental Term Loans (a) shall rank pari passu in right of payment with the Revolving Loans, (b) shall not mature earlier than the Maturity Date (but may have amortization prior to such date) and (c) shall be treated substantially the same as (and in any event no more favorably than) the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 w:lineRule="exact"/>
        <w:rPr>
          <w:rFonts w:ascii="Arial" w:cs="Arial" w:eastAsia="Arial" w:hAnsi="Arial"/>
          <w:sz w:val="16"/>
          <w:szCs w:val="16"/>
          <w:color w:val="auto"/>
        </w:rPr>
      </w:pPr>
    </w:p>
    <w:p>
      <w:pPr>
        <w:jc w:val="both"/>
        <w:ind w:firstLine="7"/>
        <w:spacing w:after="0" w:line="266" w:lineRule="auto"/>
        <w:tabs>
          <w:tab w:leader="none" w:pos="233"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Incremental Term Loans may be made hereunder pursuant to an amendment or restatement (an “</w:t>
      </w:r>
      <w:r>
        <w:rPr>
          <w:rFonts w:ascii="Arial" w:cs="Arial" w:eastAsia="Arial" w:hAnsi="Arial"/>
          <w:sz w:val="17"/>
          <w:szCs w:val="17"/>
          <w:u w:val="single" w:color="auto"/>
          <w:color w:val="auto"/>
        </w:rPr>
        <w:t>Incremental Term Loan Amendment</w:t>
      </w:r>
      <w:r>
        <w:rPr>
          <w:rFonts w:ascii="Arial" w:cs="Arial" w:eastAsia="Arial" w:hAnsi="Arial"/>
          <w:sz w:val="17"/>
          <w:szCs w:val="17"/>
          <w:color w:val="auto"/>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Nothing contained in this Section 2.20 shall constitute, or otherwise be deemed to be, a commitment on the part of any Lender to increase its Commitment hereunder, or provide Incremental Term Loans, at any time.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2" w:name="page153"/>
    <w:bookmarkEnd w:id="152"/>
    <w:p>
      <w:pPr>
        <w:jc w:val="both"/>
        <w:ind w:firstLine="1289"/>
        <w:spacing w:after="0" w:line="283"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Market Disruption</w:t>
      </w:r>
      <w:r>
        <w:rPr>
          <w:rFonts w:ascii="Arial" w:cs="Arial" w:eastAsia="Arial" w:hAnsi="Arial"/>
          <w:sz w:val="16"/>
          <w:szCs w:val="16"/>
          <w:color w:val="auto"/>
        </w:rPr>
        <w:t>. Notwithstanding the satisfaction of all conditions referred to in Article II and Article IV with respect to any Credit Event to be effected in any Foreign Currency, if (i) there shall occur on or prior to the date of such Credit Event any change in national or international financial, political or economic conditions or currency exchange rates or exchange controls which would in the reasonable opinion of the Administrative Agent, the Issuing Banks (if such Credit Event is a Letter of Credit) or the Required Lenders make it impracticable for the Eurocurrency Borrowings or Letters of Credit comprising such Credit Event to be denominated in the Agreed Currency specified by the applicable Borrower or (ii) an Equivalent Amount of such currency is not readily calculable, then the Administrative Agent shall forthwith give notice thereof to such Borrower, the Lenders and, if such Credit Event is a Letter of Credit, the Issuing Banks, and such Credit Events shall not be denominated in such Agreed Currency but shall, except as otherwise set forth in Section 2.07, be made on the date of such Credit Event in Dollars, (a) if such Credit Event is a Borrowing, in an aggregate principal amount equal to the Dollar Amount of the aggregate principal amount specified in the related Credit Event Request or Interest Election Request, as the case may be, as ABR Loans, unless such Borrower notifies the Administrative Agent at least one Business Day before such date that (i) it elects not to borrow on such date or (ii) it elects to borrow on such date in a different Agreed Currency, as the case may be, in which the denomination of such Loans would in the reasonable opinion of the Administrative Agent and the Required Lenders be practicable and in an aggregate principal amount equal to the Dollar Amount of the aggregate principal amount specified in the related Credit Event Request or Interest Election Request, as the case may be or (b) if such Credit Event is a Letter of Credit, in a face amount equal to the Dollar Amount of the face amount specified in the related request or application for such Letter of Credit, unless such Borrower notifies the Administrative Agent at least one (1) Business Day before such date that (i) it elects not to request the issuance of such Letter of Credit on such date or (ii) it elects to have such Letter of Credit issued on such date in a different Agreed Currency, as the case may be, in which the denomination of such Letter of Credit would in the reasonable opinion of the Issuing Banks, the Administrative Agent and the Required Lenders be practicable and in face amount equal to the Dollar Amount of the face amount specified in the related request or application for such Letter of Credit, as the case may be.</w:t>
      </w:r>
    </w:p>
    <w:p>
      <w:pPr>
        <w:spacing w:after="0" w:line="204" w:lineRule="exact"/>
        <w:rPr>
          <w:sz w:val="20"/>
          <w:szCs w:val="20"/>
          <w:color w:val="auto"/>
        </w:rPr>
      </w:pPr>
    </w:p>
    <w:p>
      <w:pPr>
        <w:jc w:val="both"/>
        <w:ind w:firstLine="1289"/>
        <w:spacing w:after="0" w:line="216" w:lineRule="exact"/>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any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w:t>
      </w:r>
      <w:r>
        <w:rPr>
          <w:rFonts w:ascii="MS PGothic" w:cs="MS PGothic" w:eastAsia="MS PGothic" w:hAnsi="MS PGothic"/>
          <w:sz w:val="16"/>
          <w:szCs w:val="16"/>
          <w:color w:val="auto"/>
        </w:rPr>
        <w:t>‑</w:t>
      </w:r>
      <w:r>
        <w:rPr>
          <w:rFonts w:ascii="Arial" w:cs="Arial" w:eastAsia="Arial" w:hAnsi="Arial"/>
          <w:sz w:val="16"/>
          <w:szCs w:val="16"/>
          <w:color w:val="auto"/>
        </w:rPr>
        <w:t>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spacing w:after="0" w:line="234" w:lineRule="exact"/>
        <w:rPr>
          <w:sz w:val="20"/>
          <w:szCs w:val="20"/>
          <w:color w:val="auto"/>
        </w:rPr>
      </w:pPr>
    </w:p>
    <w:p>
      <w:pPr>
        <w:jc w:val="both"/>
        <w:ind w:firstLine="1289"/>
        <w:spacing w:after="0" w:line="252" w:lineRule="auto"/>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Designation of Foreign Subsidiary Borrowers</w:t>
      </w:r>
      <w:r>
        <w:rPr>
          <w:rFonts w:ascii="Arial" w:cs="Arial" w:eastAsia="Arial" w:hAnsi="Arial"/>
          <w:sz w:val="18"/>
          <w:szCs w:val="18"/>
          <w:color w:val="auto"/>
        </w:rPr>
        <w:t xml:space="preserve">. The Company may at any time and from time to time designate any Eligible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shall be outstanding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3" w:name="page154"/>
    <w:bookmarkEnd w:id="153"/>
    <w:p>
      <w:pPr>
        <w:ind w:firstLine="1289"/>
        <w:spacing w:after="0" w:line="275" w:lineRule="auto"/>
        <w:rPr>
          <w:sz w:val="20"/>
          <w:szCs w:val="20"/>
          <w:color w:val="auto"/>
        </w:rPr>
      </w:pPr>
      <w:r>
        <w:rPr>
          <w:rFonts w:ascii="Arial" w:cs="Arial" w:eastAsia="Arial" w:hAnsi="Arial"/>
          <w:sz w:val="18"/>
          <w:szCs w:val="18"/>
          <w:color w:val="auto"/>
        </w:rPr>
        <w:t xml:space="preserve">SECTION 2.24.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97" w:lineRule="exact"/>
        <w:rPr>
          <w:sz w:val="20"/>
          <w:szCs w:val="20"/>
          <w:color w:val="auto"/>
        </w:rPr>
      </w:pPr>
    </w:p>
    <w:p>
      <w:pPr>
        <w:ind w:left="1580" w:hanging="284"/>
        <w:spacing w:after="0"/>
        <w:tabs>
          <w:tab w:leader="none" w:pos="15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2.12(a);</w:t>
      </w:r>
    </w:p>
    <w:p>
      <w:pPr>
        <w:spacing w:after="0" w:line="261" w:lineRule="exact"/>
        <w:rPr>
          <w:rFonts w:ascii="Arial" w:cs="Arial" w:eastAsia="Arial" w:hAnsi="Arial"/>
          <w:sz w:val="17"/>
          <w:szCs w:val="17"/>
          <w:color w:val="auto"/>
        </w:rPr>
      </w:pPr>
    </w:p>
    <w:p>
      <w:pPr>
        <w:jc w:val="both"/>
        <w:ind w:firstLine="1296"/>
        <w:spacing w:after="0" w:line="277" w:lineRule="auto"/>
        <w:tabs>
          <w:tab w:leader="none" w:pos="1596"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Commitment and Revolving Credit Exposure of such Defaulting Lender shall not be included in determining whether all Lenders or the Required Lenders have taken or may take any action hereunder (including any consent to any amendment, waiver or other modification pursuant to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98" w:lineRule="exact"/>
        <w:rPr>
          <w:rFonts w:ascii="Arial" w:cs="Arial" w:eastAsia="Arial" w:hAnsi="Arial"/>
          <w:sz w:val="17"/>
          <w:szCs w:val="17"/>
          <w:color w:val="auto"/>
        </w:rPr>
      </w:pPr>
    </w:p>
    <w:p>
      <w:pPr>
        <w:ind w:left="1580" w:hanging="284"/>
        <w:spacing w:after="0"/>
        <w:tabs>
          <w:tab w:leader="none" w:pos="1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50" w:lineRule="exact"/>
        <w:rPr>
          <w:sz w:val="20"/>
          <w:szCs w:val="20"/>
          <w:color w:val="auto"/>
        </w:rPr>
      </w:pPr>
    </w:p>
    <w:p>
      <w:pPr>
        <w:jc w:val="both"/>
        <w:ind w:left="660" w:firstLine="636"/>
        <w:spacing w:after="0" w:line="254" w:lineRule="auto"/>
        <w:tabs>
          <w:tab w:leader="none" w:pos="16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(other than the portion of such Swingline Exposure referred to in clause (b) of the definition of such term) shall be reallocated among the non-Defaulting Lenders in accordance with their respective Applicable Percentages but only to the extent (A) the sum of all non-Defaulting Lenders’ Revolving Credit Exposures plus such Defaulting Lender’s Swingline Exposure and LC Exposure does not exceed the total of all non-Defaulting Lenders’ Commitments, (B) each non-Defaulting Lender’s Revolving Credit Exposure does not exceed such non-Defaulting Lender’s Commitment and (C) no Event of Default has occurred and is continuing;</w:t>
      </w:r>
    </w:p>
    <w:p>
      <w:pPr>
        <w:spacing w:after="0" w:line="216" w:lineRule="exact"/>
        <w:rPr>
          <w:rFonts w:ascii="Arial" w:cs="Arial" w:eastAsia="Arial" w:hAnsi="Arial"/>
          <w:sz w:val="18"/>
          <w:szCs w:val="18"/>
          <w:color w:val="auto"/>
        </w:rPr>
      </w:pPr>
    </w:p>
    <w:p>
      <w:pPr>
        <w:jc w:val="both"/>
        <w:ind w:left="660" w:right="20" w:firstLine="636"/>
        <w:spacing w:after="0" w:line="300" w:lineRule="auto"/>
        <w:tabs>
          <w:tab w:leader="none" w:pos="1614"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the Company shall within one (1) Business Day following notice by the Administrative Agent (x) first, prepay such Swingline Exposure and (y) second, cash collateralize for the benefit of the Issuing Banks only the Company’s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1" w:lineRule="exact"/>
        <w:rPr>
          <w:rFonts w:ascii="Arial" w:cs="Arial" w:eastAsia="Arial" w:hAnsi="Arial"/>
          <w:sz w:val="16"/>
          <w:szCs w:val="16"/>
          <w:color w:val="auto"/>
        </w:rPr>
      </w:pPr>
    </w:p>
    <w:p>
      <w:pPr>
        <w:jc w:val="both"/>
        <w:ind w:left="660" w:firstLine="636"/>
        <w:spacing w:after="0" w:line="262" w:lineRule="auto"/>
        <w:tabs>
          <w:tab w:leader="none" w:pos="168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any fees to such Defaulting Lender pursuant to Section 2.12(b) with respect to such Defaulting Lender’s LC Exposure during the period such Defaulting Lender’s LC Exposure is cash collateralized;</w:t>
      </w:r>
    </w:p>
    <w:p>
      <w:pPr>
        <w:spacing w:after="0" w:line="208" w:lineRule="exact"/>
        <w:rPr>
          <w:rFonts w:ascii="Arial" w:cs="Arial" w:eastAsia="Arial" w:hAnsi="Arial"/>
          <w:sz w:val="18"/>
          <w:szCs w:val="18"/>
          <w:color w:val="auto"/>
        </w:rPr>
      </w:pPr>
    </w:p>
    <w:p>
      <w:pPr>
        <w:ind w:left="660" w:firstLine="636"/>
        <w:spacing w:after="0" w:line="339" w:lineRule="auto"/>
        <w:tabs>
          <w:tab w:leader="none" w:pos="1697"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51" w:lineRule="exact"/>
        <w:rPr>
          <w:rFonts w:ascii="Arial" w:cs="Arial" w:eastAsia="Arial" w:hAnsi="Arial"/>
          <w:sz w:val="16"/>
          <w:szCs w:val="16"/>
          <w:color w:val="auto"/>
        </w:rPr>
      </w:pPr>
    </w:p>
    <w:p>
      <w:pPr>
        <w:jc w:val="both"/>
        <w:ind w:left="660" w:firstLine="636"/>
        <w:spacing w:after="0" w:line="257" w:lineRule="auto"/>
        <w:tabs>
          <w:tab w:leader="none" w:pos="16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Banks or any other Lender hereunder, all letter of credit fees payable under Section 2.12(b) with respect to such Defaulting Lender’s LC Exposure shall be payable to the Issuing Banks until and to the extent that such LC Exposure is reallocated and/or cash collateralized; and</w:t>
      </w:r>
    </w:p>
    <w:p>
      <w:pPr>
        <w:spacing w:after="0" w:line="214" w:lineRule="exact"/>
        <w:rPr>
          <w:sz w:val="20"/>
          <w:szCs w:val="20"/>
          <w:color w:val="auto"/>
        </w:rPr>
      </w:pPr>
    </w:p>
    <w:p>
      <w:pPr>
        <w:jc w:val="both"/>
        <w:ind w:firstLine="1296"/>
        <w:spacing w:after="0" w:line="295" w:lineRule="auto"/>
        <w:tabs>
          <w:tab w:leader="none" w:pos="1609" w:val="left"/>
        </w:tabs>
        <w:numPr>
          <w:ilvl w:val="0"/>
          <w:numId w:val="82"/>
        </w:numPr>
        <w:rPr>
          <w:rFonts w:ascii="Arial" w:cs="Arial" w:eastAsia="Arial" w:hAnsi="Arial"/>
          <w:sz w:val="16"/>
          <w:szCs w:val="16"/>
          <w:color w:val="auto"/>
        </w:rPr>
      </w:pPr>
      <w:r>
        <w:rPr>
          <w:rFonts w:ascii="Arial" w:cs="Arial" w:eastAsia="Arial" w:hAnsi="Arial"/>
          <w:sz w:val="16"/>
          <w:szCs w:val="16"/>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2.24(c), and participating interests in any such newly made Swingline Loan or any newly issued or increased Letter of Credit shall be allocated among non-Defaulting Lenders in a manner consistent with Section 2.24(c)(i) (and such Defaulting Lender shall not participate therein).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4" w:name="page155"/>
    <w:bookmarkEnd w:id="154"/>
    <w:p>
      <w:pPr>
        <w:jc w:val="both"/>
        <w:ind w:firstLine="1289"/>
        <w:spacing w:after="0" w:line="254"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such Issuing Bank shall not be required to issue, amend or increase any Letter of Credit, unless the Swingline Lender or such Issuing Bank, as the case may be, shall have entered into arrangements with the Company or such Lender, satisfactory to the Swingline Lender or such Issuing Bank, as the case may be, to defease any risk to it in respect of such Lender hereunder.</w:t>
      </w:r>
    </w:p>
    <w:p>
      <w:pPr>
        <w:spacing w:after="0" w:line="216"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In the event that the Administrative Agent, the Company, the Swingline Lender and the Issuing Banks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0"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Borrower represents and warrants to the Lenders that:</w:t>
      </w:r>
    </w:p>
    <w:p>
      <w:pPr>
        <w:spacing w:after="0" w:line="250" w:lineRule="exact"/>
        <w:rPr>
          <w:sz w:val="20"/>
          <w:szCs w:val="20"/>
          <w:color w:val="auto"/>
        </w:rPr>
      </w:pPr>
    </w:p>
    <w:p>
      <w:pPr>
        <w:jc w:val="both"/>
        <w:ind w:firstLine="1289"/>
        <w:spacing w:after="0" w:line="284"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Each of the Company and its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Schedule 3.01 hereto (as supplemented from time to time) identifies each Subsidiary, if such Subsidiary is a Material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Schedule 3.01 (as supplemented from time to time but, in the case of any Subsidiary, as permitted by Section 6.09) as owned by the Company or another Subsidiary are owned, beneficially and of record, by the Company or any Subsidiary free and clear of all Liens, other than Liens created under the Loan Documents. Except as set forth in Schedule 3.01 (as supplemented from time to time but, in the case of any Subsidiary, as permitted by Section 6.09), there are no outstanding commitments or other obligations of the Company or any Subsidiary to issue, and no options, warrants or other rights of any Person to acquire, any shares of any class of capital stock or other equity interests of the Company or any Subsidiary.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5" w:name="page156"/>
    <w:bookmarkEnd w:id="155"/>
    <w:p>
      <w:pPr>
        <w:jc w:val="both"/>
        <w:ind w:firstLine="1289"/>
        <w:spacing w:after="0" w:line="274"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organizational powers and have been duly authorized by all necessary organizational actions and, if required, shareholder action. The Loan Documents to which each Loan Party is a party have been duly executed and delivered by such Loan Party and constitute a legal, valid and binding obligation of such Loan Party, enforceable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The Transactions (a) do not require any consent or approval of, registration or filing with, or any other action by, any Governmental Authority, except such as have been obtained or made and are in full force and effect, and except where the failure to do so, individually or in the aggregate, could not reasonably be expected to result in a Material Adverse Effect, (b) will not violate any applicable law or regulation or the charter, by-laws or other organizational documents of the Company or any of its Subsidiaries or any order of any Governmental Authority, except for violations, individually or in the aggregate, which could not reasonably be expected to result in a Material Adverse Effect, (c) will not violate or result in a default under any indenture, agreement or other instrument binding upon the Company or any of its Subsidiaries or its assets, or give rise to a right thereunder to require any payment to be made by the Company or any of its Subsidiaries, except for violations or defaults, individually or in the aggregate, which could not reasonably be expected to result in a Material Adverse Effect, and (d) will not result in the creation or imposition of any Lien on any asset of the Company or any of its Subsidiaries, other than Liens created under the Loan Documents.</w:t>
      </w:r>
    </w:p>
    <w:p>
      <w:pPr>
        <w:spacing w:after="0" w:line="211"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The Company has heretofore furnished to the Lenders its consolidated balance sheet and statements of income, stockholders equity and cash flows (i) as of and for the fiscal year ended October 29, 2017 reported on by Deloitte &amp; Touche LLP, independent public accountants and (ii) as of and for the fiscal quarter and the portion of the fiscal year ended January 28, 2018 and April 29, 2018, in each case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188" w:lineRule="exact"/>
        <w:rPr>
          <w:sz w:val="20"/>
          <w:szCs w:val="20"/>
          <w:color w:val="auto"/>
        </w:rPr>
      </w:pPr>
    </w:p>
    <w:p>
      <w:pPr>
        <w:ind w:firstLine="1296"/>
        <w:spacing w:after="0" w:line="275" w:lineRule="auto"/>
        <w:tabs>
          <w:tab w:leader="none" w:pos="16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Since October 29, 2017, there has been no material adverse change in the business, assets, operations or condition, financial or otherwise, of the Company and its Subsidiaries, taken as a whole.</w:t>
      </w:r>
    </w:p>
    <w:p>
      <w:pPr>
        <w:spacing w:after="0" w:line="197"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(a) Each of the Company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There are no Liens on any of the real or personal properties of the Company or any Subsidiary except for Liens permitted by Section 6.02.</w:t>
      </w:r>
    </w:p>
    <w:p>
      <w:pPr>
        <w:spacing w:after="0" w:line="214" w:lineRule="exact"/>
        <w:rPr>
          <w:sz w:val="20"/>
          <w:szCs w:val="20"/>
          <w:color w:val="auto"/>
        </w:rPr>
      </w:pPr>
    </w:p>
    <w:p>
      <w:pPr>
        <w:jc w:val="both"/>
        <w:ind w:firstLine="1296"/>
        <w:spacing w:after="0" w:line="284" w:lineRule="auto"/>
        <w:tabs>
          <w:tab w:leader="none" w:pos="16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92"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6" w:name="page157"/>
    <w:bookmarkEnd w:id="156"/>
    <w:p>
      <w:pPr>
        <w:jc w:val="both"/>
        <w:ind w:firstLine="1296"/>
        <w:spacing w:after="0" w:line="277" w:lineRule="auto"/>
        <w:tabs>
          <w:tab w:leader="none" w:pos="1606"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98" w:lineRule="exact"/>
        <w:rPr>
          <w:rFonts w:ascii="Arial" w:cs="Arial" w:eastAsia="Arial" w:hAnsi="Arial"/>
          <w:sz w:val="17"/>
          <w:szCs w:val="17"/>
          <w:color w:val="auto"/>
        </w:rPr>
      </w:pPr>
    </w:p>
    <w:p>
      <w:pPr>
        <w:ind w:firstLine="1296"/>
        <w:spacing w:after="0" w:line="275" w:lineRule="auto"/>
        <w:tabs>
          <w:tab w:leader="none" w:pos="15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Company nor any Subsidiary is party or subject to any law, regulation, rule or order, or any obligation under any agreement or instrument, that has a Material Adverse Effect.</w:t>
      </w:r>
    </w:p>
    <w:p>
      <w:pPr>
        <w:spacing w:after="0" w:line="197" w:lineRule="exact"/>
        <w:rPr>
          <w:sz w:val="20"/>
          <w:szCs w:val="20"/>
          <w:color w:val="auto"/>
        </w:rPr>
      </w:pPr>
    </w:p>
    <w:p>
      <w:pPr>
        <w:jc w:val="both"/>
        <w:ind w:right="20" w:firstLine="1289"/>
        <w:spacing w:after="0" w:line="309"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its Subsidiaries is an “investment company” as defined in, or subject to regulation under, the Investment Company Act of 1940.</w:t>
      </w:r>
    </w:p>
    <w:p>
      <w:pPr>
        <w:spacing w:after="0" w:line="197"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w:t>
      </w:r>
    </w:p>
    <w:p>
      <w:pPr>
        <w:spacing w:after="0" w:line="214"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5"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The Company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information furnished by or on behalf of the Company or any Subsidiary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Borrowers represent only that such information was prepared in good faith based upon assumptions believed to be reasonable at the time. As of the Effective Date, to the knowledge of the Company, the information included in the Beneficial Ownership Certification provided on or prior to the Effective Date to any Lender in connection with this Agreement is true and correct in all material respects.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7" w:name="page158"/>
    <w:bookmarkEnd w:id="157"/>
    <w:p>
      <w:pPr>
        <w:jc w:val="both"/>
        <w:ind w:firstLine="1289"/>
        <w:spacing w:after="0" w:line="27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have been used or will be used, whether directly or indirectly, for any purpose that entails a violation of any of the Regulations of the Board, including Regulations T, U and X.</w:t>
      </w:r>
    </w:p>
    <w:p>
      <w:pPr>
        <w:spacing w:after="0" w:line="197"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Liens</w:t>
      </w:r>
      <w:r>
        <w:rPr>
          <w:rFonts w:ascii="Arial" w:cs="Arial" w:eastAsia="Arial" w:hAnsi="Arial"/>
          <w:sz w:val="18"/>
          <w:szCs w:val="18"/>
          <w:color w:val="auto"/>
        </w:rPr>
        <w:t>. There are no Liens on any of the real or personal properties of the Company or any Subsidiary except for Liens permitted by Section 6.02.</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No Default</w:t>
      </w:r>
      <w:r>
        <w:rPr>
          <w:rFonts w:ascii="Arial" w:cs="Arial" w:eastAsia="Arial" w:hAnsi="Arial"/>
          <w:sz w:val="16"/>
          <w:szCs w:val="16"/>
          <w:color w:val="auto"/>
        </w:rPr>
        <w:t xml:space="preserve"> Each Borrower is in full compliance with this Agreement and no Default or Event of Default has occurred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is continuing.</w:t>
      </w:r>
    </w:p>
    <w:p>
      <w:pPr>
        <w:spacing w:after="0" w:line="235" w:lineRule="exact"/>
        <w:rPr>
          <w:sz w:val="20"/>
          <w:szCs w:val="20"/>
          <w:color w:val="auto"/>
        </w:rPr>
      </w:pPr>
    </w:p>
    <w:p>
      <w:pPr>
        <w:jc w:val="both"/>
        <w:ind w:firstLine="1289"/>
        <w:spacing w:after="0" w:line="252"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the Collateral covered thereby in favor of the Collateral Agent, for the benefit of the Holders of Secured Obligations, and (i) when all appropriate filings, recordings, registrations, stampings or notifications are made and (ii) upon the taking of possession or control by the Collateral Agent of such Collateral with respect to which a security interest may be perfected only by possession or control, such Liens shall constitute perfected and continuing Liens on the Collateral, securing the Secured Obligations, and having priority over all other Liens on the Collateral except in the case of (a) Permitted Encumbrances, to the extent any such Permitted Encumbrances would have priority over the Liens in favor of the Collateral Agent pursuant to any applicable law and (b) Liens perfected only by possession (including possession of any certificate of title) to the extent the Collateral Agent has not obtained or does not maintain possession of such Collateral.</w:t>
      </w:r>
    </w:p>
    <w:p>
      <w:pPr>
        <w:spacing w:after="0" w:line="222" w:lineRule="exact"/>
        <w:rPr>
          <w:sz w:val="20"/>
          <w:szCs w:val="20"/>
          <w:color w:val="auto"/>
        </w:rPr>
      </w:pPr>
    </w:p>
    <w:p>
      <w:pPr>
        <w:jc w:val="both"/>
        <w:ind w:firstLine="1289"/>
        <w:spacing w:after="0" w:line="290"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has implemented and maintains in effect policies and procedures designed to ensure compliance in all material respects by the Company, its Subsidiaries and their respective directors, officers, employees and agents with Anti-Corruption Laws and applicable Sanctions, and the Company, its Subsidiaries and their respective officers and directors and to the knowledge of the Company its employees and agents,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Anti-Corruption Laws or applicable Sanctions.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No Loan Party is an EEA Financial Institution.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50" w:lineRule="exact"/>
        <w:rPr>
          <w:sz w:val="20"/>
          <w:szCs w:val="20"/>
          <w:color w:val="auto"/>
        </w:rPr>
      </w:pPr>
    </w:p>
    <w:p>
      <w:pPr>
        <w:jc w:val="both"/>
        <w:ind w:firstLine="1289"/>
        <w:spacing w:after="0" w:line="305"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75" w:lineRule="exact"/>
        <w:rPr>
          <w:sz w:val="20"/>
          <w:szCs w:val="20"/>
          <w:color w:val="auto"/>
        </w:rPr>
      </w:pPr>
    </w:p>
    <w:p>
      <w:pPr>
        <w:jc w:val="both"/>
        <w:ind w:left="660" w:firstLine="636"/>
        <w:spacing w:after="0" w:line="262" w:lineRule="auto"/>
        <w:tabs>
          <w:tab w:leader="none" w:pos="15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8" w:name="page159"/>
    <w:bookmarkEnd w:id="158"/>
    <w:p>
      <w:pPr>
        <w:jc w:val="both"/>
        <w:ind w:left="660" w:firstLine="636"/>
        <w:spacing w:after="0" w:line="300" w:lineRule="auto"/>
        <w:tabs>
          <w:tab w:leader="none" w:pos="162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favorable written opinions (addressed to the Administrative Agent and the Lenders and dated the Effective Date) of (i) Richelle Burr, General Counsel of the Company, and (ii) Withers Bergman LLP, outside counsel for the initial Loan Parties, in each case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and covering such other matters relating to the Loan Parties, the Loan Documents or the Transactions as the Administrative Agent shall reasonably request. The Company hereby requests such counsel to deliver such opinion.</w:t>
      </w:r>
    </w:p>
    <w:p>
      <w:pPr>
        <w:spacing w:after="0" w:line="181" w:lineRule="exact"/>
        <w:rPr>
          <w:rFonts w:ascii="Arial" w:cs="Arial" w:eastAsia="Arial" w:hAnsi="Arial"/>
          <w:sz w:val="16"/>
          <w:szCs w:val="16"/>
          <w:color w:val="auto"/>
        </w:rPr>
      </w:pPr>
    </w:p>
    <w:p>
      <w:pPr>
        <w:jc w:val="both"/>
        <w:ind w:left="660" w:firstLine="636"/>
        <w:spacing w:after="0" w:line="277" w:lineRule="auto"/>
        <w:tabs>
          <w:tab w:leader="none" w:pos="1676"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Exhibit E.</w:t>
      </w:r>
    </w:p>
    <w:p>
      <w:pPr>
        <w:spacing w:after="0" w:line="198" w:lineRule="exact"/>
        <w:rPr>
          <w:rFonts w:ascii="Arial" w:cs="Arial" w:eastAsia="Arial" w:hAnsi="Arial"/>
          <w:sz w:val="17"/>
          <w:szCs w:val="17"/>
          <w:color w:val="auto"/>
        </w:rPr>
      </w:pPr>
    </w:p>
    <w:p>
      <w:pPr>
        <w:ind w:left="660" w:firstLine="636"/>
        <w:spacing w:after="0" w:line="305" w:lineRule="auto"/>
        <w:tabs>
          <w:tab w:leader="none" w:pos="1623"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dated the Effective Date and signed by the President, a Vice President or a Financial Officer of the Company, confirming compliance with the conditions set forth in paragraphs (a) and (b) of Section 4.02.</w:t>
      </w:r>
    </w:p>
    <w:p>
      <w:pPr>
        <w:spacing w:after="0" w:line="174" w:lineRule="exact"/>
        <w:rPr>
          <w:rFonts w:ascii="Arial" w:cs="Arial" w:eastAsia="Arial" w:hAnsi="Arial"/>
          <w:sz w:val="17"/>
          <w:szCs w:val="17"/>
          <w:color w:val="auto"/>
        </w:rPr>
      </w:pPr>
    </w:p>
    <w:p>
      <w:pPr>
        <w:jc w:val="both"/>
        <w:ind w:left="660" w:firstLine="636"/>
        <w:spacing w:after="0" w:line="290" w:lineRule="auto"/>
        <w:tabs>
          <w:tab w:leader="none" w:pos="16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The Administrative Agent shall have received, at least five (5) days prior to the Effective Date, all documentation and other information regarding the Borrower requested in connection with applicable “know your customer” and anti-money laundering rules and regulations, including the Patriot Act, to the extent requested in writing of the Company at least ten (10) days prior to the Effective Date and (ii) to the extent the Company qualifies as a “legal entity customer” under the Beneficial Ownership Regulation, at least five (5) days prior to the Effective Date, any Lender that has requested, in a written notice to the Company at least ten (10) days prior to the Effective Date, a Beneficial Ownership Certification in relation to the Company shall have received such Beneficial Ownership Certification (provided that, upon the execution and delivery by such Lender of its signature page to this Agreement, the condition set forth in this clause (e) shall be deemed to be satisfied).</w:t>
      </w:r>
    </w:p>
    <w:p>
      <w:pPr>
        <w:spacing w:after="0" w:line="189" w:lineRule="exact"/>
        <w:rPr>
          <w:rFonts w:ascii="Arial" w:cs="Arial" w:eastAsia="Arial" w:hAnsi="Arial"/>
          <w:sz w:val="16"/>
          <w:szCs w:val="16"/>
          <w:color w:val="auto"/>
        </w:rPr>
      </w:pPr>
    </w:p>
    <w:p>
      <w:pPr>
        <w:ind w:left="660" w:firstLine="636"/>
        <w:spacing w:after="0" w:line="339" w:lineRule="auto"/>
        <w:tabs>
          <w:tab w:leader="none" w:pos="1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Effective Date, including, to the extent invoiced, reimbursement or payment of all out-of-pocket expenses required to be reimbursed or paid by the Company hereunder.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50" w:lineRule="exact"/>
        <w:rPr>
          <w:sz w:val="20"/>
          <w:szCs w:val="20"/>
          <w:color w:val="auto"/>
        </w:rPr>
      </w:pPr>
    </w:p>
    <w:p>
      <w:pPr>
        <w:ind w:firstLine="1289"/>
        <w:spacing w:after="0" w:line="27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issue, amend, renew or extend any Letter of Credit, is subject to the satisfaction of the following conditions:</w:t>
      </w:r>
    </w:p>
    <w:p>
      <w:pPr>
        <w:spacing w:after="0" w:line="197" w:lineRule="exact"/>
        <w:rPr>
          <w:sz w:val="20"/>
          <w:szCs w:val="20"/>
          <w:color w:val="auto"/>
        </w:rPr>
      </w:pPr>
    </w:p>
    <w:p>
      <w:pPr>
        <w:ind w:left="660" w:firstLine="636"/>
        <w:spacing w:after="0" w:line="275" w:lineRule="auto"/>
        <w:tabs>
          <w:tab w:leader="none" w:pos="1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Borrowers set forth in this Agreement shall be true and correct on and as of the date of such Borrowing or the date of issuance, amendment, renewal or extension of such Letter of Credit, as applicable.</w:t>
      </w:r>
    </w:p>
    <w:p>
      <w:pPr>
        <w:spacing w:after="0" w:line="197" w:lineRule="exact"/>
        <w:rPr>
          <w:rFonts w:ascii="Arial" w:cs="Arial" w:eastAsia="Arial" w:hAnsi="Arial"/>
          <w:sz w:val="18"/>
          <w:szCs w:val="18"/>
          <w:color w:val="auto"/>
        </w:rPr>
      </w:pPr>
    </w:p>
    <w:p>
      <w:pPr>
        <w:ind w:left="660" w:right="20" w:firstLine="636"/>
        <w:spacing w:after="0" w:line="275" w:lineRule="auto"/>
        <w:tabs>
          <w:tab w:leader="none" w:pos="16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59" w:name="page160"/>
    <w:bookmarkEnd w:id="159"/>
    <w:p>
      <w:pPr>
        <w:jc w:val="both"/>
        <w:ind w:left="660" w:firstLine="636"/>
        <w:spacing w:after="0" w:line="262" w:lineRule="auto"/>
        <w:tabs>
          <w:tab w:leader="none" w:pos="16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law or regulation shall prohibit, and no order, judgment or decree of any Governmental Authority shall enjoin, prohibit or restrain, any Lender from making the requested Loan or any Issuing Bank or any Lender from issuing, renewing, extending or increasing the face amount of or participating in the Letter of Credit requested to be issued, renewed, extended or increased.</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197"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Designation of a Foreign Subsidiary Borrower</w:t>
      </w:r>
      <w:r>
        <w:rPr>
          <w:rFonts w:ascii="Arial" w:cs="Arial" w:eastAsia="Arial" w:hAnsi="Arial"/>
          <w:sz w:val="18"/>
          <w:szCs w:val="18"/>
          <w:color w:val="auto"/>
        </w:rPr>
        <w:t>. The designation of a Foreign Subsidiary Borrower pursuant to Section 2.23 is subject to the condition precedent that the Company or such proposed Foreign Subsidiary Borrower shall have furnished or caused to be furnished to the Administrative Agent:</w:t>
      </w:r>
    </w:p>
    <w:p>
      <w:pPr>
        <w:spacing w:after="0" w:line="208" w:lineRule="exact"/>
        <w:rPr>
          <w:sz w:val="20"/>
          <w:szCs w:val="20"/>
          <w:color w:val="auto"/>
        </w:rPr>
      </w:pPr>
    </w:p>
    <w:p>
      <w:pPr>
        <w:jc w:val="both"/>
        <w:ind w:left="660" w:firstLine="636"/>
        <w:spacing w:after="0" w:line="277" w:lineRule="auto"/>
        <w:tabs>
          <w:tab w:leader="none" w:pos="1619"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if applicable, good standing of such Subsidiary;</w:t>
      </w:r>
    </w:p>
    <w:p>
      <w:pPr>
        <w:spacing w:after="0" w:line="198" w:lineRule="exact"/>
        <w:rPr>
          <w:rFonts w:ascii="Arial" w:cs="Arial" w:eastAsia="Arial" w:hAnsi="Arial"/>
          <w:sz w:val="17"/>
          <w:szCs w:val="17"/>
          <w:color w:val="auto"/>
        </w:rPr>
      </w:pPr>
    </w:p>
    <w:p>
      <w:pPr>
        <w:jc w:val="both"/>
        <w:ind w:left="660" w:firstLine="636"/>
        <w:spacing w:after="0" w:line="277" w:lineRule="auto"/>
        <w:tabs>
          <w:tab w:leader="none" w:pos="161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r>
        <w:rPr>
          <w:rFonts w:ascii="Arial" w:cs="Arial" w:eastAsia="Arial" w:hAnsi="Arial"/>
          <w:sz w:val="17"/>
          <w:szCs w:val="17"/>
          <w:u w:val="single" w:color="auto"/>
          <w:color w:val="auto"/>
        </w:rPr>
        <w:t>;</w:t>
      </w:r>
    </w:p>
    <w:p>
      <w:pPr>
        <w:spacing w:after="0" w:line="198" w:lineRule="exact"/>
        <w:rPr>
          <w:rFonts w:ascii="Arial" w:cs="Arial" w:eastAsia="Arial" w:hAnsi="Arial"/>
          <w:sz w:val="17"/>
          <w:szCs w:val="17"/>
          <w:color w:val="auto"/>
        </w:rPr>
      </w:pPr>
    </w:p>
    <w:p>
      <w:pPr>
        <w:jc w:val="both"/>
        <w:ind w:left="660" w:firstLine="636"/>
        <w:spacing w:after="0" w:line="262" w:lineRule="auto"/>
        <w:tabs>
          <w:tab w:leader="none" w:pos="16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spacing w:after="0" w:line="208" w:lineRule="exact"/>
        <w:rPr>
          <w:rFonts w:ascii="Arial" w:cs="Arial" w:eastAsia="Arial" w:hAnsi="Arial"/>
          <w:sz w:val="18"/>
          <w:szCs w:val="18"/>
          <w:color w:val="auto"/>
        </w:rPr>
      </w:pPr>
    </w:p>
    <w:p>
      <w:pPr>
        <w:ind w:left="1620" w:hanging="324"/>
        <w:spacing w:after="0"/>
        <w:tabs>
          <w:tab w:leader="none" w:pos="16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promissory notes requested by any Lender, and any other instruments and documents reasonably requested by the Administrative</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34" w:lineRule="exact"/>
        <w:rPr>
          <w:rFonts w:ascii="Arial" w:cs="Arial" w:eastAsia="Arial" w:hAnsi="Arial"/>
          <w:sz w:val="16"/>
          <w:szCs w:val="16"/>
          <w:color w:val="auto"/>
        </w:rPr>
      </w:pPr>
    </w:p>
    <w:p>
      <w:pPr>
        <w:jc w:val="both"/>
        <w:ind w:left="660" w:firstLine="636"/>
        <w:spacing w:after="0" w:line="262" w:lineRule="auto"/>
        <w:tabs>
          <w:tab w:leader="none" w:pos="16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documentation and other information that is reasonably requested by the Administrative Agent or any of the Lenders and that is required by regulatory authorities under applicable “know-your-customer” and Anti-Money Laundering Laws, including the Patriot Act and the Beneficial Ownership Regulation.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ARTICLE 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Company covenants and agrees with the Lenders that: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Company will furnish to the Administrative Agent for distribution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each Lender:</w:t>
      </w:r>
    </w:p>
    <w:p>
      <w:pPr>
        <w:spacing w:after="0" w:line="235" w:lineRule="exact"/>
        <w:rPr>
          <w:sz w:val="20"/>
          <w:szCs w:val="20"/>
          <w:color w:val="auto"/>
        </w:rPr>
      </w:pPr>
    </w:p>
    <w:p>
      <w:pPr>
        <w:jc w:val="both"/>
        <w:ind w:left="660" w:firstLine="636"/>
        <w:spacing w:after="0" w:line="292" w:lineRule="auto"/>
        <w:tabs>
          <w:tab w:leader="none" w:pos="1618" w:val="left"/>
        </w:tabs>
        <w:numPr>
          <w:ilvl w:val="1"/>
          <w:numId w:val="91"/>
        </w:numPr>
        <w:rPr>
          <w:rFonts w:ascii="Arial" w:cs="Arial" w:eastAsia="Arial" w:hAnsi="Arial"/>
          <w:sz w:val="16"/>
          <w:szCs w:val="16"/>
          <w:color w:val="auto"/>
        </w:rPr>
      </w:pPr>
      <w:r>
        <w:rPr>
          <w:rFonts w:ascii="Arial" w:cs="Arial" w:eastAsia="Arial" w:hAnsi="Arial"/>
          <w:sz w:val="16"/>
          <w:szCs w:val="16"/>
          <w:color w:val="auto"/>
        </w:rPr>
        <w:t>as soon as the same is available but in any event 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87" w:lineRule="exact"/>
        <w:rPr>
          <w:rFonts w:ascii="Arial" w:cs="Arial" w:eastAsia="Arial" w:hAnsi="Arial"/>
          <w:sz w:val="16"/>
          <w:szCs w:val="16"/>
          <w:color w:val="auto"/>
        </w:rPr>
      </w:pPr>
    </w:p>
    <w:p>
      <w:pPr>
        <w:jc w:val="both"/>
        <w:ind w:left="660" w:firstLine="636"/>
        <w:spacing w:after="0" w:line="292" w:lineRule="auto"/>
        <w:tabs>
          <w:tab w:leader="none" w:pos="1611" w:val="left"/>
        </w:tabs>
        <w:numPr>
          <w:ilvl w:val="1"/>
          <w:numId w:val="91"/>
        </w:numPr>
        <w:rPr>
          <w:rFonts w:ascii="Arial" w:cs="Arial" w:eastAsia="Arial" w:hAnsi="Arial"/>
          <w:sz w:val="16"/>
          <w:szCs w:val="16"/>
          <w:color w:val="auto"/>
        </w:rPr>
      </w:pPr>
      <w:r>
        <w:rPr>
          <w:rFonts w:ascii="Arial" w:cs="Arial" w:eastAsia="Arial" w:hAnsi="Arial"/>
          <w:sz w:val="16"/>
          <w:szCs w:val="16"/>
          <w:color w:val="auto"/>
        </w:rPr>
        <w:t>as soon as the same is available but in any event within forty five (45) days after the end of each of the first three fiscal quarters of each fiscal year of the Company,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rFonts w:ascii="Arial" w:cs="Arial" w:eastAsia="Arial" w:hAnsi="Arial"/>
          <w:sz w:val="16"/>
          <w:szCs w:val="16"/>
          <w:color w:val="auto"/>
        </w:rPr>
      </w:pPr>
    </w:p>
    <w:p>
      <w:pPr>
        <w:ind w:left="1600" w:hanging="304"/>
        <w:spacing w:after="0"/>
        <w:tabs>
          <w:tab w:leader="none" w:pos="16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45" w:lineRule="exact"/>
        <w:rPr>
          <w:rFonts w:ascii="Arial" w:cs="Arial" w:eastAsia="Arial" w:hAnsi="Arial"/>
          <w:sz w:val="16"/>
          <w:szCs w:val="16"/>
          <w:color w:val="auto"/>
        </w:rPr>
      </w:pPr>
    </w:p>
    <w:p>
      <w:pPr>
        <w:jc w:val="both"/>
        <w:ind w:left="660" w:hanging="8"/>
        <w:spacing w:after="0" w:line="293" w:lineRule="auto"/>
        <w:tabs>
          <w:tab w:leader="none" w:pos="8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 6.11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7" w:lineRule="exact"/>
        <w:rPr>
          <w:rFonts w:ascii="Arial" w:cs="Arial" w:eastAsia="Arial" w:hAnsi="Arial"/>
          <w:sz w:val="16"/>
          <w:szCs w:val="16"/>
          <w:color w:val="auto"/>
        </w:rPr>
      </w:pPr>
    </w:p>
    <w:p>
      <w:pPr>
        <w:ind w:left="660" w:firstLine="636"/>
        <w:spacing w:after="0" w:line="275" w:lineRule="auto"/>
        <w:tabs>
          <w:tab w:leader="none" w:pos="1611" w:val="left"/>
        </w:tabs>
        <w:numPr>
          <w:ilvl w:val="1"/>
          <w:numId w:val="92"/>
        </w:numPr>
        <w:rPr>
          <w:rFonts w:ascii="Arial" w:cs="Arial" w:eastAsia="Arial" w:hAnsi="Arial"/>
          <w:sz w:val="18"/>
          <w:szCs w:val="18"/>
          <w:color w:val="auto"/>
        </w:rPr>
      </w:pPr>
      <w:r>
        <w:rPr>
          <w:rFonts w:ascii="Arial" w:cs="Arial" w:eastAsia="Arial" w:hAnsi="Arial"/>
          <w:sz w:val="18"/>
          <w:szCs w:val="18"/>
          <w:color w:val="auto"/>
        </w:rPr>
        <w:t>within 75 days of the commencement of each fiscal year of the Company, projected consolidated balance sheets, income statements and cash flow statements of the Company and its consolidated Subsidiaries for such fiscal year;</w:t>
      </w:r>
    </w:p>
    <w:p>
      <w:pPr>
        <w:spacing w:after="0" w:line="197" w:lineRule="exact"/>
        <w:rPr>
          <w:rFonts w:ascii="Arial" w:cs="Arial" w:eastAsia="Arial" w:hAnsi="Arial"/>
          <w:sz w:val="18"/>
          <w:szCs w:val="18"/>
          <w:color w:val="auto"/>
        </w:rPr>
      </w:pPr>
    </w:p>
    <w:p>
      <w:pPr>
        <w:jc w:val="both"/>
        <w:ind w:left="660" w:firstLine="636"/>
        <w:spacing w:after="0" w:line="262" w:lineRule="auto"/>
        <w:tabs>
          <w:tab w:leader="none" w:pos="1593"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10-Ks, 10-Qs and 8-Ks filed by the Company or any Subsidiary with the SEC, or any Governmental Authority succeeding to any or all of the functions of the SEC, or with any national securities exchange, or distributed by the Company to its shareholders generally, as the case may be; and</w:t>
      </w:r>
    </w:p>
    <w:p>
      <w:pPr>
        <w:spacing w:after="0" w:line="208" w:lineRule="exact"/>
        <w:rPr>
          <w:rFonts w:ascii="Arial" w:cs="Arial" w:eastAsia="Arial" w:hAnsi="Arial"/>
          <w:sz w:val="18"/>
          <w:szCs w:val="18"/>
          <w:color w:val="auto"/>
        </w:rPr>
      </w:pPr>
    </w:p>
    <w:p>
      <w:pPr>
        <w:jc w:val="both"/>
        <w:ind w:left="660" w:firstLine="636"/>
        <w:spacing w:after="0" w:line="300" w:lineRule="auto"/>
        <w:tabs>
          <w:tab w:leader="none" w:pos="1588" w:val="left"/>
        </w:tabs>
        <w:numPr>
          <w:ilvl w:val="1"/>
          <w:numId w:val="92"/>
        </w:numPr>
        <w:rPr>
          <w:rFonts w:ascii="Arial" w:cs="Arial" w:eastAsia="Arial" w:hAnsi="Arial"/>
          <w:sz w:val="16"/>
          <w:szCs w:val="16"/>
          <w:color w:val="auto"/>
        </w:rPr>
      </w:pPr>
      <w:r>
        <w:rPr>
          <w:rFonts w:ascii="Arial" w:cs="Arial" w:eastAsia="Arial" w:hAnsi="Arial"/>
          <w:sz w:val="16"/>
          <w:szCs w:val="16"/>
          <w:color w:val="auto"/>
        </w:rPr>
        <w:t>promptly following any request therefor, (x) such other information regarding the operations, business affairs and financial condition of the Company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1" w:name="page162"/>
    <w:bookmarkEnd w:id="161"/>
    <w:p>
      <w:pPr>
        <w:jc w:val="both"/>
        <w:spacing w:after="0" w:line="268" w:lineRule="auto"/>
        <w:rPr>
          <w:sz w:val="20"/>
          <w:szCs w:val="20"/>
          <w:color w:val="auto"/>
        </w:rPr>
      </w:pPr>
      <w:r>
        <w:rPr>
          <w:rFonts w:ascii="Arial" w:cs="Arial" w:eastAsia="Arial" w:hAnsi="Arial"/>
          <w:sz w:val="17"/>
          <w:szCs w:val="17"/>
          <w:color w:val="auto"/>
        </w:rPr>
        <w:t xml:space="preserve">Documents required to be delivered pursuant to clauses (a), (b) or (e) of this Section 5.01 may be delivered electronically and if so delivered, shall be deemed to have been delivered on the date (i) on which the Company posts such documents, or provides a link thereto on the Company’s website on the Internet at the website address &lt;www.photronics.com&gt;; (ii) on which such documents are posted on the Company’s behalf on IntraLinks™ or a substantially similar electronic platform, if any, to which each Lender and the Administrative Agent have access (whether a commercial, third-party website or whether sponsored by the Administrative Agent); or (iii) on which such documents are filed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notify (which may be by facsimile or electronic mail) the Administrative Agent of the posting of any such documents and provide to the Administrative Agent by electronic mail electronic versions (i.e., soft copies) of such documents. Notwithstanding anything contained herein, in every instance the Company shall be required to provide paper or electronic copies of the compliance certificates required by clause (c) of this Section 5.01 to the Administrative Agent.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Company will furnish to the Administrative Agent prompt written notice of the following:</w:t>
      </w:r>
    </w:p>
    <w:p>
      <w:pPr>
        <w:spacing w:after="0" w:line="273" w:lineRule="exact"/>
        <w:rPr>
          <w:sz w:val="20"/>
          <w:szCs w:val="20"/>
          <w:color w:val="auto"/>
        </w:rPr>
      </w:pPr>
    </w:p>
    <w:p>
      <w:pPr>
        <w:ind w:left="1580" w:hanging="284"/>
        <w:spacing w:after="0"/>
        <w:tabs>
          <w:tab w:leader="none" w:pos="1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49" w:lineRule="exact"/>
        <w:rPr>
          <w:rFonts w:ascii="Arial" w:cs="Arial" w:eastAsia="Arial" w:hAnsi="Arial"/>
          <w:sz w:val="18"/>
          <w:szCs w:val="18"/>
          <w:color w:val="auto"/>
        </w:rPr>
      </w:pPr>
    </w:p>
    <w:p>
      <w:pPr>
        <w:ind w:left="660" w:firstLine="636"/>
        <w:spacing w:after="0" w:line="339" w:lineRule="auto"/>
        <w:tabs>
          <w:tab w:leader="none" w:pos="161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151" w:lineRule="exact"/>
        <w:rPr>
          <w:rFonts w:ascii="Arial" w:cs="Arial" w:eastAsia="Arial" w:hAnsi="Arial"/>
          <w:sz w:val="16"/>
          <w:szCs w:val="16"/>
          <w:color w:val="auto"/>
        </w:rPr>
      </w:pPr>
    </w:p>
    <w:p>
      <w:pPr>
        <w:ind w:left="660" w:firstLine="636"/>
        <w:spacing w:after="0" w:line="275" w:lineRule="auto"/>
        <w:tabs>
          <w:tab w:leader="none" w:pos="16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97" w:lineRule="exact"/>
        <w:rPr>
          <w:rFonts w:ascii="Arial" w:cs="Arial" w:eastAsia="Arial" w:hAnsi="Arial"/>
          <w:sz w:val="18"/>
          <w:szCs w:val="18"/>
          <w:color w:val="auto"/>
        </w:rPr>
      </w:pPr>
    </w:p>
    <w:p>
      <w:pPr>
        <w:ind w:left="1600" w:hanging="304"/>
        <w:spacing w:after="0"/>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97" w:lineRule="exact"/>
        <w:rPr>
          <w:sz w:val="20"/>
          <w:szCs w:val="20"/>
          <w:color w:val="auto"/>
        </w:rPr>
      </w:pPr>
    </w:p>
    <w:p>
      <w:pPr>
        <w:jc w:val="both"/>
        <w:ind w:firstLine="1289"/>
        <w:spacing w:after="0" w:line="30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Company will, and will cause each of its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liquidation or dissolution permitted under Section 6.03.</w:t>
      </w:r>
    </w:p>
    <w:p>
      <w:pPr>
        <w:spacing w:after="0" w:line="176"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Company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could not reasonably be expected to result in a Material Adverse Effect.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2" w:name="page163"/>
    <w:bookmarkEnd w:id="162"/>
    <w:p>
      <w:pPr>
        <w:ind w:left="130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 Insurance</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53" w:lineRule="auto"/>
        <w:tabs>
          <w:tab w:leader="none" w:pos="15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will, and will cause each of its Subsidiaries to, (i) keep and maintain all property material to the conduct of its business in good working order and condition, ordinary wear and tear excepted, and (ii) maintain with financially sound and reputable carriers (1)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(2) all insurance required pursuant to the Collateral Documents. The Company will furnish to the Lenders, upon request of the Collateral Agent, information in reasonable detail as to the insurance so maintained.</w:t>
      </w:r>
    </w:p>
    <w:p>
      <w:pPr>
        <w:spacing w:after="0" w:line="218" w:lineRule="exact"/>
        <w:rPr>
          <w:rFonts w:ascii="Arial" w:cs="Arial" w:eastAsia="Arial" w:hAnsi="Arial"/>
          <w:sz w:val="18"/>
          <w:szCs w:val="18"/>
          <w:color w:val="auto"/>
        </w:rPr>
      </w:pPr>
    </w:p>
    <w:p>
      <w:pPr>
        <w:jc w:val="both"/>
        <w:ind w:firstLine="1296"/>
        <w:spacing w:after="0" w:line="286" w:lineRule="auto"/>
        <w:tabs>
          <w:tab w:leader="none" w:pos="16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 shall deliver to the Collateral Agent endorsements (x) to all “All Risk” physical damage insurance policies on the Loan Parties’ tangible personal property and assets located in the United States of America and business interruption insurance policies naming the Collateral Agent as lender loss payee, and (y) to all general liability and other liability policies naming the Collateral Agent an additional insured. Each policy for liability insurance shall provide for all losses to be paid on behalf of the Collateral Agent and the Company or its Subsidiaries as their interests may appear. In the event the Company or any of its Subsidiaries at any time or times hereafter shall fail to obtain or maintain any of the policies or insurance required herein or to pay any premium in whole or in part relating thereto, then the Collateral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Collateral Agent deems advisable. All sums so disbursed by the Collateral Agent shall constitute part of the Secured Obligations, payable as provided in this Agreement. The Company will furnish to the Collateral Agent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93" w:lineRule="exact"/>
        <w:rPr>
          <w:rFonts w:ascii="Arial" w:cs="Arial" w:eastAsia="Arial" w:hAnsi="Arial"/>
          <w:sz w:val="16"/>
          <w:szCs w:val="16"/>
          <w:color w:val="auto"/>
        </w:rPr>
      </w:pPr>
    </w:p>
    <w:p>
      <w:pPr>
        <w:jc w:val="both"/>
        <w:ind w:firstLine="1296"/>
        <w:spacing w:after="0" w:line="262" w:lineRule="auto"/>
        <w:tabs>
          <w:tab w:leader="none" w:pos="16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all insurance payments received by the Collateral Agent in connection with any loss, damage or destruction of any property of the Company or any of its Subsidiaries will be released by the Collateral Agent to the applicable Company or such Subsidiary for the repair, replacement or restoration thereof.</w:t>
      </w:r>
    </w:p>
    <w:p>
      <w:pPr>
        <w:spacing w:after="0" w:line="208" w:lineRule="exact"/>
        <w:rPr>
          <w:sz w:val="20"/>
          <w:szCs w:val="20"/>
          <w:color w:val="auto"/>
        </w:rPr>
      </w:pPr>
    </w:p>
    <w:p>
      <w:pPr>
        <w:jc w:val="both"/>
        <w:ind w:firstLine="1289"/>
        <w:spacing w:after="0" w:line="252"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Company will, and will cause each of its Subsidiaries to, keep proper books of record and account in which entries that are full, true and correct in all material respects are made of all dealings and transactions in relation to its business and activities. The Company will, and will cause each of its Subsidiaries to, permit any representatives designated by the Administrative Agent or any Lender, upon reasonable prior notice, to visit and inspect its properties, to examine and make extracts from its relevant books and records, including environmental assessment reports and Phase I or Phase II studies, and to discuss its affairs, finances and condition with its officers and independent accountants, all at such reasonable times and as often as reasonably requested.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spacing w:after="0" w:line="222"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The Company will, and will cause each of its Subsidiaries to, (i) comply with all laws, rules, regulations and orders of any Governmental Authority applicable to it or its property (including without limitation Environmental Laws) and (ii) perform in all material respects its obligations under material agreements to which it is a party, in each case except where the failure to do so, individually or in the aggregate, could not reasonably be expected to result in a Material Adverse Effect. The Company will maintain in effect and enforce policies and procedures designed to ensure compliance in all material respects by the Company, its Subsidiaries and their respective directors, officers, employees and agents with Anti-Corruption Laws and applicable Sanctions.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3" w:name="page164"/>
    <w:bookmarkEnd w:id="163"/>
    <w:p>
      <w:pPr>
        <w:jc w:val="both"/>
        <w:ind w:firstLine="1289"/>
        <w:spacing w:after="0" w:line="309"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will be used only to repay certain existing Indebtedness, finance the working capital needs, and for general corporate purposes, of the Company and its Subsidiaries in the ordinary course of business. No part of the proceeds of any Loan will be used, whether directly or indirectly, for any purpose that entails a violation of any of the Regulations of the Board, including Regulations T, U and X.</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Subsidiary Guarantors; Pledges; Additional Collateral; Further Assurances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69" w:lineRule="auto"/>
        <w:tabs>
          <w:tab w:leader="none" w:pos="16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As promptly as possible but in any event within forty-five (45) days (or such later date as may be agreed upon by the Administrative Agent) after any Person becomes a Subsidiary or any Subsidiary qualifies independently as, or is designated by the Company or the Administrative Agent as, a Material Subsidiary pursuant to the definition of “Material Subsidiary”, the Company shall provide the Administrative Agent with written notice thereof setting forth information in reasonable detail describing the earnings and material assets of such Person and shall cause each such Subsidiary which also qualifies as a Material Subsidiary to deliver to the Administrative Agent a joinder to the Subsidiary Guaranty and the Security Agreement (in each case in the form contemplated thereby) pursuant to which such Subsidiary agrees to be bound by the terms and provisions thereof, such joinders to the Subsidiary Guaranty and the Security Agreement to be accompanied by appropriate corporate resolutions, other corporate documentation and legal and joinder opinions in form and substance reasonably satisfactory to the Administrative Agent and its counsel.</w:t>
      </w:r>
    </w:p>
    <w:p>
      <w:pPr>
        <w:spacing w:after="0" w:line="207" w:lineRule="exact"/>
        <w:rPr>
          <w:rFonts w:ascii="Arial" w:cs="Arial" w:eastAsia="Arial" w:hAnsi="Arial"/>
          <w:sz w:val="17"/>
          <w:szCs w:val="17"/>
          <w:color w:val="auto"/>
        </w:rPr>
      </w:pPr>
    </w:p>
    <w:p>
      <w:pPr>
        <w:jc w:val="both"/>
        <w:ind w:firstLine="1296"/>
        <w:spacing w:after="0" w:line="283" w:lineRule="auto"/>
        <w:tabs>
          <w:tab w:leader="none" w:pos="16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Company will cause, and will cause each other Subsidiary qualifying as a Loan Party to cause all of its owned property (whether personal, tangible, intangible, or mixed, but excluding real property) to be subject at all times to first priority and perfected (subject in each case to the qualifications specified in Section 3.15 with respect to priority and perfection) Liens in favor of the Collateral Agent for the benefit of the Holders of Secured Obligations to secure the Secured Obligations in accordance with the terms and conditions of the Collateral Documents (including amendments, restatements, supplements or other modifications to the Collateral Documents in effect prior to the Effective Date, in each case to the extent, and within such time period, as is reasonably requested by the Collateral Agent), subject in any case to Liens permitted by Section 6.02. Without limiting the generality of the foregoing, the Company (i) will cause the Applicable Pledge Percentage of the issued and outstanding Equity Interests of each Pledge Subsidiary directly owned by the Company or any other Subsidiary qualifying as a Loan Party to be subject at all times to a first priority and perfected (subject in each case to the qualifications specified in Section 3.15 with respect to priority and perfection) Lien in favor of the Collateral Agent to secure the Secured Obligations in accordance with the terms and conditions of the Collateral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of the Equity Interests of, or provision of Collateral by, a Foreign Subsidiary shall be required hereunder to the extent such pledge or Collateral would create a Deemed Dividend Problem, is prohibited by applicable law or the Collateral Agent and its counsel reasonably determine that, in light of the cost and expense associated therewith, such pledge or Collateral would be unduly burdensome or not provide material Pledged Equity or Collateral for the benefit of the Holders of Secured Obligations pursuant to legally binding, valid and enforceable Pledge Agreements, and (ii) will, and will cause each other Subsidiary qualifying as a Loan Party to, deliver amendments, restatements, supplements or other modifications to foreign law governed Pledge Agreements existing on the Effective Date, in each case to the extent, and within such time period as is, reasonably required by the Collateral Agent. Notwithstanding the foregoing, no new foreign law governed Pledge Agreements and no amendments, restatements, supplements or other modifications to foreign law governed Pledge Agreements existing on the Effective Date, in each case are required to be delivered hereunder until the date that is sixty (60) days after the Effective Date or such later date as the Collateral Agent may agree in the exercise of its reasonable discretion with respect thereto.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4" w:name="page165"/>
    <w:bookmarkEnd w:id="164"/>
    <w:p>
      <w:pPr>
        <w:jc w:val="both"/>
        <w:ind w:firstLine="1296"/>
        <w:spacing w:after="0" w:line="254" w:lineRule="auto"/>
        <w:tabs>
          <w:tab w:leader="none" w:pos="15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Without limiting the foregoing, the Company will, and will cause each Subsidiary to, execute and deliver, or cause to be executed and delivered, to the Collateral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the Company.</w:t>
      </w:r>
    </w:p>
    <w:p>
      <w:pPr>
        <w:spacing w:after="0" w:line="216" w:lineRule="exact"/>
        <w:rPr>
          <w:rFonts w:ascii="Arial" w:cs="Arial" w:eastAsia="Arial" w:hAnsi="Arial"/>
          <w:sz w:val="18"/>
          <w:szCs w:val="18"/>
          <w:color w:val="auto"/>
        </w:rPr>
      </w:pPr>
    </w:p>
    <w:p>
      <w:pPr>
        <w:jc w:val="both"/>
        <w:ind w:firstLine="1296"/>
        <w:spacing w:after="0" w:line="292" w:lineRule="auto"/>
        <w:tabs>
          <w:tab w:leader="none" w:pos="1597" w:val="left"/>
        </w:tabs>
        <w:numPr>
          <w:ilvl w:val="0"/>
          <w:numId w:val="96"/>
        </w:numPr>
        <w:rPr>
          <w:rFonts w:ascii="Arial" w:cs="Arial" w:eastAsia="Arial" w:hAnsi="Arial"/>
          <w:sz w:val="16"/>
          <w:szCs w:val="16"/>
          <w:color w:val="auto"/>
        </w:rPr>
      </w:pPr>
      <w:r>
        <w:rPr>
          <w:rFonts w:ascii="Arial" w:cs="Arial" w:eastAsia="Arial" w:hAnsi="Arial"/>
          <w:sz w:val="16"/>
          <w:szCs w:val="16"/>
          <w:color w:val="auto"/>
        </w:rPr>
        <w:t>Effective as of the Effective Date, all of the parties hereto acknowledge and agree that each of the “Mortgages” entered into prior to the Effective Date pursuant to (and as defined in) the Existing Credit Agreement, shall be terminated and of no further force or effect (other than any provisions thereof which expressly survive such termination in accordance with the terms thereof), and the Collateral Agent’s Liens under such Mortgages shall be released, in each case as of the Effective Date. Each of the Lenders agree that the Agents may execute and deliver all such documents and take all such actions as may be reasonably necessary or appropriate in order to more effectively confirm or carry out such release of the Collateral Agent’s Liens under such Mortgages, and the Agents agree to so execute such documents, without recourse or warranty and to take such actions, all at the Company’s expense.</w:t>
      </w:r>
    </w:p>
    <w:p>
      <w:pPr>
        <w:spacing w:after="0" w:line="188" w:lineRule="exact"/>
        <w:rPr>
          <w:sz w:val="20"/>
          <w:szCs w:val="20"/>
          <w:color w:val="auto"/>
        </w:rPr>
      </w:pPr>
    </w:p>
    <w:p>
      <w:pPr>
        <w:jc w:val="both"/>
        <w:ind w:right="20" w:firstLine="645"/>
        <w:spacing w:after="0" w:line="33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Post-Closing Matters</w:t>
      </w:r>
      <w:r>
        <w:rPr>
          <w:rFonts w:ascii="Arial" w:cs="Arial" w:eastAsia="Arial" w:hAnsi="Arial"/>
          <w:sz w:val="16"/>
          <w:szCs w:val="16"/>
          <w:color w:val="auto"/>
        </w:rPr>
        <w:t xml:space="preserve">. As promptly as practicable, and in any event by no later than the applicable date set forth in </w:t>
      </w:r>
      <w:r>
        <w:rPr>
          <w:rFonts w:ascii="Arial" w:cs="Arial" w:eastAsia="Arial" w:hAnsi="Arial"/>
          <w:sz w:val="16"/>
          <w:szCs w:val="16"/>
          <w:u w:val="single" w:color="auto"/>
          <w:color w:val="auto"/>
        </w:rPr>
        <w:t>Schedule 5.10</w:t>
      </w:r>
      <w:r>
        <w:rPr>
          <w:rFonts w:ascii="Arial" w:cs="Arial" w:eastAsia="Arial" w:hAnsi="Arial"/>
          <w:sz w:val="16"/>
          <w:szCs w:val="16"/>
          <w:color w:val="auto"/>
        </w:rPr>
        <w:t xml:space="preserve"> (or such later date as the Administrative Agent may agree to in its reasonable discretion), deliver all documents and take all actions set forth on </w:t>
      </w:r>
      <w:r>
        <w:rPr>
          <w:rFonts w:ascii="Arial" w:cs="Arial" w:eastAsia="Arial" w:hAnsi="Arial"/>
          <w:sz w:val="16"/>
          <w:szCs w:val="16"/>
          <w:u w:val="single" w:color="auto"/>
          <w:color w:val="auto"/>
        </w:rPr>
        <w:t>Schedule 5.10</w:t>
      </w:r>
      <w:r>
        <w:rPr>
          <w:rFonts w:ascii="Arial" w:cs="Arial" w:eastAsia="Arial" w:hAnsi="Arial"/>
          <w:sz w:val="16"/>
          <w:szCs w:val="16"/>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Company covenants and agrees with the Lenders that: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The Company will not, and will not permit any Subsidiary to, create, incur, assume or permit to exist 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235" w:lineRule="exact"/>
        <w:rPr>
          <w:sz w:val="20"/>
          <w:szCs w:val="20"/>
          <w:color w:val="auto"/>
        </w:rPr>
      </w:pPr>
    </w:p>
    <w:p>
      <w:pPr>
        <w:ind w:left="1580" w:hanging="284"/>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Secured Obligations and any other Indebtedness created under the Loan Documents;</w:t>
      </w:r>
    </w:p>
    <w:p>
      <w:pPr>
        <w:spacing w:after="0" w:line="249" w:lineRule="exact"/>
        <w:rPr>
          <w:rFonts w:ascii="Arial" w:cs="Arial" w:eastAsia="Arial" w:hAnsi="Arial"/>
          <w:sz w:val="18"/>
          <w:szCs w:val="18"/>
          <w:color w:val="auto"/>
        </w:rPr>
      </w:pPr>
    </w:p>
    <w:p>
      <w:pPr>
        <w:jc w:val="both"/>
        <w:ind w:left="660" w:firstLine="636"/>
        <w:spacing w:after="0" w:line="262" w:lineRule="auto"/>
        <w:tabs>
          <w:tab w:leader="none" w:pos="16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subject to the limitations applicable to Purchase Money Indebtedness set forth in clause (e) below, Indebtedness existing on the date hereof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extensions, renewals and replacements of any such Indebtedness with Indebtedness of a similar type that does not increase the outstanding principal amount thereof;</w:t>
      </w:r>
    </w:p>
    <w:p>
      <w:pPr>
        <w:spacing w:after="0" w:line="208" w:lineRule="exact"/>
        <w:rPr>
          <w:rFonts w:ascii="Arial" w:cs="Arial" w:eastAsia="Arial" w:hAnsi="Arial"/>
          <w:sz w:val="18"/>
          <w:szCs w:val="18"/>
          <w:color w:val="auto"/>
        </w:rPr>
      </w:pPr>
    </w:p>
    <w:p>
      <w:pPr>
        <w:ind w:left="1580" w:hanging="284"/>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intercompany Indebtedness permitted by Section 6.04(d) or Section 6.04(m);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5" w:name="page166"/>
    <w:bookmarkEnd w:id="165"/>
    <w:p>
      <w:pPr>
        <w:ind w:left="960" w:hanging="324"/>
        <w:spacing w:after="0"/>
        <w:tabs>
          <w:tab w:leader="none" w:pos="9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Guarantees by the Company of Indebtedness of any Subsidiary and by any Subsidiary of Indebtedness of the Company or any other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34" w:lineRule="exact"/>
        <w:rPr>
          <w:rFonts w:ascii="Arial" w:cs="Arial" w:eastAsia="Arial" w:hAnsi="Arial"/>
          <w:sz w:val="16"/>
          <w:szCs w:val="16"/>
          <w:color w:val="auto"/>
        </w:rPr>
      </w:pPr>
    </w:p>
    <w:p>
      <w:pPr>
        <w:jc w:val="both"/>
        <w:ind w:firstLine="636"/>
        <w:spacing w:after="0" w:line="288" w:lineRule="auto"/>
        <w:tabs>
          <w:tab w:leader="none" w:pos="942"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Indebtedness of the Company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(collectively, “</w:t>
      </w:r>
      <w:r>
        <w:rPr>
          <w:rFonts w:ascii="Arial" w:cs="Arial" w:eastAsia="Arial" w:hAnsi="Arial"/>
          <w:sz w:val="16"/>
          <w:szCs w:val="16"/>
          <w:u w:val="single" w:color="auto"/>
          <w:color w:val="auto"/>
        </w:rPr>
        <w:t>Purchase Money 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Purchase Money Indebtedness is (or, in the case of any extension, renewal or replacement, originally was) incurred prior to or within 90 days after such acquisition or the completion of such construction or improvement and (ii) the aggregate outstanding principal amount of Purchase Money Indebtedness permitted by this clause (e), when aggregated with the aggregate outstanding principal amount of Purchase Money Indebtedness permitted under Section 6.01(b) and other Purchase Money Indebtedness outstanding on the Effective Date, shall not exceed $150,000,000 at any time outstanding;</w:t>
      </w:r>
    </w:p>
    <w:p>
      <w:pPr>
        <w:spacing w:after="0" w:line="194" w:lineRule="exact"/>
        <w:rPr>
          <w:rFonts w:ascii="Arial" w:cs="Arial" w:eastAsia="Arial" w:hAnsi="Arial"/>
          <w:sz w:val="16"/>
          <w:szCs w:val="16"/>
          <w:color w:val="auto"/>
        </w:rPr>
      </w:pPr>
    </w:p>
    <w:p>
      <w:pPr>
        <w:jc w:val="both"/>
        <w:ind w:firstLine="636"/>
        <w:spacing w:after="0" w:line="262" w:lineRule="auto"/>
        <w:tabs>
          <w:tab w:leader="none" w:pos="919"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Subordinated Indebtedness so long as, after giving effect to the incurrence thereof, no Default shall have occurred and be continuing and the Borrowers shall be in compliance, on a pro forma basis after giving effect to such incurrence, with the covenants contained in Section 6.11 recomputed as if such incurrence had occurred on the first day of the period for testing such compliance;</w:t>
      </w:r>
    </w:p>
    <w:p>
      <w:pPr>
        <w:spacing w:after="0" w:line="208" w:lineRule="exact"/>
        <w:rPr>
          <w:rFonts w:ascii="Arial" w:cs="Arial" w:eastAsia="Arial" w:hAnsi="Arial"/>
          <w:sz w:val="18"/>
          <w:szCs w:val="18"/>
          <w:color w:val="auto"/>
        </w:rPr>
      </w:pPr>
    </w:p>
    <w:p>
      <w:pPr>
        <w:ind w:left="940" w:hanging="304"/>
        <w:spacing w:after="0"/>
        <w:tabs>
          <w:tab w:leader="none" w:pos="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of the Company or any Subsidiary as an account party in respect of trade letters of credit;</w:t>
      </w:r>
    </w:p>
    <w:p>
      <w:pPr>
        <w:spacing w:after="0" w:line="249" w:lineRule="exact"/>
        <w:rPr>
          <w:rFonts w:ascii="Arial" w:cs="Arial" w:eastAsia="Arial" w:hAnsi="Arial"/>
          <w:sz w:val="18"/>
          <w:szCs w:val="18"/>
          <w:color w:val="auto"/>
        </w:rPr>
      </w:pPr>
    </w:p>
    <w:p>
      <w:pPr>
        <w:jc w:val="both"/>
        <w:ind w:firstLine="636"/>
        <w:spacing w:after="0" w:line="262" w:lineRule="auto"/>
        <w:tabs>
          <w:tab w:leader="none" w:pos="10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Indebtedness of the Company or any Subsidiary under any Swap Agreement otherwise permitted under Section 6.05, (ii) the Guarantee of any Loan Party of any such Indebtedness and (iii) the Guarantee of any Loan Party of the obligations of the Taiwan JV, PKL or any of their respective subsidiaries under any Swap Agreement entered into in the ordinary course of business;</w:t>
      </w:r>
    </w:p>
    <w:p>
      <w:pPr>
        <w:spacing w:after="0" w:line="208" w:lineRule="exact"/>
        <w:rPr>
          <w:rFonts w:ascii="Arial" w:cs="Arial" w:eastAsia="Arial" w:hAnsi="Arial"/>
          <w:sz w:val="18"/>
          <w:szCs w:val="18"/>
          <w:color w:val="auto"/>
        </w:rPr>
      </w:pPr>
    </w:p>
    <w:p>
      <w:pPr>
        <w:ind w:left="900" w:hanging="26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49" w:lineRule="exact"/>
        <w:rPr>
          <w:rFonts w:ascii="Arial" w:cs="Arial" w:eastAsia="Arial" w:hAnsi="Arial"/>
          <w:sz w:val="18"/>
          <w:szCs w:val="18"/>
          <w:color w:val="auto"/>
        </w:rPr>
      </w:pPr>
    </w:p>
    <w:p>
      <w:pPr>
        <w:ind w:firstLine="636"/>
        <w:spacing w:after="0" w:line="339" w:lineRule="auto"/>
        <w:tabs>
          <w:tab w:leader="none" w:pos="918" w:val="left"/>
        </w:tabs>
        <w:numPr>
          <w:ilvl w:val="0"/>
          <w:numId w:val="98"/>
        </w:numPr>
        <w:rPr>
          <w:rFonts w:ascii="Arial" w:cs="Arial" w:eastAsia="Arial" w:hAnsi="Arial"/>
          <w:sz w:val="16"/>
          <w:szCs w:val="16"/>
          <w:color w:val="auto"/>
        </w:rPr>
      </w:pPr>
      <w:r>
        <w:rPr>
          <w:rFonts w:ascii="Arial" w:cs="Arial" w:eastAsia="Arial" w:hAnsi="Arial"/>
          <w:sz w:val="16"/>
          <w:szCs w:val="16"/>
          <w:color w:val="auto"/>
        </w:rPr>
        <w:t>obligations of the Company or any Subsidiary arising out of interest rate, foreign currency, and commodity hedging agreements entered into with financial institutions in connection with bona fide hedging activities in the ordinary course of business and not for speculative purposes;</w:t>
      </w:r>
    </w:p>
    <w:p>
      <w:pPr>
        <w:spacing w:after="0" w:line="151" w:lineRule="exact"/>
        <w:rPr>
          <w:rFonts w:ascii="Arial" w:cs="Arial" w:eastAsia="Arial" w:hAnsi="Arial"/>
          <w:sz w:val="16"/>
          <w:szCs w:val="16"/>
          <w:color w:val="auto"/>
        </w:rPr>
      </w:pPr>
    </w:p>
    <w:p>
      <w:pPr>
        <w:ind w:left="940" w:hanging="304"/>
        <w:spacing w:after="0"/>
        <w:tabs>
          <w:tab w:leader="none" w:pos="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unsecured Indebtedness in an aggregate principal amount not exceeding $20,000,000 at any time outstanding;</w:t>
      </w:r>
    </w:p>
    <w:p>
      <w:pPr>
        <w:spacing w:after="0" w:line="249" w:lineRule="exact"/>
        <w:rPr>
          <w:rFonts w:ascii="Arial" w:cs="Arial" w:eastAsia="Arial" w:hAnsi="Arial"/>
          <w:sz w:val="18"/>
          <w:szCs w:val="18"/>
          <w:color w:val="auto"/>
        </w:rPr>
      </w:pPr>
    </w:p>
    <w:p>
      <w:pPr>
        <w:ind w:left="900" w:hanging="264"/>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Permitted Unsecured Indebtedness of the Company;</w:t>
      </w:r>
    </w:p>
    <w:p>
      <w:pPr>
        <w:spacing w:after="0" w:line="249" w:lineRule="exact"/>
        <w:rPr>
          <w:rFonts w:ascii="Arial" w:cs="Arial" w:eastAsia="Arial" w:hAnsi="Arial"/>
          <w:sz w:val="18"/>
          <w:szCs w:val="18"/>
          <w:color w:val="auto"/>
        </w:rPr>
      </w:pPr>
    </w:p>
    <w:p>
      <w:pPr>
        <w:ind w:left="980" w:hanging="34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securing a Lien permitted under Section 6.02(c);</w:t>
      </w:r>
    </w:p>
    <w:p>
      <w:pPr>
        <w:spacing w:after="0" w:line="249" w:lineRule="exact"/>
        <w:rPr>
          <w:rFonts w:ascii="Arial" w:cs="Arial" w:eastAsia="Arial" w:hAnsi="Arial"/>
          <w:sz w:val="18"/>
          <w:szCs w:val="18"/>
          <w:color w:val="auto"/>
        </w:rPr>
      </w:pPr>
    </w:p>
    <w:p>
      <w:pPr>
        <w:ind w:firstLine="636"/>
        <w:spacing w:after="0" w:line="275" w:lineRule="auto"/>
        <w:tabs>
          <w:tab w:leader="none" w:pos="998"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unsecured or secured Indebtedness of PRC Subsidiaries in an aggregate principal amount not exceeding $125,000,000 at any time outstanding so long as any Liens securing such Indebtedness are only permitted by Section 6.02(g); and</w:t>
      </w:r>
    </w:p>
    <w:p>
      <w:pPr>
        <w:spacing w:after="0" w:line="3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48260</wp:posOffset>
            </wp:positionV>
            <wp:extent cx="724725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760"/>
          </w:cols>
          <w:pgMar w:left="900" w:top="367" w:right="239" w:bottom="1440" w:gutter="0" w:footer="0" w:header="0"/>
        </w:sectPr>
      </w:pPr>
    </w:p>
    <w:bookmarkStart w:id="166" w:name="page167"/>
    <w:bookmarkEnd w:id="166"/>
    <w:p>
      <w:pPr>
        <w:jc w:val="both"/>
        <w:ind w:left="660" w:firstLine="636"/>
        <w:spacing w:after="0" w:line="309" w:lineRule="auto"/>
        <w:tabs>
          <w:tab w:leader="none" w:pos="16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of the Company or any Subsidiary incurred to finance the acquisition of minority interests in Joint Ventures in an aggregate principal amount not exceeding $25,000,000, so long as the Borrowers are in compliance, on a pro forma basis after giving effect to such incurrence, with the covenants contained in Section 6.11 recomputed as if such incurrence had occurred on the first day of the period for testing such compliance.</w:t>
      </w:r>
    </w:p>
    <w:p>
      <w:pPr>
        <w:spacing w:after="0" w:line="176"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208" w:lineRule="exact"/>
        <w:rPr>
          <w:sz w:val="20"/>
          <w:szCs w:val="20"/>
          <w:color w:val="auto"/>
        </w:rPr>
      </w:pPr>
    </w:p>
    <w:p>
      <w:pPr>
        <w:ind w:left="660" w:firstLine="598"/>
        <w:spacing w:after="0" w:line="275" w:lineRule="auto"/>
        <w:tabs>
          <w:tab w:leader="none" w:pos="15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Permitted Encumbrances, (ii) Liens created under any Loan Document and (iii) Liens granted by any Foreign Subsidiary (including the Taiwan JV and any PRC Subsidiary) to the Company or any other Subsidiary;</w:t>
      </w:r>
    </w:p>
    <w:p>
      <w:pPr>
        <w:spacing w:after="0" w:line="197" w:lineRule="exact"/>
        <w:rPr>
          <w:rFonts w:ascii="Arial" w:cs="Arial" w:eastAsia="Arial" w:hAnsi="Arial"/>
          <w:sz w:val="18"/>
          <w:szCs w:val="18"/>
          <w:color w:val="auto"/>
        </w:rPr>
      </w:pPr>
    </w:p>
    <w:p>
      <w:pPr>
        <w:jc w:val="both"/>
        <w:ind w:left="660" w:firstLine="636"/>
        <w:spacing w:after="0" w:line="257" w:lineRule="auto"/>
        <w:tabs>
          <w:tab w:leader="none" w:pos="16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Company or any Subsidiary existing on the date hereof and set forth in Schedule 6.02;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214" w:lineRule="exact"/>
        <w:rPr>
          <w:rFonts w:ascii="Arial" w:cs="Arial" w:eastAsia="Arial" w:hAnsi="Arial"/>
          <w:sz w:val="18"/>
          <w:szCs w:val="18"/>
          <w:color w:val="auto"/>
        </w:rPr>
      </w:pPr>
    </w:p>
    <w:p>
      <w:pPr>
        <w:jc w:val="both"/>
        <w:ind w:left="660" w:firstLine="636"/>
        <w:spacing w:after="0" w:line="272" w:lineRule="auto"/>
        <w:tabs>
          <w:tab w:leader="none" w:pos="1599"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Lien existing on any property or asset prior to the acquisition thereof by the Company or any Subsidiary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01" w:lineRule="exact"/>
        <w:rPr>
          <w:rFonts w:ascii="Arial" w:cs="Arial" w:eastAsia="Arial" w:hAnsi="Arial"/>
          <w:sz w:val="17"/>
          <w:szCs w:val="17"/>
          <w:color w:val="auto"/>
        </w:rPr>
      </w:pPr>
    </w:p>
    <w:p>
      <w:pPr>
        <w:jc w:val="both"/>
        <w:ind w:left="660" w:firstLine="636"/>
        <w:spacing w:after="0" w:line="274" w:lineRule="auto"/>
        <w:tabs>
          <w:tab w:leader="none" w:pos="163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secure Indebtedness permitted by clause (e) of Section 6.01, (ii) such security interests and the Indebtedness secured thereby are incurred prior to or within ninety (90) days after such acquisition or the completion of such construction or improvement, (iii) the Indebtedness secured thereby does not exceed 100% of the cost of acquiring, constructing, installing or improving such fixed or capital assets and (iv) such security interests shall not apply to any other property or assets of the Company or any Subsidiary; and</w:t>
      </w:r>
    </w:p>
    <w:p>
      <w:pPr>
        <w:spacing w:after="0" w:line="200" w:lineRule="exact"/>
        <w:rPr>
          <w:rFonts w:ascii="Arial" w:cs="Arial" w:eastAsia="Arial" w:hAnsi="Arial"/>
          <w:sz w:val="17"/>
          <w:szCs w:val="17"/>
          <w:color w:val="auto"/>
        </w:rPr>
      </w:pPr>
    </w:p>
    <w:p>
      <w:pPr>
        <w:ind w:left="1640" w:hanging="344"/>
        <w:spacing w:after="0"/>
        <w:tabs>
          <w:tab w:leader="none" w:pos="164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customary bankers’ Liens and rights of setoff arising by operation of law and incurred on deposits made in the ordinary course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34" w:lineRule="exact"/>
        <w:rPr>
          <w:rFonts w:ascii="Arial" w:cs="Arial" w:eastAsia="Arial" w:hAnsi="Arial"/>
          <w:sz w:val="17"/>
          <w:szCs w:val="17"/>
          <w:color w:val="auto"/>
        </w:rPr>
      </w:pPr>
    </w:p>
    <w:p>
      <w:pPr>
        <w:jc w:val="both"/>
        <w:ind w:left="660" w:firstLine="636"/>
        <w:spacing w:after="0" w:line="257" w:lineRule="auto"/>
        <w:tabs>
          <w:tab w:leader="none" w:pos="158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attachments, appeal bonds, judgments and other similar Liens, for sums not exceeding $1,000,000 in the aggregate arising in connection with court proceedings; provided, that the execution or other enforcement of such Liens is effectively stayed and the claims secured thereby are being contested in good faith and by appropriate proceedings and adequate reserves in respect thereof have been established on the books of the Company to the extent required by GAAP;</w:t>
      </w:r>
    </w:p>
    <w:p>
      <w:pPr>
        <w:spacing w:after="0" w:line="214" w:lineRule="exact"/>
        <w:rPr>
          <w:rFonts w:ascii="Arial" w:cs="Arial" w:eastAsia="Arial" w:hAnsi="Arial"/>
          <w:sz w:val="18"/>
          <w:szCs w:val="18"/>
          <w:color w:val="auto"/>
        </w:rPr>
      </w:pPr>
    </w:p>
    <w:p>
      <w:pPr>
        <w:ind w:left="1600" w:hanging="304"/>
        <w:spacing w:after="0"/>
        <w:tabs>
          <w:tab w:leader="none" w:pos="1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Liens on assets of PRC Subsidiaries securing Indebtedness permitted by Section 6.01(n);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7" w:name="page168"/>
    <w:bookmarkEnd w:id="167"/>
    <w:p>
      <w:pPr>
        <w:ind w:left="660" w:firstLine="636"/>
        <w:spacing w:after="0" w:line="305" w:lineRule="auto"/>
        <w:tabs>
          <w:tab w:leader="none" w:pos="161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Liens on assets (not constituting Collateral) of the Company and its Subsidiaries not otherwise permitted above so long as the aggregate principal amount of the Indebtedness and other obligations subject to such Liens does not at any time exceed $2,500,000.</w:t>
      </w:r>
    </w:p>
    <w:p>
      <w:pPr>
        <w:spacing w:after="0" w:line="175" w:lineRule="exact"/>
        <w:rPr>
          <w:sz w:val="20"/>
          <w:szCs w:val="20"/>
          <w:color w:val="auto"/>
        </w:rPr>
      </w:pPr>
    </w:p>
    <w:p>
      <w:pPr>
        <w:jc w:val="both"/>
        <w:ind w:firstLine="1289"/>
        <w:spacing w:after="0" w:line="28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 and Asset Sales</w:t>
      </w:r>
      <w:r>
        <w:rPr>
          <w:rFonts w:ascii="Arial" w:cs="Arial" w:eastAsia="Arial" w:hAnsi="Arial"/>
          <w:sz w:val="16"/>
          <w:szCs w:val="16"/>
          <w:color w:val="auto"/>
        </w:rPr>
        <w:t xml:space="preserve">. (a) The Company will not, and will not permit any Subsidiary to, merge into or consolidate with any other Person, or permit any other Person to merge into or consolidate with it, or sell, transfer, lease or otherwise dispose of (in one transaction or in a series of transactions) any of its assets, (including pursuant to a Sale and Leaseback Transaction), or all or any of the Equity Interests of any of its Subsidiaries (in each case, whether now owned or hereafter acquired), or liquidate or dissolve, except that, if at the time thereof and immediately after giving effect thereto no Default shall have occurred and be continuing (i) any Person may merge into the Company in a transaction in which the Company is the surviving corporation, (ii) any Subsidiary may merge into a Loan Party in a transaction in which the surviving entity is such Loan Party (provided that any such merger involving the Company must result in the Company as the surviving entity), (iii) (A) any Loan Party (other than the Company) or any Subsidiary may sell, transfer, lease or otherwise dispose of its assets to, or otherwise dissolve into, a Loan Party and (B) the Company may sell, transfer, lease or otherwise dispose of its assets to, a Subsidiary Guarantor, and (iv) the Company and its Subsidiaries may (A) sell inventory, used or surplus equipment and Permitted Investments in the ordinary course of business and real estate located in Dresden, Germany not currently used in the operation of the Company’s business, (B) effect sales, trade-ins or dispositions of used equipment for value in the ordinary course of business consistent with past practice, (C) enter into licenses of technology in the ordinary course of business and (D) make any other sales, transfers, leases or dispositions of assets with an aggregate book value that, together with the aggregate book value of all other assets of the Company and its Subsidiaries previously leased, sold or disposed of as permitted by this clause (D) (1) during any fiscal year of the Company, does not exceed 10% of Consolidated Total Assets and (2) during the term of this Agreement, does not exceed 25% of Consolidated Total Assets (in the case of each of the foregoing clauses (1) and (2), as reflected in the most recent consolidated balance sheet of the Company delivered to the Lenders) and (v) any Subsidiary (other than a Foreign Subsidiary Borrower or a Material Subsidiary) may liquidate or dissolve if the Company determines in good faith that such liquidation or dissolution is in the best interests of the Company and is not materially disadvantageous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merger involving a Person that is not a wholly owned Subsidiary immediately prior to such merger shall not be permitted unless also permitted by Section 6.04.</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62" w:lineRule="auto"/>
        <w:tabs>
          <w:tab w:leader="none" w:pos="15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Subsidiaries to, engage to any material extent in any business other than businesses of the type conducted by the Company and its Subsidiaries on the date of execution of this Agreement and businesses reasonably related thereto, including semi-conductor application processes.</w:t>
      </w:r>
    </w:p>
    <w:p>
      <w:pPr>
        <w:spacing w:after="0" w:line="208" w:lineRule="exact"/>
        <w:rPr>
          <w:rFonts w:ascii="Arial" w:cs="Arial" w:eastAsia="Arial" w:hAnsi="Arial"/>
          <w:sz w:val="18"/>
          <w:szCs w:val="18"/>
          <w:color w:val="auto"/>
        </w:rPr>
      </w:pPr>
    </w:p>
    <w:p>
      <w:pPr>
        <w:ind w:firstLine="1296"/>
        <w:spacing w:after="0" w:line="275" w:lineRule="auto"/>
        <w:tabs>
          <w:tab w:leader="none" w:pos="16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will not change its fiscal year from the annual period which ends on October 31 or its first three fiscal quarters which, during the term of this Agreement, consist of equal 13 week periods.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8" w:name="page169"/>
    <w:bookmarkEnd w:id="168"/>
    <w:p>
      <w:pPr>
        <w:jc w:val="both"/>
        <w:ind w:firstLine="1289"/>
        <w:spacing w:after="0" w:line="295"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 The Company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except:</w:t>
      </w:r>
    </w:p>
    <w:p>
      <w:pPr>
        <w:spacing w:after="0" w:line="185" w:lineRule="exact"/>
        <w:rPr>
          <w:sz w:val="20"/>
          <w:szCs w:val="20"/>
          <w:color w:val="auto"/>
        </w:rPr>
      </w:pPr>
    </w:p>
    <w:p>
      <w:pPr>
        <w:ind w:left="1580" w:hanging="284"/>
        <w:spacing w:after="0"/>
        <w:tabs>
          <w:tab w:leader="none" w:pos="1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49" w:lineRule="exact"/>
        <w:rPr>
          <w:rFonts w:ascii="Arial" w:cs="Arial" w:eastAsia="Arial" w:hAnsi="Arial"/>
          <w:sz w:val="18"/>
          <w:szCs w:val="18"/>
          <w:color w:val="auto"/>
        </w:rPr>
      </w:pPr>
    </w:p>
    <w:p>
      <w:pPr>
        <w:ind w:left="1600" w:hanging="304"/>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49" w:lineRule="exact"/>
        <w:rPr>
          <w:rFonts w:ascii="Arial" w:cs="Arial" w:eastAsia="Arial" w:hAnsi="Arial"/>
          <w:sz w:val="18"/>
          <w:szCs w:val="18"/>
          <w:color w:val="auto"/>
        </w:rPr>
      </w:pPr>
    </w:p>
    <w:p>
      <w:pPr>
        <w:ind w:left="1580" w:hanging="284"/>
        <w:spacing w:after="0"/>
        <w:tabs>
          <w:tab w:leader="none" w:pos="1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loans, advances or investments existing on the date hereof by the Company and the Subsidiaries to or in their respective subsidiaries;</w:t>
      </w:r>
    </w:p>
    <w:p>
      <w:pPr>
        <w:spacing w:after="0" w:line="272" w:lineRule="exact"/>
        <w:rPr>
          <w:rFonts w:ascii="Arial" w:cs="Arial" w:eastAsia="Arial" w:hAnsi="Arial"/>
          <w:sz w:val="16"/>
          <w:szCs w:val="16"/>
          <w:color w:val="auto"/>
        </w:rPr>
      </w:pPr>
    </w:p>
    <w:p>
      <w:pPr>
        <w:jc w:val="both"/>
        <w:ind w:firstLine="1296"/>
        <w:spacing w:after="0" w:line="262" w:lineRule="auto"/>
        <w:tabs>
          <w:tab w:leader="none" w:pos="159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loans or advances made (i) by the Company in or to any Subsidiary Guarantor and made by any Subsidiary Guarantor in or to the Company or any other Subsidiary Guarantor, (ii) by any Subsidiary that is not a Subsidiary Guarantor in or to any other Subsidiary that is not a Subsidiary Guarantor and (iii) by any Subsidiary to the Company or any Subsidiary Guarantor;</w:t>
      </w:r>
    </w:p>
    <w:p>
      <w:pPr>
        <w:spacing w:after="0" w:line="208" w:lineRule="exact"/>
        <w:rPr>
          <w:rFonts w:ascii="Arial" w:cs="Arial" w:eastAsia="Arial" w:hAnsi="Arial"/>
          <w:sz w:val="18"/>
          <w:szCs w:val="18"/>
          <w:color w:val="auto"/>
        </w:rPr>
      </w:pPr>
    </w:p>
    <w:p>
      <w:pPr>
        <w:ind w:firstLine="1296"/>
        <w:spacing w:after="0" w:line="275" w:lineRule="auto"/>
        <w:tabs>
          <w:tab w:leader="none" w:pos="16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Guarantees constituting Indebtedness permitted by Section 6.01 and Guarantees by the Company of rental obligations or accounts payable of any Subsidiary;</w:t>
      </w:r>
    </w:p>
    <w:p>
      <w:pPr>
        <w:spacing w:after="0" w:line="197" w:lineRule="exact"/>
        <w:rPr>
          <w:rFonts w:ascii="Arial" w:cs="Arial" w:eastAsia="Arial" w:hAnsi="Arial"/>
          <w:sz w:val="18"/>
          <w:szCs w:val="18"/>
          <w:color w:val="auto"/>
        </w:rPr>
      </w:pPr>
    </w:p>
    <w:p>
      <w:pPr>
        <w:ind w:firstLine="1296"/>
        <w:spacing w:after="0" w:line="275" w:lineRule="auto"/>
        <w:tabs>
          <w:tab w:leader="none" w:pos="15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and suppliers, in each case in the ordinary course of business;</w:t>
      </w:r>
    </w:p>
    <w:p>
      <w:pPr>
        <w:spacing w:after="0" w:line="197" w:lineRule="exact"/>
        <w:rPr>
          <w:rFonts w:ascii="Arial" w:cs="Arial" w:eastAsia="Arial" w:hAnsi="Arial"/>
          <w:sz w:val="18"/>
          <w:szCs w:val="18"/>
          <w:color w:val="auto"/>
        </w:rPr>
      </w:pPr>
    </w:p>
    <w:p>
      <w:pPr>
        <w:ind w:firstLine="1296"/>
        <w:spacing w:after="0" w:line="275" w:lineRule="auto"/>
        <w:tabs>
          <w:tab w:leader="none" w:pos="16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made in connection with a sale of assets permitted by Section 6.03 to the extent of the non-cash consideration received by the Company or a Subsidiary;</w:t>
      </w:r>
    </w:p>
    <w:p>
      <w:pPr>
        <w:spacing w:after="0" w:line="197" w:lineRule="exact"/>
        <w:rPr>
          <w:rFonts w:ascii="Arial" w:cs="Arial" w:eastAsia="Arial" w:hAnsi="Arial"/>
          <w:sz w:val="18"/>
          <w:szCs w:val="18"/>
          <w:color w:val="auto"/>
        </w:rPr>
      </w:pPr>
    </w:p>
    <w:p>
      <w:pPr>
        <w:ind w:left="1600" w:hanging="304"/>
        <w:spacing w:after="0"/>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49" w:lineRule="exact"/>
        <w:rPr>
          <w:rFonts w:ascii="Arial" w:cs="Arial" w:eastAsia="Arial" w:hAnsi="Arial"/>
          <w:sz w:val="18"/>
          <w:szCs w:val="18"/>
          <w:color w:val="auto"/>
        </w:rPr>
      </w:pPr>
    </w:p>
    <w:p>
      <w:pPr>
        <w:ind w:firstLine="1296"/>
        <w:spacing w:after="0" w:line="339" w:lineRule="auto"/>
        <w:tabs>
          <w:tab w:leader="none" w:pos="15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Investments, loans and advances existing on the date hereof and set forth in </w:t>
      </w:r>
      <w:r>
        <w:rPr>
          <w:rFonts w:ascii="Arial" w:cs="Arial" w:eastAsia="Arial" w:hAnsi="Arial"/>
          <w:sz w:val="16"/>
          <w:szCs w:val="16"/>
          <w:u w:val="single" w:color="auto"/>
          <w:color w:val="auto"/>
        </w:rPr>
        <w:t>Schedule 6.04</w:t>
      </w:r>
      <w:r>
        <w:rPr>
          <w:rFonts w:ascii="Arial" w:cs="Arial" w:eastAsia="Arial" w:hAnsi="Arial"/>
          <w:sz w:val="16"/>
          <w:szCs w:val="16"/>
          <w:color w:val="auto"/>
        </w:rPr>
        <w:t xml:space="preserve"> and extensions, renewals and replacements of any such investments, loans or advances with investments, loans or advances of a similar type that do not increase the outstanding amount thereof;</w:t>
      </w:r>
    </w:p>
    <w:p>
      <w:pPr>
        <w:spacing w:after="0" w:line="151" w:lineRule="exact"/>
        <w:rPr>
          <w:rFonts w:ascii="Arial" w:cs="Arial" w:eastAsia="Arial" w:hAnsi="Arial"/>
          <w:sz w:val="16"/>
          <w:szCs w:val="16"/>
          <w:color w:val="auto"/>
        </w:rPr>
      </w:pPr>
    </w:p>
    <w:p>
      <w:pPr>
        <w:ind w:right="20" w:firstLine="1296"/>
        <w:spacing w:after="0" w:line="275" w:lineRule="auto"/>
        <w:tabs>
          <w:tab w:leader="none" w:pos="15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investments by the Company or any Subsidiary made solely in the form of Equity Interests of the Company or any Subsidiary (including the investment by the Company in the form of Equity Interests in the Taiwan JV);</w:t>
      </w:r>
    </w:p>
    <w:p>
      <w:pPr>
        <w:spacing w:after="0" w:line="197" w:lineRule="exact"/>
        <w:rPr>
          <w:rFonts w:ascii="Arial" w:cs="Arial" w:eastAsia="Arial" w:hAnsi="Arial"/>
          <w:sz w:val="18"/>
          <w:szCs w:val="18"/>
          <w:color w:val="auto"/>
        </w:rPr>
      </w:pPr>
    </w:p>
    <w:p>
      <w:pPr>
        <w:jc w:val="both"/>
        <w:ind w:firstLine="1296"/>
        <w:spacing w:after="0" w:line="274" w:lineRule="auto"/>
        <w:tabs>
          <w:tab w:leader="none" w:pos="164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investments, loans and advances by the Company or any Subsidiary in the Taiwan JV or any other Joint Venture in an aggregate outstanding amount not to exceed $100,000,000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outstanding amount of any investment, loan or advance made in reliance on this clause (k) shall be reduced by any amount paid, repaid, returned, distributed or otherwise received in cash by the Company or such Subsidiary in respect of such investment, loan or advance) so long as immediately prior to and after giving effect (including giving effect on a Pro Forma Basis) to any such investment, loan or advance, the Company shall be in compliance with the covenants contained in Section 6.11;</w:t>
      </w:r>
    </w:p>
    <w:p>
      <w:pPr>
        <w:spacing w:after="0" w:line="200" w:lineRule="exact"/>
        <w:rPr>
          <w:rFonts w:ascii="Arial" w:cs="Arial" w:eastAsia="Arial" w:hAnsi="Arial"/>
          <w:sz w:val="17"/>
          <w:szCs w:val="17"/>
          <w:color w:val="auto"/>
        </w:rPr>
      </w:pPr>
    </w:p>
    <w:p>
      <w:pPr>
        <w:ind w:left="1560" w:hanging="264"/>
        <w:spacing w:after="0"/>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Taiwan JV Transactions; and</w:t>
      </w:r>
    </w:p>
    <w:p>
      <w:pPr>
        <w:spacing w:after="0" w:line="249" w:lineRule="exact"/>
        <w:rPr>
          <w:rFonts w:ascii="Arial" w:cs="Arial" w:eastAsia="Arial" w:hAnsi="Arial"/>
          <w:sz w:val="18"/>
          <w:szCs w:val="18"/>
          <w:color w:val="auto"/>
        </w:rPr>
      </w:pPr>
    </w:p>
    <w:p>
      <w:pPr>
        <w:jc w:val="both"/>
        <w:ind w:firstLine="1296"/>
        <w:spacing w:after="0" w:line="255" w:lineRule="auto"/>
        <w:tabs>
          <w:tab w:leader="none" w:pos="17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other investment (other than acquisitions), loan or advance (including intercompany investments, loans and advances and investments made to meet minimum capital requirements of foreign jurisdictions) so long as the aggregate amount of all such investments, loans and advances during any fiscal year of the Company does not exceed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Dollar limitation shall not be applicable if at the time of the making of such investment, loan or advance and immediately after giving effect (including giving effect on a Pro Forma Basis) thereto, the Total Leverage Ratio is less than 2.25 to 1.00.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9" w:name="page170"/>
    <w:bookmarkEnd w:id="169"/>
    <w:p>
      <w:pPr>
        <w:jc w:val="both"/>
        <w:ind w:firstLine="1289"/>
        <w:spacing w:after="0" w:line="295"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Swap Agreements</w:t>
      </w:r>
      <w:r>
        <w:rPr>
          <w:rFonts w:ascii="Arial" w:cs="Arial" w:eastAsia="Arial" w:hAnsi="Arial"/>
          <w:sz w:val="16"/>
          <w:szCs w:val="16"/>
          <w:color w:val="auto"/>
        </w:rPr>
        <w:t>. The Company will not, and will not permit any of its Subsidiaries to, enter into any Swap Agreement, except (a) Swap Agreements entered into to hedge or mitigate risks to which the Company or any Subsidiary has actual exposure (other than those in respect of Equity Interests of the Company or any of its Subsidiaries),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the Company may enter into, and perform its obligations under, Permitted Call Spread Swap Agreements.</w:t>
      </w:r>
    </w:p>
    <w:p>
      <w:pPr>
        <w:spacing w:after="0" w:line="185" w:lineRule="exact"/>
        <w:rPr>
          <w:sz w:val="20"/>
          <w:szCs w:val="20"/>
          <w:color w:val="auto"/>
        </w:rPr>
      </w:pPr>
    </w:p>
    <w:p>
      <w:pPr>
        <w:jc w:val="both"/>
        <w:ind w:firstLine="1289"/>
        <w:spacing w:after="0" w:line="285"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(a) The Company will not, and will not permit any of its Subsidiaries to, declare or make, or agree to pay or make, directly or indirectly, any Restricted Payment, except (i) the Company may declare and pay dividends with respect to its Equity Interests payable solely in additional shares of its common stock, (ii) Subsidiaries may declare and pay dividends ratably with respect to their Equity Interests, (iii) the Company may make Restricted Payments pursuant to and in accordance with stock option plans or other benefit plans for management or employees of the Company and its Subsidiaries, (iv) the Company or any Subsidiary may repurchase Equity Interests in any PRC Subsidiary from the applicable joint venture partner with respect to such PRC Subsidiary so long as, at the time of making such repurchase and immediately after giving effect (including giving effect on a Pro Forma Basis) thereto, the Total Leverage Ratio is less than 2.25 to 1.00, (v) the Company or any other Subsidiary may make any other Restricted Payment (including, for the avoidance of doubt, dividends made in cash) so long as (1) no Default or Event of Default has occurred and is continuing prior to making such Restricted Payment or would arise after giving effect (including pro forma effect) thereto and (2) the aggregate amount of such Restricted Payments made by the Company or any Subsidiary does not exceed (A) $50,000,000 during the fiscal year of the Company ending October 31, 2018, (B) $100,000,000 during the fiscal year of the Company ending October 31, 2019 and (C) $50,000,000 during any fiscal year of the Company ending on or after October 31, 2020 and (vi) the Company may enter into, exercise its rights and perform its obligations under Permitted Call Spread Swap Agreements.</w:t>
      </w:r>
    </w:p>
    <w:p>
      <w:pPr>
        <w:spacing w:after="0" w:line="198" w:lineRule="exact"/>
        <w:rPr>
          <w:sz w:val="20"/>
          <w:szCs w:val="20"/>
          <w:color w:val="auto"/>
        </w:rPr>
      </w:pPr>
    </w:p>
    <w:p>
      <w:pPr>
        <w:jc w:val="both"/>
        <w:ind w:firstLine="1296"/>
        <w:spacing w:after="0" w:line="285" w:lineRule="auto"/>
        <w:tabs>
          <w:tab w:leader="none" w:pos="159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(ii) payment of regularly scheduled interest and principal payments as and when due in respect of any Indebtedness (subject to any subordination provisions thereof); (iii) payment of secured Indebtedness that becomes due as a result of the voluntary sale or transfer of the property or assets securing such Indebtedness; (iv) prepayment of any Permitted Unsecured Indebtedness from the proceeds of any other Permitted Unsecured Indebtedness (including premiums and fees associated therewith); (v) prepayment, purchase, redemption, retirement or other acquisition of any Permitted Unsecured Indebtedness by exchange for or out of the proceeds received from a substantially concurrent issue of (1) new shares of its non-mandatorily redeemable Equity Interests pursuant to the conversion terms (if any) described in the agreements related to such Permitted Unsecured Indebtedness or (2) Subordinated Indebtedness or other Permitted Unsecured Indebtedness; (vi) the Company may issue Equity Interests or make cash payments in connection with or as part of the conversion, redemption, retirement, prepayment or cancellation of any Permitted Convertible Notes; and (vii) prepayment, purchase, redemption, retirement or other acquisitions of the Existing Convertible Notes so long as, at the time thereof and after giving effect thereto (including on a Pro Forma Basis), Liquidity shall not be less than $50,000,000.</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0" w:name="page171"/>
    <w:bookmarkEnd w:id="170"/>
    <w:p>
      <w:pPr>
        <w:jc w:val="both"/>
        <w:ind w:firstLine="1289"/>
        <w:spacing w:after="0" w:line="287"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Company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Company or such Subsidiary than could be obtained on an arm’s-length basis from unrelated third parties, (b) transactions between or among the Company and its wholly owned Subsidiaries not involving any other Affiliate, (c) Indebtedness permitted by Sections 6.01(b) and 6.01(c), investments permitted by Section 6.04 and fundamental changes permitted by Section 6.03 so long as each such transaction is at a price and on terms and conditions not less favorable to the Company or such Subsidiary than could be obtained on an arm’s-length basis from unrelated third parties, (d) any Restricted Payment permitted by Section 6.06, (e) transactions existing on the date hereof and set forth in Schedule 6.07 and (f) any Affiliate who is an individual may serve as a director, officer or employee of the Company or such Subsidiary and receive compensation (including stock options) for his or her services in such capacity.</w:t>
      </w:r>
    </w:p>
    <w:p>
      <w:pPr>
        <w:spacing w:after="0" w:line="195" w:lineRule="exact"/>
        <w:rPr>
          <w:sz w:val="20"/>
          <w:szCs w:val="20"/>
          <w:color w:val="auto"/>
        </w:rPr>
      </w:pPr>
    </w:p>
    <w:p>
      <w:pPr>
        <w:jc w:val="both"/>
        <w:ind w:firstLine="1289"/>
        <w:spacing w:after="0" w:line="284"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Company will not, and will not permit any of its Subsidiaries to, directly or indirectly, enter into, incur or permit to exist any agreement or other arrangement that prohibits, restricts or imposes any condition upon (a) the ability of the Company or any Subsidiary to create, incur or permit to exist any Lien upon any of its property or assets, or (b) the ability of any Subsidiary to pay dividends or other distributions with respect to holders of its Equity Interests or to make or repay loans or advances to the Company or any other Subsidiary or to Guarantee Indebtedness of the Company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and conditions imposed by law or by this Agreement, (ii) the foregoing shall not apply to restrictions and conditions existing on the date hereof identified on Schedule 6.08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the foregoing shall not apply to restrictions and conditions contained in agreements relating to Permitted Unsecured Indebtedness, (v) clause (a) of the foregoing shall not apply to restrictions or conditions imposed by any agreement relating to secured Indebtedness permitted by this Agreement if such restrictions or conditions apply only to the property or assets securing such Indebtedness, (vi) clause (a) of the foregoing shall not apply to customary provisions in leases and other contracts restricting the assignment thereof and (vii) clause (b) of the foregoing shall not apply to restrictions or conditions imposed by the organizational documents of the Taiwan JV or imposed by any formation agreement related to a Joint Venture, including but not limited to the operating agreement or shareholders agreement of any Joint Venture, to the extent that an investment in such Joint Venture is not prohibited by Section 6.04.</w:t>
      </w:r>
    </w:p>
    <w:p>
      <w:pPr>
        <w:spacing w:after="0" w:line="198"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Issuances of Equity Interests by Subsidiaries</w:t>
      </w:r>
      <w:r>
        <w:rPr>
          <w:rFonts w:ascii="Arial" w:cs="Arial" w:eastAsia="Arial" w:hAnsi="Arial"/>
          <w:sz w:val="18"/>
          <w:szCs w:val="18"/>
          <w:color w:val="auto"/>
        </w:rPr>
        <w:t>. The Company will not permit any Subsidiary to issue any additional shares of its Equity Interests other than (a) to the Company or a wholly-owned Subsidiary, (b) any such issuance that does not change the Company’s direct or indirect percentage ownership interest in such Subsidiary, (c) any such issuance that is permitted pursuant to Section 6.03 or 6.04 and (d) any such issuance by PKL, PKLT, the Taiwan JV or any PRC Subsidiary, so long as the Company or any wholly-owned Subsidiary continues to own and control more than 50% of the voting and economic power of such Subsidiary.</w:t>
      </w:r>
    </w:p>
    <w:p>
      <w:pPr>
        <w:spacing w:after="0" w:line="216"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The Company will not, and will not permit any Subsidiary to, amend, modify or waive (a) any of its rights under its certificate of incorporation, by-laws or other organizational documents, in each case in any respect adverse to the Lenders or (b) any of the terms of any Subordinated Indebtedness, in each case in any respect adverse to the Lenders (for the purposes of this Section 6.10(b) and without limitation of the scope of the definition of “adverse”, any amendment to increase the principal amount, the interest rate or fees or other amounts payable, to advance the dates upon which payments are made or to alter any subordination provision (or any definition related thereto) shall be deemed to be “adverse”)</w:t>
      </w:r>
      <w:r>
        <w:rPr>
          <w:rFonts w:ascii="Arial" w:cs="Arial" w:eastAsia="Arial" w:hAnsi="Arial"/>
          <w:sz w:val="18"/>
          <w:szCs w:val="18"/>
          <w:u w:val="single" w:color="auto"/>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1" w:name="page172"/>
    <w:bookmarkEnd w:id="171"/>
    <w:p>
      <w:pPr>
        <w:ind w:left="130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74" w:lineRule="auto"/>
        <w:tabs>
          <w:tab w:leader="none" w:pos="1577"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Minimum Interest Coverage Ratio</w:t>
      </w:r>
      <w:r>
        <w:rPr>
          <w:rFonts w:ascii="Arial" w:cs="Arial" w:eastAsia="Arial" w:hAnsi="Arial"/>
          <w:sz w:val="17"/>
          <w:szCs w:val="17"/>
          <w:color w:val="auto"/>
        </w:rPr>
        <w:t>. The Company will not permit the ratio (the “</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xml:space="preserve">”), determined as of the end of each of its fiscal quarters, of (i) Consolidated EBITDA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(with respect to the fiscal quarters ending October 31, 2018, January 31, 2019 and April 30, 2019) that portion of Consolidated EBITDA that is attributable to the PRC Subsidiaries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Capital Expenditures (other than, if applicable, any Specified Capital Expenditures) to (ii) Consolidated Interest Expense, in each case for the period of 4 consecutive fiscal quarters ending with the end of such fiscal quarter, all calculated for the Company and its Subsidiaries on a consolidated basis, to be less than 2.50 to 1.00.</w:t>
      </w:r>
    </w:p>
    <w:p>
      <w:pPr>
        <w:spacing w:after="0" w:line="200" w:lineRule="exact"/>
        <w:rPr>
          <w:rFonts w:ascii="Arial" w:cs="Arial" w:eastAsia="Arial" w:hAnsi="Arial"/>
          <w:sz w:val="17"/>
          <w:szCs w:val="17"/>
          <w:color w:val="auto"/>
        </w:rPr>
      </w:pPr>
    </w:p>
    <w:p>
      <w:pPr>
        <w:jc w:val="both"/>
        <w:ind w:firstLine="1296"/>
        <w:spacing w:after="0" w:line="284" w:lineRule="auto"/>
        <w:tabs>
          <w:tab w:leader="none" w:pos="1587"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Total Leverage Ratio</w:t>
      </w:r>
      <w:r>
        <w:rPr>
          <w:rFonts w:ascii="Arial" w:cs="Arial" w:eastAsia="Arial" w:hAnsi="Arial"/>
          <w:sz w:val="17"/>
          <w:szCs w:val="17"/>
          <w:color w:val="auto"/>
        </w:rPr>
        <w:t>. The Company will not permit the ratio (the “</w:t>
      </w:r>
      <w:r>
        <w:rPr>
          <w:rFonts w:ascii="Arial" w:cs="Arial" w:eastAsia="Arial" w:hAnsi="Arial"/>
          <w:sz w:val="17"/>
          <w:szCs w:val="17"/>
          <w:u w:val="single" w:color="auto"/>
          <w:color w:val="auto"/>
        </w:rPr>
        <w:t>Total Leverage Ratio</w:t>
      </w:r>
      <w:r>
        <w:rPr>
          <w:rFonts w:ascii="Arial" w:cs="Arial" w:eastAsia="Arial" w:hAnsi="Arial"/>
          <w:sz w:val="17"/>
          <w:szCs w:val="17"/>
          <w:color w:val="auto"/>
        </w:rPr>
        <w:t>”), determined as of the end of each of its fiscal quarters, of (i) Consolidated Total Indebtedness to (ii) Consolidated EBITDA, in each case for the period of 4 consecutive fiscal quarters ending with the end of such fiscal quarter, all calculated for the Company and its Subsidiaries on a consolidated basis, to be greater than 2.50 to 1.00.</w:t>
      </w:r>
    </w:p>
    <w:p>
      <w:pPr>
        <w:spacing w:after="0" w:line="192" w:lineRule="exact"/>
        <w:rPr>
          <w:rFonts w:ascii="Arial" w:cs="Arial" w:eastAsia="Arial" w:hAnsi="Arial"/>
          <w:sz w:val="17"/>
          <w:szCs w:val="17"/>
          <w:color w:val="auto"/>
        </w:rPr>
      </w:pPr>
    </w:p>
    <w:p>
      <w:pPr>
        <w:jc w:val="both"/>
        <w:ind w:firstLine="1296"/>
        <w:spacing w:after="0" w:line="270" w:lineRule="auto"/>
        <w:tabs>
          <w:tab w:leader="none" w:pos="1617"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Minimum Unrestricted Cash Balances</w:t>
      </w:r>
      <w:r>
        <w:rPr>
          <w:rFonts w:ascii="Arial" w:cs="Arial" w:eastAsia="Arial" w:hAnsi="Arial"/>
          <w:sz w:val="17"/>
          <w:szCs w:val="17"/>
          <w:color w:val="auto"/>
        </w:rPr>
        <w:t>. The Company will not permit the aggregate amount of unrestricted and unencumbered cash balances and Permitted Investments maintained by the Company and its Subsidiaries (collectively, “</w:t>
      </w:r>
      <w:r>
        <w:rPr>
          <w:rFonts w:ascii="Arial" w:cs="Arial" w:eastAsia="Arial" w:hAnsi="Arial"/>
          <w:sz w:val="17"/>
          <w:szCs w:val="17"/>
          <w:u w:val="single" w:color="auto"/>
          <w:color w:val="auto"/>
        </w:rPr>
        <w:t>Liquidity</w:t>
      </w:r>
      <w:r>
        <w:rPr>
          <w:rFonts w:ascii="Arial" w:cs="Arial" w:eastAsia="Arial" w:hAnsi="Arial"/>
          <w:sz w:val="17"/>
          <w:szCs w:val="17"/>
          <w:color w:val="auto"/>
        </w:rPr>
        <w:t>”) to be less than $50,000,000. Furthermore, and in addition to the foregoing, at all times during any six-month period immediately prior to (x) any date on which the holders of any Permitted Unsecured Indebtedness have the option to require the Company to repurchase such securities and (y) the maturity date of any Permitted Unsecured Indebtedness, in each case the Company will not permit Liquidity to be less than $50,000,000 on a Pro Forma Basis after giving effect to the repayment or conversion of such Permitted Unsecured Indebtedness. For the avoidance of doubt, any cash deposited with the Collateral Agent pursuant to the terms of the Collateral Documents shall be deemed to be unrestricted or unencumbered cash.</w:t>
      </w:r>
    </w:p>
    <w:p>
      <w:pPr>
        <w:spacing w:after="0" w:line="206"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No Borrower will request any Borrowing or Letter of Credit, and no Borrower shall use, and the Company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0"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Events of Default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50" w:lineRule="exact"/>
        <w:rPr>
          <w:sz w:val="20"/>
          <w:szCs w:val="20"/>
          <w:color w:val="auto"/>
        </w:rPr>
      </w:pPr>
    </w:p>
    <w:p>
      <w:pPr>
        <w:ind w:firstLine="1296"/>
        <w:spacing w:after="0" w:line="275" w:lineRule="auto"/>
        <w:tabs>
          <w:tab w:leader="none" w:pos="15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2" w:name="page173"/>
    <w:bookmarkEnd w:id="172"/>
    <w:p>
      <w:pPr>
        <w:jc w:val="both"/>
        <w:ind w:firstLine="1296"/>
        <w:spacing w:after="0" w:line="262" w:lineRule="auto"/>
        <w:tabs>
          <w:tab w:leader="none" w:pos="15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(3) Business Days;</w:t>
      </w:r>
    </w:p>
    <w:p>
      <w:pPr>
        <w:spacing w:after="0" w:line="208" w:lineRule="exact"/>
        <w:rPr>
          <w:rFonts w:ascii="Arial" w:cs="Arial" w:eastAsia="Arial" w:hAnsi="Arial"/>
          <w:sz w:val="18"/>
          <w:szCs w:val="18"/>
          <w:color w:val="auto"/>
        </w:rPr>
      </w:pPr>
    </w:p>
    <w:p>
      <w:pPr>
        <w:jc w:val="both"/>
        <w:ind w:firstLine="1296"/>
        <w:spacing w:after="0" w:line="277" w:lineRule="auto"/>
        <w:tabs>
          <w:tab w:leader="none" w:pos="159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any Borrower or any Subsidiary in or in connection with this Agreement or any other Loan Document or any amendment or modification thereof or waiver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98" w:lineRule="exact"/>
        <w:rPr>
          <w:rFonts w:ascii="Arial" w:cs="Arial" w:eastAsia="Arial" w:hAnsi="Arial"/>
          <w:sz w:val="17"/>
          <w:szCs w:val="17"/>
          <w:color w:val="auto"/>
        </w:rPr>
      </w:pPr>
    </w:p>
    <w:p>
      <w:pPr>
        <w:jc w:val="both"/>
        <w:ind w:firstLine="1296"/>
        <w:spacing w:after="0" w:line="257" w:lineRule="auto"/>
        <w:tabs>
          <w:tab w:leader="none" w:pos="16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 the Company shall fail to observe or perform any covenant, condition or agreement contained in Section 5.02, 5.03 (with respect to any Borrower’s existence), 5.08, 5.09 or 5.10,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(ii) any Loan Document shall for any reason not be or shall cease to be in full force and effect or is declared to be null and void, or the Company or any Subsidiary takes any action for the purpose of terminating, repudiating or rescinding any Loan Document or any of its obligations thereunder;</w:t>
      </w:r>
    </w:p>
    <w:p>
      <w:pPr>
        <w:spacing w:after="0" w:line="214" w:lineRule="exact"/>
        <w:rPr>
          <w:rFonts w:ascii="Arial" w:cs="Arial" w:eastAsia="Arial" w:hAnsi="Arial"/>
          <w:sz w:val="18"/>
          <w:szCs w:val="18"/>
          <w:color w:val="auto"/>
        </w:rPr>
      </w:pPr>
    </w:p>
    <w:p>
      <w:pPr>
        <w:jc w:val="both"/>
        <w:ind w:firstLine="1296"/>
        <w:spacing w:after="0" w:line="257" w:lineRule="auto"/>
        <w:tabs>
          <w:tab w:leader="none" w:pos="16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Borrower or any Subsidiary Guarantor,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spacing w:after="0" w:line="214" w:lineRule="exact"/>
        <w:rPr>
          <w:rFonts w:ascii="Arial" w:cs="Arial" w:eastAsia="Arial" w:hAnsi="Arial"/>
          <w:sz w:val="18"/>
          <w:szCs w:val="18"/>
          <w:color w:val="auto"/>
        </w:rPr>
      </w:pPr>
    </w:p>
    <w:p>
      <w:pPr>
        <w:ind w:firstLine="1296"/>
        <w:spacing w:after="0" w:line="275" w:lineRule="auto"/>
        <w:tabs>
          <w:tab w:leader="none" w:pos="15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of principal or interest and regardless of amount) in respect of any Material Indebtedness, when and as the same shall become due and payable;</w:t>
      </w:r>
    </w:p>
    <w:p>
      <w:pPr>
        <w:spacing w:after="0" w:line="197" w:lineRule="exact"/>
        <w:rPr>
          <w:rFonts w:ascii="Arial" w:cs="Arial" w:eastAsia="Arial" w:hAnsi="Arial"/>
          <w:sz w:val="18"/>
          <w:szCs w:val="18"/>
          <w:color w:val="auto"/>
        </w:rPr>
      </w:pPr>
    </w:p>
    <w:p>
      <w:pPr>
        <w:jc w:val="both"/>
        <w:ind w:firstLine="1296"/>
        <w:spacing w:after="0" w:line="290" w:lineRule="auto"/>
        <w:tabs>
          <w:tab w:leader="none" w:pos="160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(x) secured Indebtedness that becomes due as a result of the voluntary sale or transfer of the property or assets securing such Indebtedness, (y) any redemption, repurchase, conversion or settlement with respect to any Permitted Convertible Notes pursuant to their terms unless such redemption, repurchase, conversion or settlement results from a default thereunder or an event of the type that constitutes an Event of Default or (z) any early payment requirement or unwinding or termination with respect to any Permitted Call Spread Swap Agreement;</w:t>
      </w:r>
    </w:p>
    <w:p>
      <w:pPr>
        <w:spacing w:after="0" w:line="189" w:lineRule="exact"/>
        <w:rPr>
          <w:rFonts w:ascii="Arial" w:cs="Arial" w:eastAsia="Arial" w:hAnsi="Arial"/>
          <w:sz w:val="16"/>
          <w:szCs w:val="16"/>
          <w:color w:val="auto"/>
        </w:rPr>
      </w:pPr>
    </w:p>
    <w:p>
      <w:pPr>
        <w:jc w:val="both"/>
        <w:ind w:firstLine="1296"/>
        <w:spacing w:after="0" w:line="274" w:lineRule="auto"/>
        <w:tabs>
          <w:tab w:leader="none" w:pos="161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Company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Subsidiary or for a substantial part of its assets, and, in any such case, such proceeding or petition shall continue undismissed for sixty (60) days or an order or decree approving or ordering any of the foregoing shall be entered;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3" w:name="page174"/>
    <w:bookmarkEnd w:id="173"/>
    <w:p>
      <w:pPr>
        <w:jc w:val="both"/>
        <w:ind w:firstLine="1296"/>
        <w:spacing w:after="0" w:line="272" w:lineRule="auto"/>
        <w:tabs>
          <w:tab w:leader="none" w:pos="155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Company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1" w:lineRule="exact"/>
        <w:rPr>
          <w:rFonts w:ascii="Arial" w:cs="Arial" w:eastAsia="Arial" w:hAnsi="Arial"/>
          <w:sz w:val="17"/>
          <w:szCs w:val="17"/>
          <w:color w:val="auto"/>
        </w:rPr>
      </w:pPr>
    </w:p>
    <w:p>
      <w:pPr>
        <w:ind w:left="1560" w:hanging="264"/>
        <w:spacing w:after="0"/>
        <w:tabs>
          <w:tab w:leader="none" w:pos="1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or any Subsidiary shall become unable, admit in writing its inability or fail generally to pay its debts as they become due;</w:t>
      </w:r>
    </w:p>
    <w:p>
      <w:pPr>
        <w:spacing w:after="0" w:line="272" w:lineRule="exact"/>
        <w:rPr>
          <w:rFonts w:ascii="Arial" w:cs="Arial" w:eastAsia="Arial" w:hAnsi="Arial"/>
          <w:sz w:val="16"/>
          <w:szCs w:val="16"/>
          <w:color w:val="auto"/>
        </w:rPr>
      </w:pPr>
    </w:p>
    <w:p>
      <w:pPr>
        <w:jc w:val="both"/>
        <w:ind w:firstLine="1296"/>
        <w:spacing w:after="0" w:line="257" w:lineRule="auto"/>
        <w:tabs>
          <w:tab w:leader="none" w:pos="164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$15,000,000 shall be rendered against the Company,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Subsidiary to enforce any such judgment;</w:t>
      </w:r>
    </w:p>
    <w:p>
      <w:pPr>
        <w:spacing w:after="0" w:line="214" w:lineRule="exact"/>
        <w:rPr>
          <w:rFonts w:ascii="Arial" w:cs="Arial" w:eastAsia="Arial" w:hAnsi="Arial"/>
          <w:sz w:val="18"/>
          <w:szCs w:val="18"/>
          <w:color w:val="auto"/>
        </w:rPr>
      </w:pPr>
    </w:p>
    <w:p>
      <w:pPr>
        <w:ind w:firstLine="1296"/>
        <w:spacing w:after="0" w:line="275" w:lineRule="auto"/>
        <w:tabs>
          <w:tab w:leader="none" w:pos="155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97" w:lineRule="exact"/>
        <w:rPr>
          <w:rFonts w:ascii="Arial" w:cs="Arial" w:eastAsia="Arial" w:hAnsi="Arial"/>
          <w:sz w:val="18"/>
          <w:szCs w:val="18"/>
          <w:color w:val="auto"/>
        </w:rPr>
      </w:pPr>
    </w:p>
    <w:p>
      <w:pPr>
        <w:ind w:left="1640" w:hanging="344"/>
        <w:spacing w:after="0"/>
        <w:tabs>
          <w:tab w:leader="none" w:pos="1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49" w:lineRule="exact"/>
        <w:rPr>
          <w:rFonts w:ascii="Arial" w:cs="Arial" w:eastAsia="Arial" w:hAnsi="Arial"/>
          <w:sz w:val="18"/>
          <w:szCs w:val="18"/>
          <w:color w:val="auto"/>
        </w:rPr>
      </w:pPr>
    </w:p>
    <w:p>
      <w:pPr>
        <w:ind w:firstLine="1296"/>
        <w:spacing w:after="0" w:line="275" w:lineRule="auto"/>
        <w:tabs>
          <w:tab w:leader="none" w:pos="159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Collateral Document shall for any reason fail to create a valid and perfected first priority security interest in any material portion of the Collateral purported to be covered thereby, except as permitted by the terms of any Loan Document;</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then, and in every such event (other than an event with respect to the Company described in clause (h) or (i)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Borrowers accrued hereunder and under the other Loan Documents, shall become due and payable immediately, without presentment, demand, protest or other notice of any kind, all of which are hereby waived by the Borrowers, (iii) require cash collateral for the LC Exposure in accordance with Section 2.06(j), and (iv) exercise on behalf of itself, the Lenders and the Issuing Banks all rights and remedies available to it, the Lenders and the Issuing Banks under the Loan Documents and applicable law; and in case of any event with respect to any Borrower described in clause (h) or (i) of this Article, the Commitments shall automatically terminate and the principal of the Loans then outstanding and cash collateral for the LC Exposure, together with accrued interest thereon and all fees and other Secured Obligations accrued hereunder and under the other Loan Documents, shall automatically become due and payable, and the obligation of the Borrower to cash collateralize the LC Exposure as provided in clause (iii) above shall automatically become effective, in each case, without presentment, demand, protest or other notice of any kind, all of which are hereby waived by the Borrowers. Upon the occurrence and during the continuance of an Event of Default, any Agent may exercise any rights and remedies provided to such Agent under the Loan Documents or at law or equity, including all remedies provided under the UCC.</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4" w:name="page175"/>
    <w:bookmarkEnd w:id="174"/>
    <w:p>
      <w:pPr>
        <w:jc w:val="both"/>
        <w:spacing w:after="0" w:line="282" w:lineRule="auto"/>
        <w:rPr>
          <w:sz w:val="20"/>
          <w:szCs w:val="20"/>
          <w:color w:val="auto"/>
        </w:rPr>
      </w:pPr>
      <w:r>
        <w:rPr>
          <w:rFonts w:ascii="Arial" w:cs="Arial" w:eastAsia="Arial" w:hAnsi="Arial"/>
          <w:sz w:val="16"/>
          <w:szCs w:val="16"/>
          <w:color w:val="auto"/>
        </w:rPr>
        <w:t xml:space="preserve">In addition to any other rights and remedies granted to the Administrative Agent and the Lenders in the Loan Documents, the Administrative Agent on behalf of the Lenders may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Company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Company on behalf of itself and its Subsidiaries. The Company further agrees on behalf of itself and its Subsidiaries, at the Administrative Agent’s request, to assemble the Collateral and make it available to the Administrative Agent at places which the Administrative Agent shall reasonably select, whether at the premises of the Company, another Loan Party or elsewhere. The Administrative Agent shall apply the net proceeds of any action taken by it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Secured Obligations,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the Company on behalf of itself and its Subsidiaries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6" w:lineRule="exact"/>
        <w:rPr>
          <w:sz w:val="20"/>
          <w:szCs w:val="20"/>
          <w:color w:val="auto"/>
        </w:rPr>
      </w:pPr>
    </w:p>
    <w:p>
      <w:pPr>
        <w:jc w:val="both"/>
        <w:ind w:firstLine="1289"/>
        <w:spacing w:after="0" w:line="286" w:lineRule="auto"/>
        <w:rPr>
          <w:sz w:val="20"/>
          <w:szCs w:val="20"/>
          <w:color w:val="auto"/>
        </w:rPr>
      </w:pPr>
      <w:r>
        <w:rPr>
          <w:rFonts w:ascii="Arial" w:cs="Arial" w:eastAsia="Arial" w:hAnsi="Arial"/>
          <w:sz w:val="16"/>
          <w:szCs w:val="16"/>
          <w:color w:val="auto"/>
        </w:rPr>
        <w:t xml:space="preserve">Notwithstanding anything herein to the contrary, following the occurrence and during the continuance of an Event of Default, and notice thereof to the Administrative Agent by the Company or the Required Lenders, all payments received on account of the Secured Obligations shall, subject to Section 2.24, be applied by the Administrative Agent ratably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any reasonable out-of-pocket fees, indemnities, or expense reimbursements including amounts then due to the Administrative Agent and the Issuing Banks from the Loan Parties,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 any fees or expense reimbursements then due to the Lenders from the Loan Parties,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 interest then due and payable on the Loans ratably,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prepay principal on the Loans and unreimbursed LC Disbursements, to pay an amount to the Administrative Agent equal to one hundred five percent (105%) of the aggregate undrawn face amount of all outstanding Letters of Credit and the aggregate amount of any unpaid LC Disbursements to be held as cash collateral for such Secured Obligations, to payment of any amounts owing with respect to Banking Services Obligations and Swap Obligations, and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other Secured Obligations due to the Administrative Agent or any Lender by the Loan Parties. Notwithstanding the foregoing, amounts received from any Loan Party shall not be applied to any Excluded Swap Obligation of such Loan Party. The Administrative Agent and the Lenders shall have the continuing and exclusive right to apply and reverse and reapply any and all such proceeds and payments to any portion of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-728980</wp:posOffset>
            </wp:positionV>
            <wp:extent cx="457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color w:val="auto"/>
        </w:rPr>
        <w:t>ARTICLE VIII</w:t>
      </w:r>
    </w:p>
    <w:p>
      <w:pPr>
        <w:spacing w:after="0" w:line="250"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The Administrative Agent and the Collateral Agent</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88" w:lineRule="auto"/>
        <w:tabs>
          <w:tab w:leader="none" w:pos="20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Lender and Issuing Bank hereby irrevocably appoints the entity named as Administrative Agent and Collateral Agent in the heading of this Agreement and its successors and assigns to serve as the administrative agent and collateral agent under the Loan Documents and each Lender and Issuing Bank authorizes each Agent to take such actions as agent on its behalf and to exercise such powers under this Agreement and the other Loan Documents as are delegated to such Agent under such agreements and to exercise such powers as are reasonably incidental thereto. In addition, to the extent required under the laws of any jurisdiction other than within the United States, each Lender and Issuing Bank hereby grants to each Agent any required powers of attorney to execute and enforce any Collateral Document governed by the laws of such jurisdiction on such Lender’s or such Issuing Bank’s behalf. Without limiting the foregoing, each Lender and Issuing Bank hereby authorizes each Agent to execute and deliver, and to perform its obligations under, each of the Loan Documents to which such Agent is a party, to exercise all rights, powers and remedies that such Agent may have under such Loan Documents.</w:t>
      </w:r>
    </w:p>
    <w:p>
      <w:pPr>
        <w:spacing w:after="0" w:line="220" w:lineRule="exact"/>
        <w:rPr>
          <w:rFonts w:ascii="Arial" w:cs="Arial" w:eastAsia="Arial" w:hAnsi="Arial"/>
          <w:sz w:val="16"/>
          <w:szCs w:val="16"/>
          <w:color w:val="auto"/>
        </w:rPr>
      </w:pPr>
    </w:p>
    <w:p>
      <w:pPr>
        <w:jc w:val="both"/>
        <w:ind w:firstLine="1296"/>
        <w:spacing w:after="0" w:line="284" w:lineRule="auto"/>
        <w:tabs>
          <w:tab w:leader="none" w:pos="212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no Agent shall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 Agent shall be required to take any action that (i) such Agent in good faith believes exposes it to liability unless such Agent receives an indemnification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Agent may seek clarification or direction from the Required Lenders prior to the exercise of any such instructed action and may refrain from acting until such clarification or direction has been provided. Except as expressly set forth in the Loan Documents, no Agent shall have any duty to disclose, and shall not be liable for the failure to disclose, any information relating to the Company, any Subsidiary or any Affiliate of any of the foregoing that is communicated to or obtained by the Person serving as an Agent or any of its Affiliates in any capacity. Nothing in this Agreement shall require any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6" w:name="page177"/>
    <w:bookmarkEnd w:id="176"/>
    <w:p>
      <w:pPr>
        <w:jc w:val="both"/>
        <w:ind w:firstLine="1296"/>
        <w:spacing w:after="0" w:line="262" w:lineRule="auto"/>
        <w:tabs>
          <w:tab w:leader="none" w:pos="20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performing its functions and duties hereunder and under the other Loan Documents, each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235" w:lineRule="exact"/>
        <w:rPr>
          <w:rFonts w:ascii="Arial" w:cs="Arial" w:eastAsia="Arial" w:hAnsi="Arial"/>
          <w:sz w:val="18"/>
          <w:szCs w:val="18"/>
          <w:color w:val="auto"/>
        </w:rPr>
      </w:pPr>
    </w:p>
    <w:p>
      <w:pPr>
        <w:jc w:val="both"/>
        <w:ind w:left="660" w:firstLine="1281"/>
        <w:spacing w:after="0" w:line="252" w:lineRule="auto"/>
        <w:tabs>
          <w:tab w:leader="none" w:pos="268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Agent assumes and shall not be deemed to have assumed any obligation or duty or any other relationship as the agent, fiduciary or trustee of or for any Lender, any Issuing Bank or any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any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any Agent based on an alleged breach of fiduciary duty by such Agent in connection with this Agreement and the transactions contemplated hereby;</w:t>
      </w:r>
    </w:p>
    <w:p>
      <w:pPr>
        <w:spacing w:after="0" w:line="248" w:lineRule="exact"/>
        <w:rPr>
          <w:rFonts w:ascii="Arial" w:cs="Arial" w:eastAsia="Arial" w:hAnsi="Arial"/>
          <w:sz w:val="18"/>
          <w:szCs w:val="18"/>
          <w:color w:val="auto"/>
        </w:rPr>
      </w:pPr>
    </w:p>
    <w:p>
      <w:pPr>
        <w:jc w:val="both"/>
        <w:ind w:left="660" w:firstLine="1281"/>
        <w:spacing w:after="0" w:line="257" w:lineRule="auto"/>
        <w:tabs>
          <w:tab w:leader="none" w:pos="275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where any Agent is required or deemed to act as a trustee in respect of any Collateral over which a security interest has been created pursuant to a Loan Document expressed to be governed by the laws of any jurisdiction other than the United States of America, the obligations and liabilities of such Agent to the Secured Parties in its capacity as trustee shall be excluded to the fullest extent permitted by applicable law; and</w:t>
      </w:r>
    </w:p>
    <w:p>
      <w:pPr>
        <w:spacing w:after="0" w:line="241" w:lineRule="exact"/>
        <w:rPr>
          <w:rFonts w:ascii="Arial" w:cs="Arial" w:eastAsia="Arial" w:hAnsi="Arial"/>
          <w:sz w:val="18"/>
          <w:szCs w:val="18"/>
          <w:color w:val="auto"/>
        </w:rPr>
      </w:pPr>
    </w:p>
    <w:p>
      <w:pPr>
        <w:ind w:left="660" w:right="20" w:firstLine="1281"/>
        <w:spacing w:after="0" w:line="275" w:lineRule="auto"/>
        <w:tabs>
          <w:tab w:leader="none" w:pos="2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any Agent to account to any Lender for any sum or the profit element of any sum received by such Agent for its own account.</w:t>
      </w:r>
    </w:p>
    <w:p>
      <w:pPr>
        <w:spacing w:after="0" w:line="223" w:lineRule="exact"/>
        <w:rPr>
          <w:rFonts w:ascii="Arial" w:cs="Arial" w:eastAsia="Arial" w:hAnsi="Arial"/>
          <w:sz w:val="18"/>
          <w:szCs w:val="18"/>
          <w:color w:val="auto"/>
        </w:rPr>
      </w:pPr>
    </w:p>
    <w:p>
      <w:pPr>
        <w:jc w:val="both"/>
        <w:ind w:firstLine="1296"/>
        <w:spacing w:after="0" w:line="272" w:lineRule="auto"/>
        <w:tabs>
          <w:tab w:leader="none" w:pos="208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Agent may perform any of its duties and exercise its rights and powers hereunder or under any other Loan Document by or through any one or more sub-agents appointed by such Agent. Each Agent and any such sub-agent may perform any of their respective duties and exercise their respective rights and powers through their respective Related Parties. The exculpatory provisions of this Article shall apply to any such sub-agent and to the Related Parties of such Agent and any such sub-agent, and shall apply to their respective activities pursuant to this Agreement. No Agent shall be responsible for the negligence or misconduct of any sub-agent except to the extent that a court of competent jurisdiction determines in a final and nonappealable judgment that such Agent acted with gross negligence or willful misconduct in the selection of such sub-agent.</w:t>
      </w:r>
    </w:p>
    <w:p>
      <w:pPr>
        <w:spacing w:after="0" w:line="228" w:lineRule="exact"/>
        <w:rPr>
          <w:rFonts w:ascii="Arial" w:cs="Arial" w:eastAsia="Arial" w:hAnsi="Arial"/>
          <w:sz w:val="17"/>
          <w:szCs w:val="17"/>
          <w:color w:val="auto"/>
        </w:rPr>
      </w:pPr>
    </w:p>
    <w:p>
      <w:pPr>
        <w:jc w:val="both"/>
        <w:ind w:firstLine="1296"/>
        <w:spacing w:after="0" w:line="262" w:lineRule="auto"/>
        <w:tabs>
          <w:tab w:leader="none" w:pos="20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235" w:lineRule="exact"/>
        <w:rPr>
          <w:rFonts w:ascii="Arial" w:cs="Arial" w:eastAsia="Arial" w:hAnsi="Arial"/>
          <w:sz w:val="18"/>
          <w:szCs w:val="18"/>
          <w:color w:val="auto"/>
        </w:rPr>
      </w:pPr>
    </w:p>
    <w:p>
      <w:pPr>
        <w:jc w:val="both"/>
        <w:ind w:firstLine="1296"/>
        <w:spacing w:after="0" w:line="255" w:lineRule="auto"/>
        <w:tabs>
          <w:tab w:leader="none" w:pos="2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case of the pendency of any proceeding with respect to any Loan Party under any federal, state or foreign bankruptcy, insolvency, receivership or similar law now or hereafter in effect, each Agent (irrespective of whether the principal of any Loan or any reimbursement obligation in respect of any LC Disbursement shall then be due and payable as herein expressed or by declaration or otherwise and irrespective of whether such Agent shall have made any demand on any Loan Party) shall be entitled and empowered (but not obligated) by intervention in such proceeding or otherwise:</w:t>
      </w:r>
    </w:p>
    <w:p>
      <w:pPr>
        <w:spacing w:after="0" w:line="243" w:lineRule="exact"/>
        <w:rPr>
          <w:rFonts w:ascii="Arial" w:cs="Arial" w:eastAsia="Arial" w:hAnsi="Arial"/>
          <w:sz w:val="18"/>
          <w:szCs w:val="18"/>
          <w:color w:val="auto"/>
        </w:rPr>
      </w:pPr>
    </w:p>
    <w:p>
      <w:pPr>
        <w:jc w:val="both"/>
        <w:ind w:left="660" w:firstLine="1281"/>
        <w:spacing w:after="0" w:line="257" w:lineRule="auto"/>
        <w:tabs>
          <w:tab w:leader="none" w:pos="268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such Agent (including any claim under Sections 2.12, 2.13, 2.15, 2.17 and 9.03) allowed in such judicial proceeding; and</w:t>
      </w:r>
    </w:p>
    <w:p>
      <w:pPr>
        <w:spacing w:after="0" w:line="241" w:lineRule="exact"/>
        <w:rPr>
          <w:rFonts w:ascii="Arial" w:cs="Arial" w:eastAsia="Arial" w:hAnsi="Arial"/>
          <w:sz w:val="18"/>
          <w:szCs w:val="18"/>
          <w:color w:val="auto"/>
        </w:rPr>
      </w:pPr>
    </w:p>
    <w:p>
      <w:pPr>
        <w:ind w:left="2700" w:hanging="759"/>
        <w:spacing w:after="0"/>
        <w:tabs>
          <w:tab w:leader="none" w:pos="27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77" w:name="page178"/>
    <w:bookmarkEnd w:id="177"/>
    <w:p>
      <w:pPr>
        <w:jc w:val="both"/>
        <w:spacing w:after="0" w:line="29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proceeding is hereby authorized by each Lender, each Issuing Bank and each other Secured Party to make such payments to such Agent and, in the event that such Agent shall consent to the making of such payments directly to the Lenders, the Issuing Banks or the other Secured Parties, to pay to such Agent any amount due to it, in its capacity as such Agent, under the Loan Documents (including under Section 9.03). Nothing contained herein shall be deemed to authorize such Agent to authorize or consent to or accept or adopt on behalf of any Lender or Issuing Bank any plan of reorganization, arrangement, adjustment or composition affecting the Obligations or the rights of any Lender or Issuing Bank or to authorize such Agent to vote in respect of the claim of any Lender or Issuing Bank in any such proceeding.</w:t>
      </w:r>
    </w:p>
    <w:p>
      <w:pPr>
        <w:spacing w:after="0" w:line="188" w:lineRule="exact"/>
        <w:rPr>
          <w:sz w:val="20"/>
          <w:szCs w:val="20"/>
          <w:color w:val="auto"/>
        </w:rPr>
      </w:pPr>
    </w:p>
    <w:p>
      <w:pPr>
        <w:jc w:val="both"/>
        <w:ind w:firstLine="1296"/>
        <w:spacing w:after="0" w:line="255" w:lineRule="auto"/>
        <w:tabs>
          <w:tab w:leader="none" w:pos="16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solely for the benefit of the Agents, the Lenders and the Issuing Banks, and, except solely to the extent of the Company’s rights to consent pursuant to and subject to the conditions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none of the Company or any Subsidiary, or any of their respective Affiliates, shall have any rights as a third party beneficiary under any such provisions. Each Secured Party, whether or not a party hereto, will be deemed, by its acceptance of the benefits of the Collateral and of the Guarantees of the Obligations provided under the Loan Documents, to have agreed to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Agents’ Reliance, Indemnification, Etc</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68" w:lineRule="auto"/>
        <w:tabs>
          <w:tab w:leader="none" w:pos="207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such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such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w:t>
      </w:r>
    </w:p>
    <w:p>
      <w:pPr>
        <w:spacing w:after="0" w:line="237" w:lineRule="exact"/>
        <w:rPr>
          <w:rFonts w:ascii="Arial" w:cs="Arial" w:eastAsia="Arial" w:hAnsi="Arial"/>
          <w:sz w:val="17"/>
          <w:szCs w:val="17"/>
          <w:color w:val="auto"/>
        </w:rPr>
      </w:pPr>
    </w:p>
    <w:p>
      <w:pPr>
        <w:jc w:val="both"/>
        <w:ind w:firstLine="1296"/>
        <w:spacing w:after="0" w:line="267" w:lineRule="auto"/>
        <w:tabs>
          <w:tab w:leader="none" w:pos="207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No Agent shall be deemed to have knowledge of any Default unless and until written notice thereof (stating that it is a “notice of default”) is given to such Agent by the Company, a Lender or an Issuing Bank, and such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in any Loan Document, other than to confirm receipt of items expressly required to be delivered to such Agent or satisfaction of any condition that expressly refers to the matters described therein being acceptable or satisfactory to such Agent or (vi) the creation, perfection or priority of Liens on the Collateral. Notwithstanding anything herein to the contrary, such Agent shall not be liable for, or be responsible for any loss, cost or expense suffered by the Company, any Subsidiary, any Lender or Issuing Bank as a result of, any determination of the Credit Exposure, any of the component amounts thereof or any portion thereof attributable to each Lender or Issuing Bank or any Dollar Amount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78" w:name="page179"/>
    <w:bookmarkEnd w:id="178"/>
    <w:p>
      <w:pPr>
        <w:jc w:val="both"/>
        <w:ind w:firstLine="1296"/>
        <w:spacing w:after="0" w:line="267" w:lineRule="auto"/>
        <w:tabs>
          <w:tab w:leader="none" w:pos="203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Without limiting the foregoing, each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such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62" w:lineRule="auto"/>
        <w:tabs>
          <w:tab w:leader="none" w:pos="20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1296"/>
        <w:spacing w:after="0" w:line="269" w:lineRule="auto"/>
        <w:tabs>
          <w:tab w:leader="none" w:pos="207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Company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the Issuing Banks and the Company hereby approves distribution of the Communications through the Approved Electronic Platform and understands and assumes the risks of such distribution.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79" w:name="page180"/>
    <w:bookmarkEnd w:id="179"/>
    <w:p>
      <w:pPr>
        <w:jc w:val="both"/>
        <w:ind w:firstLine="1296"/>
        <w:spacing w:after="0" w:line="251" w:lineRule="auto"/>
        <w:tabs>
          <w:tab w:leader="none" w:pos="23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SYNDICATION AGENT, ANY DOCUMENTATION AGENT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247" w:lineRule="exact"/>
        <w:rPr>
          <w:rFonts w:ascii="Arial" w:cs="Arial" w:eastAsia="Arial" w:hAnsi="Arial"/>
          <w:sz w:val="18"/>
          <w:szCs w:val="18"/>
          <w:color w:val="auto"/>
        </w:rPr>
      </w:pPr>
    </w:p>
    <w:p>
      <w:pPr>
        <w:jc w:val="both"/>
        <w:ind w:firstLine="1296"/>
        <w:spacing w:after="0" w:line="255" w:lineRule="auto"/>
        <w:tabs>
          <w:tab w:leader="none" w:pos="215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spacing w:after="0" w:line="243" w:lineRule="exact"/>
        <w:rPr>
          <w:rFonts w:ascii="Arial" w:cs="Arial" w:eastAsia="Arial" w:hAnsi="Arial"/>
          <w:sz w:val="18"/>
          <w:szCs w:val="18"/>
          <w:color w:val="auto"/>
        </w:rPr>
      </w:pPr>
    </w:p>
    <w:p>
      <w:pPr>
        <w:jc w:val="both"/>
        <w:ind w:firstLine="1296"/>
        <w:spacing w:after="0" w:line="262" w:lineRule="auto"/>
        <w:tabs>
          <w:tab w:leader="none" w:pos="20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the Lenders, each of the Issuing Banks and the Company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235" w:lineRule="exact"/>
        <w:rPr>
          <w:rFonts w:ascii="Arial" w:cs="Arial" w:eastAsia="Arial" w:hAnsi="Arial"/>
          <w:sz w:val="18"/>
          <w:szCs w:val="18"/>
          <w:color w:val="auto"/>
        </w:rPr>
      </w:pPr>
    </w:p>
    <w:p>
      <w:pPr>
        <w:ind w:firstLine="1296"/>
        <w:spacing w:after="0" w:line="275" w:lineRule="auto"/>
        <w:tabs>
          <w:tab w:leader="none" w:pos="20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97"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The Agents Individually</w:t>
      </w:r>
      <w:r>
        <w:rPr>
          <w:rFonts w:ascii="Arial" w:cs="Arial" w:eastAsia="Arial" w:hAnsi="Arial"/>
          <w:sz w:val="17"/>
          <w:szCs w:val="17"/>
          <w:color w:val="auto"/>
        </w:rPr>
        <w:t xml:space="preserve"> With respect to its Commitment, Loans and Letters of Credit, the Person serving as the Administrative Agent or the Collateral Agent, as applicable,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or the Collateral Agent, as applicable, in its individual capacity as a Lender, an Issuing Bank or as one of the Required Lenders, as applicable. The Person serving as the Administrative Agent or the Collateral Agent, as applicable,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or the Collateral Agent, as applicable, and without any duty to account therefor to the Lenders or the Issuing Banks.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80" w:name="page181"/>
    <w:bookmarkEnd w:id="180"/>
    <w:p>
      <w:pPr>
        <w:ind w:left="13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Successor Agents</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86" w:lineRule="auto"/>
        <w:tabs>
          <w:tab w:leader="none" w:pos="215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Either Agent may resign at any time by giving 30 days’ prior written notice thereof to the Lenders, the Issuing Banks and the Company, whether or not a successor Agent has been appointed. Upon any such resignation, the Required Lenders shall have the right to appoint a successor Agent. If no successor Agent shall have been so appointed by the Required Lenders, and shall have accepted such appointment, within 30 days after the retiring Agent’s giving of notice of resignation, then the retiring Agent may, on behalf of the Lenders and the Issuing Banks, appoint a successor Agent, which shall be a bank with an office in New York, New York or an Affiliate of any such bank. In either case, such appointment shall be subject to the prior written approval of the Company (which approval may not be unreasonably withheld and shall not be required while an Event of Default has occurred and is continuing). Upon the acceptance of any appointment as Administrative Agent or as Collateral Agent, as applicable, by a successor Agent, such successor Agent shall succeed to, and become vested with, all the rights, powers, privileges and duties of the retiring Agent. Upon the acceptance of appointment as Administrative Agent or Collateral Agent, as applicable, by a successor Agent, the retiring Agent shall be discharged from its duties and obligations under this Agreement and the other Loan Documents. Prior to any retiring Agent’s resignation hereunder as Agent, the retiring Agent shall take such action as may be reasonably necessary to assign to the successor Agent its rights as Agent under the Loan Documents.</w:t>
      </w:r>
    </w:p>
    <w:p>
      <w:pPr>
        <w:spacing w:after="0" w:line="219" w:lineRule="exact"/>
        <w:rPr>
          <w:rFonts w:ascii="Arial" w:cs="Arial" w:eastAsia="Arial" w:hAnsi="Arial"/>
          <w:sz w:val="16"/>
          <w:szCs w:val="16"/>
          <w:color w:val="auto"/>
        </w:rPr>
      </w:pPr>
    </w:p>
    <w:p>
      <w:pPr>
        <w:jc w:val="both"/>
        <w:ind w:firstLine="1296"/>
        <w:spacing w:after="0" w:line="283" w:lineRule="auto"/>
        <w:tabs>
          <w:tab w:leader="none" w:pos="222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Notwithstanding paragraph (a) of this Section, in the event no successor Agent shall have been so appointed and shall have accepted such appointment within 30 days after the retiring Agent gives notice of its intent to resign, the retiring Agent may give notice of the effectiveness of its resignation to the Lenders, the Issuing Banks and the Company, whereupon, on the date of effectiveness of such resignation stated in such notice, (i) the retiring Agent shall be discharged from its duties and obligations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maintaining any security interest granted to the Agent under any Collateral Document for the benefit of the Secured Parties, the retiring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Agent, shall continue to hold such Collateral, in each case until such time as a successor Agent is appointed and accepts such appointment in accordance with this Section (it being understood and agreed that the retiring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payments required to be made hereunder or under any other Loan Document to the Agent for the account of any Person other than the Agent shall be made directly to such Person and (B) all notices and other communications required or contemplated to be given or made to the applicable Agent shall directly be given or made to each Lender and each Issuing Bank. Following the effectiveness of such Agent’s resignation from its capacity as such,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Section 9.03, as well as any exculpatory, reimbursement and indemnification provisions set forth in any other Loan Document, shall continue in effect for the benefit of such retiring Agent, its sub-agents and their respective Related Parties in respect of any actions taken or omitted to be taken by any of them while the retiring Agent was acting as Administrative Agent or Collateral Agent, as applicable, and in respect of the matters referred to in the proviso under clause (i) above.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1" w:name="page182"/>
    <w:bookmarkEnd w:id="181"/>
    <w:p>
      <w:pPr>
        <w:ind w:left="130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Acknowledgments of Lenders and Issuing Banks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69" w:lineRule="auto"/>
        <w:tabs>
          <w:tab w:leader="none" w:pos="160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Lender represents that it is engaged in making, acquiring or holding commercial loans in the ordinary course of its business and that it has, independently and without reliance upon any Agent, any Arranger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any Agent, any Arranger or any other Lender,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7" w:lineRule="exact"/>
        <w:rPr>
          <w:rFonts w:ascii="Arial" w:cs="Arial" w:eastAsia="Arial" w:hAnsi="Arial"/>
          <w:sz w:val="17"/>
          <w:szCs w:val="17"/>
          <w:color w:val="auto"/>
        </w:rPr>
      </w:pPr>
    </w:p>
    <w:p>
      <w:pPr>
        <w:jc w:val="both"/>
        <w:ind w:firstLine="1296"/>
        <w:spacing w:after="0" w:line="257" w:lineRule="auto"/>
        <w:tabs>
          <w:tab w:leader="none" w:pos="159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Agents or the Lenders on the Effective Date.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52" w:lineRule="auto"/>
        <w:tabs>
          <w:tab w:leader="none" w:pos="20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Collateral Agent on behalf of the Secured Parties in accordance with the terms thereof. In its capacity, the Collateral Agent is a “representative” of the Secured Parties within the meaning of the term “secured party” as defined in the UCC. In the event that any Collateral is hereafter pledged by any Person as collateral security for the Secured Obligations, the Collateral Agent is hereby authorized, and hereby granted a power of attorney, to execute and deliver on behalf of the Secured Parties any Loan Documents necessary or appropriate to grant and perfect a Lien on such Collateral in favor of the Collateral Agent on behalf of the Secured Parties.</w:t>
      </w:r>
    </w:p>
    <w:p>
      <w:pPr>
        <w:spacing w:after="0" w:line="248" w:lineRule="exact"/>
        <w:rPr>
          <w:rFonts w:ascii="Arial" w:cs="Arial" w:eastAsia="Arial" w:hAnsi="Arial"/>
          <w:sz w:val="18"/>
          <w:szCs w:val="18"/>
          <w:color w:val="auto"/>
        </w:rPr>
      </w:pPr>
    </w:p>
    <w:p>
      <w:pPr>
        <w:jc w:val="both"/>
        <w:ind w:firstLine="1296"/>
        <w:spacing w:after="0" w:line="254" w:lineRule="auto"/>
        <w:tabs>
          <w:tab w:leader="none" w:pos="20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Agents to serve as administrative agent and collateral agent, as applicable, under the Loan Documents and agreed to be bound by the Loan Documents as a Secured Party thereunder, subject to the limitations set forth in this paragraph.</w:t>
      </w:r>
    </w:p>
    <w:p>
      <w:pPr>
        <w:spacing w:after="0" w:line="243" w:lineRule="exact"/>
        <w:rPr>
          <w:rFonts w:ascii="Arial" w:cs="Arial" w:eastAsia="Arial" w:hAnsi="Arial"/>
          <w:sz w:val="18"/>
          <w:szCs w:val="18"/>
          <w:color w:val="auto"/>
        </w:rPr>
      </w:pPr>
    </w:p>
    <w:p>
      <w:pPr>
        <w:jc w:val="both"/>
        <w:ind w:firstLine="1296"/>
        <w:spacing w:after="0" w:line="289" w:lineRule="auto"/>
        <w:tabs>
          <w:tab w:leader="none" w:pos="207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Secured Parties irrevocably authorize the Collateral Agent, at its option and in its discretion, to subordinate any Lien on any property granted to or held by the Collateral Agent under any Loan Document to the holder of any Lien on such property that is permitted by Section 6.02(b)</w:t>
      </w:r>
    </w:p>
    <w:p>
      <w:pPr>
        <w:spacing w:after="0" w:line="1"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(i). 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the Collateral Agent be responsible or liable to the Lenders or any other Secured Party for any failure to monitor or maintain any portion of the Collateral.</w:t>
      </w:r>
    </w:p>
    <w:p>
      <w:pPr>
        <w:spacing w:after="0" w:line="243" w:lineRule="exact"/>
        <w:rPr>
          <w:rFonts w:ascii="Arial" w:cs="Arial" w:eastAsia="Arial" w:hAnsi="Arial"/>
          <w:sz w:val="16"/>
          <w:szCs w:val="16"/>
          <w:color w:val="auto"/>
        </w:rPr>
      </w:pPr>
    </w:p>
    <w:p>
      <w:pPr>
        <w:jc w:val="both"/>
        <w:ind w:firstLine="1296"/>
        <w:spacing w:after="0" w:line="268" w:lineRule="auto"/>
        <w:tabs>
          <w:tab w:leader="none" w:pos="214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Borrower, on its behalf and on behalf of its Subsidiaries, and each Lender, on its behalf and on the behalf of its affiliated Holders of Secured Obligations, hereby irrevocably constitute the Collateral Agent as the holder of an irrevocable power of attorney (</w:t>
      </w:r>
      <w:r>
        <w:rPr>
          <w:rFonts w:ascii="Arial" w:cs="Arial" w:eastAsia="Arial" w:hAnsi="Arial"/>
          <w:sz w:val="17"/>
          <w:szCs w:val="17"/>
          <w:i w:val="1"/>
          <w:iCs w:val="1"/>
          <w:color w:val="auto"/>
        </w:rPr>
        <w:t>fondé de pouvoir</w:t>
      </w:r>
      <w:r>
        <w:rPr>
          <w:rFonts w:ascii="Arial" w:cs="Arial" w:eastAsia="Arial" w:hAnsi="Arial"/>
          <w:sz w:val="17"/>
          <w:szCs w:val="17"/>
          <w:color w:val="auto"/>
        </w:rPr>
        <w:t xml:space="preserve"> within the meaning of Article 2692 of the Civil Code of Québec) in order to hold hypothecs and security granted by each Borrower or any Subsidiary on property pursuant to the laws of the Province of Quebec to secure obligations of any Borrower or any Subsidiary under any bond, debenture or similar title of indebtedness issued by any Borrower or any Subsidiary in connection with this Agreement, and agree that the Collateral Agent may act as the bondholder and mandatary with respect to any bond, debenture or similar title of indebtedness that may be issued by any Borrower or any Subsidiary and pledged in favor of the Holder of Secured Obligations in connection with this Agreement. Notwithstanding the provisions of Section 32 of the An Act respecting the special powers of legal persons (Quebec), JPMorgan Chase Bank, N.A. as Collateral Agent may acquire and be the holder of any bond issued by any Borrower or any Subsidiary in connection with this Agreement (i.e., the </w:t>
      </w:r>
      <w:r>
        <w:rPr>
          <w:rFonts w:ascii="Arial" w:cs="Arial" w:eastAsia="Arial" w:hAnsi="Arial"/>
          <w:sz w:val="17"/>
          <w:szCs w:val="17"/>
          <w:i w:val="1"/>
          <w:iCs w:val="1"/>
          <w:color w:val="auto"/>
        </w:rPr>
        <w:t>fondé de pouvoir</w:t>
      </w:r>
      <w:r>
        <w:rPr>
          <w:rFonts w:ascii="Arial" w:cs="Arial" w:eastAsia="Arial" w:hAnsi="Arial"/>
          <w:sz w:val="17"/>
          <w:szCs w:val="17"/>
          <w:color w:val="auto"/>
        </w:rPr>
        <w:t xml:space="preserve"> may acquire and hold the first bond issued under any deed of hypothec by any Borrower or any Subsidiary).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2" w:name="page183"/>
    <w:bookmarkEnd w:id="182"/>
    <w:p>
      <w:pPr>
        <w:jc w:val="both"/>
        <w:ind w:firstLine="1296"/>
        <w:spacing w:after="0" w:line="267" w:lineRule="auto"/>
        <w:tabs>
          <w:tab w:leader="none" w:pos="205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Collateral Agent is hereby authorized to execute and deliver any documents necessary or appropriate to create and perfect the rights of pledge for the benefit of the Holders of Secured Obligations including a right of pledge with respect to the entitlements to profits, the balance left after winding up and the voting rights of the Company as ultimate parent of any subsidiary of the Company which is organized under the laws of the Netherlands and the Equity Interests of which are pledged in connection herewith (a “</w:t>
      </w:r>
      <w:r>
        <w:rPr>
          <w:rFonts w:ascii="Arial" w:cs="Arial" w:eastAsia="Arial" w:hAnsi="Arial"/>
          <w:sz w:val="17"/>
          <w:szCs w:val="17"/>
          <w:u w:val="single" w:color="auto"/>
          <w:color w:val="auto"/>
        </w:rPr>
        <w:t>Dutch Pledge</w:t>
      </w:r>
      <w:r>
        <w:rPr>
          <w:rFonts w:ascii="Arial" w:cs="Arial" w:eastAsia="Arial" w:hAnsi="Arial"/>
          <w:sz w:val="17"/>
          <w:szCs w:val="17"/>
          <w:color w:val="auto"/>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Arial" w:cs="Arial" w:eastAsia="Arial" w:hAnsi="Arial"/>
          <w:sz w:val="17"/>
          <w:szCs w:val="17"/>
          <w:u w:val="single" w:color="auto"/>
          <w:color w:val="auto"/>
        </w:rPr>
        <w:t>Parallel Debt</w:t>
      </w:r>
      <w:r>
        <w:rPr>
          <w:rFonts w:ascii="Arial" w:cs="Arial" w:eastAsia="Arial" w:hAnsi="Arial"/>
          <w:sz w:val="17"/>
          <w:szCs w:val="17"/>
          <w:color w:val="auto"/>
        </w:rPr>
        <w:t>”), including that any payment received by the Collateral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Secured Obligations, and any payment to the Holders of Secured Obligations in satisfaction of the Secured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Collateral Agent is not effective until its rights under the Parallel Debt are assigned to the successor Collateral Agent.</w:t>
      </w:r>
    </w:p>
    <w:p>
      <w:pPr>
        <w:spacing w:after="0" w:line="234" w:lineRule="exact"/>
        <w:rPr>
          <w:rFonts w:ascii="Arial" w:cs="Arial" w:eastAsia="Arial" w:hAnsi="Arial"/>
          <w:sz w:val="17"/>
          <w:szCs w:val="17"/>
          <w:color w:val="auto"/>
        </w:rPr>
      </w:pPr>
    </w:p>
    <w:p>
      <w:pPr>
        <w:jc w:val="both"/>
        <w:ind w:firstLine="1296"/>
        <w:spacing w:after="0" w:line="286" w:lineRule="auto"/>
        <w:tabs>
          <w:tab w:leader="none" w:pos="201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parties hereto acknowledge and agree for the purposes of taking and ensuring the continuing validity of German law governed pledges (</w:t>
      </w:r>
      <w:r>
        <w:rPr>
          <w:rFonts w:ascii="Arial" w:cs="Arial" w:eastAsia="Arial" w:hAnsi="Arial"/>
          <w:sz w:val="16"/>
          <w:szCs w:val="16"/>
          <w:i w:val="1"/>
          <w:iCs w:val="1"/>
          <w:color w:val="auto"/>
        </w:rPr>
        <w:t>Pfandrechte</w:t>
      </w:r>
      <w:r>
        <w:rPr>
          <w:rFonts w:ascii="Arial" w:cs="Arial" w:eastAsia="Arial" w:hAnsi="Arial"/>
          <w:sz w:val="16"/>
          <w:szCs w:val="16"/>
          <w:color w:val="auto"/>
        </w:rPr>
        <w:t>) with the creation of parallel debt obligations of the Borrowers as will be further described in a separate German law governed parallel debt undertaking. The Collateral Agent shall (i) hold such parallel debt undertaking as fiduciary agent (Treuhaender) and (ii) administer and hold as fiduciary agent (</w:t>
      </w:r>
      <w:r>
        <w:rPr>
          <w:rFonts w:ascii="Arial" w:cs="Arial" w:eastAsia="Arial" w:hAnsi="Arial"/>
          <w:sz w:val="16"/>
          <w:szCs w:val="16"/>
          <w:i w:val="1"/>
          <w:iCs w:val="1"/>
          <w:color w:val="auto"/>
        </w:rPr>
        <w:t>Treuhaender</w:t>
      </w:r>
      <w:r>
        <w:rPr>
          <w:rFonts w:ascii="Arial" w:cs="Arial" w:eastAsia="Arial" w:hAnsi="Arial"/>
          <w:sz w:val="16"/>
          <w:szCs w:val="16"/>
          <w:color w:val="auto"/>
        </w:rPr>
        <w:t>) any pledge created under a German law governed Collateral Document which is created in favor of any Holder of the Secured Obligations or transferred to any Holder of the Secured Obligations due to its accessory nature (</w:t>
      </w:r>
      <w:r>
        <w:rPr>
          <w:rFonts w:ascii="Arial" w:cs="Arial" w:eastAsia="Arial" w:hAnsi="Arial"/>
          <w:sz w:val="16"/>
          <w:szCs w:val="16"/>
          <w:i w:val="1"/>
          <w:iCs w:val="1"/>
          <w:color w:val="auto"/>
        </w:rPr>
        <w:t>Akzessorietaet</w:t>
      </w:r>
      <w:r>
        <w:rPr>
          <w:rFonts w:ascii="Arial" w:cs="Arial" w:eastAsia="Arial" w:hAnsi="Arial"/>
          <w:sz w:val="16"/>
          <w:szCs w:val="16"/>
          <w:color w:val="auto"/>
        </w:rPr>
        <w:t>), in each case in its own name and for the account of the Holders of the Secured Obligations. Each Lender, on its own behalf and on behalf of its affiliated Holders of Secured Obligations, hereby authorizes the Collateral Agent to enter as its agent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83" w:name="page184"/>
    <w:bookmarkEnd w:id="183"/>
    <w:p>
      <w:pPr>
        <w:jc w:val="both"/>
        <w:ind w:firstLine="645"/>
        <w:spacing w:after="0" w:line="28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Credit Bidding</w:t>
      </w:r>
      <w:r>
        <w:rPr>
          <w:rFonts w:ascii="Arial" w:cs="Arial" w:eastAsia="Arial" w:hAnsi="Arial"/>
          <w:sz w:val="16"/>
          <w:szCs w:val="16"/>
          <w:color w:val="auto"/>
        </w:rPr>
        <w:t>. The Secured Parties hereby irrevocably authorize the Collateral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Secured Obligations owed to the Secured Parties shall be entitled to be, and shall be, credit bid by the Collateral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w:t>
      </w:r>
    </w:p>
    <w:p>
      <w:pPr>
        <w:spacing w:after="0" w:line="8" w:lineRule="exact"/>
        <w:rPr>
          <w:sz w:val="20"/>
          <w:szCs w:val="20"/>
          <w:color w:val="auto"/>
        </w:rPr>
      </w:pPr>
    </w:p>
    <w:p>
      <w:pPr>
        <w:jc w:val="both"/>
        <w:ind w:firstLine="7"/>
        <w:spacing w:after="0" w:line="282" w:lineRule="auto"/>
        <w:tabs>
          <w:tab w:leader="none" w:pos="28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each of the Secured Parties’ ratable interests in the Secured Obligations which were credit bid shall be deemed without any further action under this Agreement to be assigned to such vehicle or vehicles for the purpose of closing such sale, (iii) the Collateral Agent shall be authorized to adopt documents providing for the governance of the acquisition vehicle or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Collateral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4" w:name="page185"/>
    <w:bookmarkEnd w:id="184"/>
    <w:p>
      <w:pPr>
        <w:ind w:left="130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76" w:lineRule="exact"/>
        <w:rPr>
          <w:sz w:val="20"/>
          <w:szCs w:val="20"/>
          <w:color w:val="auto"/>
        </w:rPr>
      </w:pPr>
    </w:p>
    <w:p>
      <w:pPr>
        <w:jc w:val="both"/>
        <w:ind w:firstLine="1296"/>
        <w:spacing w:after="0" w:line="257" w:lineRule="auto"/>
        <w:tabs>
          <w:tab w:leader="none" w:pos="205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Company or any other Loan Party, that at least one of the following is and will be true:</w:t>
      </w:r>
    </w:p>
    <w:p>
      <w:pPr>
        <w:spacing w:after="0" w:line="241" w:lineRule="exact"/>
        <w:rPr>
          <w:rFonts w:ascii="Arial" w:cs="Arial" w:eastAsia="Arial" w:hAnsi="Arial"/>
          <w:sz w:val="18"/>
          <w:szCs w:val="18"/>
          <w:color w:val="auto"/>
        </w:rPr>
      </w:pPr>
    </w:p>
    <w:p>
      <w:pPr>
        <w:ind w:left="660" w:right="20" w:firstLine="1281"/>
        <w:spacing w:after="0" w:line="275" w:lineRule="auto"/>
        <w:tabs>
          <w:tab w:leader="none" w:pos="2668" w:val="left"/>
        </w:tabs>
        <w:numPr>
          <w:ilvl w:val="2"/>
          <w:numId w:val="12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the Plan Asset Regulations) of one or more Benefit Plans in connection with the Loans, the Letters of Credit or the Commitments,</w:t>
      </w:r>
    </w:p>
    <w:p>
      <w:pPr>
        <w:spacing w:after="0" w:line="223" w:lineRule="exact"/>
        <w:rPr>
          <w:rFonts w:ascii="Arial" w:cs="Arial" w:eastAsia="Arial" w:hAnsi="Arial"/>
          <w:sz w:val="18"/>
          <w:szCs w:val="18"/>
          <w:color w:val="auto"/>
        </w:rPr>
      </w:pPr>
    </w:p>
    <w:p>
      <w:pPr>
        <w:jc w:val="both"/>
        <w:ind w:left="660" w:firstLine="1281"/>
        <w:spacing w:after="0" w:line="253" w:lineRule="auto"/>
        <w:tabs>
          <w:tab w:leader="none" w:pos="277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245" w:lineRule="exact"/>
        <w:rPr>
          <w:rFonts w:ascii="Arial" w:cs="Arial" w:eastAsia="Arial" w:hAnsi="Arial"/>
          <w:sz w:val="18"/>
          <w:szCs w:val="18"/>
          <w:color w:val="auto"/>
        </w:rPr>
      </w:pPr>
    </w:p>
    <w:p>
      <w:pPr>
        <w:jc w:val="both"/>
        <w:ind w:left="660" w:firstLine="1281"/>
        <w:spacing w:after="0" w:line="285" w:lineRule="auto"/>
        <w:tabs>
          <w:tab w:leader="none" w:pos="2848" w:val="left"/>
        </w:tabs>
        <w:numPr>
          <w:ilvl w:val="2"/>
          <w:numId w:val="121"/>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w:t>
      </w:r>
    </w:p>
    <w:p>
      <w:pPr>
        <w:jc w:val="both"/>
        <w:ind w:left="660" w:hanging="8"/>
        <w:spacing w:after="0" w:line="253" w:lineRule="auto"/>
        <w:tabs>
          <w:tab w:leader="none" w:pos="9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43" w:lineRule="exact"/>
        <w:rPr>
          <w:rFonts w:ascii="Arial" w:cs="Arial" w:eastAsia="Arial" w:hAnsi="Arial"/>
          <w:sz w:val="18"/>
          <w:szCs w:val="18"/>
          <w:color w:val="auto"/>
        </w:rPr>
      </w:pPr>
    </w:p>
    <w:p>
      <w:pPr>
        <w:ind w:left="660" w:firstLine="1281"/>
        <w:spacing w:after="0" w:line="275" w:lineRule="auto"/>
        <w:tabs>
          <w:tab w:leader="none" w:pos="2811" w:val="left"/>
        </w:tabs>
        <w:numPr>
          <w:ilvl w:val="2"/>
          <w:numId w:val="12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223" w:lineRule="exact"/>
        <w:rPr>
          <w:rFonts w:ascii="Arial" w:cs="Arial" w:eastAsia="Arial" w:hAnsi="Arial"/>
          <w:sz w:val="18"/>
          <w:szCs w:val="18"/>
          <w:color w:val="auto"/>
        </w:rPr>
      </w:pPr>
    </w:p>
    <w:p>
      <w:pPr>
        <w:jc w:val="both"/>
        <w:ind w:firstLine="1296"/>
        <w:spacing w:after="0" w:line="274" w:lineRule="auto"/>
        <w:tabs>
          <w:tab w:leader="none" w:pos="210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their respective Affiliates, and not, for the avoidance of doubt, to or for the benefit of the Company or any other Loan Party, that:</w:t>
      </w:r>
    </w:p>
    <w:p>
      <w:pPr>
        <w:spacing w:after="0" w:line="226" w:lineRule="exact"/>
        <w:rPr>
          <w:rFonts w:ascii="Arial" w:cs="Arial" w:eastAsia="Arial" w:hAnsi="Arial"/>
          <w:sz w:val="17"/>
          <w:szCs w:val="17"/>
          <w:color w:val="auto"/>
        </w:rPr>
      </w:pPr>
    </w:p>
    <w:p>
      <w:pPr>
        <w:jc w:val="both"/>
        <w:ind w:left="660" w:firstLine="1281"/>
        <w:spacing w:after="0" w:line="262" w:lineRule="auto"/>
        <w:tabs>
          <w:tab w:leader="none" w:pos="273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none of the Agents, or any Arranger or any of their respective Affiliates is a fiduciary with respect to the assets of such Lender (including in connection with the reservation or exercise of any rights by any Agent under this Agreement, any Loan Document or any documents related hereto or thereto).</w:t>
      </w:r>
    </w:p>
    <w:p>
      <w:pPr>
        <w:spacing w:after="0" w:line="235" w:lineRule="exact"/>
        <w:rPr>
          <w:rFonts w:ascii="Arial" w:cs="Arial" w:eastAsia="Arial" w:hAnsi="Arial"/>
          <w:sz w:val="18"/>
          <w:szCs w:val="18"/>
          <w:color w:val="auto"/>
        </w:rPr>
      </w:pPr>
    </w:p>
    <w:p>
      <w:pPr>
        <w:jc w:val="both"/>
        <w:ind w:left="660" w:firstLine="1281"/>
        <w:spacing w:after="0" w:line="300" w:lineRule="auto"/>
        <w:tabs>
          <w:tab w:leader="none" w:pos="2799"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$50,000,000, in each case as described in 29 CFR § 2510.3-21(c)(1)(i)(A)-(E),</w:t>
      </w:r>
    </w:p>
    <w:p>
      <w:pPr>
        <w:spacing w:after="0" w:line="207" w:lineRule="exact"/>
        <w:rPr>
          <w:rFonts w:ascii="Arial" w:cs="Arial" w:eastAsia="Arial" w:hAnsi="Arial"/>
          <w:sz w:val="16"/>
          <w:szCs w:val="16"/>
          <w:color w:val="auto"/>
        </w:rPr>
      </w:pPr>
    </w:p>
    <w:p>
      <w:pPr>
        <w:jc w:val="both"/>
        <w:ind w:left="660" w:firstLine="1281"/>
        <w:spacing w:after="0" w:line="309" w:lineRule="auto"/>
        <w:tabs>
          <w:tab w:leader="none" w:pos="2822"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5" w:name="page186"/>
    <w:bookmarkEnd w:id="185"/>
    <w:p>
      <w:pPr>
        <w:jc w:val="both"/>
        <w:ind w:left="660" w:firstLine="1281"/>
        <w:spacing w:after="0" w:line="257" w:lineRule="auto"/>
        <w:tabs>
          <w:tab w:leader="none" w:pos="28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241" w:lineRule="exact"/>
        <w:rPr>
          <w:rFonts w:ascii="Arial" w:cs="Arial" w:eastAsia="Arial" w:hAnsi="Arial"/>
          <w:sz w:val="18"/>
          <w:szCs w:val="18"/>
          <w:color w:val="auto"/>
        </w:rPr>
      </w:pPr>
    </w:p>
    <w:p>
      <w:pPr>
        <w:ind w:left="660" w:firstLine="1281"/>
        <w:spacing w:after="0" w:line="305" w:lineRule="auto"/>
        <w:tabs>
          <w:tab w:leader="none" w:pos="278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any Agent, or any Arranger or any their respective Affiliates for investment advice (as opposed to other services) in connection with the Loans, the Letters of Credit, the Commitments or this Agreement.</w:t>
      </w:r>
    </w:p>
    <w:p>
      <w:pPr>
        <w:spacing w:after="0" w:line="175"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The Agents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208" w:lineRule="exact"/>
        <w:rPr>
          <w:sz w:val="20"/>
          <w:szCs w:val="20"/>
          <w:color w:val="auto"/>
        </w:rPr>
      </w:pPr>
    </w:p>
    <w:p>
      <w:pPr>
        <w:ind w:left="1560" w:hanging="264"/>
        <w:spacing w:after="0"/>
        <w:tabs>
          <w:tab w:leader="none" w:pos="15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to any Borrower, to it c/o Photronics, Inc., 15 Secor Road, Brookfield, Connecticut 06804, Attention of John P. Jordan (Telecopy No.</w:t>
      </w:r>
    </w:p>
    <w:p>
      <w:pPr>
        <w:spacing w:after="0" w:line="45" w:lineRule="exact"/>
        <w:rPr>
          <w:rFonts w:ascii="Arial" w:cs="Arial" w:eastAsia="Arial" w:hAnsi="Arial"/>
          <w:sz w:val="16"/>
          <w:szCs w:val="16"/>
          <w:color w:val="auto"/>
        </w:rPr>
      </w:pPr>
    </w:p>
    <w:p>
      <w:pPr>
        <w:ind w:left="1100" w:hanging="448"/>
        <w:spacing w:after="0"/>
        <w:tabs>
          <w:tab w:leader="none" w:pos="11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775-5601; Telephone No. (203) 740-5671), with a copy (in the case of notices of Default) to Attention of Richelle Burr, Esq. (Telecopy No.</w:t>
      </w:r>
    </w:p>
    <w:p>
      <w:pPr>
        <w:spacing w:after="0" w:line="30" w:lineRule="exact"/>
        <w:rPr>
          <w:rFonts w:ascii="Arial" w:cs="Arial" w:eastAsia="Arial" w:hAnsi="Arial"/>
          <w:sz w:val="16"/>
          <w:szCs w:val="16"/>
          <w:color w:val="auto"/>
        </w:rPr>
      </w:pPr>
    </w:p>
    <w:p>
      <w:pPr>
        <w:ind w:left="1080" w:hanging="428"/>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775-5601; Telephone No. (203) 740-5285);</w:t>
      </w:r>
    </w:p>
    <w:p>
      <w:pPr>
        <w:spacing w:after="0" w:line="234" w:lineRule="exact"/>
        <w:rPr>
          <w:rFonts w:ascii="Arial" w:cs="Arial" w:eastAsia="Arial" w:hAnsi="Arial"/>
          <w:sz w:val="18"/>
          <w:szCs w:val="18"/>
          <w:color w:val="auto"/>
        </w:rPr>
      </w:pPr>
    </w:p>
    <w:p>
      <w:pPr>
        <w:jc w:val="both"/>
        <w:ind w:left="660" w:firstLine="636"/>
        <w:spacing w:after="0" w:line="241" w:lineRule="auto"/>
        <w:tabs>
          <w:tab w:leader="none" w:pos="1642"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to the Administrative Agent or Collateral Agent, (A) in the case of Borrowings denominated in Dollars, to JPMorgan Chase Bank, N.A., 10 South Dearborn Street,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Illinois 60603, Attention of Darren Cunningham (Telecopy No. (888) 292-9533) and (B) in the case of Borrowings denominated in Foreign Currencies, to J.P. Morgan Europe Limited, 25 Bank Street, Canary Wharf, London E14 5JP, Attention of The Manager, Loan &amp; Agency Services (Telecopy No. 44 207 777 2360), and in each case with a copy to JPMorgan Chase Bank, N.A., 270 Park Avenue, 43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New York, New York 10017, Attention of Daglas Panchal (Telecopy No. (917) 464-8969);</w:t>
      </w:r>
    </w:p>
    <w:p>
      <w:pPr>
        <w:spacing w:after="0" w:line="80" w:lineRule="exact"/>
        <w:rPr>
          <w:rFonts w:ascii="Arial" w:cs="Arial" w:eastAsia="Arial" w:hAnsi="Arial"/>
          <w:sz w:val="17"/>
          <w:szCs w:val="17"/>
          <w:color w:val="auto"/>
        </w:rPr>
      </w:pPr>
    </w:p>
    <w:p>
      <w:pPr>
        <w:jc w:val="both"/>
        <w:ind w:left="660" w:firstLine="636"/>
        <w:spacing w:after="0" w:line="284" w:lineRule="auto"/>
        <w:tabs>
          <w:tab w:leader="none" w:pos="166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to JPMorgan in its capacity as an Issuing Bank, to it at JPMorgan Chase Bank N.A., Sarjapur Outer Ring Rd, Vathur Hobli, Floor 04, Bangalore, 560 087, India, Attention Ajay Prabhu (Telecopy No. (+91-80) 66762387), or in the case of any other Issuing Bank, to it at the address and telecopy number specified from time to time by such Issuing Bank to the Company and the Administrative Agent;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86" w:name="page187"/>
    <w:bookmarkEnd w:id="186"/>
    <w:p>
      <w:pPr>
        <w:ind w:left="660" w:firstLine="636"/>
        <w:spacing w:after="0" w:line="275" w:lineRule="auto"/>
        <w:tabs>
          <w:tab w:leader="none" w:pos="1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to the Swingline Lender, to it at JPMorgan Chase Bank, N.A., 10 South Dearborn Street, 7th Floor, Chicago, Illinois 60603, Attention of Darren Cunningham (Telecopy No. (888) 292-9533)); and</w:t>
      </w:r>
    </w:p>
    <w:p>
      <w:pPr>
        <w:spacing w:after="0" w:line="197" w:lineRule="exact"/>
        <w:rPr>
          <w:rFonts w:ascii="Arial" w:cs="Arial" w:eastAsia="Arial" w:hAnsi="Arial"/>
          <w:sz w:val="18"/>
          <w:szCs w:val="18"/>
          <w:color w:val="auto"/>
        </w:rPr>
      </w:pPr>
    </w:p>
    <w:p>
      <w:pPr>
        <w:ind w:left="1600" w:hanging="304"/>
        <w:spacing w:after="0"/>
        <w:tabs>
          <w:tab w:leader="none" w:pos="16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214" w:lineRule="exact"/>
        <w:rPr>
          <w:sz w:val="20"/>
          <w:szCs w:val="20"/>
          <w:color w:val="auto"/>
        </w:rPr>
      </w:pPr>
    </w:p>
    <w:p>
      <w:pPr>
        <w:jc w:val="both"/>
        <w:ind w:firstLine="1296"/>
        <w:spacing w:after="0" w:line="255" w:lineRule="auto"/>
        <w:tabs>
          <w:tab w:leader="none" w:pos="161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Notices and other communications to the Lenders and the Issuing Banks hereunder may be delivered or furnished by using Approved Electronic Platforms pursuant to procedures approved by the Administrative Agent; provided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16" w:lineRule="exact"/>
        <w:rPr>
          <w:rFonts w:ascii="Arial" w:cs="Arial" w:eastAsia="Arial" w:hAnsi="Arial"/>
          <w:sz w:val="18"/>
          <w:szCs w:val="18"/>
          <w:color w:val="auto"/>
        </w:rPr>
      </w:pPr>
    </w:p>
    <w:p>
      <w:pPr>
        <w:jc w:val="both"/>
        <w:ind w:firstLine="1296"/>
        <w:spacing w:after="0" w:line="253" w:lineRule="auto"/>
        <w:tabs>
          <w:tab w:leader="none" w:pos="159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Unless any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18" w:lineRule="exact"/>
        <w:rPr>
          <w:rFonts w:ascii="Arial" w:cs="Arial" w:eastAsia="Arial" w:hAnsi="Arial"/>
          <w:sz w:val="18"/>
          <w:szCs w:val="18"/>
          <w:color w:val="auto"/>
        </w:rPr>
      </w:pPr>
    </w:p>
    <w:p>
      <w:pPr>
        <w:ind w:left="1640" w:hanging="344"/>
        <w:spacing w:after="0"/>
        <w:tabs>
          <w:tab w:leader="none" w:pos="16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 other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35"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7" w:name="page188"/>
    <w:bookmarkEnd w:id="187"/>
    <w:p>
      <w:pPr>
        <w:jc w:val="both"/>
        <w:ind w:firstLine="1296"/>
        <w:spacing w:after="0" w:line="282" w:lineRule="auto"/>
        <w:tabs>
          <w:tab w:leader="none" w:pos="159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 Incremental Term Loan Amendment or as provided in Section 2.14(c),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neither (A) any amendment or modification of the financial covenants in this Agreement (or defined terms used in the financial covenants in this Agreement) or (B) any amendment entered into pursuant to the terms of Section 2.14(c) shall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2.09(c) or 2.18(b) or (c) in a manner that would alter the ratable reduction of Commitments or the pro rata sharing of payments required thereby, without the written consent of each Lender, (v) change the payment waterfall provisions of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Revolving Loans are included on the Effective Date), or (vii) release the Company or all or substantially all of the Subsidiary Guarantors from their obligations under Article X or the Subsidiary Guaranty or release all or substantially all of the Collateral, as applicable, without the written consent of each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the Collateral Agent, any Issuing Bank or the Swingline Lender hereunder without the prior written consent of the Administrative Agent, the Collateral Agent, such Issuing Bank or the Swingline Lender, as the case may be (it being understood that any change to Section 2.24 shall require the consent of the Administrative Agent, the Issuing Banks and the Swingline Lender).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209" w:lineRule="exact"/>
        <w:rPr>
          <w:rFonts w:ascii="Arial" w:cs="Arial" w:eastAsia="Arial" w:hAnsi="Arial"/>
          <w:sz w:val="16"/>
          <w:szCs w:val="16"/>
          <w:color w:val="auto"/>
        </w:rPr>
      </w:pPr>
    </w:p>
    <w:p>
      <w:pPr>
        <w:jc w:val="both"/>
        <w:ind w:firstLine="1296"/>
        <w:spacing w:after="0" w:line="254" w:lineRule="auto"/>
        <w:tabs>
          <w:tab w:leader="none" w:pos="1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Incremental Term Loans and the accrued interest and fees in respect thereof and (y) to include appropriately the Lenders holding such credit facilities in any determination of the Required Lenders and Lenders.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8" w:name="page189"/>
    <w:bookmarkEnd w:id="188"/>
    <w:p>
      <w:pPr>
        <w:jc w:val="both"/>
        <w:ind w:firstLine="1296"/>
        <w:spacing w:after="0" w:line="267" w:lineRule="auto"/>
        <w:tabs>
          <w:tab w:leader="none" w:pos="159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Lenders hereby irrevocably authorize the Collateral Agent, at its option and in its sole discretion, to release any Liens granted to the Collateral Agent by the Loan Parties on any Collateral (i) upon the termination of all the Commitments, payment and satisfaction in full in cash of all Secured Obligations (other than Banking Services Obligations not yet due and payable, Swap Obligations not yet due and payable, and other Obligations expressly stated to survive such payment and termination), and the cash collateralization of all LC Exposure in a manner satisfactory to the Administrative Agent, (ii) constituting property being sold or disposed of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Agents and the Lenders pursuant to Article VII. Any such release shall not in any manner discharge, affect, or impair the Secured Obligations or any Liens (other than those expressly being released) upon (or obligations of the Loan Parties in respect of) all interests retained by the Loan Parties, including the proceeds of any sale, all of which shall continue to constitute part of the Collateral.</w:t>
      </w:r>
    </w:p>
    <w:p>
      <w:pPr>
        <w:spacing w:after="0" w:line="212" w:lineRule="exact"/>
        <w:rPr>
          <w:rFonts w:ascii="Arial" w:cs="Arial" w:eastAsia="Arial" w:hAnsi="Arial"/>
          <w:sz w:val="17"/>
          <w:szCs w:val="17"/>
          <w:color w:val="auto"/>
        </w:rPr>
      </w:pPr>
    </w:p>
    <w:p>
      <w:pPr>
        <w:jc w:val="both"/>
        <w:ind w:firstLine="1296"/>
        <w:spacing w:after="0" w:line="281" w:lineRule="auto"/>
        <w:tabs>
          <w:tab w:leader="none" w:pos="1611"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the Company shall pay to such Non-Consenting Lender in same day funds on the day of such replacement (1) all interest, fees and other amounts then accrued but unpaid to such Non-Consenting Lender by the Company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w:t>
      </w:r>
    </w:p>
    <w:p>
      <w:pPr>
        <w:spacing w:after="0" w:line="7" w:lineRule="exact"/>
        <w:rPr>
          <w:rFonts w:ascii="Arial" w:cs="Arial" w:eastAsia="Arial" w:hAnsi="Arial"/>
          <w:sz w:val="16"/>
          <w:szCs w:val="16"/>
          <w:color w:val="auto"/>
        </w:rPr>
      </w:pPr>
    </w:p>
    <w:p>
      <w:pPr>
        <w:jc w:val="both"/>
        <w:ind w:firstLine="7"/>
        <w:spacing w:after="0" w:line="250" w:lineRule="auto"/>
        <w:tabs>
          <w:tab w:leader="none" w:pos="2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21" w:lineRule="exact"/>
        <w:rPr>
          <w:rFonts w:ascii="Arial" w:cs="Arial" w:eastAsia="Arial" w:hAnsi="Arial"/>
          <w:sz w:val="18"/>
          <w:szCs w:val="18"/>
          <w:color w:val="auto"/>
        </w:rPr>
      </w:pPr>
    </w:p>
    <w:p>
      <w:pPr>
        <w:ind w:firstLine="1296"/>
        <w:spacing w:after="0" w:line="305" w:lineRule="auto"/>
        <w:tabs>
          <w:tab w:leader="none" w:pos="15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Administrative Agent may, with the consent of the Company only, amend, modify or supplement this Agreement or any of the other Loan Documents to cure any ambiguity, omission, mistake, defect or inconsistency.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89" w:name="page190"/>
    <w:bookmarkEnd w:id="189"/>
    <w:p>
      <w:pPr>
        <w:jc w:val="both"/>
        <w:ind w:firstLine="1289"/>
        <w:spacing w:after="0" w:line="287"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 (a) The Company shall pay (i) all reasonable out-of-pocket expenses incurred by the Agents and their Affiliates, including the reasonable fees, charges and disbursements of counsel for each Agent,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Agents, any Issuing Bank or any Lender, including the fees, charges and disbursements of any counsel for either Agent, any Issuing Bank or any Lender,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5" w:lineRule="exact"/>
        <w:rPr>
          <w:sz w:val="20"/>
          <w:szCs w:val="20"/>
          <w:color w:val="auto"/>
        </w:rPr>
      </w:pPr>
    </w:p>
    <w:p>
      <w:pPr>
        <w:jc w:val="both"/>
        <w:ind w:firstLine="1296"/>
        <w:spacing w:after="0" w:line="266" w:lineRule="auto"/>
        <w:tabs>
          <w:tab w:leader="none" w:pos="160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Company shall indemnify the Agents,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hereby or thereby, the performance by the parties hereto of their respective obligations 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from the material breach of such Indemnitee’s obligations under the Loan Documents pursuant to a claim initiated by the Company.</w:t>
      </w:r>
    </w:p>
    <w:p>
      <w:pPr>
        <w:spacing w:after="0" w:line="214" w:lineRule="exact"/>
        <w:rPr>
          <w:rFonts w:ascii="Arial" w:cs="Arial" w:eastAsia="Arial" w:hAnsi="Arial"/>
          <w:sz w:val="17"/>
          <w:szCs w:val="17"/>
          <w:color w:val="auto"/>
        </w:rPr>
      </w:pPr>
    </w:p>
    <w:p>
      <w:pPr>
        <w:jc w:val="both"/>
        <w:ind w:firstLine="1296"/>
        <w:spacing w:after="0" w:line="272" w:lineRule="auto"/>
        <w:tabs>
          <w:tab w:leader="none" w:pos="1617"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To the extent that the Company fails to pay any amount required to be paid by it to the Agents, any Issuing Bank or the Swingline Lender under paragraph (a) or (b) of this Section, each Lender severally agrees to pay to the relevant Agent, any Issuing Bank or the Swingline Lender, as the case may be, such Lender’s Applicable Percentage (determined as of the time that the applicable unreimbursed expense or indemnity payment is sought) of such unpaid amount (it being understood that the Company’s failure to pay any such amount shall not relieve the Company of any default in the payment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relevant Agent, any Issuing Bank or the Swingline Lender in its capacity as such.</w:t>
      </w:r>
    </w:p>
    <w:p>
      <w:pPr>
        <w:spacing w:after="0" w:line="201" w:lineRule="exact"/>
        <w:rPr>
          <w:rFonts w:ascii="Arial" w:cs="Arial" w:eastAsia="Arial" w:hAnsi="Arial"/>
          <w:sz w:val="17"/>
          <w:szCs w:val="17"/>
          <w:color w:val="auto"/>
        </w:rPr>
      </w:pPr>
    </w:p>
    <w:p>
      <w:pPr>
        <w:ind w:left="1600" w:hanging="304"/>
        <w:spacing w:after="0"/>
        <w:tabs>
          <w:tab w:leader="none" w:pos="16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To the extent permitted by applicable law, no Borrower shall assert, and each Borrower hereby waives, any claim against any Indemnitee</w:t>
      </w:r>
    </w:p>
    <w:p>
      <w:pPr>
        <w:spacing w:after="0" w:line="45" w:lineRule="exact"/>
        <w:rPr>
          <w:rFonts w:ascii="Arial" w:cs="Arial" w:eastAsia="Arial" w:hAnsi="Arial"/>
          <w:sz w:val="16"/>
          <w:szCs w:val="16"/>
          <w:color w:val="auto"/>
        </w:rPr>
      </w:pPr>
    </w:p>
    <w:p>
      <w:pPr>
        <w:jc w:val="both"/>
        <w:ind w:firstLine="7"/>
        <w:spacing w:after="0" w:line="271" w:lineRule="auto"/>
        <w:tabs>
          <w:tab w:leader="none" w:pos="23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0" w:name="page191"/>
    <w:bookmarkEnd w:id="190"/>
    <w:p>
      <w:pPr>
        <w:ind w:left="1300"/>
        <w:spacing w:after="0"/>
        <w:rPr>
          <w:sz w:val="20"/>
          <w:szCs w:val="20"/>
          <w:color w:val="auto"/>
        </w:rPr>
      </w:pPr>
      <w:r>
        <w:rPr>
          <w:rFonts w:ascii="Arial" w:cs="Arial" w:eastAsia="Arial" w:hAnsi="Arial"/>
          <w:sz w:val="18"/>
          <w:szCs w:val="18"/>
          <w:color w:val="auto"/>
        </w:rPr>
        <w:t>(e) All amounts due under this Section shall be payable not later than fifteen (15) days after written demand therefor.</w:t>
      </w:r>
    </w:p>
    <w:p>
      <w:pPr>
        <w:spacing w:after="0" w:line="250" w:lineRule="exact"/>
        <w:rPr>
          <w:sz w:val="20"/>
          <w:szCs w:val="20"/>
          <w:color w:val="auto"/>
        </w:rPr>
      </w:pPr>
    </w:p>
    <w:p>
      <w:pPr>
        <w:jc w:val="both"/>
        <w:ind w:firstLine="1289"/>
        <w:spacing w:after="0" w:line="288"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94" w:lineRule="exact"/>
        <w:rPr>
          <w:sz w:val="20"/>
          <w:szCs w:val="20"/>
          <w:color w:val="auto"/>
        </w:rPr>
      </w:pPr>
    </w:p>
    <w:p>
      <w:pPr>
        <w:jc w:val="both"/>
        <w:ind w:left="660" w:firstLine="644"/>
        <w:spacing w:after="0" w:line="284" w:lineRule="auto"/>
        <w:rPr>
          <w:sz w:val="20"/>
          <w:szCs w:val="20"/>
          <w:color w:val="auto"/>
        </w:rPr>
      </w:pPr>
      <w:r>
        <w:rPr>
          <w:rFonts w:ascii="Arial" w:cs="Arial" w:eastAsia="Arial" w:hAnsi="Arial"/>
          <w:sz w:val="17"/>
          <w:szCs w:val="17"/>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92" w:lineRule="exact"/>
        <w:rPr>
          <w:sz w:val="20"/>
          <w:szCs w:val="20"/>
          <w:color w:val="auto"/>
        </w:rPr>
      </w:pPr>
    </w:p>
    <w:p>
      <w:pPr>
        <w:jc w:val="both"/>
        <w:ind w:left="1300" w:firstLine="641"/>
        <w:spacing w:after="0" w:line="277" w:lineRule="auto"/>
        <w:tabs>
          <w:tab w:leader="none" w:pos="225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the Company (provided that the Company shall be deemed to have consented to any such assignment unless it shall object thereto by written notice to the Administrative Agent within five (5) Business Days after having received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Company shall be required for an assignment to a Lender, an Affiliate of a Lender, an Approved Fund or, if an Event of Default under clause (a), (b), (h), (i) or (j)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has occurred and is continuing, any other assignee;</w:t>
      </w:r>
    </w:p>
    <w:p>
      <w:pPr>
        <w:spacing w:after="0" w:line="198" w:lineRule="exact"/>
        <w:rPr>
          <w:rFonts w:ascii="Arial" w:cs="Arial" w:eastAsia="Arial" w:hAnsi="Arial"/>
          <w:sz w:val="17"/>
          <w:szCs w:val="17"/>
          <w:color w:val="auto"/>
        </w:rPr>
      </w:pPr>
    </w:p>
    <w:p>
      <w:pPr>
        <w:ind w:left="2220" w:hanging="279"/>
        <w:spacing w:after="0"/>
        <w:tabs>
          <w:tab w:leader="none" w:pos="2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49" w:lineRule="exact"/>
        <w:rPr>
          <w:rFonts w:ascii="Arial" w:cs="Arial" w:eastAsia="Arial" w:hAnsi="Arial"/>
          <w:sz w:val="18"/>
          <w:szCs w:val="18"/>
          <w:color w:val="auto"/>
        </w:rPr>
      </w:pPr>
    </w:p>
    <w:p>
      <w:pPr>
        <w:ind w:left="2220" w:hanging="279"/>
        <w:spacing w:after="0"/>
        <w:tabs>
          <w:tab w:leader="none" w:pos="22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Issuing Banks; and</w:t>
      </w:r>
    </w:p>
    <w:p>
      <w:pPr>
        <w:spacing w:after="0" w:line="249" w:lineRule="exact"/>
        <w:rPr>
          <w:rFonts w:ascii="Arial" w:cs="Arial" w:eastAsia="Arial" w:hAnsi="Arial"/>
          <w:sz w:val="18"/>
          <w:szCs w:val="18"/>
          <w:color w:val="auto"/>
        </w:rPr>
      </w:pPr>
    </w:p>
    <w:p>
      <w:pPr>
        <w:ind w:left="2240" w:hanging="299"/>
        <w:spacing w:after="0"/>
        <w:tabs>
          <w:tab w:leader="none" w:pos="22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249" w:lineRule="exact"/>
        <w:rPr>
          <w:rFonts w:ascii="Arial" w:cs="Arial" w:eastAsia="Arial" w:hAnsi="Arial"/>
          <w:sz w:val="18"/>
          <w:szCs w:val="18"/>
          <w:color w:val="auto"/>
        </w:rPr>
      </w:pPr>
    </w:p>
    <w:p>
      <w:pPr>
        <w:ind w:left="1600" w:hanging="304"/>
        <w:spacing w:after="0"/>
        <w:tabs>
          <w:tab w:leader="none" w:pos="16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49" w:lineRule="exact"/>
        <w:rPr>
          <w:rFonts w:ascii="Arial" w:cs="Arial" w:eastAsia="Arial" w:hAnsi="Arial"/>
          <w:sz w:val="18"/>
          <w:szCs w:val="18"/>
          <w:color w:val="auto"/>
        </w:rPr>
      </w:pPr>
    </w:p>
    <w:p>
      <w:pPr>
        <w:jc w:val="both"/>
        <w:ind w:left="1300" w:firstLine="641"/>
        <w:spacing w:after="0" w:line="254" w:lineRule="auto"/>
        <w:tabs>
          <w:tab w:leader="none" w:pos="224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an Event of Default under clause (a), (b), (h), (i) or (j)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has occurred and is continuing;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1" w:name="page192"/>
    <w:bookmarkEnd w:id="191"/>
    <w:p>
      <w:pPr>
        <w:jc w:val="both"/>
        <w:ind w:left="1300" w:firstLine="641"/>
        <w:spacing w:after="0" w:line="262" w:lineRule="auto"/>
        <w:tabs>
          <w:tab w:leader="none" w:pos="2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08" w:lineRule="exact"/>
        <w:rPr>
          <w:rFonts w:ascii="Arial" w:cs="Arial" w:eastAsia="Arial" w:hAnsi="Arial"/>
          <w:sz w:val="18"/>
          <w:szCs w:val="18"/>
          <w:color w:val="auto"/>
        </w:rPr>
      </w:pPr>
    </w:p>
    <w:p>
      <w:pPr>
        <w:jc w:val="both"/>
        <w:ind w:left="1300" w:firstLine="641"/>
        <w:spacing w:after="0" w:line="300" w:lineRule="auto"/>
        <w:tabs>
          <w:tab w:leader="none" w:pos="223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81" w:lineRule="exact"/>
        <w:rPr>
          <w:rFonts w:ascii="Arial" w:cs="Arial" w:eastAsia="Arial" w:hAnsi="Arial"/>
          <w:sz w:val="16"/>
          <w:szCs w:val="16"/>
          <w:color w:val="auto"/>
        </w:rPr>
      </w:pPr>
    </w:p>
    <w:p>
      <w:pPr>
        <w:jc w:val="both"/>
        <w:ind w:left="1300" w:firstLine="641"/>
        <w:spacing w:after="0" w:line="300" w:lineRule="auto"/>
        <w:tabs>
          <w:tab w:leader="none" w:pos="224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50"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8" w:lineRule="exact"/>
        <w:rPr>
          <w:sz w:val="20"/>
          <w:szCs w:val="20"/>
          <w:color w:val="auto"/>
        </w:rPr>
      </w:pPr>
    </w:p>
    <w:p>
      <w:pPr>
        <w:jc w:val="both"/>
        <w:ind w:right="20" w:firstLine="1289"/>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spacing w:after="0" w:line="152" w:lineRule="exact"/>
        <w:rPr>
          <w:sz w:val="20"/>
          <w:szCs w:val="20"/>
          <w:color w:val="auto"/>
        </w:rPr>
      </w:pPr>
    </w:p>
    <w:p>
      <w:pPr>
        <w:jc w:val="both"/>
        <w:ind w:firstLine="1296"/>
        <w:spacing w:after="0" w:line="252" w:lineRule="auto"/>
        <w:tabs>
          <w:tab w:leader="none" w:pos="166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2" w:name="page193"/>
    <w:bookmarkEnd w:id="192"/>
    <w:p>
      <w:pPr>
        <w:jc w:val="both"/>
        <w:ind w:firstLine="1296"/>
        <w:spacing w:after="0" w:line="253" w:lineRule="auto"/>
        <w:tabs>
          <w:tab w:leader="none" w:pos="16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218" w:lineRule="exact"/>
        <w:rPr>
          <w:rFonts w:ascii="Arial" w:cs="Arial" w:eastAsia="Arial" w:hAnsi="Arial"/>
          <w:sz w:val="18"/>
          <w:szCs w:val="18"/>
          <w:color w:val="auto"/>
        </w:rPr>
      </w:pPr>
    </w:p>
    <w:p>
      <w:pPr>
        <w:jc w:val="both"/>
        <w:ind w:firstLine="1296"/>
        <w:spacing w:after="0" w:line="287" w:lineRule="auto"/>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22" w:lineRule="exact"/>
        <w:rPr>
          <w:sz w:val="20"/>
          <w:szCs w:val="20"/>
          <w:color w:val="auto"/>
        </w:rPr>
      </w:pPr>
    </w:p>
    <w:p>
      <w:pPr>
        <w:jc w:val="both"/>
        <w:ind w:firstLine="1296"/>
        <w:spacing w:after="0" w:line="266" w:lineRule="auto"/>
        <w:tabs>
          <w:tab w:leader="none" w:pos="20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 Any Lender may, without the consent of the Company, the Administrative Agent, the Issuing Banks or the Swingline Lender, sell participations to one or more banks or other entities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other than an Ineligible Institution, in all or a portion of such Lender’s rights and/or obligations under this Agreement (including all or a portion of its Commitment and/or the Loans owing to it); provided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each Borrower agrees that each Participant shall be entitled to the benefits of Sections 2.15, 2.16 and 2.17 (subject to the requirements and limitations therein, including the requirements under Sections 2.17(e) (it being understood that the documentation required under Section 2.17(e) shall be delivered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2.18(c) as though it were a Lender.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3" w:name="page194"/>
    <w:bookmarkEnd w:id="193"/>
    <w:p>
      <w:pPr>
        <w:jc w:val="both"/>
        <w:ind w:firstLine="1296"/>
        <w:spacing w:after="0" w:line="292" w:lineRule="auto"/>
        <w:tabs>
          <w:tab w:leader="none" w:pos="209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Participant (x) agrees to be subject to the provisions of Sections 2.18 and 2.19 as if it were an assignee under paragraph (b) of this Section and (y) shall not be entitled to receive any greater payment under Section 2.15 or 2.17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2.17 unless the Company is notified of the participation sold to such Participant and such Participant agrees, for the benefit of the Company, to comply with Section 2.17(e) as though it were a Lender (it being understood that the documentation required under Section 2.17(e) shall be delivered to the participating Lender).</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each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34" w:lineRule="exact"/>
        <w:rPr>
          <w:sz w:val="20"/>
          <w:szCs w:val="20"/>
          <w:color w:val="auto"/>
        </w:rPr>
      </w:pPr>
    </w:p>
    <w:p>
      <w:pPr>
        <w:jc w:val="both"/>
        <w:ind w:firstLine="1296"/>
        <w:spacing w:after="0" w:line="277" w:lineRule="auto"/>
        <w:tabs>
          <w:tab w:leader="none" w:pos="208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99" w:lineRule="exact"/>
        <w:rPr>
          <w:sz w:val="20"/>
          <w:szCs w:val="20"/>
          <w:color w:val="auto"/>
        </w:rPr>
      </w:pPr>
    </w:p>
    <w:p>
      <w:pPr>
        <w:jc w:val="both"/>
        <w:ind w:firstLine="1289"/>
        <w:spacing w:after="0" w:line="286"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94" w:name="page195"/>
    <w:bookmarkEnd w:id="194"/>
    <w:p>
      <w:pPr>
        <w:jc w:val="both"/>
        <w:ind w:firstLine="1289"/>
        <w:spacing w:after="0" w:line="284"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8" w:lineRule="exact"/>
        <w:rPr>
          <w:sz w:val="20"/>
          <w:szCs w:val="20"/>
          <w:color w:val="auto"/>
        </w:rPr>
      </w:pPr>
    </w:p>
    <w:p>
      <w:pPr>
        <w:jc w:val="both"/>
        <w:ind w:firstLine="1289"/>
        <w:spacing w:after="0" w:line="309"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jc w:val="both"/>
        <w:ind w:firstLine="1289"/>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Subsidiary Guarantor against any of and all of the Secured Obligations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 Each Lender and each Issuing Bank agrees to notify the Company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208"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197" w:lineRule="exact"/>
        <w:rPr>
          <w:sz w:val="20"/>
          <w:szCs w:val="20"/>
          <w:color w:val="auto"/>
        </w:rPr>
      </w:pPr>
    </w:p>
    <w:p>
      <w:pPr>
        <w:jc w:val="both"/>
        <w:ind w:firstLine="1296"/>
        <w:spacing w:after="0" w:line="286" w:lineRule="auto"/>
        <w:tabs>
          <w:tab w:leader="none" w:pos="162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Borrower or its properties in the courts of any jurisdiction.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5" w:name="page196"/>
    <w:bookmarkEnd w:id="195"/>
    <w:p>
      <w:pPr>
        <w:jc w:val="both"/>
        <w:ind w:firstLine="1296"/>
        <w:spacing w:after="0" w:line="257" w:lineRule="auto"/>
        <w:tabs>
          <w:tab w:leader="none" w:pos="1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14" w:lineRule="exact"/>
        <w:rPr>
          <w:rFonts w:ascii="Arial" w:cs="Arial" w:eastAsia="Arial" w:hAnsi="Arial"/>
          <w:sz w:val="18"/>
          <w:szCs w:val="18"/>
          <w:color w:val="auto"/>
        </w:rPr>
      </w:pPr>
    </w:p>
    <w:p>
      <w:pPr>
        <w:jc w:val="both"/>
        <w:ind w:firstLine="1296"/>
        <w:spacing w:after="0" w:line="283" w:lineRule="auto"/>
        <w:tabs>
          <w:tab w:leader="none" w:pos="163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Subsidiary Guarantor which is a Foreign 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2.23.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99" w:lineRule="exact"/>
        <w:rPr>
          <w:sz w:val="20"/>
          <w:szCs w:val="20"/>
          <w:color w:val="auto"/>
        </w:rPr>
      </w:pPr>
    </w:p>
    <w:p>
      <w:pPr>
        <w:jc w:val="both"/>
        <w:ind w:firstLine="1289"/>
        <w:spacing w:after="0" w:line="252"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6" w:name="page197"/>
    <w:bookmarkEnd w:id="196"/>
    <w:p>
      <w:pPr>
        <w:jc w:val="both"/>
        <w:ind w:firstLine="1289"/>
        <w:spacing w:after="0" w:line="305"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5" w:lineRule="exact"/>
        <w:rPr>
          <w:sz w:val="20"/>
          <w:szCs w:val="20"/>
          <w:color w:val="auto"/>
        </w:rPr>
      </w:pPr>
    </w:p>
    <w:p>
      <w:pPr>
        <w:jc w:val="both"/>
        <w:ind w:firstLine="1289"/>
        <w:spacing w:after="0" w:line="283"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or derivative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(h) with the consent of the Company or (i) to the extent such Information (1) becomes publicly available other than as a result of a breach of this Section or (2) becomes available to the Administrative Agent, any Issuing Bank or any Lender on a nonconfidential basis from a source other than the Company or any of its Subsidiaries. For the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1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7" w:name="page198"/>
    <w:bookmarkEnd w:id="197"/>
    <w:p>
      <w:pPr>
        <w:jc w:val="both"/>
        <w:ind w:firstLine="645"/>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16" w:lineRule="exact"/>
        <w:rPr>
          <w:sz w:val="20"/>
          <w:szCs w:val="20"/>
          <w:color w:val="auto"/>
        </w:rPr>
      </w:pPr>
    </w:p>
    <w:p>
      <w:pPr>
        <w:jc w:val="both"/>
        <w:ind w:firstLine="1289"/>
        <w:spacing w:after="0" w:line="257"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214"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Collateral Agent and the Holders of Secured Obligations, in assets which, in accordance with Article 9 of the UCC or any other applicable law can be perfected only by possession. Should any Lender (other than the Collateral Agent) obtain possession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200" w:lineRule="exact"/>
        <w:rPr>
          <w:sz w:val="20"/>
          <w:szCs w:val="20"/>
          <w:color w:val="auto"/>
        </w:rPr>
      </w:pPr>
    </w:p>
    <w:p>
      <w:pPr>
        <w:jc w:val="both"/>
        <w:ind w:firstLine="1289"/>
        <w:spacing w:after="0" w:line="269"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8" w:lineRule="exact"/>
        <w:rPr>
          <w:sz w:val="20"/>
          <w:szCs w:val="20"/>
          <w:color w:val="auto"/>
        </w:rPr>
      </w:pPr>
    </w:p>
    <w:p>
      <w:pPr>
        <w:jc w:val="both"/>
        <w:ind w:firstLine="1289"/>
        <w:spacing w:after="0" w:line="268"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 contemplated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98" w:name="page199"/>
    <w:bookmarkEnd w:id="198"/>
    <w:p>
      <w:pPr>
        <w:jc w:val="both"/>
        <w:ind w:firstLine="1289"/>
        <w:spacing w:after="0" w:line="290" w:lineRule="auto"/>
        <w:rPr>
          <w:sz w:val="20"/>
          <w:szCs w:val="20"/>
          <w:color w:val="auto"/>
        </w:rPr>
      </w:pPr>
      <w:r>
        <w:rPr>
          <w:rFonts w:ascii="Arial" w:cs="Arial" w:eastAsia="Arial" w:hAnsi="Arial"/>
          <w:sz w:val="16"/>
          <w:szCs w:val="16"/>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both"/>
        <w:ind w:firstLine="1289"/>
        <w:spacing w:after="0" w:line="290" w:lineRule="auto"/>
        <w:rPr>
          <w:sz w:val="20"/>
          <w:szCs w:val="20"/>
          <w:color w:val="auto"/>
        </w:rPr>
      </w:pPr>
      <w:r>
        <w:rPr>
          <w:rFonts w:ascii="Arial" w:cs="Arial" w:eastAsia="Arial" w:hAnsi="Arial"/>
          <w:sz w:val="16"/>
          <w:szCs w:val="16"/>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Releases of Subsidiary Guarantors</w:t>
      </w:r>
      <w:r>
        <w:rPr>
          <w:rFonts w:ascii="Arial" w:cs="Arial" w:eastAsia="Arial" w:hAnsi="Arial"/>
          <w:sz w:val="18"/>
          <w:szCs w:val="18"/>
          <w:color w:val="auto"/>
        </w:rPr>
        <w:t>.</w:t>
      </w:r>
    </w:p>
    <w:p>
      <w:pPr>
        <w:spacing w:after="0" w:line="250" w:lineRule="exact"/>
        <w:rPr>
          <w:sz w:val="20"/>
          <w:szCs w:val="20"/>
          <w:color w:val="auto"/>
        </w:rPr>
      </w:pPr>
    </w:p>
    <w:p>
      <w:pPr>
        <w:jc w:val="both"/>
        <w:ind w:firstLine="1296"/>
        <w:spacing w:after="0" w:line="287" w:lineRule="auto"/>
        <w:tabs>
          <w:tab w:leader="none" w:pos="160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Upon any sale or other disposition (other than any lease or license) by any Loan Party (other than to any other Loan Party) of any Collateral in a transaction permitted under this Agreement, or upon the effectiveness of any written consent to the release of the security interest created under any Collateral Document in any Collateral pursuant to Section 9.02, the security interests in such Collateral created by the Collateral Documents shall be automatically released and terminated. Any execution and delivery of documents pursuant to this Section shall be without recourse to or warranty by the Administrative Agent.</w:t>
      </w:r>
    </w:p>
    <w:p>
      <w:pPr>
        <w:spacing w:after="0" w:line="195" w:lineRule="exact"/>
        <w:rPr>
          <w:rFonts w:ascii="Arial" w:cs="Arial" w:eastAsia="Arial" w:hAnsi="Arial"/>
          <w:sz w:val="16"/>
          <w:szCs w:val="16"/>
          <w:color w:val="auto"/>
        </w:rPr>
      </w:pPr>
    </w:p>
    <w:p>
      <w:pPr>
        <w:jc w:val="both"/>
        <w:ind w:firstLine="1296"/>
        <w:spacing w:after="0" w:line="254" w:lineRule="auto"/>
        <w:tabs>
          <w:tab w:leader="none" w:pos="16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 such time as the principal and interest on the Loans, all LC Disbursements, the fees, expenses and other amounts payable under the Loan Documents and the other Secured Obligations (other than Banking Services Obligations not yet due and payable, Swap Obligations not yet due and payable, and other Obligations expressly stated to survive such payment and termination) shall have been paid in full in cash, the Commitments shall have been terminated and no Letters of Credit shall be outstanding,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99" w:name="page200"/>
    <w:bookmarkEnd w:id="199"/>
    <w:p>
      <w:pPr>
        <w:jc w:val="both"/>
        <w:ind w:firstLine="1289"/>
        <w:spacing w:after="0" w:line="257"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214" w:lineRule="exact"/>
        <w:rPr>
          <w:sz w:val="20"/>
          <w:szCs w:val="20"/>
          <w:color w:val="auto"/>
        </w:rPr>
      </w:pPr>
    </w:p>
    <w:p>
      <w:pPr>
        <w:ind w:firstLine="1296"/>
        <w:spacing w:after="0" w:line="275" w:lineRule="auto"/>
        <w:tabs>
          <w:tab w:leader="none" w:pos="16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97" w:lineRule="exact"/>
        <w:rPr>
          <w:rFonts w:ascii="Arial" w:cs="Arial" w:eastAsia="Arial" w:hAnsi="Arial"/>
          <w:sz w:val="18"/>
          <w:szCs w:val="18"/>
          <w:color w:val="auto"/>
        </w:rPr>
      </w:pPr>
    </w:p>
    <w:p>
      <w:pPr>
        <w:ind w:left="1600" w:hanging="304"/>
        <w:spacing w:after="0"/>
        <w:tabs>
          <w:tab w:leader="none" w:pos="16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49" w:lineRule="exact"/>
        <w:rPr>
          <w:rFonts w:ascii="Arial" w:cs="Arial" w:eastAsia="Arial" w:hAnsi="Arial"/>
          <w:sz w:val="18"/>
          <w:szCs w:val="18"/>
          <w:color w:val="auto"/>
        </w:rPr>
      </w:pPr>
    </w:p>
    <w:p>
      <w:pPr>
        <w:ind w:left="2200" w:hanging="259"/>
        <w:spacing w:after="0"/>
        <w:tabs>
          <w:tab w:leader="none" w:pos="22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49" w:lineRule="exact"/>
        <w:rPr>
          <w:rFonts w:ascii="Arial" w:cs="Arial" w:eastAsia="Arial" w:hAnsi="Arial"/>
          <w:sz w:val="18"/>
          <w:szCs w:val="18"/>
          <w:color w:val="auto"/>
        </w:rPr>
      </w:pPr>
    </w:p>
    <w:p>
      <w:pPr>
        <w:jc w:val="both"/>
        <w:ind w:left="660" w:firstLine="1281"/>
        <w:spacing w:after="0" w:line="309" w:lineRule="auto"/>
        <w:tabs>
          <w:tab w:leader="none" w:pos="232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Arial" w:cs="Arial" w:eastAsia="Arial" w:hAnsi="Arial"/>
          <w:sz w:val="16"/>
          <w:szCs w:val="16"/>
          <w:color w:val="auto"/>
        </w:rPr>
      </w:pPr>
    </w:p>
    <w:p>
      <w:pPr>
        <w:ind w:left="660" w:firstLine="1281"/>
        <w:spacing w:after="0" w:line="275" w:lineRule="auto"/>
        <w:tabs>
          <w:tab w:leader="none" w:pos="232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Guarantee</w:t>
      </w:r>
    </w:p>
    <w:p>
      <w:pPr>
        <w:spacing w:after="0" w:line="250"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In order to induce the Lenders to extend credit to the other Borrowers hereunder, the Company hereby irrevocably and unconditionally guarantees, as a primary obligor and not merely as a surety, the payment when and as due of the Secured Obligations of such other Borrowers and the Specified Ancillary Obligations (collectively,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The Company further agrees that the due and punctual payment of such Guaranteed Obligations may be extended or renewed, in whole or in part, without notice to or further assent from it, and that it will remain bound upon its guarantee hereunder notwithstanding any such extension or renewal of any such Guaranteed Obligation.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00" w:name="page201"/>
    <w:bookmarkEnd w:id="200"/>
    <w:p>
      <w:pPr>
        <w:jc w:val="both"/>
        <w:ind w:firstLine="1289"/>
        <w:spacing w:after="0" w:line="266" w:lineRule="auto"/>
        <w:rPr>
          <w:sz w:val="20"/>
          <w:szCs w:val="20"/>
          <w:color w:val="auto"/>
        </w:rPr>
      </w:pPr>
      <w:r>
        <w:rPr>
          <w:rFonts w:ascii="Arial" w:cs="Arial" w:eastAsia="Arial" w:hAnsi="Arial"/>
          <w:sz w:val="17"/>
          <w:szCs w:val="17"/>
          <w:color w:val="auto"/>
        </w:rPr>
        <w:t>The Company waives presentment to, demand of payment from and protest to any Subsidiary of any of the Guaranteed Obligations, and also waives notice of acceptance of its obligations and notice of protest for nonpayment. The obligations of the Company hereunder shall not be affected by (a) the failure of either Agent, any Issuing Bank or any Lender (or any of its Affiliates) to assert any claim or demand or to enforce any right or remedy against any Subsidiary under the provisions of this Agreement, any Swap Agreement, any Banking Services Agreement, any other Loan Document or otherwise; (b) any extension or renewal of any of the Guaranteed Obligations; (c) any rescission, waiver, amendment or modification of, or release from, any of the terms or provisions of this Agreement, any Swap Agreement, any Banking Services Agreement or any other Loan Document or agreement; (d) any default, failure or delay, willful or otherwise, in the performance of any of the Guaranteed Obligations; (e) the failure of either Agent (or any applicable Lender (or any of its Affiliates)) to take any steps to perfect and maintain any security interest in, or to preserve any rights to, any security or collateral for the Guaranteed Obligations, if any; (f) any change in the corporate, partnership or other existence, structure or ownership of any Subsidiary or any other guarantor of any of the Guaranteed Obligations; (g) the enforceability or validity of the Guaranteed Obligations or any part thereof or the genuineness, enforceability or validity of any agreement relating thereto or with respect to any collateral securing the Guaranteed Obligations or any part thereof, or any other invalidity or unenforceability relating to or against any Subsidiary or any other guarantor of any of the Guaranteed Obligations, for any reason related to this Agreement, any Swap Agreement, any Banking Services Agreement, any other Loan Document, or any provision of applicable law, decree, order or regulation of any jurisdiction purporting to prohibit the payment by such Subsidiary or any other guarantor of the Guaranteed Obligations, of any of the Guaranteed Obligations or otherwise affecting any term of any of the Guaranteed Obligations; or (h)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w:t>
      </w:r>
    </w:p>
    <w:p>
      <w:pPr>
        <w:spacing w:after="0" w:line="211" w:lineRule="exact"/>
        <w:rPr>
          <w:sz w:val="20"/>
          <w:szCs w:val="20"/>
          <w:color w:val="auto"/>
        </w:rPr>
      </w:pPr>
    </w:p>
    <w:p>
      <w:pPr>
        <w:jc w:val="both"/>
        <w:ind w:firstLine="1289"/>
        <w:spacing w:after="0" w:line="300" w:lineRule="auto"/>
        <w:rPr>
          <w:sz w:val="20"/>
          <w:szCs w:val="20"/>
          <w:color w:val="auto"/>
        </w:rPr>
      </w:pPr>
      <w:r>
        <w:rPr>
          <w:rFonts w:ascii="Arial" w:cs="Arial" w:eastAsia="Arial" w:hAnsi="Arial"/>
          <w:sz w:val="16"/>
          <w:szCs w:val="16"/>
          <w:color w:val="auto"/>
        </w:rPr>
        <w:t>The Company further agrees that its agreement hereunder constitutes a guarantee of payment when due (whether or not any bankruptcy or similar proceeding shall have stayed the accrual or collection of any of the Guaranteed Obligations or operated as a discharge thereof) and not merely of collection, and waives any right to require that any resort be had by either Agent, any Issuing Bank or any Lender (or any of its Affiliates) to any balance of any deposit account or credit on the books of either Agent, any Issuing Bank or any Lender in favor of any Subsidiary or any other Person.</w:t>
      </w:r>
    </w:p>
    <w:p>
      <w:pPr>
        <w:spacing w:after="0" w:line="181" w:lineRule="exact"/>
        <w:rPr>
          <w:sz w:val="20"/>
          <w:szCs w:val="20"/>
          <w:color w:val="auto"/>
        </w:rPr>
      </w:pPr>
    </w:p>
    <w:p>
      <w:pPr>
        <w:jc w:val="both"/>
        <w:ind w:firstLine="1289"/>
        <w:spacing w:after="0" w:line="254" w:lineRule="auto"/>
        <w:rPr>
          <w:sz w:val="20"/>
          <w:szCs w:val="20"/>
          <w:color w:val="auto"/>
        </w:rPr>
      </w:pPr>
      <w:r>
        <w:rPr>
          <w:rFonts w:ascii="Arial" w:cs="Arial" w:eastAsia="Arial" w:hAnsi="Arial"/>
          <w:sz w:val="18"/>
          <w:szCs w:val="18"/>
          <w:color w:val="auto"/>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except for the prior indefeasible payment in full in cash of all the Guaranteed Obligations. Nothing contained in this Article X is intended to, or shall limit, restrict or preclude the Company from pursuing and maintaining a separate legal action based on the acts or omissions of any Agent or any Lender in connection with any such Person’s gross negligence or willful misconduct.</w:t>
      </w:r>
    </w:p>
    <w:p>
      <w:pPr>
        <w:spacing w:after="0" w:line="216" w:lineRule="exact"/>
        <w:rPr>
          <w:sz w:val="20"/>
          <w:szCs w:val="20"/>
          <w:color w:val="auto"/>
        </w:rPr>
      </w:pPr>
    </w:p>
    <w:p>
      <w:pPr>
        <w:jc w:val="both"/>
        <w:ind w:firstLine="1289"/>
        <w:spacing w:after="0" w:line="274" w:lineRule="auto"/>
        <w:rPr>
          <w:sz w:val="20"/>
          <w:szCs w:val="20"/>
          <w:color w:val="auto"/>
        </w:rPr>
      </w:pPr>
      <w:r>
        <w:rPr>
          <w:rFonts w:ascii="Arial" w:cs="Arial" w:eastAsia="Arial" w:hAnsi="Arial"/>
          <w:sz w:val="17"/>
          <w:szCs w:val="17"/>
          <w:color w:val="auto"/>
        </w:rPr>
        <w:t>The Company further agrees that its obligations hereunder shall constitute a continuing and irrevocable guarantee of all Guaranteed Obligations now or hereafter existing and shall continue to be effective or be reinstated, as the case may be, if at any time payment, or any part thereof, of any Guaranteed Obligation (including a payment effected through exercise of a right of setoff) is rescinded, or is or must otherwise be restored or returned by either Agent, any Issuing Bank or any Lender (or any of its Affiliates) upon the insolvency, bankruptcy or reorganization of any Subsidiary or otherwise (including pursuant to any settlement entered into by a Secured Party in its discretion).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01" w:name="page202"/>
    <w:bookmarkEnd w:id="201"/>
    <w:p>
      <w:pPr>
        <w:jc w:val="both"/>
        <w:ind w:firstLine="1289"/>
        <w:spacing w:after="0" w:line="284" w:lineRule="auto"/>
        <w:rPr>
          <w:sz w:val="20"/>
          <w:szCs w:val="20"/>
          <w:color w:val="auto"/>
        </w:rPr>
      </w:pPr>
      <w:r>
        <w:rPr>
          <w:rFonts w:ascii="Arial" w:cs="Arial" w:eastAsia="Arial" w:hAnsi="Arial"/>
          <w:sz w:val="16"/>
          <w:szCs w:val="16"/>
          <w:color w:val="auto"/>
        </w:rPr>
        <w:t>In furtherance of the foregoing and not in limitation of any other right which either Agent, any Issuing Bank or any Lender (or any of its Affiliates) may have at law or in equity against the Company by virtue hereof, upon the failure of any other Subsidiary to pay any Guaranteed Obligation when and as the same shall become due, whether at maturity, by acceleration, after notice of prepayment or otherwise, the Company hereby promises to and will, upon receipt of written demand by any Agent, any Issuing Bank or any Lender (or any of its Affiliates), forthwith pay, or cause to be paid, to the relevant Agent, the relevant Issuing Bank or any Lender (or any of such Lender’s Affiliates) in cash an amount equal to the unpaid principal amount of such Guaranteed Obligations then due, together with accrued and unpaid interest thereon. The Company further agrees that if payment in respect of any Guaranteed Obligation shall be due in a currency other than Dollars and/or at a place of payment other than New York or any other Eurocurrency Payment Office and if, by reason of any Change in Law, disruption of currency or foreign exchange markets, war or civil disturbance or other event, payment of such Guaranteed Obligation in such currency or at such place of payment shall be impossible or, in the reasonable judgment of either Agent, any Issuing Bank or any Lender (or any of its Affiliates), disadvantageous to the relevant Agent, the relevant Issuing Bank or such Lender (or any of such Lender’s Affiliates) in any material respect, then, at the election of the relevant Agent or such Lender, the Company shall make payment of such Guaranteed Obligation in Dollars (based upon the applicable Equivalent Amount in effect on the date of payment) and/or in New York or such other Eurocurrency Payment Office as is designated by the Administrative Agent or such Lender and, as a separate and independent obligation, shall indemnify the Agents, any Issuing Bank and such Lender (and such Lender’s Affiliates), as applicable, against any losses or reasonable out-of-pocket expenses that it shall sustain as a result of such alternative payment.</w:t>
      </w:r>
    </w:p>
    <w:p>
      <w:pPr>
        <w:spacing w:after="0" w:line="201" w:lineRule="exact"/>
        <w:rPr>
          <w:sz w:val="20"/>
          <w:szCs w:val="20"/>
          <w:color w:val="auto"/>
        </w:rPr>
      </w:pPr>
    </w:p>
    <w:p>
      <w:pPr>
        <w:jc w:val="both"/>
        <w:ind w:firstLine="1289"/>
        <w:spacing w:after="0" w:line="262" w:lineRule="auto"/>
        <w:rPr>
          <w:sz w:val="20"/>
          <w:szCs w:val="20"/>
          <w:color w:val="auto"/>
        </w:rPr>
      </w:pPr>
      <w:r>
        <w:rPr>
          <w:rFonts w:ascii="Arial" w:cs="Arial" w:eastAsia="Arial" w:hAnsi="Arial"/>
          <w:sz w:val="18"/>
          <w:szCs w:val="18"/>
          <w:color w:val="auto"/>
        </w:rPr>
        <w:t>Upon payment by the Company of any sums as provided above, all rights of the Company against any Subsidiary arising as a result thereof by way of right of subrogation or otherwise shall in all respects be subordinated and junior in right of payment to the prior indefeasible payment in full in cash of all the Guaranteed Obligations owed by such Subsidiary.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Nothing shall discharge or satisfy the liability of the Company hereunder except the full performance and payment in cash of the Guaranteed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35" w:lineRule="exact"/>
        <w:rPr>
          <w:sz w:val="20"/>
          <w:szCs w:val="20"/>
          <w:color w:val="auto"/>
        </w:rPr>
      </w:pPr>
    </w:p>
    <w:p>
      <w:pPr>
        <w:jc w:val="both"/>
        <w:ind w:firstLine="1289"/>
        <w:spacing w:after="0" w:line="292" w:lineRule="auto"/>
        <w:rPr>
          <w:sz w:val="20"/>
          <w:szCs w:val="20"/>
          <w:color w:val="auto"/>
        </w:rPr>
      </w:pPr>
      <w:r>
        <w:rPr>
          <w:rFonts w:ascii="Arial" w:cs="Arial" w:eastAsia="Arial" w:hAnsi="Arial"/>
          <w:sz w:val="16"/>
          <w:szCs w:val="16"/>
          <w:color w:val="auto"/>
        </w:rPr>
        <w:t>The Company hereby absolutely, unconditionally and irrevocably undertakes to provide such funds or other support as may be needed from time to time by each Subsidiary Guarantor to honor all of its obligations under the Subsidiary Guaranty in respect of Specified Swap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Company shall only be liable under this paragraph for the maximum amount of such liability that can be hereby incurred without rendering its obligations under this paragraph or otherwise under this Article X voidable under applicable law relating to fraudulent conveyance or fraudulent transfer, and not for any greater amount). The Company intends that this paragraph constitute, and this paragraph shall be deemed to constitute, a “keepwell, support, or other agreement” for the benefit of each Subsidiary Guarantor for all purposes of Section 1a(18)(A)(v)(II) of the Commodity Exchange Act.</w:t>
      </w:r>
    </w:p>
    <w:p>
      <w:pPr>
        <w:spacing w:after="0" w:line="188" w:lineRule="exact"/>
        <w:rPr>
          <w:sz w:val="20"/>
          <w:szCs w:val="20"/>
          <w:color w:val="auto"/>
        </w:rPr>
      </w:pPr>
    </w:p>
    <w:p>
      <w:pPr>
        <w:jc w:val="both"/>
        <w:ind w:firstLine="1289"/>
        <w:spacing w:after="0" w:line="275" w:lineRule="auto"/>
        <w:rPr>
          <w:sz w:val="20"/>
          <w:szCs w:val="20"/>
          <w:color w:val="auto"/>
        </w:rPr>
      </w:pPr>
      <w:r>
        <w:rPr>
          <w:rFonts w:ascii="Arial" w:cs="Arial" w:eastAsia="Arial" w:hAnsi="Arial"/>
          <w:sz w:val="18"/>
          <w:szCs w:val="18"/>
          <w:color w:val="auto"/>
        </w:rPr>
        <w:t xml:space="preserve">For the avoidance of doubt, Section 2.17 of this Agreement shall be applicable, mutatis mutandis, to all payments required to be made by the Company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02" w:name="page203"/>
    <w:bookmarkEnd w:id="202"/>
    <w:p>
      <w:pPr>
        <w:ind w:firstLine="1289"/>
        <w:spacing w:after="0" w:line="275"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INC., as the Company</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22860</wp:posOffset>
            </wp:positionV>
            <wp:extent cx="321437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8"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 Page to Fourth Amended and Restated Credit Agreement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4725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03" w:name="page204"/>
    <w:bookmarkEnd w:id="203"/>
    <w:p>
      <w:pPr>
        <w:ind w:left="4520"/>
        <w:spacing w:after="0" w:line="339" w:lineRule="auto"/>
        <w:rPr>
          <w:sz w:val="20"/>
          <w:szCs w:val="20"/>
          <w:color w:val="auto"/>
        </w:rPr>
      </w:pPr>
      <w:r>
        <w:rPr>
          <w:rFonts w:ascii="Arial" w:cs="Arial" w:eastAsia="Arial" w:hAnsi="Arial"/>
          <w:sz w:val="16"/>
          <w:szCs w:val="16"/>
          <w:color w:val="auto"/>
        </w:rPr>
        <w:t>JPMORGAN CHASE BANK, N.A., individually as a Lender, as Swingline Lender, as an Issuing Bank, as Collateral Agent and as Administrative Agent</w:t>
      </w:r>
    </w:p>
    <w:p>
      <w:pPr>
        <w:spacing w:after="0" w:line="1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22860</wp:posOffset>
            </wp:positionV>
            <wp:extent cx="321437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jc w:val="center"/>
        <w:ind w:right="1020"/>
        <w:spacing w:after="0"/>
        <w:rPr>
          <w:sz w:val="20"/>
          <w:szCs w:val="20"/>
          <w:color w:val="auto"/>
        </w:rPr>
      </w:pPr>
      <w:r>
        <w:rPr>
          <w:rFonts w:ascii="Arial" w:cs="Arial" w:eastAsia="Arial" w:hAnsi="Arial"/>
          <w:sz w:val="19"/>
          <w:szCs w:val="19"/>
          <w:color w:val="auto"/>
        </w:rPr>
        <w:t>Signature Page to Fourth Amended and Restated Credit Agreement</w:t>
      </w:r>
    </w:p>
    <w:p>
      <w:pPr>
        <w:spacing w:after="0" w:line="41" w:lineRule="exact"/>
        <w:rPr>
          <w:sz w:val="20"/>
          <w:szCs w:val="20"/>
          <w:color w:val="auto"/>
        </w:rPr>
      </w:pPr>
    </w:p>
    <w:p>
      <w:pPr>
        <w:jc w:val="center"/>
        <w:ind w:right="1020"/>
        <w:spacing w:after="0"/>
        <w:rPr>
          <w:sz w:val="20"/>
          <w:szCs w:val="20"/>
          <w:color w:val="auto"/>
        </w:rPr>
      </w:pPr>
      <w:r>
        <w:rPr>
          <w:rFonts w:ascii="Arial" w:cs="Arial" w:eastAsia="Arial" w:hAnsi="Arial"/>
          <w:sz w:val="21"/>
          <w:szCs w:val="21"/>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113030</wp:posOffset>
            </wp:positionV>
            <wp:extent cx="724725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040"/>
          </w:cols>
          <w:pgMar w:left="1440" w:top="367" w:right="419" w:bottom="1440" w:gutter="0" w:footer="0" w:header="0"/>
        </w:sectPr>
      </w:pPr>
    </w:p>
    <w:bookmarkStart w:id="204" w:name="page205"/>
    <w:bookmarkEnd w:id="204"/>
    <w:p>
      <w:pPr>
        <w:ind w:left="4520"/>
        <w:spacing w:after="0" w:line="275" w:lineRule="auto"/>
        <w:rPr>
          <w:sz w:val="20"/>
          <w:szCs w:val="20"/>
          <w:color w:val="auto"/>
        </w:rPr>
      </w:pPr>
      <w:r>
        <w:rPr>
          <w:rFonts w:ascii="Arial" w:cs="Arial" w:eastAsia="Arial" w:hAnsi="Arial"/>
          <w:sz w:val="18"/>
          <w:szCs w:val="18"/>
          <w:color w:val="auto"/>
        </w:rPr>
        <w:t>BANK OF AMERICA, N.A., individually as a Lender, as an Issuing Bank and as Syndication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22860</wp:posOffset>
            </wp:positionV>
            <wp:extent cx="321437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269240</wp:posOffset>
            </wp:positionV>
            <wp:extent cx="724725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180"/>
          </w:cols>
          <w:pgMar w:left="1440" w:top="367" w:right="279" w:bottom="1440" w:gutter="0" w:footer="0" w:header="0"/>
        </w:sectPr>
      </w:pPr>
    </w:p>
    <w:bookmarkStart w:id="205" w:name="page206"/>
    <w:bookmarkEnd w:id="205"/>
    <w:p>
      <w:pPr>
        <w:ind w:left="4520"/>
        <w:spacing w:after="0"/>
        <w:rPr>
          <w:sz w:val="20"/>
          <w:szCs w:val="20"/>
          <w:color w:val="auto"/>
        </w:rPr>
      </w:pPr>
      <w:r>
        <w:rPr>
          <w:rFonts w:ascii="Arial" w:cs="Arial" w:eastAsia="Arial" w:hAnsi="Arial"/>
          <w:sz w:val="16"/>
          <w:szCs w:val="16"/>
          <w:color w:val="auto"/>
        </w:rPr>
        <w:t>CITIZENS BANK, N.A., individually as a Lender and as an Issuing Bank</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22860</wp:posOffset>
            </wp:positionV>
            <wp:extent cx="321437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TD BANK, N.A., individually as a Lender and as an Issuing Bank</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22860</wp:posOffset>
            </wp:positionV>
            <wp:extent cx="318897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w:t>
      </w:r>
    </w:p>
    <w:p>
      <w:pPr>
        <w:spacing w:after="0" w:line="228" w:lineRule="exact"/>
        <w:rPr>
          <w:sz w:val="20"/>
          <w:szCs w:val="20"/>
          <w:color w:val="auto"/>
        </w:rPr>
      </w:pPr>
    </w:p>
    <w:p>
      <w:pPr>
        <w:jc w:val="center"/>
        <w:ind w:right="820"/>
        <w:spacing w:after="0"/>
        <w:rPr>
          <w:sz w:val="20"/>
          <w:szCs w:val="20"/>
          <w:color w:val="auto"/>
        </w:rPr>
      </w:pPr>
      <w:r>
        <w:rPr>
          <w:rFonts w:ascii="Arial" w:cs="Arial" w:eastAsia="Arial" w:hAnsi="Arial"/>
          <w:sz w:val="19"/>
          <w:szCs w:val="19"/>
          <w:color w:val="auto"/>
        </w:rPr>
        <w:t>Signature Page to Fourth Amended and Restated Credit Agreement</w:t>
      </w:r>
    </w:p>
    <w:p>
      <w:pPr>
        <w:spacing w:after="0" w:line="41" w:lineRule="exact"/>
        <w:rPr>
          <w:sz w:val="20"/>
          <w:szCs w:val="20"/>
          <w:color w:val="auto"/>
        </w:rPr>
      </w:pPr>
    </w:p>
    <w:p>
      <w:pPr>
        <w:jc w:val="center"/>
        <w:ind w:right="820"/>
        <w:spacing w:after="0"/>
        <w:rPr>
          <w:sz w:val="20"/>
          <w:szCs w:val="20"/>
          <w:color w:val="auto"/>
        </w:rPr>
      </w:pPr>
      <w:r>
        <w:rPr>
          <w:rFonts w:ascii="Arial" w:cs="Arial" w:eastAsia="Arial" w:hAnsi="Arial"/>
          <w:sz w:val="21"/>
          <w:szCs w:val="21"/>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113030</wp:posOffset>
            </wp:positionV>
            <wp:extent cx="724725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840"/>
          </w:cols>
          <w:pgMar w:left="1440" w:top="367" w:right="6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620" w:type="dxa"/>
            <w:vAlign w:val="bottom"/>
            <w:gridSpan w:val="2"/>
          </w:tcPr>
          <w:p>
            <w:pPr>
              <w:jc w:val="right"/>
              <w:ind w:right="4911"/>
              <w:spacing w:after="0"/>
              <w:rPr>
                <w:sz w:val="20"/>
                <w:szCs w:val="20"/>
                <w:color w:val="auto"/>
              </w:rPr>
            </w:pPr>
            <w:r>
              <w:rPr>
                <w:rFonts w:ascii="Arial" w:cs="Arial" w:eastAsia="Arial" w:hAnsi="Arial"/>
                <w:sz w:val="18"/>
                <w:szCs w:val="18"/>
                <w:color w:val="auto"/>
              </w:rPr>
              <w:t>SCHEDULE 2.01A</w:t>
            </w:r>
          </w:p>
        </w:tc>
      </w:tr>
      <w:tr>
        <w:trPr>
          <w:trHeight w:val="457"/>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20" w:type="dxa"/>
            <w:vAlign w:val="bottom"/>
            <w:gridSpan w:val="2"/>
          </w:tcPr>
          <w:p>
            <w:pPr>
              <w:jc w:val="right"/>
              <w:ind w:right="4951"/>
              <w:spacing w:after="0"/>
              <w:rPr>
                <w:sz w:val="20"/>
                <w:szCs w:val="20"/>
                <w:color w:val="auto"/>
              </w:rPr>
            </w:pPr>
            <w:r>
              <w:rPr>
                <w:rFonts w:ascii="Arial" w:cs="Arial" w:eastAsia="Arial" w:hAnsi="Arial"/>
                <w:sz w:val="18"/>
                <w:szCs w:val="18"/>
                <w:color w:val="auto"/>
              </w:rPr>
              <w:t>COMMITMENTS</w:t>
            </w:r>
          </w:p>
        </w:tc>
      </w:tr>
      <w:tr>
        <w:trPr>
          <w:trHeight w:val="389"/>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LENDER</w:t>
            </w:r>
          </w:p>
        </w:tc>
        <w:tc>
          <w:tcPr>
            <w:tcW w:w="30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COMMITMENT</w:t>
            </w:r>
          </w:p>
        </w:tc>
      </w:tr>
      <w:tr>
        <w:trPr>
          <w:trHeight w:val="450"/>
        </w:trPr>
        <w:tc>
          <w:tcPr>
            <w:tcW w:w="380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r>
      <w:tr>
        <w:trPr>
          <w:trHeight w:val="430"/>
        </w:trPr>
        <w:tc>
          <w:tcPr>
            <w:tcW w:w="380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$14,000,000</w:t>
            </w:r>
          </w:p>
        </w:tc>
      </w:tr>
      <w:tr>
        <w:trPr>
          <w:trHeight w:val="430"/>
        </w:trPr>
        <w:tc>
          <w:tcPr>
            <w:tcW w:w="3800" w:type="dxa"/>
            <w:vAlign w:val="bottom"/>
            <w:gridSpan w:val="2"/>
          </w:tcPr>
          <w:p>
            <w:pPr>
              <w:spacing w:after="0"/>
              <w:rPr>
                <w:sz w:val="20"/>
                <w:szCs w:val="20"/>
                <w:color w:val="auto"/>
              </w:rPr>
            </w:pPr>
            <w:r>
              <w:rPr>
                <w:rFonts w:ascii="Arial" w:cs="Arial" w:eastAsia="Arial" w:hAnsi="Arial"/>
                <w:sz w:val="18"/>
                <w:szCs w:val="18"/>
                <w:color w:val="auto"/>
              </w:rPr>
              <w:t>CITIZENS BANK, N.A.</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$11,000,000</w:t>
            </w:r>
          </w:p>
        </w:tc>
      </w:tr>
      <w:tr>
        <w:trPr>
          <w:trHeight w:val="430"/>
        </w:trPr>
        <w:tc>
          <w:tcPr>
            <w:tcW w:w="380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7620" w:type="dxa"/>
            <w:vAlign w:val="bottom"/>
            <w:gridSpan w:val="2"/>
          </w:tcPr>
          <w:p>
            <w:pPr>
              <w:jc w:val="right"/>
              <w:spacing w:after="0"/>
              <w:rPr>
                <w:sz w:val="20"/>
                <w:szCs w:val="20"/>
                <w:color w:val="auto"/>
              </w:rPr>
            </w:pPr>
            <w:r>
              <w:rPr>
                <w:rFonts w:ascii="Arial" w:cs="Arial" w:eastAsia="Arial" w:hAnsi="Arial"/>
                <w:sz w:val="18"/>
                <w:szCs w:val="18"/>
                <w:color w:val="auto"/>
              </w:rPr>
              <w:t>$11,000,000</w:t>
            </w:r>
          </w:p>
        </w:tc>
      </w:tr>
      <w:tr>
        <w:trPr>
          <w:trHeight w:val="43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AGGREGATE COMMITMENT</w:t>
            </w:r>
          </w:p>
        </w:tc>
        <w:tc>
          <w:tcPr>
            <w:tcW w:w="7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$50,000,000</w:t>
            </w:r>
          </w:p>
        </w:tc>
      </w:tr>
      <w:tr>
        <w:trPr>
          <w:trHeight w:val="423"/>
        </w:trPr>
        <w:tc>
          <w:tcPr>
            <w:tcW w:w="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-1534160</wp:posOffset>
            </wp:positionV>
            <wp:extent cx="285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360" w:type="dxa"/>
            <w:vAlign w:val="bottom"/>
            <w:gridSpan w:val="2"/>
          </w:tcPr>
          <w:p>
            <w:pPr>
              <w:jc w:val="right"/>
              <w:ind w:right="4911"/>
              <w:spacing w:after="0"/>
              <w:rPr>
                <w:sz w:val="20"/>
                <w:szCs w:val="20"/>
                <w:color w:val="auto"/>
              </w:rPr>
            </w:pPr>
            <w:r>
              <w:rPr>
                <w:rFonts w:ascii="Arial" w:cs="Arial" w:eastAsia="Arial" w:hAnsi="Arial"/>
                <w:sz w:val="18"/>
                <w:szCs w:val="18"/>
                <w:color w:val="auto"/>
              </w:rPr>
              <w:t>SCHEDULE 2.01B</w:t>
            </w:r>
          </w:p>
        </w:tc>
      </w:tr>
      <w:tr>
        <w:trPr>
          <w:trHeight w:val="457"/>
        </w:trPr>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360" w:type="dxa"/>
            <w:vAlign w:val="bottom"/>
            <w:gridSpan w:val="2"/>
          </w:tcPr>
          <w:p>
            <w:pPr>
              <w:jc w:val="right"/>
              <w:ind w:right="4111"/>
              <w:spacing w:after="0"/>
              <w:rPr>
                <w:sz w:val="20"/>
                <w:szCs w:val="20"/>
                <w:color w:val="auto"/>
              </w:rPr>
            </w:pPr>
            <w:r>
              <w:rPr>
                <w:rFonts w:ascii="Arial" w:cs="Arial" w:eastAsia="Arial" w:hAnsi="Arial"/>
                <w:sz w:val="18"/>
                <w:szCs w:val="18"/>
                <w:color w:val="auto"/>
              </w:rPr>
              <w:t>LETTER OF CREDIT COMMITMENTS</w:t>
            </w:r>
          </w:p>
        </w:tc>
      </w:tr>
      <w:tr>
        <w:trPr>
          <w:trHeight w:val="389"/>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LENDER</w:t>
            </w:r>
          </w:p>
        </w:tc>
        <w:tc>
          <w:tcPr>
            <w:tcW w:w="3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LETTER OF CREDIT COMMITMENT</w:t>
            </w:r>
          </w:p>
        </w:tc>
      </w:tr>
      <w:tr>
        <w:trPr>
          <w:trHeight w:val="450"/>
        </w:trPr>
        <w:tc>
          <w:tcPr>
            <w:tcW w:w="40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r>
      <w:tr>
        <w:trPr>
          <w:trHeight w:val="430"/>
        </w:trPr>
        <w:tc>
          <w:tcPr>
            <w:tcW w:w="406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r>
      <w:tr>
        <w:trPr>
          <w:trHeight w:val="430"/>
        </w:trPr>
        <w:tc>
          <w:tcPr>
            <w:tcW w:w="4060" w:type="dxa"/>
            <w:vAlign w:val="bottom"/>
            <w:gridSpan w:val="2"/>
          </w:tcPr>
          <w:p>
            <w:pPr>
              <w:spacing w:after="0"/>
              <w:rPr>
                <w:sz w:val="20"/>
                <w:szCs w:val="20"/>
                <w:color w:val="auto"/>
              </w:rPr>
            </w:pPr>
            <w:r>
              <w:rPr>
                <w:rFonts w:ascii="Arial" w:cs="Arial" w:eastAsia="Arial" w:hAnsi="Arial"/>
                <w:sz w:val="18"/>
                <w:szCs w:val="18"/>
                <w:color w:val="auto"/>
              </w:rPr>
              <w:t>CITIZENS BANK, N.A.</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r>
      <w:tr>
        <w:trPr>
          <w:trHeight w:val="430"/>
        </w:trPr>
        <w:tc>
          <w:tcPr>
            <w:tcW w:w="406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$3,750,000</w:t>
            </w:r>
          </w:p>
        </w:tc>
      </w:tr>
      <w:tr>
        <w:trPr>
          <w:trHeight w:val="43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TOTAL LETTER OF CREDIT COMMITMENTS</w:t>
            </w:r>
          </w:p>
        </w:tc>
        <w:tc>
          <w:tcPr>
            <w:tcW w:w="7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$15,000,000</w:t>
            </w:r>
          </w:p>
        </w:tc>
      </w:tr>
      <w:tr>
        <w:trPr>
          <w:trHeight w:val="423"/>
        </w:trPr>
        <w:tc>
          <w:tcPr>
            <w:tcW w:w="7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18"/>
          <w:szCs w:val="18"/>
          <w:color w:val="auto"/>
        </w:rPr>
        <w:t>SCHEDULE 2.06</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EXISTING LETTERS OF CREDIT</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278130</wp:posOffset>
            </wp:positionV>
            <wp:extent cx="724725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t>SCHEDULE 5.10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POST-CLOSING MATTERS</w:t>
      </w:r>
    </w:p>
    <w:p>
      <w:pPr>
        <w:spacing w:after="0" w:line="276" w:lineRule="exact"/>
        <w:rPr>
          <w:sz w:val="20"/>
          <w:szCs w:val="20"/>
          <w:color w:val="auto"/>
        </w:rPr>
      </w:pPr>
    </w:p>
    <w:p>
      <w:pPr>
        <w:jc w:val="both"/>
        <w:ind w:firstLine="7"/>
        <w:spacing w:after="0" w:line="300" w:lineRule="auto"/>
        <w:tabs>
          <w:tab w:leader="none" w:pos="85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Delivery to the Administrative Agent of certificates of insurance listing the Collateral Agent as (x) lender loss payee for the property casualty insurance policies of the Company and its Subsidiaries, together with separate lender loss payable endorsements in respect thereof and (y) additional insured with respect to the liability insurance policies of the Company and its Subsidiaries, together with separate additional insured endorsements in respect thereof, in form and substance reasonably acceptable to the Administrative Agent, on or prior to the date that is thirty (30) days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24725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10.25</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SECURITY AGREEMENT</w:t>
      </w:r>
    </w:p>
    <w:p>
      <w:pPr>
        <w:spacing w:after="0" w:line="227"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THIS THIRD AMENDED AND RESTATED SECURITY AGREEMENT (as the same may be amended, restated, supplemented or otherwise modified from time to time, this “</w:t>
      </w:r>
      <w:r>
        <w:rPr>
          <w:rFonts w:ascii="Arial" w:cs="Arial" w:eastAsia="Arial" w:hAnsi="Arial"/>
          <w:sz w:val="17"/>
          <w:szCs w:val="17"/>
          <w:u w:val="single" w:color="auto"/>
          <w:color w:val="auto"/>
        </w:rPr>
        <w:t>Security Agreement</w:t>
      </w:r>
      <w:r>
        <w:rPr>
          <w:rFonts w:ascii="Arial" w:cs="Arial" w:eastAsia="Arial" w:hAnsi="Arial"/>
          <w:sz w:val="17"/>
          <w:szCs w:val="17"/>
          <w:color w:val="auto"/>
        </w:rPr>
        <w:t>”) is entered into as of September 27, 2018 by and among PHOTRONICS, INC., a Connecticut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Subsidiaries of the Company listed on the signature pages hereto (together with the Company, the “</w:t>
      </w:r>
      <w:r>
        <w:rPr>
          <w:rFonts w:ascii="Arial" w:cs="Arial" w:eastAsia="Arial" w:hAnsi="Arial"/>
          <w:sz w:val="17"/>
          <w:szCs w:val="17"/>
          <w:u w:val="single" w:color="auto"/>
          <w:color w:val="auto"/>
        </w:rPr>
        <w:t>Initial Grantors</w:t>
      </w:r>
      <w:r>
        <w:rPr>
          <w:rFonts w:ascii="Arial" w:cs="Arial" w:eastAsia="Arial" w:hAnsi="Arial"/>
          <w:sz w:val="17"/>
          <w:szCs w:val="17"/>
          <w:color w:val="auto"/>
        </w:rPr>
        <w:t xml:space="preserve">,” and together with any additional Subsidiaries, whether now existing or hereafter formed or acquired which become parties to this Security Agreement from time to time by executing a Supplement hereto in substantially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the “</w:t>
      </w:r>
      <w:r>
        <w:rPr>
          <w:rFonts w:ascii="Arial" w:cs="Arial" w:eastAsia="Arial" w:hAnsi="Arial"/>
          <w:sz w:val="17"/>
          <w:szCs w:val="17"/>
          <w:u w:val="single" w:color="auto"/>
          <w:color w:val="auto"/>
        </w:rPr>
        <w:t>Grantors</w:t>
      </w:r>
      <w:r>
        <w:rPr>
          <w:rFonts w:ascii="Arial" w:cs="Arial" w:eastAsia="Arial" w:hAnsi="Arial"/>
          <w:sz w:val="17"/>
          <w:szCs w:val="17"/>
          <w:color w:val="auto"/>
        </w:rPr>
        <w:t>”), and JPMORGAN CHASE BANK, N.A., a national banking association, in its capacity as contractual representative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for itself and for the Holders of Secured Obligations (as defined in the Credit Agreement identified below). Capitalized terms used herein (including, without limitation,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hereof) and not otherwise defined herein shall have the respective meanings ascribed to such terms in the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3"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WHEREAS, the Company, certain Subsidiaries of the Company from time to time parties thereto as borrowers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thereunder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have entered into that certain Fourth Amended and Restated Credit Agreement of even date herewith (as the same may be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 the agreements, documents and instruments executed and/or delivered pursuant thereto or in connection therewith, including, without limitation, any guaranty delivered in connection therewith, the “</w:t>
      </w:r>
      <w:r>
        <w:rPr>
          <w:rFonts w:ascii="Arial" w:cs="Arial" w:eastAsia="Arial" w:hAnsi="Arial"/>
          <w:sz w:val="17"/>
          <w:szCs w:val="17"/>
          <w:u w:val="single" w:color="auto"/>
          <w:color w:val="auto"/>
        </w:rPr>
        <w:t>Loan Documents</w:t>
      </w:r>
      <w:r>
        <w:rPr>
          <w:rFonts w:ascii="Arial" w:cs="Arial" w:eastAsia="Arial" w:hAnsi="Arial"/>
          <w:sz w:val="17"/>
          <w:szCs w:val="17"/>
          <w:color w:val="auto"/>
        </w:rPr>
        <w:t>”), which Credit Agreement amends and restates in its entirety the Existing Credit Agreement (as defined in the Credit Agreement), providing, subject to the terms and conditions thereof, for extensions of credit and other financial accommodations to be made by the Lenders to or for the benefit of the Borrowers;</w:t>
      </w:r>
    </w:p>
    <w:p>
      <w:pPr>
        <w:spacing w:after="0" w:line="20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WHEREAS, the Credit Agreement, among other things, re-evidences the Borrowers’ outstanding obligations under the Existing Credit Agreement and provides, subject to the terms thereof, for future extensions from time to time of credit and other financial accommodations by the Lenders to the Borrowers;</w:t>
      </w:r>
    </w:p>
    <w:p>
      <w:pPr>
        <w:spacing w:after="0" w:line="208" w:lineRule="exact"/>
        <w:rPr>
          <w:sz w:val="20"/>
          <w:szCs w:val="20"/>
          <w:color w:val="auto"/>
        </w:rPr>
      </w:pPr>
    </w:p>
    <w:p>
      <w:pPr>
        <w:jc w:val="both"/>
        <w:ind w:firstLine="645"/>
        <w:spacing w:after="0" w:line="305" w:lineRule="auto"/>
        <w:rPr>
          <w:sz w:val="20"/>
          <w:szCs w:val="20"/>
          <w:color w:val="auto"/>
        </w:rPr>
      </w:pPr>
      <w:r>
        <w:rPr>
          <w:rFonts w:ascii="Arial" w:cs="Arial" w:eastAsia="Arial" w:hAnsi="Arial"/>
          <w:sz w:val="17"/>
          <w:szCs w:val="17"/>
          <w:color w:val="auto"/>
        </w:rPr>
        <w:t>WHEREAS, as a condition precedent to the effectiveness of an amendment to the Existing Credit Agreement, the Initial Grantors entered into the Second Amended and Restated Security Agreement, dated as of December 5, 2013, with the Collateral Agent (the “</w:t>
      </w:r>
      <w:r>
        <w:rPr>
          <w:rFonts w:ascii="Arial" w:cs="Arial" w:eastAsia="Arial" w:hAnsi="Arial"/>
          <w:sz w:val="17"/>
          <w:szCs w:val="17"/>
          <w:u w:val="single" w:color="auto"/>
          <w:color w:val="auto"/>
        </w:rPr>
        <w:t>Existing Security Agreement</w:t>
      </w:r>
      <w:r>
        <w:rPr>
          <w:rFonts w:ascii="Arial" w:cs="Arial" w:eastAsia="Arial" w:hAnsi="Arial"/>
          <w:sz w:val="17"/>
          <w:szCs w:val="17"/>
          <w:color w:val="auto"/>
        </w:rPr>
        <w:t>”);</w:t>
      </w:r>
    </w:p>
    <w:p>
      <w:pPr>
        <w:spacing w:after="0" w:line="17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WHEREAS, each Initial Grantor party to the Existing Security Agreement wishes to affirm its obligations under the terms of the Existing Security Agreement and wishes to amend and restate the terms of the Existing Security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Grantors wish to secure their obligations to the Holders of Secured Obligations pursuant to the terms of this Security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24725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1" w:name="page212"/>
    <w:bookmarkEnd w:id="211"/>
    <w:p>
      <w:pPr>
        <w:jc w:val="both"/>
        <w:ind w:firstLine="645"/>
        <w:spacing w:after="0" w:line="262" w:lineRule="auto"/>
        <w:rPr>
          <w:sz w:val="20"/>
          <w:szCs w:val="20"/>
          <w:color w:val="auto"/>
        </w:rPr>
      </w:pPr>
      <w:r>
        <w:rPr>
          <w:rFonts w:ascii="Arial" w:cs="Arial" w:eastAsia="Arial" w:hAnsi="Arial"/>
          <w:sz w:val="18"/>
          <w:szCs w:val="18"/>
          <w:color w:val="auto"/>
        </w:rPr>
        <w:t>WHEREAS, it is the intent of the parties hereto that this Agreement not constitute a novation of the obligations and liabilities of the parties under the Existing Security Agreement, but that this Agreement amend and restate in its entirety the Existing Security Agreement and re-evidence the obligations and liabilities of each Grantor outstanding thereunder, which shall be set forth in accordance with the terms hereof;</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Grantors and the Collateral Agent, on behalf of the Holders of Secured Obligations, hereby agree as follows: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5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Credit Agreement</w:t>
      </w:r>
      <w:r>
        <w:rPr>
          <w:rFonts w:ascii="Arial" w:cs="Arial" w:eastAsia="Arial" w:hAnsi="Arial"/>
          <w:sz w:val="18"/>
          <w:szCs w:val="18"/>
          <w:color w:val="auto"/>
        </w:rPr>
        <w:t>. All capitalized terms used herein and not otherwise defined shall have the meanings assigned to such terms in the Credit Agreement.</w:t>
      </w:r>
    </w:p>
    <w:p>
      <w:pPr>
        <w:spacing w:after="0" w:line="19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Defined in New York UCC</w:t>
      </w:r>
      <w:r>
        <w:rPr>
          <w:rFonts w:ascii="Arial" w:cs="Arial" w:eastAsia="Arial" w:hAnsi="Arial"/>
          <w:sz w:val="18"/>
          <w:szCs w:val="18"/>
          <w:color w:val="auto"/>
        </w:rPr>
        <w:t>. Terms defined in the New York UCC which are not otherwise defined in this Security Agreement are used herein as defined in the New York UCC.</w:t>
      </w:r>
    </w:p>
    <w:p>
      <w:pPr>
        <w:spacing w:after="0" w:line="197"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 of Certain Terms Used Herein</w:t>
      </w:r>
      <w:r>
        <w:rPr>
          <w:rFonts w:ascii="Arial" w:cs="Arial" w:eastAsia="Arial" w:hAnsi="Arial"/>
          <w:sz w:val="18"/>
          <w:szCs w:val="18"/>
          <w:color w:val="auto"/>
        </w:rPr>
        <w:t>. As used in this Security Agreement, in addition to the terms defined in the Preliminary Statement, the following terms shall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jc w:val="both"/>
        <w:ind w:firstLine="64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means all Accounts, Chattel Paper, Commercial Tort Claims, Deposit Accounts, Documents, Equipment, Farm Products, General Intangibles, Goods, Instruments, Intellectual Property Collateral, Inventory, Investment Property, letters of credit, Letter-of-Credit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provided that in no event shall “Collateral” include or the security interest granted under Article II hereof attach to (a) any lease, license, permit, contract, property rights or agreement to which any Grantor is a party, any of its rights or interests thereunder or any Trademark or other Intellectual Property, if and for so long as the grant of such security interest shall (i) give any other Person party to such lease, license, permit, contract, property rights or agreement the right to terminate its obligations thereunder, (ii) constitute or result in the abandonment, cancellation, invalidation or unenforceability of any material right, title or interest of any Grantor therein or (iii) result in a breach or termination pursuant to the terms of, or a default under, any such lease, license, contract property rights or agreement (other than, in the case of each of the foregoing clauses (i), (ii) and (iii), to the extent that any such right or term would be rendered ineffective pursuant to Sections 9-406, 9-407, 9-408 or 9-409 of the Uniform Commercial Code of any relevant jurisdiction or any other applicable law (including the U.S. Bankruptcy Code) or principles of equity), provided, however, that the Collateral shall include and such security interest shall attach immediately at such time as the condition causing such abandonment, cancellation, invalidation or unenforceability shall be remedied and to the extent severable, shall attach immediately to any portion of such lease, license, contract, property rights, agreement or Trademark that does not result in any of the consequences specified in (i), (ii) or (iii) above; (b) any license, permit or other governmental authorization that, under the terms and conditions of such governmental authorization or under applicable law, cannot be subjected to a Lien in favor of the Collateral Agent for the benefit of the Holders of Secured Obligations without the consent of the relevant governmental authority and such consent has not been obtained; (c) any of the capital stock of a Foreign Subsidiary; (d) those assets as to which the Collateral Agent reasonably determines (in consultation with, and with written notice to, the Company) that the cost of obtaining such a security interest or perfection thereof (including tax consequences) are excessive in relation to the benefit to the Holders of Secured Obligations of the security to be afforded thereby; (e) any item of personal property, tangible or intangible, to the extent the grant by any Grantor of a security interest pursuant to this Security Agreement in its right, title and interest in such item of property is prohibited by any law or governmental rule or regulation or by effective and enforceable contractual provisions (including license restrictions) in any agreement to which the Grantor is a party (so long as no such agreement shall be entered into for the purposes of circumventing the security interest granted herein and excluding any such provision to the extent such provision would be rendered ineffective pursuant to Sections 9-406, 9-407, 9-408 or 9-409 of the Uniform Commercial Code of any relevant jurisdiction or any other applicable law (including the U.S. Bankruptcy Code) or principles of equity); (f) intellectual property in relation to which any law or governmental rule or regulation, or any agreement with a domain name registrar or any other Person entered into by the Grantor in the ordinary course of business and existing on the date hereof, prohibits the creation of a security interest therein or would otherwise invalidate such Grantor’s right, title or interest therein (other than to the extent any such agreement would be rendered ineffective pursuant to Sections 9-406, 9-407, 9-408 or 9-409 of the Uniform Commercial Code of any relevant jurisdiction or any other applicable law (including the U.S. Bankruptcy Code) or principles of equity); (g) any Equipment owned by any Grantor that is subject to a purchase money Lien or a capital lease permitted by the Credit Agreement if the agreement in which such Lien is granted (or in the document providing for such capital lease) validly prohibits or requires the consent of any Person other than any Grantor as a condition to the creation of any other Lien on such equipment (other than to the extent any such agreement would be rendered ineffective pursuant to Sections 9-406, 9-407, 9-408 or 9-409 of the Uniform Commercial Code of any relevant jurisdiction or any other applicable law (including the U.S. Bankruptcy Code) or principles of equity), but only, in each case, to the extent, and for so long as, the Indebtedness secured by the applicable Lien or capital lease has not been repaid in full or the applicable prohibition (or consent required) has not been otherwise removed or terminated; (h) motor vehicles and other assets subject to certificates of title or ownership; or (i) any real property held by a Grantor as a lessee under a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hereby agree, for the avoidance of doubt (without limitation with respect to any assets not so listed), that the assets listed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to this Agreement are prohibited by contractual restrictions with third parties from being included as “Collateral” hereunder except to the extent such restrictions would be rendered ineffective pursuant to Sections 9-406, 9-407, 9-408 or 9-409 of the Uniform Commercial Code of any relevant jurisdiction.</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24725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2" w:name="page213"/>
    <w:bookmarkEnd w:id="212"/>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defined in the New York UCC of any Grantor, including each commercial tort claim specifically described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Confirmatory Grant of Security Interest</w:t>
      </w:r>
      <w:r>
        <w:rPr>
          <w:rFonts w:ascii="Arial" w:cs="Arial" w:eastAsia="Arial" w:hAnsi="Arial"/>
          <w:sz w:val="18"/>
          <w:szCs w:val="18"/>
          <w:color w:val="auto"/>
        </w:rPr>
        <w:t>” means, with respect to any Grantor and its Patents, Trademarks, or Copyrights, an agreement with a list of such Patents, Trademarks or Copyrights attached as an exhibit thereto, in form and substance satisfactory to the Collateral Agent, duly executed by such Grantor, to be filed in the United States Patent and Trademark Office or the United States Copyright Office, as applicable, evidencing the Collateral Agent’s Lien on such Patents, Trademarks or Copyrights,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have the meaning set forth in Article 8 or, if applicable, in Section 9-104, 9-105, 9-106 or 9-107 of Article 9 of the New York UCC.</w:t>
      </w:r>
    </w:p>
    <w:p>
      <w:pPr>
        <w:spacing w:after="0" w:line="246"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(b) all extensions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the Credit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Products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have the meaning set forth in Article 9 of the New York UCC and, in any event, includes payment intangibles, contract rights, rights to payment, rights arising under common law, statutes, or regulations, choses or things in action, goodwill (including the goodwill associated with any Grantor owned Trademark), Intellectual Property, URLs and domain names,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Property, negotiable Collateral, and oil, gas, or other minerals before extraction.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and Copyrights as defined herein.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means all domain names, Intellectual Property and Licenses.</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New York Uniform Commercial Code as in effect from time to time</w:t>
      </w:r>
      <w:r>
        <w:rPr>
          <w:rFonts w:ascii="Arial" w:cs="Arial" w:eastAsia="Arial" w:hAnsi="Arial"/>
          <w:sz w:val="18"/>
          <w:szCs w:val="18"/>
          <w:i w:val="1"/>
          <w:iCs w:val="1"/>
          <w:color w:val="auto"/>
        </w:rPr>
        <w: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means any property of the Grantors, not included within the defined terms Accounts, Chattel Paper, Commercial Tort Claims, Deposit Accounts, Documents, Equipment, Farm Products, General Intangibles, Goods, Instruments, Intellectual Property Collateral, Inventory, Investment Property, Letter-of-Credit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personal property of the Grantors.</w:t>
      </w:r>
    </w:p>
    <w:p>
      <w:pPr>
        <w:spacing w:after="0" w:line="18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with respect to any Person, all of such Person’s right, title, and interest in and to: (a) any and all patents and patent applications; (b) all inventions and improvements described and claimed therein; (c) all reissues, divisions, continuations,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8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Deposits</w:t>
      </w:r>
      <w:r>
        <w:rPr>
          <w:rFonts w:ascii="Arial" w:cs="Arial" w:eastAsia="Arial" w:hAnsi="Arial"/>
          <w:sz w:val="18"/>
          <w:szCs w:val="18"/>
          <w:color w:val="auto"/>
        </w:rPr>
        <w:t>” means all time deposits of money (other than Deposit Accounts and Instruments), whether or not evidenced by certificates, which a Grantor may from time to time designate as pledged to the Collateral Agent or to any Holder of Secured Obligations as security for any Secured Obligations, and all rights to receive interest on said deposits.</w:t>
      </w:r>
    </w:p>
    <w:p>
      <w:pPr>
        <w:spacing w:after="0" w:line="18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the Accounts, Chattel Paper, Documents, Investment Property, Instruments or Pledged Deposits, and any other rights or claims to receive money which are General Intangibles or which are otherwise included as Collateral.</w:t>
      </w:r>
    </w:p>
    <w:p>
      <w:pPr>
        <w:spacing w:after="0" w:line="17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w:t>
      </w:r>
      <w:r>
        <w:rPr>
          <w:rFonts w:ascii="Arial" w:cs="Arial" w:eastAsia="Arial" w:hAnsi="Arial"/>
          <w:sz w:val="18"/>
          <w:szCs w:val="18"/>
          <w:color w:val="auto"/>
        </w:rPr>
        <w:t>” means issued by, registered with, renewed by or the subject of a pending application before any governmental authority or internet domain name registrar.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New York UCC.</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4" w:name="page215"/>
    <w:bookmarkEnd w:id="214"/>
    <w:p>
      <w:pPr>
        <w:jc w:val="both"/>
        <w:ind w:firstLine="64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any securities, dividends or other distributions and any other right or property which any Grantor shall receive or shall become entitled to receive for any reason whatsoever with respect to, in substitution for or in exchange for any securities or other ownership interests in a corporation, partnership, joint venture or limited liability company constituting Collateral and any securities, any right to receive securities and any right to receive earnings, in which any Grantor now has or hereafter acquires any right, issued by an issuer of such securities.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shall have the meaning set forth in Article 9 of the New York UCC.</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REAFFIRMATION AND GRANT OF SECURITY INTEREST</w:t>
      </w:r>
    </w:p>
    <w:p>
      <w:pPr>
        <w:spacing w:after="0" w:line="223"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Each Initial Grantor party to the Existing Security Agreement reaffirms the security interest granted under the terms and conditions of the Existing Security Agreement and agrees that such security interest remains in full force and effect and is hereby ratified, reaffirmed and confirmed. Each Initial Grantor party to the Existing Security Agreement acknowledges and agrees with the Collateral Agent that the Existing Security Agreement is amended, restated, and superseded in its entirety pursuant to the terms hereof.</w:t>
      </w:r>
    </w:p>
    <w:p>
      <w:pPr>
        <w:spacing w:after="0" w:line="188"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Each of the Grantors hereby pledges, assigns and grants to the Collateral Agent, on behalf of and for the benefit of the Holders of Secured Obligations,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intellectual property rights owned by the Grantors.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 xml:space="preserve">Each of the Initial Grantors represents and warrants to the Collateral Agent and the Holders of Secured Obligations, and each Grantor that becomes a party to this Security Agreement pursuant to the execution of a Security Agreement Supplement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represents and warrants (after giving effect to supplements to each of the Exhibits hereto with respect to such subsequent Grantor as attached to such Security Agreement Supplement), that, as of the date hereof or as of the date any additional Grantor becomes party to this Security Agreement pursuant to a Security Agreement Supplement:</w:t>
      </w:r>
    </w:p>
    <w:p>
      <w:pPr>
        <w:spacing w:after="0" w:line="181"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Authorization, Validity and Enforceability</w:t>
      </w:r>
      <w:r>
        <w:rPr>
          <w:rFonts w:ascii="Arial" w:cs="Arial" w:eastAsia="Arial" w:hAnsi="Arial"/>
          <w:sz w:val="16"/>
          <w:szCs w:val="16"/>
          <w:color w:val="auto"/>
        </w:rPr>
        <w:t xml:space="preserve">. Such Grantor has (other than the Intellectual Property Collateral, with respect to which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shall apply) (a) good and valid rights in or the power to transfer the Collateral owned by it and (b) title to the Collateral with respect to which it has purported to grant a security interest hereunder, free and clear of all Liens except for Liens permitted under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hereof. Such Grantor has full corporate, limited liability company or partnership, as applicable, power and authority to grant to the Collateral Agent the security interest in the Collateral pursuant hereto. The execution and delivery by such Grantor of this Security Agreement have been duly authorized by proper corporate, limited liability company, limited partnership or partnership, as applicable, proceedings, and this Security Agreement constitutes a legal, valid and binding obligation of such Grantor and creates a security interest which is enforceable against such Grantor in all Collateral it now owns or hereafter acquires, except as enforceability may be limited by (i) bankruptcy, insolvency, fraudulent conveyance, reorganization or similar laws relating to or affecting the enforcement of creditors’ rights generally, (ii) general equitable principles (whether considered in a proceeding in equity or at law), and (iii) requirements of reasonableness, good faith and fair dealing. When financing statements have been filed in the appropriate offices against such Grantor in the locations listed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Collateral Agent will have a perfected first priority security interest in the Collateral owned by such Grantor in which a security interest may be perfected by filing of a financing statement under the New York UCC, subject only to Liens permitted under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jc w:val="both"/>
        <w:ind w:firstLine="645"/>
        <w:spacing w:after="0" w:line="25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Conflicting Laws and Contracts</w:t>
      </w:r>
      <w:r>
        <w:rPr>
          <w:rFonts w:ascii="Arial" w:cs="Arial" w:eastAsia="Arial" w:hAnsi="Arial"/>
          <w:sz w:val="18"/>
          <w:szCs w:val="18"/>
          <w:color w:val="auto"/>
        </w:rPr>
        <w:t>. Neither the execution and delivery by such Grantor of this Security Agreement, the creation and perfection of the security interest in the Collateral granted hereunder, nor compliance with the terms and provisions hereof will violate (i) any law, rule, regulation, order, writ, judgment, injunction, decree or award binding on such Grantor, or (ii) such Grantor’s charter, articles or certificate of incorporation, partnership agreement or by-laws (or similar constitutive documents), or (iii) the provisions of any indenture, instrument or agreement to which such Grantor is a party or is subject, or by which it, or its property may be bound or affected, or conflict with or constitute a default thereunder, or result in or require the creation or imposition of any Lien in, of or on the property of such Grantor pursuant to the terms of any such indenture, instrument or agreement (other than any Lien of the Collateral Agent on behalf of the Holders of Secured Obligations) except, in each case, which could not reasonably be expected to result in a Material Adverse Effect.</w:t>
      </w:r>
    </w:p>
    <w:p>
      <w:pPr>
        <w:spacing w:after="0" w:line="22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Such Grantor’s mailing address and the location of its place of business (if it has only one) or its chief executive office (if it has more than one place of business), is disclosed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Property Locations</w:t>
      </w:r>
      <w:r>
        <w:rPr>
          <w:rFonts w:ascii="Arial" w:cs="Arial" w:eastAsia="Arial" w:hAnsi="Arial"/>
          <w:sz w:val="18"/>
          <w:szCs w:val="18"/>
          <w:color w:val="auto"/>
        </w:rPr>
        <w:t xml:space="preserve">. The Inventory and Equipment of each Grantor are located solely at the locations of such Grantor described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All of said locations are owned by such Grantor except for locations (i) which are leased by such Grantor as lessee and designated in Part B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(ii) at which Inventory is held in a public warehouse or is otherwise held by a bailee or on consignment by such Grantor as designated in Part C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4"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Other Names; Etc.</w:t>
      </w:r>
      <w:r>
        <w:rPr>
          <w:rFonts w:ascii="Arial" w:cs="Arial" w:eastAsia="Arial" w:hAnsi="Arial"/>
          <w:sz w:val="16"/>
          <w:szCs w:val="16"/>
          <w:color w:val="auto"/>
        </w:rPr>
        <w:t xml:space="preserve">. Within the five-year period ending as of the date such Person becomes a Grantor hereunder, such Grantor has not conducted business under any name, changed its jurisdiction of formation, merged with or into or consolidated with any other Person, except as disclosed in </w:t>
      </w:r>
      <w:r>
        <w:rPr>
          <w:rFonts w:ascii="Arial" w:cs="Arial" w:eastAsia="Arial" w:hAnsi="Arial"/>
          <w:sz w:val="16"/>
          <w:szCs w:val="16"/>
          <w:u w:val="single" w:color="auto"/>
          <w:color w:val="auto"/>
        </w:rPr>
        <w:t>Exhibit “A”</w:t>
      </w:r>
      <w:r>
        <w:rPr>
          <w:rFonts w:ascii="Arial" w:cs="Arial" w:eastAsia="Arial" w:hAnsi="Arial"/>
          <w:sz w:val="16"/>
          <w:szCs w:val="16"/>
          <w:color w:val="auto"/>
        </w:rPr>
        <w:t>. The name in which such Grantor has executed this Security Agreement is the exact name as it appears in such Grantor’s organizational documents, as amended, as filed with such Grantor’s jurisdiction of organization as of the date such Person becomes a Grantor hereunder.</w:t>
      </w:r>
    </w:p>
    <w:p>
      <w:pPr>
        <w:spacing w:after="0" w:line="181"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Accounts and Chattel Paper</w:t>
      </w:r>
      <w:r>
        <w:rPr>
          <w:rFonts w:ascii="Arial" w:cs="Arial" w:eastAsia="Arial" w:hAnsi="Arial"/>
          <w:sz w:val="17"/>
          <w:szCs w:val="17"/>
          <w:color w:val="auto"/>
        </w:rPr>
        <w:t>. The names of the obligors, amounts owing, due dates and other information with respect to the Accounts and Chattel Paper owned by such Grantor are and will be correctly stated in all material respects in all material records of such Grantor relating thereto and in all material invoices and reports with respect thereto furnished to the Collateral Agent by such Grantor from time to time.</w:t>
      </w:r>
    </w:p>
    <w:p>
      <w:pPr>
        <w:spacing w:after="0" w:line="19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Filing Requirements</w:t>
      </w:r>
      <w:r>
        <w:rPr>
          <w:rFonts w:ascii="Arial" w:cs="Arial" w:eastAsia="Arial" w:hAnsi="Arial"/>
          <w:sz w:val="18"/>
          <w:szCs w:val="18"/>
          <w:color w:val="auto"/>
        </w:rPr>
        <w:t xml:space="preserve">. None of the Equipment owned by such Grantor is covered by any certificate of title. None of the Collateral owned by such Grantor is of a type for which security interests or liens may be perfected by filing under any federal statute except for Patents, Trademarks and Copyrights held by such Grantor and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8"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Financing Statements</w:t>
      </w:r>
      <w:r>
        <w:rPr>
          <w:rFonts w:ascii="Arial" w:cs="Arial" w:eastAsia="Arial" w:hAnsi="Arial"/>
          <w:sz w:val="18"/>
          <w:szCs w:val="18"/>
          <w:color w:val="auto"/>
        </w:rPr>
        <w:t xml:space="preserve">. No financing statement describing all or any portion of the Collateral which has not lapsed or been terminated naming such Grantor as debtor has been filed in any jurisdiction except financing statements (i) naming the Collateral Agent on behalf of the Holders of Secured Obligations as the secured party and (ii) in respect of Liens permitted by Section 6.02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21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Federal Employer Identification Number; State Organization Number; Jurisdiction of Organization</w:t>
      </w:r>
      <w:r>
        <w:rPr>
          <w:rFonts w:ascii="Arial" w:cs="Arial" w:eastAsia="Arial" w:hAnsi="Arial"/>
          <w:sz w:val="18"/>
          <w:szCs w:val="18"/>
          <w:color w:val="auto"/>
        </w:rPr>
        <w:t xml:space="preserve">. Such Grantor’s federal employer identification number is, and if such Grantor is a registered organization, such Grantor’s State of organization, type of organization and State of organization identification number are, listed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8"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Pledged Securities and Other Investment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sets forth a complete and accurate list of the Instruments, Securities and other Investment Property constituting Collateral and delivered to the Collateral Agent. Each Grantor is the direct and beneficial owner of each Instrument, Security and other type of Investment Property listed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as being owned by it, free and clear of any Liens, except for the security interest granted to the Collateral Agent for the benefit of the Holders of Secured Obligations hereunder or as permitted by Section 6.02 of the Credit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6" w:name="page217"/>
    <w:bookmarkEnd w:id="216"/>
    <w:p>
      <w:pPr>
        <w:ind w:left="660"/>
        <w:spacing w:after="0"/>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 w:lineRule="exact"/>
        <w:rPr>
          <w:sz w:val="20"/>
          <w:szCs w:val="20"/>
          <w:color w:val="auto"/>
        </w:rPr>
      </w:pPr>
    </w:p>
    <w:p>
      <w:pPr>
        <w:jc w:val="both"/>
        <w:ind w:left="660" w:firstLine="644"/>
        <w:spacing w:after="0" w:line="263" w:lineRule="auto"/>
        <w:rPr>
          <w:sz w:val="20"/>
          <w:szCs w:val="20"/>
          <w:color w:val="auto"/>
        </w:rPr>
      </w:pPr>
      <w:r>
        <w:rPr>
          <w:rFonts w:ascii="Arial" w:cs="Arial" w:eastAsia="Arial" w:hAnsi="Arial"/>
          <w:sz w:val="17"/>
          <w:szCs w:val="17"/>
          <w:color w:val="auto"/>
        </w:rPr>
        <w:t xml:space="preserve">3.11.1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contains a complete and accurate listing as of the date hereof of all Registered U.S. Intellectual Property Collateral (other than intellectual property excluded from the definition of Collateral), including: (i) U.S. trademark registrations and U.S. applications for trademark registration, (ii) U.S. patents and U.S. patents applications, together with all U.S. reissuances, continuations, continuations in part, revisions, extensions and reexaminations thereof, (iii) U.S. copyright registrations and applications for registration and (iv) U.S. domain names. Grantor has all right, title and interest to the Intellectual Property Collateral listed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When Confirmatory Grants of Security Interest have been filed with the United States Patent and Trademark Office and the United States Copyright Office, as applicable, the Collateral Agent will have a perfected first priority security interest in the Registered U.S. Intellectual Property Collateral owned by such Grantor in which a security interest may be perfected by making such filings, subject only to Liens permitted under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hereof.</w:t>
      </w:r>
    </w:p>
    <w:p>
      <w:pPr>
        <w:spacing w:after="0" w:line="5"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3.11.2 Except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no Person other than the respective Grantor has any right or interest of any kind or nature in or to the Intellectual Property Collateral, including any right to sell, license, lease, transfer, distribute, use or otherwise exploit the Intellectual Property or any portion thereof outside of the ordinary course of the respective Grantor’s business.</w:t>
      </w:r>
    </w:p>
    <w:p>
      <w:pPr>
        <w:jc w:val="both"/>
        <w:ind w:left="660" w:firstLine="644"/>
        <w:spacing w:after="0" w:line="263" w:lineRule="auto"/>
        <w:rPr>
          <w:sz w:val="20"/>
          <w:szCs w:val="20"/>
          <w:color w:val="auto"/>
        </w:rPr>
      </w:pPr>
      <w:r>
        <w:rPr>
          <w:rFonts w:ascii="Arial" w:cs="Arial" w:eastAsia="Arial" w:hAnsi="Arial"/>
          <w:sz w:val="17"/>
          <w:szCs w:val="17"/>
          <w:color w:val="auto"/>
        </w:rPr>
        <w:t>3.11.3 No Grantor has received any written notice that remains outstanding challenging the validity, enforceability, or ownership of any Intellectual Property Collateral except where those challenges could not reasonably be expected to result in a Material Adverse Effect.</w:t>
      </w:r>
    </w:p>
    <w:p>
      <w:pPr>
        <w:spacing w:after="0" w:line="1" w:lineRule="exact"/>
        <w:rPr>
          <w:sz w:val="20"/>
          <w:szCs w:val="20"/>
          <w:color w:val="auto"/>
        </w:rPr>
      </w:pPr>
    </w:p>
    <w:p>
      <w:pPr>
        <w:jc w:val="both"/>
        <w:ind w:left="660" w:firstLine="644"/>
        <w:spacing w:after="0" w:line="263" w:lineRule="auto"/>
        <w:rPr>
          <w:sz w:val="20"/>
          <w:szCs w:val="20"/>
          <w:color w:val="auto"/>
        </w:rPr>
      </w:pPr>
      <w:r>
        <w:rPr>
          <w:rFonts w:ascii="Arial" w:cs="Arial" w:eastAsia="Arial" w:hAnsi="Arial"/>
          <w:sz w:val="17"/>
          <w:szCs w:val="17"/>
          <w:color w:val="auto"/>
        </w:rPr>
        <w:t xml:space="preserve">3.11.4 Each Grantor has enforced and currently enforces reasonable quality control measures in connection with such Grantor’s licensing of the trademarks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third parties, except (i) with respect to trademarks not currently in use and (ii) where the failure to use such reasonable quality control measures could not reasonably be expected to result in a Material Adverse Effect.</w:t>
      </w:r>
    </w:p>
    <w:p>
      <w:pPr>
        <w:spacing w:after="0" w:line="2" w:lineRule="exact"/>
        <w:rPr>
          <w:sz w:val="20"/>
          <w:szCs w:val="20"/>
          <w:color w:val="auto"/>
        </w:rPr>
      </w:pPr>
    </w:p>
    <w:p>
      <w:pPr>
        <w:jc w:val="both"/>
        <w:ind w:left="660" w:firstLine="644"/>
        <w:spacing w:after="0" w:line="258" w:lineRule="auto"/>
        <w:rPr>
          <w:sz w:val="20"/>
          <w:szCs w:val="20"/>
          <w:color w:val="auto"/>
        </w:rPr>
      </w:pPr>
      <w:r>
        <w:rPr>
          <w:rFonts w:ascii="Arial" w:cs="Arial" w:eastAsia="Arial" w:hAnsi="Arial"/>
          <w:sz w:val="18"/>
          <w:szCs w:val="18"/>
          <w:color w:val="auto"/>
        </w:rPr>
        <w:t>3.11.5 The consummation of the transactions contemplated by the Loan Documents will not result in the termination or material impairment of any of the material Intellectual Property.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3"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21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223" w:lineRule="exact"/>
        <w:rPr>
          <w:sz w:val="20"/>
          <w:szCs w:val="20"/>
          <w:color w:val="auto"/>
        </w:rPr>
      </w:pPr>
    </w:p>
    <w:p>
      <w:pPr>
        <w:jc w:val="both"/>
        <w:ind w:left="660" w:firstLine="644"/>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Inspection</w:t>
      </w:r>
      <w:r>
        <w:rPr>
          <w:rFonts w:ascii="Arial" w:cs="Arial" w:eastAsia="Arial" w:hAnsi="Arial"/>
          <w:sz w:val="18"/>
          <w:szCs w:val="18"/>
          <w:color w:val="auto"/>
        </w:rPr>
        <w:t>. Each Grantor will permit the Collateral Agent or any Holder of Secured Obligations, by its representatives and agents (upon reasonable prior notice so long as no Event of Default has occurred and is continuing) (i) to inspect the Collateral, (ii) to examine and make copies of the records of such Grantor relating to the Collateral and (iii) to discuss the Collateral and the related records of such Grantor with such Grantor’s officers and employees (so long as an Event of Default has occurred and is continuing, in the case of any Receivable, with any person or entity which is or may be obligated thereon), all at such reasonable times and intervals as the Collateral Agent or such Holder of Secured Obligations may determine, and all at such Grantor’s expense.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17" w:name="page218"/>
    <w:bookmarkEnd w:id="217"/>
    <w:p>
      <w:pPr>
        <w:jc w:val="both"/>
        <w:ind w:firstLine="644"/>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 Such Grantor will timely file or cause to be filed all tax returns and reports required to be filed and will pay or cause to be paid all taxes required to be paid by it with respect to the Collateral, except (i) those that are being contested in good faith by appropriate proceedings and for which such Grantor has set aside on its books adequate reserves or (ii) to the extent that failure to do so could not reasonably be expected to result in a Material Adverse Effect.</w:t>
      </w:r>
    </w:p>
    <w:p>
      <w:pPr>
        <w:spacing w:after="0" w:line="188" w:lineRule="exact"/>
        <w:rPr>
          <w:sz w:val="20"/>
          <w:szCs w:val="20"/>
          <w:color w:val="auto"/>
        </w:rPr>
      </w:pPr>
    </w:p>
    <w:p>
      <w:pPr>
        <w:jc w:val="both"/>
        <w:ind w:firstLine="644"/>
        <w:spacing w:after="0" w:line="255"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Records and Reports; Notification of Default</w:t>
      </w:r>
      <w:r>
        <w:rPr>
          <w:rFonts w:ascii="Arial" w:cs="Arial" w:eastAsia="Arial" w:hAnsi="Arial"/>
          <w:sz w:val="18"/>
          <w:szCs w:val="18"/>
          <w:color w:val="auto"/>
        </w:rPr>
        <w:t>. Each Grantor shall keep and maintain complete, accurate and proper books and records with respect to the Collateral owned by such Grantor, and furnish to the Collateral Agent, with sufficient copies for each of the Holders of Secured Obligations, such reports relating to the Collateral as the Collateral Agent shall from time to time reasonably request. Each Grantor will give prompt notice in writing to the Collateral Agent of the occurrence of any development which could reasonably be expected to materially and adversely affect the Collateral, taken as a whole.</w:t>
      </w:r>
    </w:p>
    <w:p>
      <w:pPr>
        <w:spacing w:after="0" w:line="189" w:lineRule="exact"/>
        <w:rPr>
          <w:sz w:val="20"/>
          <w:szCs w:val="20"/>
          <w:color w:val="auto"/>
        </w:rPr>
      </w:pPr>
    </w:p>
    <w:p>
      <w:pPr>
        <w:jc w:val="both"/>
        <w:ind w:firstLine="644"/>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Financing Statements and Other Actions; Defense of Title</w:t>
      </w:r>
      <w:r>
        <w:rPr>
          <w:rFonts w:ascii="Arial" w:cs="Arial" w:eastAsia="Arial" w:hAnsi="Arial"/>
          <w:sz w:val="16"/>
          <w:szCs w:val="16"/>
          <w:color w:val="auto"/>
        </w:rPr>
        <w:t>. Each Grantor hereby authorizes the Collateral Agent to file, and if requested will execute and deliver to the Collateral Agent, all financing statements describing the Collateral owned by such Grantor and other documents and take such other actions as may from time to time reasonably be requested by the Collateral Agent in order to maintain a first priority, perfected security interest in and, if applicable, Control of, the Collateral owned by such Grantor, subject to Liens permitted under Section 6.02 of the Credit Agreement, provided that nothing herein shall be deemed to constitute an agreement to subordinate any of the Liens of the Collateral Agent under the Loan Documents to any Liens otherwise permitted under Section 6.02 of the Credit Agreement. Such financing statements may describe the Collateral in the same manner as described herein or may contain an indication or description of collateral that describes such property in any other manner as the Collateral Agent may determine, in its reasonable discretion, is necessary, advisable or prudent to ensure that the perfection of the security interest in the Collateral granted to the Collateral Agent herein, including, without limitation, describing such property as “all assets” or “all personal property, whether now owned or hereafter acquired.” Each Grantor will use commercially reasonable efforts to defend title to the Collateral owned by such Grantor against all persons in a manner materially consistent with past practices and to defend the security interest of the Collateral Agent in such Collateral and the priority thereof against any Lien not expressly permitted hereunder, unless (i) such Collateral has a book value of less than $500,000 or (ii) the Collateral Agent shall have provided its written consent with respect thereto.</w:t>
      </w:r>
    </w:p>
    <w:p>
      <w:pPr>
        <w:spacing w:after="0" w:line="167" w:lineRule="exact"/>
        <w:rPr>
          <w:sz w:val="20"/>
          <w:szCs w:val="20"/>
          <w:color w:val="auto"/>
        </w:rPr>
      </w:pPr>
    </w:p>
    <w:p>
      <w:pPr>
        <w:jc w:val="both"/>
        <w:ind w:firstLine="644"/>
        <w:spacing w:after="0" w:line="284"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xml:space="preserve">. No Grantor will sell, lease or otherwise dispose of the Collateral owned by such Grantor except (i) dispositions specifically permitted pursuant to Section 6.03 of the Credit Agreement and (ii) until such time as such Grantor receives a notice from the Collateral Agent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proceeds of Inventory and Accounts collected in the ordinary course of business.</w:t>
      </w:r>
    </w:p>
    <w:p>
      <w:pPr>
        <w:spacing w:after="0" w:line="165" w:lineRule="exact"/>
        <w:rPr>
          <w:sz w:val="20"/>
          <w:szCs w:val="20"/>
          <w:color w:val="auto"/>
        </w:rPr>
      </w:pPr>
    </w:p>
    <w:p>
      <w:pPr>
        <w:jc w:val="both"/>
        <w:ind w:firstLine="644"/>
        <w:spacing w:after="0" w:line="284"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Liens</w:t>
      </w:r>
      <w:r>
        <w:rPr>
          <w:rFonts w:ascii="Arial" w:cs="Arial" w:eastAsia="Arial" w:hAnsi="Arial"/>
          <w:sz w:val="17"/>
          <w:szCs w:val="17"/>
          <w:color w:val="auto"/>
        </w:rPr>
        <w:t xml:space="preserve">. No Grantor will create, incur, or suffer to exist any Lien on the Collateral owned by such Grantor except Liens permitted pursuant to Section 6.02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Change in Corporate Existence, Type or Jurisdiction of Organization, Location, Name</w:t>
      </w:r>
      <w:r>
        <w:rPr>
          <w:rFonts w:ascii="Arial" w:cs="Arial" w:eastAsia="Arial" w:hAnsi="Arial"/>
          <w:sz w:val="18"/>
          <w:szCs w:val="18"/>
          <w:color w:val="auto"/>
        </w:rPr>
        <w:t>. Each Grantor will:</w:t>
      </w:r>
    </w:p>
    <w:p>
      <w:pPr>
        <w:spacing w:after="0" w:line="223" w:lineRule="exact"/>
        <w:rPr>
          <w:sz w:val="20"/>
          <w:szCs w:val="20"/>
          <w:color w:val="auto"/>
        </w:rPr>
      </w:pPr>
    </w:p>
    <w:p>
      <w:pPr>
        <w:ind w:left="1280" w:hanging="644"/>
        <w:spacing w:after="0" w:line="275" w:lineRule="auto"/>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preserve its existence and corporate structure as in effect on the date hereof, except as otherwise permitted under Section 6.03 of the Credit Agreement;</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 change its jurisdiction of organization;</w:t>
      </w:r>
    </w:p>
    <w:p>
      <w:pPr>
        <w:spacing w:after="0" w:line="222" w:lineRule="exact"/>
        <w:rPr>
          <w:rFonts w:ascii="Arial" w:cs="Arial" w:eastAsia="Arial" w:hAnsi="Arial"/>
          <w:sz w:val="18"/>
          <w:szCs w:val="18"/>
          <w:color w:val="auto"/>
        </w:rPr>
      </w:pPr>
    </w:p>
    <w:p>
      <w:pPr>
        <w:ind w:left="1280" w:hanging="644"/>
        <w:spacing w:after="0" w:line="275" w:lineRule="auto"/>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1280" w:hanging="644"/>
        <w:spacing w:after="0" w:line="284" w:lineRule="auto"/>
        <w:tabs>
          <w:tab w:leader="none" w:pos="12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not (i) have any Inventory or Equipment or proceeds or products thereof (other than Inventory and proceeds thereof disposed of as permitted by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at a location other than a location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(ii) change its name or taxpayer identification number, unless, in each such case, such Grantor shall have given the Collateral Agent not less than thirty (30) days’ prior written notice of such event or occurrence and the Collateral Agent shall have either (x) determined that such event or occurrence will not adversely affect the validity, perfection or priority of the Collateral Agent’s security interest in the Collateral, or</w:t>
      </w:r>
    </w:p>
    <w:p>
      <w:pPr>
        <w:jc w:val="both"/>
        <w:ind w:left="1280" w:firstLine="1"/>
        <w:spacing w:after="0" w:line="253" w:lineRule="auto"/>
        <w:tabs>
          <w:tab w:leader="none" w:pos="155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taken such steps (with the cooperation of such Grantor to the extent necessary or advisable) as are necessary or advisable to properly maintain the validity, perfection and priority of the Collateral Agent’s security interest in the Collateral owned by such Grantor.</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48260</wp:posOffset>
            </wp:positionV>
            <wp:extent cx="724725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18" w:name="page219"/>
    <w:bookmarkEnd w:id="218"/>
    <w:p>
      <w:pPr>
        <w:jc w:val="both"/>
        <w:ind w:left="660" w:firstLine="644"/>
        <w:spacing w:after="0" w:line="255"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Other Financing Statements</w:t>
      </w:r>
      <w:r>
        <w:rPr>
          <w:rFonts w:ascii="Arial" w:cs="Arial" w:eastAsia="Arial" w:hAnsi="Arial"/>
          <w:sz w:val="18"/>
          <w:szCs w:val="18"/>
          <w:color w:val="auto"/>
        </w:rPr>
        <w:t xml:space="preserve">. No Grantor will suffer to exist or authorize the filing of any financing statement naming it as debtor covering all or any portion of the Collateral owned by such Grantor, except any financing statement authorized under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Each Grantor acknowledges that it is not authorized to file any financing statement or amendment or termination statement with respect to any financing statement filed in connection herewith without the prior written consent of the Collateral Agent, subject to such Grantor’s rights under Section 9-509(d)(2) of the New York UCC.</w:t>
      </w:r>
    </w:p>
    <w:p>
      <w:pPr>
        <w:spacing w:after="0" w:line="21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Receivables</w:t>
      </w:r>
      <w:r>
        <w:rPr>
          <w:rFonts w:ascii="Arial" w:cs="Arial" w:eastAsia="Arial" w:hAnsi="Arial"/>
          <w:sz w:val="15"/>
          <w:szCs w:val="15"/>
          <w:color w:val="auto"/>
        </w:rPr>
        <w:t>.</w:t>
      </w:r>
    </w:p>
    <w:p>
      <w:pPr>
        <w:spacing w:after="0" w:line="22"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Certain Agreements on Receivables</w:t>
      </w:r>
      <w:r>
        <w:rPr>
          <w:rFonts w:ascii="Arial" w:cs="Arial" w:eastAsia="Arial" w:hAnsi="Arial"/>
          <w:sz w:val="18"/>
          <w:szCs w:val="18"/>
          <w:color w:val="auto"/>
        </w:rPr>
        <w:t>. After written notice from the Collateral Agent during the occurrence and continuation of an Event of Default, no Grantor will make or agree to make any discount, credit, rebate or other reduction in the original amount owing on a Receivable or accept in satisfaction of a Receivable less than the original amount thereof (other than discounting of receivables owing from distressed customers in a manner consistent with prudent business practices).</w:t>
      </w:r>
    </w:p>
    <w:p>
      <w:pPr>
        <w:jc w:val="both"/>
        <w:ind w:left="660" w:firstLine="644"/>
        <w:spacing w:after="0" w:line="263"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Security Agreement, each Grantor will collect and enforce, at such Grantor’s sole expense, all amounts due or hereafter due to such Grantor under the Receivables owned by such Grantor; provided that each Grantor may adjust, settle, compromise or release the amount or payment of any Receivable or amount due on any contract relating thereto, or allow any credit or discount thereon, in the ordinary course of its business and consistent with its normal business practices.</w:t>
      </w:r>
    </w:p>
    <w:p>
      <w:pPr>
        <w:spacing w:after="0" w:line="3" w:lineRule="exact"/>
        <w:rPr>
          <w:sz w:val="20"/>
          <w:szCs w:val="20"/>
          <w:color w:val="auto"/>
        </w:rPr>
      </w:pPr>
    </w:p>
    <w:p>
      <w:pPr>
        <w:jc w:val="both"/>
        <w:ind w:left="660" w:firstLine="644"/>
        <w:spacing w:after="0" w:line="253"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Delivery of Invoices</w:t>
      </w:r>
      <w:r>
        <w:rPr>
          <w:rFonts w:ascii="Arial" w:cs="Arial" w:eastAsia="Arial" w:hAnsi="Arial"/>
          <w:sz w:val="18"/>
          <w:szCs w:val="18"/>
          <w:color w:val="auto"/>
        </w:rPr>
        <w:t>. Each Grantor will deliver to the Collateral Agent immediately upon its request after the occurrence of an Event of Default duplicate invoices with respect to each Account owned by such Grantor bearing such language of assignment as the Collateral Agent shall specify.</w:t>
      </w:r>
    </w:p>
    <w:p>
      <w:pPr>
        <w:spacing w:after="0" w:line="217"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Maintenance of Goods</w:t>
      </w:r>
      <w:r>
        <w:rPr>
          <w:rFonts w:ascii="Arial" w:cs="Arial" w:eastAsia="Arial" w:hAnsi="Arial"/>
          <w:sz w:val="17"/>
          <w:szCs w:val="17"/>
          <w:color w:val="auto"/>
        </w:rPr>
        <w:t>. Each Grantor will do all things necessary to maintain, preserve, protect and keep the Inventory and the Equipment owned by such Grantor in good repair, working order and saleable condition (ordinary wear and tear excepted) and make all necessary and proper repairs, renewals and replacements so that its business carried on in connection therewith may be properly conducted at all times, except where the failure to do so, individually or in the aggregate, could not reasonably be expected to have a Material Adverse Effect.</w:t>
      </w:r>
    </w:p>
    <w:p>
      <w:pPr>
        <w:spacing w:after="0" w:line="199"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Instruments, Securities, Chattel Paper, Documents and Pledged Deposits</w:t>
      </w:r>
      <w:r>
        <w:rPr>
          <w:rFonts w:ascii="Arial" w:cs="Arial" w:eastAsia="Arial" w:hAnsi="Arial"/>
          <w:sz w:val="17"/>
          <w:szCs w:val="17"/>
          <w:color w:val="auto"/>
        </w:rPr>
        <w:t>. Each Grantor will (i) deliver to the Collateral Agent immediately upon execution of this Security Agreement, or upon acquisition by the Grantor thereafter, the originals of all Chattel Paper, Securities (to the extent certificated) and Instruments constituting Collateral (if any then exist), (ii) hold in trust for the Collateral Agent upon receipt and immediately thereafter deliver to the Collateral Agent any Chattel Paper, Securities and Instruments constituting Collateral, (iii) upon the designation of any Pledged Deposits (as set forth in the definition thereof), deliver to the Collateral Agent such Pledged Deposits which are evidenced by certificates included in the Collateral endorsed in blank, marked with such legends and assigned as the Collateral Agent shall specify, and (iv) upon the Collateral Agent’s request, after the occurrence and during the continuance of an Event of Default, deliver to the Collateral Agent (and thereafter hold in trust for the Collateral Agent upon receipt and immediately deliver to the Collateral Agent) any Document evidencing or constituting Collateral.</w:t>
      </w:r>
    </w:p>
    <w:p>
      <w:pPr>
        <w:spacing w:after="0" w:line="208"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Uncertificated Securities and Certain Other Investment Property</w:t>
      </w:r>
      <w:r>
        <w:rPr>
          <w:rFonts w:ascii="Arial" w:cs="Arial" w:eastAsia="Arial" w:hAnsi="Arial"/>
          <w:sz w:val="17"/>
          <w:szCs w:val="17"/>
          <w:color w:val="auto"/>
        </w:rPr>
        <w:t>. Each Grantor will permit the Collateral Agent from time to time to cause the appropriate issuers (and, if held with a securities intermediary, such securities intermediary) of uncertificated securities or other types of Investment Property not represented by certificates which are Collateral owned by such Grantor to mark their books and records with the numbers and face amounts of all such uncertificated securities or other types of Investment Property not represented by certificates and all rollovers and replacements therefor to reflect the Lien of the Collateral Agent granted pursuant to this Security Agreement. Each Grantor will use all commercially reasonable efforts, with respect to Investment Property constituting Collateral owned by such Grantor held with a financial intermediary, to cause such financial intermediary to enter into a control agreement with the Collateral Agent in form and substance reasonably satisfactory to the Collateral Agent.</w:t>
      </w:r>
    </w:p>
    <w:p>
      <w:pPr>
        <w:spacing w:after="0" w:line="20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2" w:lineRule="exact"/>
        <w:rPr>
          <w:sz w:val="20"/>
          <w:szCs w:val="20"/>
          <w:color w:val="auto"/>
        </w:rPr>
      </w:pPr>
    </w:p>
    <w:p>
      <w:pPr>
        <w:jc w:val="both"/>
        <w:ind w:left="660" w:firstLine="644"/>
        <w:spacing w:after="0" w:line="269" w:lineRule="auto"/>
        <w:rPr>
          <w:sz w:val="20"/>
          <w:szCs w:val="20"/>
          <w:color w:val="auto"/>
        </w:rPr>
      </w:pPr>
      <w:r>
        <w:rPr>
          <w:rFonts w:ascii="Arial" w:cs="Arial" w:eastAsia="Arial" w:hAnsi="Arial"/>
          <w:sz w:val="17"/>
          <w:szCs w:val="17"/>
          <w:color w:val="auto"/>
        </w:rPr>
        <w:t xml:space="preserve">4.6.1 </w:t>
      </w:r>
      <w:r>
        <w:rPr>
          <w:rFonts w:ascii="Arial" w:cs="Arial" w:eastAsia="Arial" w:hAnsi="Arial"/>
          <w:sz w:val="17"/>
          <w:szCs w:val="17"/>
          <w:u w:val="single" w:color="auto"/>
          <w:color w:val="auto"/>
        </w:rPr>
        <w:t>Changes in Capital Structure of Issuers</w:t>
      </w:r>
      <w:r>
        <w:rPr>
          <w:rFonts w:ascii="Arial" w:cs="Arial" w:eastAsia="Arial" w:hAnsi="Arial"/>
          <w:sz w:val="17"/>
          <w:szCs w:val="17"/>
          <w:color w:val="auto"/>
        </w:rPr>
        <w:t>. Except as permitted in the Credit Agreement, no Grantor will (i) permit or suffer any issuer of privately held corporate securities or other ownership interests in a corporation, partnership, joint venture or limited liability company constituting Collateral owned by such Grantor to dissolve, liquidate, retire any of its capital stock or other Instruments or Securities evidencing ownership, reduce its capital or merge or consolidate with any other entity, or (ii) vote any of the Instruments, Securities or other Investment Property in favor of any of the foregoing except to the extent permitted under Section 6.03 of the Credit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jc w:val="both"/>
        <w:ind w:left="660" w:firstLine="644"/>
        <w:spacing w:after="0" w:line="25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Issuance of Additional Securities</w:t>
      </w:r>
      <w:r>
        <w:rPr>
          <w:rFonts w:ascii="Arial" w:cs="Arial" w:eastAsia="Arial" w:hAnsi="Arial"/>
          <w:sz w:val="18"/>
          <w:szCs w:val="18"/>
          <w:color w:val="auto"/>
        </w:rPr>
        <w:t>. No Grantor will permit or suffer any Domestic Subsidiary to issue any such securities or other ownership interests, any right to receive the same or any right to receive earnings, except to such Grantor or another Grantor.</w:t>
      </w:r>
    </w:p>
    <w:p>
      <w:pPr>
        <w:spacing w:after="0" w:line="1"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4.6.3 </w:t>
      </w:r>
      <w:r>
        <w:rPr>
          <w:rFonts w:ascii="Arial" w:cs="Arial" w:eastAsia="Arial" w:hAnsi="Arial"/>
          <w:sz w:val="18"/>
          <w:szCs w:val="18"/>
          <w:u w:val="single" w:color="auto"/>
          <w:color w:val="auto"/>
        </w:rPr>
        <w:t>Registration of Pledged Securities and other Investment Property</w:t>
      </w:r>
      <w:r>
        <w:rPr>
          <w:rFonts w:ascii="Arial" w:cs="Arial" w:eastAsia="Arial" w:hAnsi="Arial"/>
          <w:sz w:val="18"/>
          <w:szCs w:val="18"/>
          <w:color w:val="auto"/>
        </w:rPr>
        <w:t>. Each Grantor will permit any registrable Collateral owned by such Grantor to be registered in the name of the Collateral Agent or its nominee at any time at the option of the Required Lenders following the occurrence and during the continuance of an Event of Default and without any further consent of such Grantor.</w:t>
      </w:r>
    </w:p>
    <w:p>
      <w:pPr>
        <w:jc w:val="both"/>
        <w:ind w:left="660" w:firstLine="644"/>
        <w:spacing w:after="0" w:line="252" w:lineRule="auto"/>
        <w:rPr>
          <w:sz w:val="20"/>
          <w:szCs w:val="20"/>
          <w:color w:val="auto"/>
        </w:rPr>
      </w:pPr>
      <w:r>
        <w:rPr>
          <w:rFonts w:ascii="Arial" w:cs="Arial" w:eastAsia="Arial" w:hAnsi="Arial"/>
          <w:sz w:val="18"/>
          <w:szCs w:val="18"/>
          <w:color w:val="auto"/>
        </w:rPr>
        <w:t xml:space="preserve">4.6.4 </w:t>
      </w:r>
      <w:r>
        <w:rPr>
          <w:rFonts w:ascii="Arial" w:cs="Arial" w:eastAsia="Arial" w:hAnsi="Arial"/>
          <w:sz w:val="18"/>
          <w:szCs w:val="18"/>
          <w:u w:val="single" w:color="auto"/>
          <w:color w:val="auto"/>
        </w:rPr>
        <w:t>Exercise of Rights in Pledged Securities and other Investment Property</w:t>
      </w:r>
      <w:r>
        <w:rPr>
          <w:rFonts w:ascii="Arial" w:cs="Arial" w:eastAsia="Arial" w:hAnsi="Arial"/>
          <w:sz w:val="18"/>
          <w:szCs w:val="18"/>
          <w:color w:val="auto"/>
        </w:rPr>
        <w:t>. Each Grantor will permit the Collateral Agent or its nominee at any time during the continuance of an Event of Default, without notice, to exercise or refrain from exercising any and all voting and other consensual rights pertaining to the Collateral owned by such Grantor or any part thereof, and to receive all dividends and interest in respect of such Collateral.</w:t>
      </w:r>
    </w:p>
    <w:p>
      <w:pPr>
        <w:spacing w:after="0" w:line="217"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Deposit Accounts</w:t>
      </w:r>
      <w:r>
        <w:rPr>
          <w:rFonts w:ascii="Arial" w:cs="Arial" w:eastAsia="Arial" w:hAnsi="Arial"/>
          <w:sz w:val="17"/>
          <w:szCs w:val="17"/>
          <w:color w:val="auto"/>
        </w:rPr>
        <w:t>. Each Grantor will (i) upon the Collateral Agent’s reasonable request, use commercially reasonable efforts to cause each bank or other financial institution in which it maintains (a) a Deposit Account to enter into a control agreement with the Collateral Agent, in form and substance reasonably satisfactory to the Collateral Agent in order to give the Collateral Agent Control of the Deposit Account or (b) other deposits (general or special, time or demand, provisional or final) to be notified of the security interest granted to the Collateral Agent hereunder and cause each such bank or other financial institution to acknowledge such notification in writing and (ii) upon the Collateral Agent’s request after the occurrence and during the continuance of an Event of Default, deliver to each such bank or other financial institution a letter, in form and substance reasonably acceptable to the Collateral Agent, transferring ownership of the Deposit Account to the Collateral Agent or transferring dominion and control over each such other deposit to the Collateral Agent until such time as no Event of Default exists. In the case of deposits maintained with Lenders, the terms of such letter shall be subject to the provisions of the Credit Agreement regarding setoffs.</w:t>
      </w:r>
    </w:p>
    <w:p>
      <w:pPr>
        <w:spacing w:after="0" w:line="21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Letter-of-Credit Rights</w:t>
      </w:r>
      <w:r>
        <w:rPr>
          <w:rFonts w:ascii="Arial" w:cs="Arial" w:eastAsia="Arial" w:hAnsi="Arial"/>
          <w:sz w:val="18"/>
          <w:szCs w:val="18"/>
          <w:color w:val="auto"/>
        </w:rPr>
        <w:t>. Each Grantor will, upon the Collateral Agent’s request, use commercially reasonable efforts to cause each issuer of a letter of credit, to consent to the assignment of proceeds of any letter of credit with respect to which such Grantor is the beneficiary in an amount in excess of $1,000,000 in order to give the Collateral Agent Control of the letter-of-credit rights to such letter of credit.</w:t>
      </w:r>
    </w:p>
    <w:p>
      <w:pPr>
        <w:spacing w:after="0" w:line="208"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Federal, State or Municipal Claims</w:t>
      </w:r>
      <w:r>
        <w:rPr>
          <w:rFonts w:ascii="Arial" w:cs="Arial" w:eastAsia="Arial" w:hAnsi="Arial"/>
          <w:sz w:val="18"/>
          <w:szCs w:val="18"/>
          <w:color w:val="auto"/>
        </w:rPr>
        <w:t>. Each Grantor will notify the Collateral Agent of any Collateral owned by such Grantor which constitutes a claim against the United States government or any state or local government or any instrumentality or agency thereof in excess of $1,000,000, the assignment of which claim is restricted by federal, state or municipal law. Furthermore, each Grantor will execute and deliver to the Collateral Agent such documents, agreements and instruments, and will take such further actions (including, without limitation, the taking of necessary actions under the Federal Assignment of Claims Act of 1940, as amended (31 U.S.C. § 3727 et seq. and 41 U.S.C. § 15 et seq.)), which the Collateral Agent may, from time to time, reasonably request, to ensure perfection and priority of the Liens hereunder in respect of Accounts and General Intangibles owing by any government or instrumentality or agency thereof, all at the expense of the Company.</w:t>
      </w:r>
    </w:p>
    <w:p>
      <w:pPr>
        <w:spacing w:after="0" w:line="21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 w:lineRule="exact"/>
        <w:rPr>
          <w:sz w:val="20"/>
          <w:szCs w:val="20"/>
          <w:color w:val="auto"/>
        </w:rPr>
      </w:pPr>
    </w:p>
    <w:p>
      <w:pPr>
        <w:jc w:val="both"/>
        <w:ind w:left="660" w:firstLine="644"/>
        <w:spacing w:after="0" w:line="284" w:lineRule="auto"/>
        <w:rPr>
          <w:sz w:val="20"/>
          <w:szCs w:val="20"/>
          <w:color w:val="auto"/>
        </w:rPr>
      </w:pPr>
      <w:r>
        <w:rPr>
          <w:rFonts w:ascii="Arial" w:cs="Arial" w:eastAsia="Arial" w:hAnsi="Arial"/>
          <w:sz w:val="16"/>
          <w:szCs w:val="16"/>
          <w:color w:val="auto"/>
        </w:rPr>
        <w:t xml:space="preserve">4.10.1 If, after the date hereof, any Grantor obtains rights to, including, but not limited to filing and acceptance of a statement of use or an amendment to allege use with the United States Patent and Trademark Office, or applies for or seeks registration of, any new patentable invention, Trademark or Copyright in addition to the Intellectual Property described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which are all of such Grantor’s Intellectual Property as of the date hereof, then such Grantor shall give the Collateral Agent notice thereof concurrently with any delivery of financial statements under Section 5.01(a) or 5.01(b) of the Credit Agreement. Each Grantor agrees promptly upon request by the Collateral Agent to execute and deliver to the Collateral Agent any supplement to this Security Agreement, Confirmatory Grants of Security Interest or any other document reasonably requested by the Collateral Agent to evidence such security interest in a form appropriate for recording in the applicable federal office. Each Grantor also hereby authorizes the Collateral Agent to modify this Security Agreement unilaterally (i) by amending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include any future Intellectual Property of which the Collateral Agent receives notification from such Grantor pursuant hereto and (ii) by recording with the United States Patent and Trademark Office and/or the United States Copyright Office, in addition to and not in substitution for this Security Agreement, Confirmatory Grants of Security Interest containing a schedule of such future Patents, Trademarks and/or Copyrights.</w:t>
      </w:r>
    </w:p>
    <w:p>
      <w:pPr>
        <w:spacing w:after="0" w:line="195"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If, after the date hereof, any Grantor identifies the existence of a commercial tort claim in excess of $1,000,000 belonging to such Grantor that has arisen in the course of such Grantor’s business in addition to the commercial tort claims described in </w:t>
      </w:r>
      <w:r>
        <w:rPr>
          <w:rFonts w:ascii="Arial" w:cs="Arial" w:eastAsia="Arial" w:hAnsi="Arial"/>
          <w:sz w:val="18"/>
          <w:szCs w:val="18"/>
          <w:u w:val="single" w:color="auto"/>
          <w:color w:val="auto"/>
        </w:rPr>
        <w:t>Exhibit “E”</w:t>
      </w:r>
      <w:r>
        <w:rPr>
          <w:rFonts w:ascii="Arial" w:cs="Arial" w:eastAsia="Arial" w:hAnsi="Arial"/>
          <w:sz w:val="18"/>
          <w:szCs w:val="18"/>
          <w:color w:val="auto"/>
        </w:rPr>
        <w:t>, which are all of such Grantor’s commercial tort claims in excess of $1,000,000 as of the date hereof, then such Grantor shall give the Collateral Agent prompt notice thereof, but in any event not less frequently than quarterly. Each Grantor agrees promptly upon request by the Collateral Agent to execute and deliver to the Collateral Agent any supplement to this Security Agreement or any other document reasonably requested by the Collateral Agent to evidence the grant of a security interest therein in favor of the Collateral Agent.</w:t>
      </w:r>
    </w:p>
    <w:p>
      <w:pPr>
        <w:spacing w:after="0" w:line="216"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Updating of Exhibits to Security Agreement</w:t>
      </w:r>
      <w:r>
        <w:rPr>
          <w:rFonts w:ascii="Arial" w:cs="Arial" w:eastAsia="Arial" w:hAnsi="Arial"/>
          <w:sz w:val="18"/>
          <w:szCs w:val="18"/>
          <w:color w:val="auto"/>
        </w:rPr>
        <w:t xml:space="preserve">. The Company will provide to the Collateral Agent, concurrently with the delivery of the financial statements required by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of the Credit Agreement, updated versions of the Exhibits to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have been no changes to any such Exhibits since the previous updating thereof required hereby, the Company shall indicate that there has been “no change” to the applicable Exhibit(s)).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pacing w:after="0" w:line="25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continuance of an Event of Default, the Collateral Agent may, in accordance with the terms of the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exercise any or all of the following rights and remedies:</w:t>
      </w:r>
    </w:p>
    <w:p>
      <w:pPr>
        <w:spacing w:after="0" w:line="8"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5.1.1 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not be understood to limit any rights or remedies available to the Collateral Agent and the Holders of Secured Obligations prior to an Event of Default.</w:t>
      </w:r>
    </w:p>
    <w:p>
      <w:pPr>
        <w:jc w:val="both"/>
        <w:ind w:left="660" w:firstLine="644"/>
        <w:spacing w:after="0" w:line="249" w:lineRule="auto"/>
        <w:rPr>
          <w:sz w:val="20"/>
          <w:szCs w:val="20"/>
          <w:color w:val="auto"/>
        </w:rPr>
      </w:pPr>
      <w:r>
        <w:rPr>
          <w:rFonts w:ascii="Arial" w:cs="Arial" w:eastAsia="Arial" w:hAnsi="Arial"/>
          <w:sz w:val="18"/>
          <w:szCs w:val="18"/>
          <w:color w:val="auto"/>
        </w:rPr>
        <w:t>5.1.2 Those rights and remedies available to a secured party under the New York UCC (whether or not the New York UCC applies to the affected Collateral) or under any other applicable law (including, without limitation, any law governing the exercise of a bank’s right of setoff or bankers’ lien).</w:t>
      </w:r>
    </w:p>
    <w:p>
      <w:pPr>
        <w:jc w:val="both"/>
        <w:ind w:left="660" w:firstLine="644"/>
        <w:spacing w:after="0" w:line="253" w:lineRule="auto"/>
        <w:rPr>
          <w:sz w:val="20"/>
          <w:szCs w:val="20"/>
          <w:color w:val="auto"/>
        </w:rPr>
      </w:pPr>
      <w:r>
        <w:rPr>
          <w:rFonts w:ascii="Arial" w:cs="Arial" w:eastAsia="Arial" w:hAnsi="Arial"/>
          <w:sz w:val="18"/>
          <w:szCs w:val="18"/>
          <w:color w:val="auto"/>
        </w:rPr>
        <w:t xml:space="preserve">5.1.3 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sell, lease, assign, grant an option or options to purchase or otherwise dispose of the Collateral or any part thereof in one or more parcels at public or private sale, for cash, on credit or for future delivery, and upon such other terms as the Collateral Agent may deem commercially reasonable.</w:t>
      </w:r>
    </w:p>
    <w:p>
      <w:pPr>
        <w:spacing w:after="0" w:line="190"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The Collateral Agent, on behalf of the Holders of Secured Obligations, may comply with any applicable state or federal law requirements in connection with a disposition of the Collateral, and such compliance will not be considered to adversely affect the commercial reasonableness of any sale of the Collateral.</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If, after the Credit Agreement has terminated by its terms and all of the Secured Obligations have been paid in full, there remain outstanding Swap Obligations or Banking Services Obligations, the Required Lenders may exercise the remedies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upon the occurrence of any event which would allow or require the termination or acceleration of any Swap Obligations or Banking Services Obligations.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neither the Collateral Agent nor any other Holder of Secured Obligations shall be required to (i) 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216"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Grantors’ Obligations Upon an Event of Default</w:t>
      </w:r>
      <w:r>
        <w:rPr>
          <w:rFonts w:ascii="Arial" w:cs="Arial" w:eastAsia="Arial" w:hAnsi="Arial"/>
          <w:sz w:val="18"/>
          <w:szCs w:val="18"/>
          <w:color w:val="auto"/>
        </w:rPr>
        <w:t>. Upon the request of the Collateral Agent after the occurrence of an Event of Default, each Grantor will:</w:t>
      </w:r>
    </w:p>
    <w:p>
      <w:pPr>
        <w:spacing w:after="0" w:line="1"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Assembly of Collateral</w:t>
      </w:r>
      <w:r>
        <w:rPr>
          <w:rFonts w:ascii="Arial" w:cs="Arial" w:eastAsia="Arial" w:hAnsi="Arial"/>
          <w:sz w:val="18"/>
          <w:szCs w:val="18"/>
          <w:color w:val="auto"/>
        </w:rPr>
        <w:t>. Assemble and make available to the Collateral Agent the Collateral and all records relating thereto at any place or places reasonably specified by the Collateral Agent.</w:t>
      </w:r>
    </w:p>
    <w:p>
      <w:pPr>
        <w:jc w:val="both"/>
        <w:ind w:left="660" w:firstLine="644"/>
        <w:spacing w:after="0" w:line="25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Secured Party Access</w:t>
      </w:r>
      <w:r>
        <w:rPr>
          <w:rFonts w:ascii="Arial" w:cs="Arial" w:eastAsia="Arial" w:hAnsi="Arial"/>
          <w:sz w:val="18"/>
          <w:szCs w:val="18"/>
          <w:color w:val="auto"/>
        </w:rPr>
        <w:t>. Permit the Collateral Agent, by the Collateral Agent’s representatives and agents, to enter any premises where all or any part of the Collateral, or the books and records relating thereto, or both, are located, to take possession of all or any part of the Collateral and to remove all or any part of the Collateral.</w:t>
      </w:r>
    </w:p>
    <w:p>
      <w:pPr>
        <w:spacing w:after="0" w:line="217"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License</w:t>
      </w:r>
      <w:r>
        <w:rPr>
          <w:rFonts w:ascii="Arial" w:cs="Arial" w:eastAsia="Arial" w:hAnsi="Arial"/>
          <w:sz w:val="17"/>
          <w:szCs w:val="17"/>
          <w:color w:val="auto"/>
        </w:rPr>
        <w:t>. The Collateral Agent is hereby granted a license or other right to use, following the occurrence and during the continuance of an Event of Default, without charge, each Grantor’s labels, patents, copyrights, rights of use of any name, trade secrets, trade names, trademarks, service marks, customer lists and advertising matter, or any property of a similar nature, as it pertains to the Collateral, in completing production of, advertising for sale, and selling any Collateral, and, following the occurrence and during the continuance of an Event of Default, such Grantor’s rights under all licenses and all franchise agreements shall inure to the Collateral Agent’s benefit for such purpose. In addition, each Grantor hereby irrevocably agrees that the Collateral Agent may, following the occurrence and during the continuance of an Event of Default, sell any of such Grantor’s Inventory directly to any person, including without limitation persons who have previously purchased such Grantor’s Inventory from such Grantor and in connection with any such sale or other enforcement of the Collateral Agent’s rights under this Security Agreement, may sell Inventory which bears any trademark owned by or licensed to such Grantor and any Inventory that is covered by any copyright owned by or licensed to such Grantor and the Collateral Agent may finish any work in process and affix any trademark owned by or licensed to such Grantor and sell such Inventory as provided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color w:val="auto"/>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WAIVERS, AMENDMENTS AND REMEDIES</w:t>
      </w:r>
    </w:p>
    <w:p>
      <w:pPr>
        <w:spacing w:after="0" w:line="2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 xml:space="preserve">No delay or omission of the Collateral Agent or any Holder of Secured Obligations to exercise any right or remedy granted under this Security Agreement shall impair such right or remedy or be construed to be a waiver of any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(a) the Collateral Agent and (b) each Grantor, and then only to the extent in such writing specifically set forth, provided that the addition of any Subsidiary as a Grantor hereunder by execution of a Security Agreement Supplement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(with such modifications as shall be reasonably acceptable to the Collateral Agent) shall not require receipt of any consent from or execution of any documentation by any other Grantor party hereto. All rights and remedies contained in this Security Agreement or by law afforded shall be cumulative and all shall be available to the Collateral Agent and the Holders of Secured Obligations until the Secured Obligations have been paid in full.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PROCEEDS; COLLECTION OF RECEIVABLES</w:t>
      </w:r>
    </w:p>
    <w:p>
      <w:pPr>
        <w:spacing w:after="0" w:line="250"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Lockboxes</w:t>
      </w:r>
      <w:r>
        <w:rPr>
          <w:rFonts w:ascii="Arial" w:cs="Arial" w:eastAsia="Arial" w:hAnsi="Arial"/>
          <w:sz w:val="17"/>
          <w:szCs w:val="17"/>
          <w:color w:val="auto"/>
        </w:rPr>
        <w:t>. Upon request of the Collateral Agent after the occurrence of an Event of Default, each Grantor shall execute and deliver to the Collateral Agent irrevocable lockbox agreements in the form provided by or otherwise reasonably acceptable to the Collateral Agent, which agreements shall be accompanied by an acknowledgment by the bank where the lockbox is located of the Lien of the Collateral Agent granted hereunder and of irrevocable instructions to wire all amounts collected therein to a special collateral account at the Collateral Agent.</w:t>
      </w:r>
    </w:p>
    <w:p>
      <w:pPr>
        <w:spacing w:after="0" w:line="199"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Collection of Receivables</w:t>
      </w:r>
      <w:r>
        <w:rPr>
          <w:rFonts w:ascii="Arial" w:cs="Arial" w:eastAsia="Arial" w:hAnsi="Arial"/>
          <w:sz w:val="18"/>
          <w:szCs w:val="18"/>
          <w:color w:val="auto"/>
        </w:rPr>
        <w:t xml:space="preserve">. The Collateral Agent may at any time after the occurrence of an Event of Default, by giving each Grantor written notice, elect to require that the Receivables be paid directly to the Collateral Agent for the benefit of the Holders of Secured Obligations. In such event, each Grantor shall, and shall permit the Collateral Agent to, promptly notify the account debtors or obligors under the Receivables owned by such Grantor of the Collateral Agent’s interest therein and direct such account debtors or obligors to make payment of all amounts then or thereafter due under such Receivables directly to the Collateral Agent. Upon receipt of any such notice from the Collateral Agent, each Grantor shall thereafter hold in trust for the Collateral Agent, on behalf of the Holders of Secured Obligations, all amounts and proceeds received by it with respect to the Receivables and Other Collateral and immediately and at all times thereafter deliver to the Collateral Agent all such amounts and proceeds in the same form as so received, whether by cash, check, draft or otherwise, with any necessary endorsements. The Collateral Agent shall hold and apply funds so received as provided by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hereof.</w:t>
      </w:r>
    </w:p>
    <w:p>
      <w:pPr>
        <w:spacing w:after="0" w:line="21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The proceeds of the Collateral received by the Collateral Agent hereunder shall be applied by the Collateral Agent to payment of the Secured Obligations pursuant to the terms of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50"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 of Disposition of Collateral; Condition of Collateral</w:t>
      </w:r>
      <w:r>
        <w:rPr>
          <w:rFonts w:ascii="Arial" w:cs="Arial" w:eastAsia="Arial" w:hAnsi="Arial"/>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Company, addressed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at least ten (10) days prior to (i) the date of any such public sale or (ii) the time after which any such private sale or other disposition may be made. The Collateral Agent shall have no obligation to clean-up or otherwise prepare the Collateral for sale. To the maximum extent permitted by applicable law, each Grantor waives all claims, damages, and demands against the Collateral Agent or any other Holder of Secured Obligations arising out of the repossession, retention or sale of the Collateral, except such as arise solely out of the gross negligence or willful misconduct of the Collateral Agent or such other Holder of Secured Obligations as finally determined by a court of competent jurisdiction. To the extent it may lawfully do so, each Grantor absolutely and irrevocably waives and relinquishes the benefit and advantage of, and covenants not to assert against the Collateral Agent or any other Holder of Secured Obligations,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2" w:name="page223"/>
    <w:bookmarkEnd w:id="222"/>
    <w:p>
      <w:pPr>
        <w:jc w:val="both"/>
        <w:ind w:firstLine="645"/>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Compromises and Collection of Collateral</w:t>
      </w:r>
      <w:r>
        <w:rPr>
          <w:rFonts w:ascii="Arial" w:cs="Arial" w:eastAsia="Arial" w:hAnsi="Arial"/>
          <w:sz w:val="16"/>
          <w:szCs w:val="16"/>
          <w:color w:val="auto"/>
        </w:rPr>
        <w:t>. Each Grantor and the Collateral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Event of Default has occurred and is continuing, compromise with the obligor on any Receivable, accept in full payment of any Receivable such amount as the Collateral Agent in its reasonable discretion shall determine or abandon any Receivable, and any such action by the Collateral Agent shall be commercially reasonable so long as the Collateral Agent acts in good faith based on information known to it at the time it takes any such action.</w:t>
      </w:r>
    </w:p>
    <w:p>
      <w:pPr>
        <w:spacing w:after="0" w:line="189"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Secured Party Performance of Grantor’s Obligations</w:t>
      </w:r>
      <w:r>
        <w:rPr>
          <w:rFonts w:ascii="Arial" w:cs="Arial" w:eastAsia="Arial" w:hAnsi="Arial"/>
          <w:sz w:val="17"/>
          <w:szCs w:val="17"/>
          <w:color w:val="auto"/>
        </w:rPr>
        <w:t xml:space="preserve">. Without having any obligation to do so, the Collateral Agent may perform or pay any obligation which any Grantor has agreed to perform or pay in this Security Agreement if any Grantor fails to perform or pay such obligation and such Grantor shall reimburse the Collateral Agent for any reasonable amounts paid by the Collateral Agent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Each Grantor’s obligation to reimburse the Collateral Agent pursuant to the preceding sentence shall be a Secured Obligation payable on demand.</w:t>
      </w:r>
    </w:p>
    <w:p>
      <w:pPr>
        <w:spacing w:after="0" w:line="199"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Authorization for Secured Party to Take Certain Action</w:t>
      </w:r>
      <w:r>
        <w:rPr>
          <w:rFonts w:ascii="Arial" w:cs="Arial" w:eastAsia="Arial" w:hAnsi="Arial"/>
          <w:sz w:val="17"/>
          <w:szCs w:val="17"/>
          <w:color w:val="auto"/>
        </w:rPr>
        <w:t xml:space="preserve">. Each Grantor irrevocably authorizes the Collateral Agent at any time and from time to time in the reasonable discretion of the Collateral Agent and appoints the Collateral Agent as its attorney in fact (i) to execute on behalf of such Grantor as debtor and to file financing statements necessary or desirable in the Collateral Agent’s reasonable discretion to perfect and to maintain the perfection and priority of the Collateral Agent’s security interest in the Collateral, (ii) to indorse and collect any cash proceeds of the Collateral during the continuance of an Event of Default,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Collateral Agent in its reasonable discretion deems necessary or desirable to perfect and to maintain the perfection and priority of the Collateral Agent’s security interest in the Collateral, (iv) during the continuance of an Event of Default, to contact and enter into one or more agreements with the issuers of uncertificated securities which are Collateral owned by such Grantor and which are Securities or with financial intermediaries holding other Investment Property as may be necessary or advisable to give the Collateral Agent Control over such Securities or other Investment Property, (v) during the continuance of an Event of Default, to enforce payment of the Instruments, Accounts and Receivables in the name of the Collateral Agent or such Grantor, (vi) to apply the proceeds of any Collateral received by the Collateral Agent to the Secured Obligations as provided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(vii) to discharge past due taxes, assessments, charges, fees or Liens on the Collateral (except for such Liens as are specifically permitted hereunder or under any other Loan Document), and each Grantor agrees to reimburse the Collateral Agent on demand for any reasonable payment made or any reasonable expense incurred by the Collateral Agent in connection therewith, provided that this authorization shall not relieve any Grantor of any of its obligations under this Security Agreement or under the Credit Agreement.</w:t>
      </w:r>
    </w:p>
    <w:p>
      <w:pPr>
        <w:spacing w:after="0" w:line="21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Specific Performance of Certain Covenants</w:t>
      </w:r>
      <w:r>
        <w:rPr>
          <w:rFonts w:ascii="Arial" w:cs="Arial" w:eastAsia="Arial" w:hAnsi="Arial"/>
          <w:sz w:val="18"/>
          <w:szCs w:val="18"/>
          <w:color w:val="auto"/>
        </w:rPr>
        <w:t xml:space="preserve">. Each Grantor acknowledges and agrees that a breach of any of the covenants contained in </w:t>
      </w:r>
      <w:r>
        <w:rPr>
          <w:rFonts w:ascii="Arial" w:cs="Arial" w:eastAsia="Arial" w:hAnsi="Arial"/>
          <w:sz w:val="18"/>
          <w:szCs w:val="18"/>
          <w:u w:val="single" w:color="auto"/>
          <w:color w:val="auto"/>
        </w:rPr>
        <w:t>Sections 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4.1.6</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will cause irreparable injury to the Collateral Agent and the Holders of Secured Obligations, that the Collateral Agent and Holders of Secured Obligations have no adequate remedy at law in respect of such breaches and therefore agrees, without limiting the right of the Collateral Agent or the Holders of Secured Obligations to seek and obtain specific performance of other obligations of the Grantors contained in this Security Agreement, that the covenants of the Grantors contained in the Sections referred to in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shall be specifically enforceable against the Grantors.</w:t>
      </w:r>
    </w:p>
    <w:p>
      <w:pPr>
        <w:spacing w:after="0" w:line="216" w:lineRule="exact"/>
        <w:rPr>
          <w:sz w:val="20"/>
          <w:szCs w:val="20"/>
          <w:color w:val="auto"/>
        </w:rPr>
      </w:pPr>
    </w:p>
    <w:p>
      <w:pPr>
        <w:jc w:val="both"/>
        <w:ind w:firstLine="645"/>
        <w:spacing w:after="0" w:line="309"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Use and Possession of Certain Premises</w:t>
      </w:r>
      <w:r>
        <w:rPr>
          <w:rFonts w:ascii="Arial" w:cs="Arial" w:eastAsia="Arial" w:hAnsi="Arial"/>
          <w:sz w:val="16"/>
          <w:szCs w:val="16"/>
          <w:color w:val="auto"/>
        </w:rPr>
        <w:t>. Upon the occurrence of an Event of Default, the Collateral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w:t>
      </w:r>
    </w:p>
    <w:p>
      <w:pPr>
        <w:spacing w:after="0" w:line="176"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Dispositions Not Authorized</w:t>
      </w:r>
      <w:r>
        <w:rPr>
          <w:rFonts w:ascii="Arial" w:cs="Arial" w:eastAsia="Arial" w:hAnsi="Arial"/>
          <w:sz w:val="18"/>
          <w:szCs w:val="18"/>
          <w:color w:val="auto"/>
        </w:rPr>
        <w:t xml:space="preserve">. No Grantor is authorized to sell or otherwise dispose of the Collateral except as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hereof and notwithstanding any course of dealing between any Grantor and the Collateral Agent or other conduct of the Collateral Agent, no authorization to sell or otherwise dispose of the Collateral (except as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hereof) shall be binding upon the Collateral Agent or the Holders of Secured Obligations unless such authorization is in writing signed by the Collateral Agent.</w:t>
      </w:r>
    </w:p>
    <w:p>
      <w:pPr>
        <w:spacing w:after="0" w:line="214"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Collateral Agent and the Holders of Secured Obligations and their respective successors and assigns (including all persons who become bound as a debtor to this Security Agreement), except that the Grantors shall not have the right to assign their rights or delegate their obligations under this Security Agreement or any interest herein, without the prior written consent of the Collateral Agent. No sales of participations, assignments, transfers, or other dispositions of any agreement governing the Secured Obligations or any portion thereof or interest therein shall in any manner impair the Lien granted to the Collateral Agent, for the benefit of the Collateral Agent and the other Holders of Secured Obligations,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3" w:name="page224"/>
    <w:bookmarkEnd w:id="223"/>
    <w:p>
      <w:pPr>
        <w:jc w:val="both"/>
        <w:ind w:firstLine="645"/>
        <w:spacing w:after="0" w:line="27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97"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Taxes and Expenses</w:t>
      </w:r>
      <w:r>
        <w:rPr>
          <w:rFonts w:ascii="Arial" w:cs="Arial" w:eastAsia="Arial" w:hAnsi="Arial"/>
          <w:sz w:val="16"/>
          <w:szCs w:val="16"/>
          <w:color w:val="auto"/>
        </w:rPr>
        <w:t>. Any taxes (including income taxes) payable or ruled payable by a Federal or State authority in respect of this Security Agreement shall be paid by the Grantors, together with interest and penalties, if any. The Grantors shall reimburse the Collateral Agent for any and all reasonable out-of-pocket expenses and internal charges (including reasonable attorneys’, auditors’ and accountants’ fees and reasonable time charges of attorneys, paralegals, auditors and accountants who may be employees of the Collateral Agent) paid or incurred by the Collateral Agent in connection with the preparation, execution, delivery, administration, collection and enforcement of this Security Agreement and in the audit, analysis, administration, collection, preservation or sale of the Collateral (including the expenses and charges associated with any periodic or special audit of the Collateral). Any and all costs and expenses incurred by the Grantors in the performance of actions required pursuant to the terms hereof shall be borne solely by the Grantors.</w:t>
      </w:r>
    </w:p>
    <w:p>
      <w:pPr>
        <w:spacing w:after="0" w:line="18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97"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Termination</w:t>
      </w:r>
      <w:r>
        <w:rPr>
          <w:rFonts w:ascii="Arial" w:cs="Arial" w:eastAsia="Arial" w:hAnsi="Arial"/>
          <w:sz w:val="18"/>
          <w:szCs w:val="18"/>
          <w:color w:val="auto"/>
        </w:rPr>
        <w:t>. This Security Agreement shall continue in effect (notwithstanding the fact that from time to time there may be no Secured Obligations outstanding) until (i) any and all commitments to extend credit under the Loan Documents have terminated and (ii) all of the Secured Obligations (other than contingent indemnity obligations) have been indefeasibly paid in cash and performed in full and no commitments of the Collateral Agent or the Holders of Secured Obligations which would give rise to any Secured Obligations are outstanding.</w:t>
      </w:r>
    </w:p>
    <w:p>
      <w:pPr>
        <w:spacing w:after="0" w:line="21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Security Agreement and the other Loan Documents embody the entire agreement and understanding between the Grantors and the Collateral Agent relating to the Collateral.</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8.14.1 </w:t>
      </w:r>
      <w:r>
        <w:rPr>
          <w:rFonts w:ascii="Arial" w:cs="Arial" w:eastAsia="Arial" w:hAnsi="Arial"/>
          <w:sz w:val="18"/>
          <w:szCs w:val="18"/>
          <w:b w:val="1"/>
          <w:bCs w:val="1"/>
          <w:color w:val="auto"/>
        </w:rPr>
        <w:t>THIS SECURITY AGREEMENT SHALL BE CONSTRUED IN ACCORDANCE WITH AND GOVERNED BY THE LAW</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 THE STATE OF NEW YORK.</w:t>
      </w:r>
    </w:p>
    <w:p>
      <w:pPr>
        <w:spacing w:after="0" w:line="8" w:lineRule="exact"/>
        <w:rPr>
          <w:sz w:val="20"/>
          <w:szCs w:val="20"/>
          <w:color w:val="auto"/>
        </w:rPr>
      </w:pPr>
    </w:p>
    <w:p>
      <w:pPr>
        <w:jc w:val="both"/>
        <w:ind w:left="660" w:firstLine="644"/>
        <w:spacing w:after="0" w:line="263" w:lineRule="auto"/>
        <w:rPr>
          <w:sz w:val="20"/>
          <w:szCs w:val="20"/>
          <w:color w:val="auto"/>
        </w:rPr>
      </w:pPr>
      <w:r>
        <w:rPr>
          <w:rFonts w:ascii="Arial" w:cs="Arial" w:eastAsia="Arial" w:hAnsi="Arial"/>
          <w:sz w:val="17"/>
          <w:szCs w:val="17"/>
          <w:color w:val="auto"/>
        </w:rPr>
        <w:t>8.14.2 Each Grantor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New York State or, to the extent permitted by law, in such Federal court. Each Grantor agrees that a final judgment in any such action or proceeding shall be conclusive and may be enforced in other jurisdictions by suit on the judgment or in any other manner provided by law. Nothing in this Security Agreement or any other Loan Document shall affect any right that the Collateral Agent may otherwise have to bring any action or proceeding relating to this Security Agreement or any other Loan Document against any Grantor or its properties in the courts of any jurisdiction.</w:t>
      </w:r>
    </w:p>
    <w:p>
      <w:pPr>
        <w:spacing w:after="0" w:line="6" w:lineRule="exact"/>
        <w:rPr>
          <w:sz w:val="20"/>
          <w:szCs w:val="20"/>
          <w:color w:val="auto"/>
        </w:rPr>
      </w:pPr>
    </w:p>
    <w:p>
      <w:pPr>
        <w:jc w:val="both"/>
        <w:ind w:left="660" w:firstLine="644"/>
        <w:spacing w:after="0" w:line="249" w:lineRule="auto"/>
        <w:rPr>
          <w:sz w:val="20"/>
          <w:szCs w:val="20"/>
          <w:color w:val="auto"/>
        </w:rPr>
      </w:pPr>
      <w:r>
        <w:rPr>
          <w:rFonts w:ascii="Arial" w:cs="Arial" w:eastAsia="Arial" w:hAnsi="Arial"/>
          <w:sz w:val="18"/>
          <w:szCs w:val="18"/>
          <w:color w:val="auto"/>
        </w:rPr>
        <w:t xml:space="preserve">8.14.3 Each Grantor hereby irrevocably and unconditionally waives, to the fullest extent it may legally and effectively do so, any objection which it may now or hereafter have to the laying of venue of any suit, action or proceeding arising out of or relating to this Security Agreement in any court referred to in </w:t>
      </w:r>
      <w:r>
        <w:rPr>
          <w:rFonts w:ascii="Arial" w:cs="Arial" w:eastAsia="Arial" w:hAnsi="Arial"/>
          <w:sz w:val="18"/>
          <w:szCs w:val="18"/>
          <w:u w:val="single" w:color="auto"/>
          <w:color w:val="auto"/>
        </w:rPr>
        <w:t>Section 8.14.2</w:t>
      </w:r>
      <w:r>
        <w:rPr>
          <w:rFonts w:ascii="Arial" w:cs="Arial" w:eastAsia="Arial" w:hAnsi="Arial"/>
          <w:sz w:val="18"/>
          <w:szCs w:val="18"/>
          <w:color w:val="auto"/>
        </w:rPr>
        <w:t>. Each Grantor hereby irrevocably waives, to the fullest extent permitted by law, the defense of an inconvenient forum to the maintenance of such action or proceeding in any such court.</w:t>
      </w:r>
    </w:p>
    <w:p>
      <w:pPr>
        <w:jc w:val="both"/>
        <w:ind w:left="660" w:firstLine="644"/>
        <w:spacing w:after="0" w:line="263" w:lineRule="auto"/>
        <w:rPr>
          <w:sz w:val="20"/>
          <w:szCs w:val="20"/>
          <w:color w:val="auto"/>
        </w:rPr>
      </w:pPr>
      <w:r>
        <w:rPr>
          <w:rFonts w:ascii="Arial" w:cs="Arial" w:eastAsia="Arial" w:hAnsi="Arial"/>
          <w:sz w:val="17"/>
          <w:szCs w:val="17"/>
          <w:color w:val="auto"/>
        </w:rPr>
        <w:t>8.14.4 Each party to this Security Agreement irrevocably consents to service of process in the manner provided for notices in Article IX of this Security Agreement, and each of the Grantors hereby appoints the Company as its agent for service of process. Nothing in this Security Agreement will affect the right of any party to this Security Agreement to serve process in any other manner permitted by law.</w:t>
      </w:r>
    </w:p>
    <w:p>
      <w:pPr>
        <w:spacing w:after="0" w:line="2" w:lineRule="exact"/>
        <w:rPr>
          <w:sz w:val="20"/>
          <w:szCs w:val="20"/>
          <w:color w:val="auto"/>
        </w:rPr>
      </w:pPr>
    </w:p>
    <w:p>
      <w:pPr>
        <w:jc w:val="both"/>
        <w:ind w:left="660" w:firstLine="644"/>
        <w:spacing w:after="0" w:line="250" w:lineRule="auto"/>
        <w:rPr>
          <w:sz w:val="20"/>
          <w:szCs w:val="20"/>
          <w:color w:val="auto"/>
        </w:rPr>
      </w:pPr>
      <w:r>
        <w:rPr>
          <w:rFonts w:ascii="Arial" w:cs="Arial" w:eastAsia="Arial" w:hAnsi="Arial"/>
          <w:sz w:val="18"/>
          <w:szCs w:val="18"/>
          <w:color w:val="auto"/>
        </w:rPr>
        <w:t xml:space="preserve">8.14.5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THIS SECURITY AGREEMENT OR ANY OTHER LOAN DOCUMENT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SECURITY AGREEMENT AND THE OTHER LOAN DOCUMENTS BY, AMONG OTHER THINGS, THE MUTUAL WAIVERS AND CERTIFICATIONS IN THIS SECTION.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4" w:name="page225"/>
    <w:bookmarkEnd w:id="224"/>
    <w:p>
      <w:pPr>
        <w:jc w:val="both"/>
        <w:ind w:firstLine="645"/>
        <w:spacing w:after="0" w:line="267"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Indemnity</w:t>
      </w:r>
      <w:r>
        <w:rPr>
          <w:rFonts w:ascii="Arial" w:cs="Arial" w:eastAsia="Arial" w:hAnsi="Arial"/>
          <w:sz w:val="17"/>
          <w:szCs w:val="17"/>
          <w:color w:val="auto"/>
        </w:rPr>
        <w:t>. Each Grantor hereby agrees, jointly with the other Grantors and severally, to indemnify the Collateral Agent and the Holders of Secured Obligations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and their respective successors, assigns, agents and employees, from and against any and all liabilities, damages, penalties, suits, costs and related expenses (including, without limitation, all reasonable expenses of litigation or preparation therefor whether or not the Collateral Agent or any Holder of Secured Obligations is a party thereto) imposed on, incurred by or asserted against the Collateral Agent or the Holders of Secured Obligations, or their respective successors, assigns, agents and employees, in any way relating to or arising out of this Security Agreement or any other Loan Document, or the manufacture, purchase, acceptance, rejection, ownership, delivery, lease, possession, use, operation, condition, sale, return or other disposition of any Collateral (including, without limitation, latent and other defects, whether or not discoverable by the Collateral Agent or the Holders of Secured Obligations or any Grantor, and any claim for patent, trademark or copyright infringement); provided that such indemnity shall not, as to any Indemnitee, and its successors, assigns, agents and employees, be available to the extent that such liabilities, damages, penalties, suits, costs, and related expenses are determined by a court of competent jurisdiction by final and nonappealable judgment to have resulted from the gross negligence or willful misconduct of such Indemnitee and its successors, assigns, agents and employees or from the material breach of such Indemnitee’s obligations under the Loan Documents.</w:t>
      </w:r>
    </w:p>
    <w:p>
      <w:pPr>
        <w:spacing w:after="0" w:line="210" w:lineRule="exact"/>
        <w:rPr>
          <w:sz w:val="20"/>
          <w:szCs w:val="20"/>
          <w:color w:val="auto"/>
        </w:rPr>
      </w:pPr>
    </w:p>
    <w:p>
      <w:pPr>
        <w:jc w:val="both"/>
        <w:ind w:firstLine="645"/>
        <w:spacing w:after="0" w:line="282" w:lineRule="auto"/>
        <w:rPr>
          <w:sz w:val="20"/>
          <w:szCs w:val="20"/>
          <w:color w:val="auto"/>
        </w:rPr>
      </w:pPr>
      <w:r>
        <w:rPr>
          <w:rFonts w:ascii="Arial" w:cs="Arial" w:eastAsia="Arial" w:hAnsi="Arial"/>
          <w:sz w:val="16"/>
          <w:szCs w:val="16"/>
          <w:color w:val="auto"/>
        </w:rPr>
        <w:t xml:space="preserve">8.16. </w:t>
      </w: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 Each Grantor agrees that any and all claims of such Grantor against any other Grantor (each an “</w:t>
      </w:r>
      <w:r>
        <w:rPr>
          <w:rFonts w:ascii="Arial" w:cs="Arial" w:eastAsia="Arial" w:hAnsi="Arial"/>
          <w:sz w:val="16"/>
          <w:szCs w:val="16"/>
          <w:u w:val="single" w:color="auto"/>
          <w:color w:val="auto"/>
        </w:rPr>
        <w:t>Obligor</w:t>
      </w:r>
      <w:r>
        <w:rPr>
          <w:rFonts w:ascii="Arial" w:cs="Arial" w:eastAsia="Arial" w:hAnsi="Arial"/>
          <w:sz w:val="16"/>
          <w:szCs w:val="16"/>
          <w:color w:val="auto"/>
        </w:rPr>
        <w:t>”) with respect to any “Intercompany Indebtedness” (as hereinafter defined), any endorser, obligor or any other guarantor of all or any part of the Secured Obligations, or against any of its properties shall be subordinate and subject in right of payment to the prior payment, in full and in cash, of all Secured Obligations, provided that, and not in contravention of the foregoing, so long as no Event of Default has occurred and is continuing, such Grantor may make loans to and receive payments in the ordinary course of business with respect to such Intercompany Indebtedness from each such Obligor to the extent not prohibited by the terms of this Security Agreement and the other Loan Documents. Notwithstanding any right of any Grantor to ask, demand, sue for, take or receive any payment from any Obligor, all rights, liens and security interests of such Grantor, whether now or hereafter arising and howsoever existing, in any assets of any other Obligor shall be and are subordinated to the rights of the Holders of Secured Obligations and the Collateral Agent in those assets. No Grantor shall have any right to possession of any such asset or to foreclose upon any such asset, whether by judicial action or otherwise, unless and until this Security Agreement has terminated in accordance with Section 8.12 hereof.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6"/>
          <w:szCs w:val="16"/>
          <w:u w:val="single" w:color="auto"/>
          <w:color w:val="auto"/>
        </w:rPr>
        <w:t>Insolvency Event</w:t>
      </w:r>
      <w:r>
        <w:rPr>
          <w:rFonts w:ascii="Arial" w:cs="Arial" w:eastAsia="Arial" w:hAnsi="Arial"/>
          <w:sz w:val="16"/>
          <w:szCs w:val="16"/>
          <w:color w:val="auto"/>
        </w:rPr>
        <w:t>”), any payment or distribution of any kind or character, either in cash, securities or other property, which shall be payable or deliverable upon or with respect to any indebtedness of any Obligor to any Grantor (“</w:t>
      </w:r>
      <w:r>
        <w:rPr>
          <w:rFonts w:ascii="Arial" w:cs="Arial" w:eastAsia="Arial" w:hAnsi="Arial"/>
          <w:sz w:val="16"/>
          <w:szCs w:val="16"/>
          <w:u w:val="single" w:color="auto"/>
          <w:color w:val="auto"/>
        </w:rPr>
        <w:t>Intercompany Indebtedness</w:t>
      </w:r>
      <w:r>
        <w:rPr>
          <w:rFonts w:ascii="Arial" w:cs="Arial" w:eastAsia="Arial" w:hAnsi="Arial"/>
          <w:sz w:val="16"/>
          <w:szCs w:val="16"/>
          <w:color w:val="auto"/>
        </w:rPr>
        <w:t>”) shall be paid or delivered directly to the Collateral Agent for application on any of the Secured Obligations, due or to become due, until such Secured Obligations (other than contingent indemnity obligations) shall have first been fully paid and satisfied (in cash). Should any payment, distribution, security or instrument or proceeds thereof be received by the applicable Grantor upon or with respect to the Intercompany Indebtedness after any Insolvency Event and prior to the termination of this Security Agreement in accordance with Section 8.12 hereof, such Grantor shall receive and hold the same in trust, as trustee, for the benefit of the Holders of Secured Obligations and shall forthwith deliver the same to the Collateral Agent, for the benefit of the Holders of Secured Obligations, in precisely the form received (except for the endorsement or assignment of the Grantor where necessary), for application to any of the Secured Obligations, due or not due, and, until so delivered, the same shall be held in trust by the Grantor as the property of the Holders of Secured Obligations. If any such Grantor fails to make any such endorsement or assignment to the Collateral Agent, the Collateral Agent or any of its officers or employees is irrevocably authorized to make the same. Each Grantor agrees that until the termination of this Security Agreement in accordance with Section 8.12 hereof, no Grantor will assign or transfer to any Person (other than the Collateral Agent or the Company or another Grantor) any claim any such Grantor has or may have against any Obligor.</w:t>
      </w:r>
    </w:p>
    <w:p>
      <w:pPr>
        <w:spacing w:after="0" w:line="208"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192"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8.18.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5" w:name="page226"/>
    <w:bookmarkEnd w:id="225"/>
    <w:p>
      <w:pPr>
        <w:jc w:val="both"/>
        <w:ind w:firstLine="645"/>
        <w:spacing w:after="0" w:line="265"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Limitation on Collateral Agent’s and other Holders of Secured Obligations’ Duty with Respect to the Collateral</w:t>
      </w:r>
      <w:r>
        <w:rPr>
          <w:rFonts w:ascii="Arial" w:cs="Arial" w:eastAsia="Arial" w:hAnsi="Arial"/>
          <w:sz w:val="17"/>
          <w:szCs w:val="17"/>
          <w:color w:val="auto"/>
        </w:rPr>
        <w:t>. The Collateral Agent shall have no obligation to clean-up or otherwise prepare the Collateral for sale. The Collateral Agent and each other Holder of Secured Obligations shall use reasonable care with respect to the Collateral in its possession or under its control. Neither the Collateral Agent nor any other Holder of Secured Obligations shall have any other duty as to any Collateral in its possession or control or in the possession or control of any agent or nominee of the Collateral Agent or such other Holder of Secured Obligations, or any income thereon or as to the preservation of rights against prior parties or any other rights pertaining thereto. To the extent that applicable law imposes duties on the Collateral Agent to exercise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other brokers, investment bankers, consultants and other professionals to assist the Collateral Agent in the collection or disposition of any of the Collateral. Each Grantor acknowledges that the purpose of this Section 8.19 is to provide non-exhaustive indications of what actions or omissions by the Collateral Agent would be commercially reasonable in the Collateral Agent’s exercise of remedies against the Collateral and that other actions or omissions by the Collateral Agent shall not be deemed commercially unreasonable solely on account of not being indicated in this Section 8.19. Without limitation upon the foregoing, nothing contained in this Section 8.19 shall be construed to grant any rights to any Grantor or to impose any duties on the Collateral Agent that would not have been granted or imposed by this Security Agreement or by applicable law in the absence of this Section 8.19.</w:t>
      </w:r>
    </w:p>
    <w:p>
      <w:pPr>
        <w:spacing w:after="0" w:line="216"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 xml:space="preserve">8.20. </w:t>
      </w:r>
      <w:r>
        <w:rPr>
          <w:rFonts w:ascii="Arial" w:cs="Arial" w:eastAsia="Arial" w:hAnsi="Arial"/>
          <w:sz w:val="16"/>
          <w:szCs w:val="16"/>
          <w:u w:val="single" w:color="auto"/>
          <w:color w:val="auto"/>
        </w:rPr>
        <w:t>Reinstatement</w:t>
      </w:r>
      <w:r>
        <w:rPr>
          <w:rFonts w:ascii="Arial" w:cs="Arial" w:eastAsia="Arial" w:hAnsi="Arial"/>
          <w:sz w:val="16"/>
          <w:szCs w:val="16"/>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5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Sending Notices</w:t>
      </w:r>
      <w:r>
        <w:rPr>
          <w:rFonts w:ascii="Arial" w:cs="Arial" w:eastAsia="Arial" w:hAnsi="Arial"/>
          <w:sz w:val="18"/>
          <w:szCs w:val="18"/>
          <w:color w:val="auto"/>
        </w:rPr>
        <w:t>. Any notice required or permitted to be given under this Security Agreement shall be sent (and deemed received) in the manner and to the addresses set forth in Section 9.01 of the Credit Agreement. Any notice delivered to the Company shall be deemed to have been delivered to all of the Grantors.</w:t>
      </w:r>
    </w:p>
    <w:p>
      <w:pPr>
        <w:spacing w:after="0" w:line="20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Each of the Grantors, the Collateral Agent and the Lenders may change the address for service of notice upon it by a notice in writing to the other parties in accordance with Section 9.01 of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COLLATERAL AGENT</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JPMorgan Chase Bank, N.A. has been appointed Collateral Agent for the Holders of Secured Obligations hereunder pursuant to Article VIII of the Credit Agreement. It is expressly understood and agreed by the parties to this Security Agreement that any authority conferred upon the Collateral Agent hereunder is subject to the terms of the delegation of authority made by the Holders of Secured Obligations to the Collateral Agent pursuant to the Credit Agreement, and that the Collateral Agent has agreed to act (and any successor Collateral Agent shall act) as such hereunder only on the express conditions contained in such Article VIII. Any successor Collateral Agent appointed pursuant to Article VIII of the Credit Agreement shall be entitled to all the rights, interests and benefits of the Collateral Agent hereunder.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26" w:name="page227"/>
    <w:bookmarkEnd w:id="226"/>
    <w:p>
      <w:pPr>
        <w:ind w:firstLine="645"/>
        <w:spacing w:after="0" w:line="275" w:lineRule="auto"/>
        <w:rPr>
          <w:sz w:val="20"/>
          <w:szCs w:val="20"/>
          <w:color w:val="auto"/>
        </w:rPr>
      </w:pPr>
      <w:r>
        <w:rPr>
          <w:rFonts w:ascii="Arial" w:cs="Arial" w:eastAsia="Arial" w:hAnsi="Arial"/>
          <w:sz w:val="18"/>
          <w:szCs w:val="18"/>
          <w:color w:val="auto"/>
        </w:rPr>
        <w:t>IN WITNESS WHEREOF, each of the Grantors and the Collateral Agent have executed this Third Amended and Restated Security Agreement as of the date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INC.,</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Grantor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2569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IDAHO, INC.,</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Grantor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25691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TEXAS ALLEN, INC.,</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Grantor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2569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CALIFORNIA, INC.,</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Grantor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-130175</wp:posOffset>
            </wp:positionV>
            <wp:extent cx="32569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4725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Acknowledged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Collateral Agent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-130175</wp:posOffset>
            </wp:positionV>
            <wp:extent cx="32569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Third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25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color w:val="auto"/>
        </w:rPr>
        <w:t>SCHEDULE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defined term “</w:t>
      </w:r>
      <w:r>
        <w:rPr>
          <w:rFonts w:ascii="Arial" w:cs="Arial" w:eastAsia="Arial" w:hAnsi="Arial"/>
          <w:sz w:val="18"/>
          <w:szCs w:val="18"/>
          <w:u w:val="single" w:color="auto"/>
          <w:color w:val="auto"/>
        </w:rPr>
        <w:t>Collateral</w:t>
      </w:r>
      <w:r>
        <w:rPr>
          <w:rFonts w:ascii="Arial" w:cs="Arial" w:eastAsia="Arial" w:hAnsi="Arial"/>
          <w:sz w:val="18"/>
          <w:szCs w:val="18"/>
          <w:color w:val="auto"/>
        </w:rPr>
        <w:t>” in the Security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All documents related to the Taiwan Joint Venture if inclusion would create a breach or default under such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All documents related to the PRC subsidiary joint venture in Xiamen with DNP if inclusion would create a breach or default under such agreements.</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All documents related to the Photronics Hefei subsidiary including the Investment Agreement if inclusion would create a breach or default under such agreements.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of Security Agreement)</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Prior names, jurisdiction of formation, place of business (if Grantor has only one place of business), chief executive office (if Grantor has more than one place of business), mergers and mailing address:</w:t>
      </w:r>
    </w:p>
    <w:p>
      <w:pPr>
        <w:spacing w:after="0" w:line="193" w:lineRule="exact"/>
        <w:rPr>
          <w:sz w:val="20"/>
          <w:szCs w:val="20"/>
          <w:color w:val="auto"/>
        </w:rPr>
      </w:pPr>
    </w:p>
    <w:p>
      <w:pPr>
        <w:ind w:left="180"/>
        <w:spacing w:after="0"/>
        <w:tabs>
          <w:tab w:leader="none" w:pos="3600" w:val="left"/>
        </w:tabs>
        <w:rPr>
          <w:sz w:val="20"/>
          <w:szCs w:val="20"/>
          <w:color w:val="auto"/>
        </w:rPr>
      </w:pPr>
      <w:r>
        <w:rPr>
          <w:rFonts w:ascii="Arial" w:cs="Arial" w:eastAsia="Arial" w:hAnsi="Arial"/>
          <w:sz w:val="18"/>
          <w:szCs w:val="18"/>
          <w:b w:val="1"/>
          <w:bCs w:val="1"/>
          <w:u w:val="single" w:color="auto"/>
          <w:color w:val="auto"/>
        </w:rPr>
        <w:t>Photronics, Inc.</w:t>
      </w:r>
      <w:r>
        <w:rPr>
          <w:sz w:val="20"/>
          <w:szCs w:val="20"/>
          <w:color w:val="auto"/>
        </w:rPr>
        <w:tab/>
      </w:r>
      <w:r>
        <w:rPr>
          <w:rFonts w:ascii="Arial" w:cs="Arial" w:eastAsia="Arial" w:hAnsi="Arial"/>
          <w:sz w:val="16"/>
          <w:szCs w:val="16"/>
          <w:b w:val="1"/>
          <w:bCs w:val="1"/>
          <w:color w:val="auto"/>
        </w:rPr>
        <w:t>Fed ID: 06-0854886</w:t>
      </w:r>
    </w:p>
    <w:p>
      <w:pPr>
        <w:spacing w:after="0" w:line="254" w:lineRule="exact"/>
        <w:rPr>
          <w:sz w:val="20"/>
          <w:szCs w:val="20"/>
          <w:color w:val="auto"/>
        </w:rPr>
      </w:pPr>
    </w:p>
    <w:p>
      <w:pPr>
        <w:ind w:left="180" w:right="260"/>
        <w:spacing w:after="0" w:line="275" w:lineRule="auto"/>
        <w:rPr>
          <w:sz w:val="20"/>
          <w:szCs w:val="20"/>
          <w:color w:val="auto"/>
        </w:rPr>
      </w:pPr>
      <w:r>
        <w:rPr>
          <w:rFonts w:ascii="Arial" w:cs="Arial" w:eastAsia="Arial" w:hAnsi="Arial"/>
          <w:sz w:val="18"/>
          <w:szCs w:val="18"/>
          <w:u w:val="single" w:color="auto"/>
          <w:color w:val="auto"/>
        </w:rPr>
        <w:t>Formerly Known As</w:t>
      </w:r>
      <w:r>
        <w:rPr>
          <w:rFonts w:ascii="Arial" w:cs="Arial" w:eastAsia="Arial" w:hAnsi="Arial"/>
          <w:sz w:val="18"/>
          <w:szCs w:val="18"/>
          <w:color w:val="auto"/>
        </w:rPr>
        <w:t>: Photronic Labs Incorporated in February 28, 1969 until July 9, 1986; Photronic Labs, Inc. from July 9, 1986 until April 9, 1990, when name was changed to Photronics, Inc.</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Principal Place of Business &amp; Chief Executive Office</w:t>
      </w:r>
      <w:r>
        <w:rPr>
          <w:rFonts w:ascii="Arial" w:cs="Arial" w:eastAsia="Arial" w:hAnsi="Arial"/>
          <w:sz w:val="18"/>
          <w:szCs w:val="18"/>
          <w:color w:val="auto"/>
        </w:rPr>
        <w:t>: 15 Secor Road, Brookfield, CT 06804</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Incorporated</w:t>
      </w:r>
      <w:r>
        <w:rPr>
          <w:rFonts w:ascii="Arial" w:cs="Arial" w:eastAsia="Arial" w:hAnsi="Arial"/>
          <w:sz w:val="18"/>
          <w:szCs w:val="18"/>
          <w:color w:val="auto"/>
        </w:rPr>
        <w:t>: Connecticut</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Date of Incorporation</w:t>
      </w:r>
      <w:r>
        <w:rPr>
          <w:rFonts w:ascii="Arial" w:cs="Arial" w:eastAsia="Arial" w:hAnsi="Arial"/>
          <w:sz w:val="18"/>
          <w:szCs w:val="18"/>
          <w:color w:val="auto"/>
        </w:rPr>
        <w:t>: February 28, 1969</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CT Org No.</w:t>
      </w:r>
      <w:r>
        <w:rPr>
          <w:rFonts w:ascii="Arial" w:cs="Arial" w:eastAsia="Arial" w:hAnsi="Arial"/>
          <w:sz w:val="18"/>
          <w:szCs w:val="18"/>
          <w:color w:val="auto"/>
        </w:rPr>
        <w:t>: 0036597</w:t>
      </w:r>
    </w:p>
    <w:p>
      <w:pPr>
        <w:spacing w:after="0" w:line="200" w:lineRule="exact"/>
        <w:rPr>
          <w:sz w:val="20"/>
          <w:szCs w:val="20"/>
          <w:color w:val="auto"/>
        </w:rPr>
      </w:pPr>
    </w:p>
    <w:p>
      <w:pPr>
        <w:spacing w:after="0" w:line="287" w:lineRule="exact"/>
        <w:rPr>
          <w:sz w:val="20"/>
          <w:szCs w:val="20"/>
          <w:color w:val="auto"/>
        </w:rPr>
      </w:pPr>
    </w:p>
    <w:p>
      <w:pPr>
        <w:ind w:left="180"/>
        <w:spacing w:after="0"/>
        <w:tabs>
          <w:tab w:leader="none" w:pos="3600" w:val="left"/>
        </w:tabs>
        <w:rPr>
          <w:sz w:val="20"/>
          <w:szCs w:val="20"/>
          <w:color w:val="auto"/>
        </w:rPr>
      </w:pPr>
      <w:r>
        <w:rPr>
          <w:rFonts w:ascii="Arial" w:cs="Arial" w:eastAsia="Arial" w:hAnsi="Arial"/>
          <w:sz w:val="18"/>
          <w:szCs w:val="18"/>
          <w:b w:val="1"/>
          <w:bCs w:val="1"/>
          <w:u w:val="single" w:color="auto"/>
          <w:color w:val="auto"/>
        </w:rPr>
        <w:t>Photronics California, Inc.</w:t>
      </w:r>
      <w:r>
        <w:rPr>
          <w:sz w:val="20"/>
          <w:szCs w:val="20"/>
          <w:color w:val="auto"/>
        </w:rPr>
        <w:tab/>
      </w:r>
      <w:r>
        <w:rPr>
          <w:rFonts w:ascii="Arial" w:cs="Arial" w:eastAsia="Arial" w:hAnsi="Arial"/>
          <w:sz w:val="16"/>
          <w:szCs w:val="16"/>
          <w:b w:val="1"/>
          <w:bCs w:val="1"/>
          <w:color w:val="auto"/>
        </w:rPr>
        <w:t>Fed ID: 77-0292539</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Principal Place of Business &amp; Chief Executive Office</w:t>
      </w:r>
      <w:r>
        <w:rPr>
          <w:rFonts w:ascii="Arial" w:cs="Arial" w:eastAsia="Arial" w:hAnsi="Arial"/>
          <w:sz w:val="18"/>
          <w:szCs w:val="18"/>
          <w:color w:val="auto"/>
        </w:rPr>
        <w:t>: 15 Secor Road, Brookfield, CT 06804</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Incorporated</w:t>
      </w:r>
      <w:r>
        <w:rPr>
          <w:rFonts w:ascii="Arial" w:cs="Arial" w:eastAsia="Arial" w:hAnsi="Arial"/>
          <w:sz w:val="18"/>
          <w:szCs w:val="18"/>
          <w:color w:val="auto"/>
        </w:rPr>
        <w:t>: California</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Date of Incorporation</w:t>
      </w:r>
      <w:r>
        <w:rPr>
          <w:rFonts w:ascii="Arial" w:cs="Arial" w:eastAsia="Arial" w:hAnsi="Arial"/>
          <w:sz w:val="18"/>
          <w:szCs w:val="18"/>
          <w:color w:val="auto"/>
        </w:rPr>
        <w:t>: October 8, 1991</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 ID</w:t>
      </w:r>
      <w:r>
        <w:rPr>
          <w:rFonts w:ascii="Arial" w:cs="Arial" w:eastAsia="Arial" w:hAnsi="Arial"/>
          <w:sz w:val="18"/>
          <w:szCs w:val="18"/>
          <w:color w:val="auto"/>
        </w:rPr>
        <w:t>: C1802687</w:t>
      </w:r>
    </w:p>
    <w:p>
      <w:pPr>
        <w:spacing w:after="0" w:line="200" w:lineRule="exact"/>
        <w:rPr>
          <w:sz w:val="20"/>
          <w:szCs w:val="20"/>
          <w:color w:val="auto"/>
        </w:rPr>
      </w:pPr>
    </w:p>
    <w:p>
      <w:pPr>
        <w:spacing w:after="0" w:line="287" w:lineRule="exact"/>
        <w:rPr>
          <w:sz w:val="20"/>
          <w:szCs w:val="20"/>
          <w:color w:val="auto"/>
        </w:rPr>
      </w:pPr>
    </w:p>
    <w:p>
      <w:pPr>
        <w:ind w:left="180"/>
        <w:spacing w:after="0"/>
        <w:tabs>
          <w:tab w:leader="none" w:pos="3600" w:val="left"/>
        </w:tabs>
        <w:rPr>
          <w:sz w:val="20"/>
          <w:szCs w:val="20"/>
          <w:color w:val="auto"/>
        </w:rPr>
      </w:pPr>
      <w:r>
        <w:rPr>
          <w:rFonts w:ascii="Arial" w:cs="Arial" w:eastAsia="Arial" w:hAnsi="Arial"/>
          <w:sz w:val="18"/>
          <w:szCs w:val="18"/>
          <w:b w:val="1"/>
          <w:bCs w:val="1"/>
          <w:u w:val="single" w:color="auto"/>
          <w:color w:val="auto"/>
        </w:rPr>
        <w:t>Photronics Texas Allen, Inc.</w:t>
      </w:r>
      <w:r>
        <w:rPr>
          <w:sz w:val="20"/>
          <w:szCs w:val="20"/>
          <w:color w:val="auto"/>
        </w:rPr>
        <w:tab/>
      </w:r>
      <w:r>
        <w:rPr>
          <w:rFonts w:ascii="Arial" w:cs="Arial" w:eastAsia="Arial" w:hAnsi="Arial"/>
          <w:sz w:val="16"/>
          <w:szCs w:val="16"/>
          <w:b w:val="1"/>
          <w:bCs w:val="1"/>
          <w:color w:val="auto"/>
        </w:rPr>
        <w:t>Fed ID: 75-2502950</w:t>
      </w:r>
    </w:p>
    <w:p>
      <w:pPr>
        <w:spacing w:after="0" w:line="254" w:lineRule="exact"/>
        <w:rPr>
          <w:sz w:val="20"/>
          <w:szCs w:val="20"/>
          <w:color w:val="auto"/>
        </w:rPr>
      </w:pPr>
    </w:p>
    <w:p>
      <w:pPr>
        <w:ind w:left="180" w:right="4660" w:firstLine="9"/>
        <w:spacing w:after="0" w:line="275" w:lineRule="auto"/>
        <w:rPr>
          <w:sz w:val="20"/>
          <w:szCs w:val="20"/>
          <w:color w:val="auto"/>
        </w:rPr>
      </w:pPr>
      <w:r>
        <w:rPr>
          <w:rFonts w:ascii="Arial" w:cs="Arial" w:eastAsia="Arial" w:hAnsi="Arial"/>
          <w:sz w:val="18"/>
          <w:szCs w:val="18"/>
          <w:u w:val="single" w:color="auto"/>
          <w:color w:val="auto"/>
        </w:rPr>
        <w:t>Formerly Known As</w:t>
      </w:r>
      <w:r>
        <w:rPr>
          <w:rFonts w:ascii="Arial" w:cs="Arial" w:eastAsia="Arial" w:hAnsi="Arial"/>
          <w:sz w:val="18"/>
          <w:szCs w:val="18"/>
          <w:color w:val="auto"/>
        </w:rPr>
        <w:t>: Photronics-Toppan Texas, Inc. from September 3, 1993 until April 2, 2009. Name change effective as of April 3, 2009.</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Principal Place of Business &amp; Chief Executive Office</w:t>
      </w:r>
      <w:r>
        <w:rPr>
          <w:rFonts w:ascii="Arial" w:cs="Arial" w:eastAsia="Arial" w:hAnsi="Arial"/>
          <w:sz w:val="18"/>
          <w:szCs w:val="18"/>
          <w:color w:val="auto"/>
        </w:rPr>
        <w:t>: 601 Millennium Drive, Allen, TX 75013</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Incorporated</w:t>
      </w:r>
      <w:r>
        <w:rPr>
          <w:rFonts w:ascii="Arial" w:cs="Arial" w:eastAsia="Arial" w:hAnsi="Arial"/>
          <w:sz w:val="18"/>
          <w:szCs w:val="18"/>
          <w:color w:val="auto"/>
        </w:rPr>
        <w:t>: Texas</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Date of Incorporation</w:t>
      </w:r>
      <w:r>
        <w:rPr>
          <w:rFonts w:ascii="Arial" w:cs="Arial" w:eastAsia="Arial" w:hAnsi="Arial"/>
          <w:sz w:val="18"/>
          <w:szCs w:val="18"/>
          <w:color w:val="auto"/>
        </w:rPr>
        <w:t>: September 3, 1993</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TX Org No.</w:t>
      </w:r>
      <w:r>
        <w:rPr>
          <w:rFonts w:ascii="Arial" w:cs="Arial" w:eastAsia="Arial" w:hAnsi="Arial"/>
          <w:sz w:val="18"/>
          <w:szCs w:val="18"/>
          <w:color w:val="auto"/>
        </w:rPr>
        <w:t>: 0128294000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0" w:name="page231"/>
    <w:bookmarkEnd w:id="230"/>
    <w:p>
      <w:pPr>
        <w:ind w:left="180"/>
        <w:spacing w:after="0"/>
        <w:tabs>
          <w:tab w:leader="none" w:pos="3600" w:val="left"/>
        </w:tabs>
        <w:rPr>
          <w:sz w:val="20"/>
          <w:szCs w:val="20"/>
          <w:color w:val="auto"/>
        </w:rPr>
      </w:pPr>
      <w:r>
        <w:rPr>
          <w:rFonts w:ascii="Arial" w:cs="Arial" w:eastAsia="Arial" w:hAnsi="Arial"/>
          <w:sz w:val="18"/>
          <w:szCs w:val="18"/>
          <w:b w:val="1"/>
          <w:bCs w:val="1"/>
          <w:u w:val="single" w:color="auto"/>
          <w:color w:val="auto"/>
        </w:rPr>
        <w:t>Photronics Idaho, Inc.</w:t>
      </w:r>
      <w:r>
        <w:rPr>
          <w:sz w:val="20"/>
          <w:szCs w:val="20"/>
          <w:color w:val="auto"/>
        </w:rPr>
        <w:tab/>
      </w:r>
      <w:r>
        <w:rPr>
          <w:rFonts w:ascii="Arial" w:cs="Arial" w:eastAsia="Arial" w:hAnsi="Arial"/>
          <w:sz w:val="16"/>
          <w:szCs w:val="16"/>
          <w:b w:val="1"/>
          <w:bCs w:val="1"/>
          <w:color w:val="auto"/>
        </w:rPr>
        <w:t>Fed ID: 61-1602099</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Principal Place of Business &amp; Chief Executive Office:</w:t>
      </w:r>
      <w:r>
        <w:rPr>
          <w:rFonts w:ascii="Arial" w:cs="Arial" w:eastAsia="Arial" w:hAnsi="Arial"/>
          <w:sz w:val="18"/>
          <w:szCs w:val="18"/>
          <w:color w:val="auto"/>
        </w:rPr>
        <w:t xml:space="preserve"> 15 Secor Road, Brookfield, CT 06804</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Incorporated</w:t>
      </w:r>
      <w:r>
        <w:rPr>
          <w:rFonts w:ascii="Arial" w:cs="Arial" w:eastAsia="Arial" w:hAnsi="Arial"/>
          <w:sz w:val="18"/>
          <w:szCs w:val="18"/>
          <w:color w:val="auto"/>
        </w:rPr>
        <w:t>: Idaho</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Date of Formation</w:t>
      </w:r>
      <w:r>
        <w:rPr>
          <w:rFonts w:ascii="Arial" w:cs="Arial" w:eastAsia="Arial" w:hAnsi="Arial"/>
          <w:sz w:val="18"/>
          <w:szCs w:val="18"/>
          <w:color w:val="auto"/>
        </w:rPr>
        <w:t>: July 17, 2009</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Idaho ID Number</w:t>
      </w:r>
      <w:r>
        <w:rPr>
          <w:rFonts w:ascii="Arial" w:cs="Arial" w:eastAsia="Arial" w:hAnsi="Arial"/>
          <w:sz w:val="18"/>
          <w:szCs w:val="18"/>
          <w:color w:val="auto"/>
        </w:rPr>
        <w:t>: C183842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Locations of Inventory and Equipment:</w:t>
      </w:r>
    </w:p>
    <w:p>
      <w:pPr>
        <w:spacing w:after="0" w:line="223" w:lineRule="exact"/>
        <w:rPr>
          <w:sz w:val="20"/>
          <w:szCs w:val="20"/>
          <w:color w:val="auto"/>
        </w:rPr>
      </w:pPr>
    </w:p>
    <w:p>
      <w:pPr>
        <w:ind w:left="580" w:hanging="573"/>
        <w:spacing w:after="0"/>
        <w:tabs>
          <w:tab w:leader="none" w:pos="5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Owned Locations of Inventory and Equipment of the Grantors</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580" w:right="8039"/>
        <w:spacing w:after="0" w:line="279" w:lineRule="auto"/>
        <w:rPr>
          <w:rFonts w:ascii="Arial" w:cs="Arial" w:eastAsia="Arial" w:hAnsi="Arial"/>
          <w:sz w:val="18"/>
          <w:szCs w:val="18"/>
          <w:color w:val="auto"/>
        </w:rPr>
      </w:pPr>
      <w:r>
        <w:rPr>
          <w:rFonts w:ascii="Arial" w:cs="Arial" w:eastAsia="Arial" w:hAnsi="Arial"/>
          <w:sz w:val="17"/>
          <w:szCs w:val="17"/>
          <w:b w:val="1"/>
          <w:bCs w:val="1"/>
          <w:color w:val="auto"/>
        </w:rPr>
        <w:t xml:space="preserve">Connecticut </w:t>
      </w:r>
      <w:r>
        <w:rPr>
          <w:rFonts w:ascii="Arial" w:cs="Arial" w:eastAsia="Arial" w:hAnsi="Arial"/>
          <w:sz w:val="17"/>
          <w:szCs w:val="17"/>
          <w:color w:val="auto"/>
        </w:rPr>
        <w:t>Building # 1 and #2 15 Secor Road Brookfield, CT 06804</w:t>
      </w:r>
    </w:p>
    <w:p>
      <w:pPr>
        <w:spacing w:after="0" w:line="16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Idaho</w:t>
      </w:r>
    </w:p>
    <w:p>
      <w:pPr>
        <w:spacing w:after="0" w:line="26" w:lineRule="exact"/>
        <w:rPr>
          <w:rFonts w:ascii="Arial" w:cs="Arial" w:eastAsia="Arial" w:hAnsi="Arial"/>
          <w:sz w:val="18"/>
          <w:szCs w:val="18"/>
          <w:color w:val="auto"/>
        </w:rPr>
      </w:pPr>
    </w:p>
    <w:p>
      <w:pPr>
        <w:ind w:left="580" w:right="6999"/>
        <w:spacing w:after="0" w:line="258" w:lineRule="auto"/>
        <w:rPr>
          <w:rFonts w:ascii="Arial" w:cs="Arial" w:eastAsia="Arial" w:hAnsi="Arial"/>
          <w:sz w:val="18"/>
          <w:szCs w:val="18"/>
          <w:color w:val="auto"/>
        </w:rPr>
      </w:pPr>
      <w:r>
        <w:rPr>
          <w:rFonts w:ascii="Arial" w:cs="Arial" w:eastAsia="Arial" w:hAnsi="Arial"/>
          <w:sz w:val="18"/>
          <w:szCs w:val="18"/>
          <w:color w:val="auto"/>
        </w:rPr>
        <w:t>10136 South Federal Way (Nanofab) Boise, ID 83716</w:t>
      </w:r>
    </w:p>
    <w:p>
      <w:pPr>
        <w:spacing w:after="0" w:line="18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Texas</w:t>
      </w:r>
    </w:p>
    <w:p>
      <w:pPr>
        <w:spacing w:after="0" w:line="26" w:lineRule="exact"/>
        <w:rPr>
          <w:rFonts w:ascii="Arial" w:cs="Arial" w:eastAsia="Arial" w:hAnsi="Arial"/>
          <w:sz w:val="18"/>
          <w:szCs w:val="18"/>
          <w:color w:val="auto"/>
        </w:rPr>
      </w:pPr>
    </w:p>
    <w:p>
      <w:pPr>
        <w:ind w:left="580" w:right="8019"/>
        <w:spacing w:after="0" w:line="287" w:lineRule="auto"/>
        <w:rPr>
          <w:rFonts w:ascii="Arial" w:cs="Arial" w:eastAsia="Arial" w:hAnsi="Arial"/>
          <w:sz w:val="18"/>
          <w:szCs w:val="18"/>
          <w:color w:val="auto"/>
        </w:rPr>
      </w:pPr>
      <w:r>
        <w:rPr>
          <w:rFonts w:ascii="Arial" w:cs="Arial" w:eastAsia="Arial" w:hAnsi="Arial"/>
          <w:sz w:val="17"/>
          <w:szCs w:val="17"/>
          <w:color w:val="auto"/>
        </w:rPr>
        <w:t>601 Millennium Drive Allen, TX 75013</w:t>
      </w:r>
    </w:p>
    <w:p>
      <w:pPr>
        <w:spacing w:after="0" w:line="162" w:lineRule="exact"/>
        <w:rPr>
          <w:rFonts w:ascii="Arial" w:cs="Arial" w:eastAsia="Arial" w:hAnsi="Arial"/>
          <w:sz w:val="18"/>
          <w:szCs w:val="18"/>
          <w:color w:val="auto"/>
        </w:rPr>
      </w:pPr>
    </w:p>
    <w:p>
      <w:pPr>
        <w:ind w:left="580" w:hanging="573"/>
        <w:spacing w:after="0"/>
        <w:tabs>
          <w:tab w:leader="none" w:pos="58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Leased Locations of Inventory, Equipment and Fixtures of the Grantors (Include Landlord’s Name):</w:t>
      </w:r>
    </w:p>
    <w:p>
      <w:pPr>
        <w:spacing w:after="0" w:line="24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California</w:t>
      </w:r>
    </w:p>
    <w:p>
      <w:pPr>
        <w:spacing w:after="0" w:line="226" w:lineRule="exact"/>
        <w:rPr>
          <w:rFonts w:ascii="Arial" w:cs="Arial" w:eastAsia="Arial" w:hAnsi="Arial"/>
          <w:sz w:val="16"/>
          <w:szCs w:val="16"/>
          <w:color w:val="auto"/>
        </w:rPr>
      </w:pPr>
    </w:p>
    <w:p>
      <w:pPr>
        <w:ind w:left="580" w:right="7479"/>
        <w:spacing w:after="0" w:line="275" w:lineRule="auto"/>
        <w:rPr>
          <w:rFonts w:ascii="Arial" w:cs="Arial" w:eastAsia="Arial" w:hAnsi="Arial"/>
          <w:sz w:val="16"/>
          <w:szCs w:val="16"/>
          <w:color w:val="auto"/>
        </w:rPr>
      </w:pPr>
      <w:r>
        <w:rPr>
          <w:rFonts w:ascii="Arial" w:cs="Arial" w:eastAsia="Arial" w:hAnsi="Arial"/>
          <w:sz w:val="18"/>
          <w:szCs w:val="18"/>
          <w:color w:val="auto"/>
        </w:rPr>
        <w:t>830 Hillview Court, Suite 280 Milpitas, CA 95035</w:t>
      </w:r>
    </w:p>
    <w:p>
      <w:pPr>
        <w:spacing w:after="0" w:line="16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b w:val="1"/>
          <w:bCs w:val="1"/>
          <w:color w:val="auto"/>
        </w:rPr>
        <w:t>Florida</w:t>
      </w:r>
    </w:p>
    <w:p>
      <w:pPr>
        <w:spacing w:after="0" w:line="226" w:lineRule="exact"/>
        <w:rPr>
          <w:rFonts w:ascii="Arial" w:cs="Arial" w:eastAsia="Arial" w:hAnsi="Arial"/>
          <w:sz w:val="16"/>
          <w:szCs w:val="16"/>
          <w:color w:val="auto"/>
        </w:rPr>
      </w:pPr>
    </w:p>
    <w:p>
      <w:pPr>
        <w:ind w:left="580" w:right="7719"/>
        <w:spacing w:after="0" w:line="257" w:lineRule="auto"/>
        <w:rPr>
          <w:rFonts w:ascii="Arial" w:cs="Arial" w:eastAsia="Arial" w:hAnsi="Arial"/>
          <w:sz w:val="16"/>
          <w:szCs w:val="16"/>
          <w:color w:val="auto"/>
        </w:rPr>
      </w:pPr>
      <w:r>
        <w:rPr>
          <w:rFonts w:ascii="Arial" w:cs="Arial" w:eastAsia="Arial" w:hAnsi="Arial"/>
          <w:sz w:val="18"/>
          <w:szCs w:val="18"/>
          <w:color w:val="auto"/>
        </w:rPr>
        <w:t>4630 Lipscomb Street, NE Suite #10 and #12</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Palm Bay, FL 32906</w:t>
      </w:r>
    </w:p>
    <w:p>
      <w:pPr>
        <w:spacing w:after="0" w:line="1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31" w:name="page232"/>
    <w:bookmarkEnd w:id="231"/>
    <w:p>
      <w:pPr>
        <w:ind w:left="573" w:hanging="573"/>
        <w:spacing w:after="0" w:line="275" w:lineRule="auto"/>
        <w:tabs>
          <w:tab w:leader="none" w:pos="57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Public Warehouses or other Locations pursuant to Bailment or Consignment Arrangements</w:t>
      </w:r>
      <w:r>
        <w:rPr>
          <w:rFonts w:ascii="Arial" w:cs="Arial" w:eastAsia="Arial" w:hAnsi="Arial"/>
          <w:sz w:val="18"/>
          <w:szCs w:val="18"/>
          <w:color w:val="auto"/>
        </w:rPr>
        <w:t xml:space="preserve"> (include name of warehouse operator or other bailee or consignee of Inventory and Equipment of the Grantors):</w:t>
      </w:r>
    </w:p>
    <w:p>
      <w:pPr>
        <w:spacing w:after="0" w:line="170" w:lineRule="exact"/>
        <w:rPr>
          <w:rFonts w:ascii="Arial" w:cs="Arial" w:eastAsia="Arial" w:hAnsi="Arial"/>
          <w:sz w:val="18"/>
          <w:szCs w:val="18"/>
          <w:color w:val="auto"/>
        </w:rPr>
      </w:pPr>
    </w:p>
    <w:p>
      <w:pPr>
        <w:ind w:left="573"/>
        <w:spacing w:after="0"/>
        <w:rPr>
          <w:rFonts w:ascii="Arial" w:cs="Arial" w:eastAsia="Arial" w:hAnsi="Arial"/>
          <w:sz w:val="18"/>
          <w:szCs w:val="18"/>
          <w:color w:val="auto"/>
        </w:rPr>
      </w:pPr>
      <w:r>
        <w:rPr>
          <w:rFonts w:ascii="Arial" w:cs="Arial" w:eastAsia="Arial" w:hAnsi="Arial"/>
          <w:sz w:val="18"/>
          <w:szCs w:val="18"/>
          <w:color w:val="auto"/>
        </w:rPr>
        <w:t>Ulcoat/Inabata hold photomask blanks stock for Brookfield and Allen at their SFO warehouse:</w:t>
      </w:r>
    </w:p>
    <w:p>
      <w:pPr>
        <w:spacing w:after="0" w:line="200" w:lineRule="exact"/>
        <w:rPr>
          <w:sz w:val="20"/>
          <w:szCs w:val="20"/>
          <w:color w:val="auto"/>
        </w:rPr>
      </w:pPr>
    </w:p>
    <w:p>
      <w:pPr>
        <w:spacing w:after="0" w:line="23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Kintetsu World Express, Inc. (U.S.A.)</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251 Lawrence Ave.</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South San Francisco, CA 94080</w:t>
      </w:r>
    </w:p>
    <w:p>
      <w:pPr>
        <w:spacing w:after="0" w:line="208" w:lineRule="exact"/>
        <w:rPr>
          <w:sz w:val="20"/>
          <w:szCs w:val="20"/>
          <w:color w:val="auto"/>
        </w:rPr>
      </w:pPr>
    </w:p>
    <w:p>
      <w:pPr>
        <w:ind w:left="573"/>
        <w:spacing w:after="0"/>
        <w:rPr>
          <w:sz w:val="20"/>
          <w:szCs w:val="20"/>
          <w:color w:val="auto"/>
        </w:rPr>
      </w:pPr>
      <w:r>
        <w:rPr>
          <w:rFonts w:ascii="Arial" w:cs="Arial" w:eastAsia="Arial" w:hAnsi="Arial"/>
          <w:sz w:val="18"/>
          <w:szCs w:val="18"/>
          <w:color w:val="auto"/>
        </w:rPr>
        <w:t>Hoya holds photomask blanks stock for the Nanofab at their SFO warehouse:</w:t>
      </w:r>
    </w:p>
    <w:p>
      <w:pPr>
        <w:spacing w:after="0" w:line="223"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Nippon Express USA, Inc.</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Import Division</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250 Utah Avenue</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South San Francisco, CA 94080</w:t>
      </w:r>
    </w:p>
    <w:p>
      <w:pPr>
        <w:spacing w:after="0" w:line="208" w:lineRule="exact"/>
        <w:rPr>
          <w:sz w:val="20"/>
          <w:szCs w:val="20"/>
          <w:color w:val="auto"/>
        </w:rPr>
      </w:pPr>
    </w:p>
    <w:p>
      <w:pPr>
        <w:ind w:left="573"/>
        <w:spacing w:after="0"/>
        <w:rPr>
          <w:sz w:val="20"/>
          <w:szCs w:val="20"/>
          <w:color w:val="auto"/>
        </w:rPr>
      </w:pPr>
      <w:r>
        <w:rPr>
          <w:rFonts w:ascii="Arial" w:cs="Arial" w:eastAsia="Arial" w:hAnsi="Arial"/>
          <w:sz w:val="18"/>
          <w:szCs w:val="18"/>
          <w:color w:val="auto"/>
        </w:rPr>
        <w:t>A small quantity of chemistry (value ~ $6K) is held for Nanofab at:</w:t>
      </w:r>
    </w:p>
    <w:p>
      <w:pPr>
        <w:spacing w:after="0" w:line="223"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Univar USA Inc.</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1804 North 20th Street</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Nampa, ID 83687</w:t>
      </w:r>
    </w:p>
    <w:p>
      <w:pPr>
        <w:spacing w:after="0" w:line="208" w:lineRule="exact"/>
        <w:rPr>
          <w:sz w:val="20"/>
          <w:szCs w:val="20"/>
          <w:color w:val="auto"/>
        </w:rPr>
      </w:pPr>
    </w:p>
    <w:p>
      <w:pPr>
        <w:ind w:left="573"/>
        <w:spacing w:after="0"/>
        <w:rPr>
          <w:sz w:val="20"/>
          <w:szCs w:val="20"/>
          <w:color w:val="auto"/>
        </w:rPr>
      </w:pPr>
      <w:r>
        <w:rPr>
          <w:rFonts w:ascii="Arial" w:cs="Arial" w:eastAsia="Arial" w:hAnsi="Arial"/>
          <w:sz w:val="18"/>
          <w:szCs w:val="18"/>
          <w:color w:val="auto"/>
        </w:rPr>
        <w:t>3rd party warehouse in Dallas:</w:t>
      </w:r>
    </w:p>
    <w:p>
      <w:pPr>
        <w:spacing w:after="0" w:line="223"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Imlach &amp; Collins Brothers, LLC - Atlas Van Lines</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4653 Leston St #706</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Dallas, TX 75247</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(800) 777-9835</w:t>
      </w:r>
    </w:p>
    <w:p>
      <w:pPr>
        <w:spacing w:after="0" w:line="208" w:lineRule="exact"/>
        <w:rPr>
          <w:sz w:val="20"/>
          <w:szCs w:val="20"/>
          <w:color w:val="auto"/>
        </w:rPr>
      </w:pPr>
    </w:p>
    <w:p>
      <w:pPr>
        <w:ind w:left="573"/>
        <w:spacing w:after="0"/>
        <w:rPr>
          <w:sz w:val="20"/>
          <w:szCs w:val="20"/>
          <w:color w:val="auto"/>
        </w:rPr>
      </w:pPr>
      <w:r>
        <w:rPr>
          <w:rFonts w:ascii="Arial" w:cs="Arial" w:eastAsia="Arial" w:hAnsi="Arial"/>
          <w:sz w:val="18"/>
          <w:szCs w:val="18"/>
          <w:color w:val="auto"/>
        </w:rPr>
        <w:t>3rd party warehouses in California:</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R.B. High Tech Transport, Inc.</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38503 Cherry St Unit A</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Newark, CA 94560</w:t>
      </w:r>
    </w:p>
    <w:p>
      <w:pPr>
        <w:spacing w:after="0" w:line="20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S&amp;M Moving Systems North, Inc.</w:t>
      </w:r>
    </w:p>
    <w:p>
      <w:pPr>
        <w:spacing w:after="0" w:line="22"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48551 Warm Springs Blvd</w:t>
      </w:r>
    </w:p>
    <w:p>
      <w:pPr>
        <w:spacing w:after="0" w:line="8" w:lineRule="exact"/>
        <w:rPr>
          <w:sz w:val="20"/>
          <w:szCs w:val="20"/>
          <w:color w:val="auto"/>
        </w:rPr>
      </w:pPr>
    </w:p>
    <w:p>
      <w:pPr>
        <w:ind w:left="1133"/>
        <w:spacing w:after="0"/>
        <w:rPr>
          <w:sz w:val="20"/>
          <w:szCs w:val="20"/>
          <w:color w:val="auto"/>
        </w:rPr>
      </w:pPr>
      <w:r>
        <w:rPr>
          <w:rFonts w:ascii="Arial" w:cs="Arial" w:eastAsia="Arial" w:hAnsi="Arial"/>
          <w:sz w:val="18"/>
          <w:szCs w:val="18"/>
          <w:color w:val="auto"/>
        </w:rPr>
        <w:t>Fremont, CA 94539</w:t>
      </w:r>
    </w:p>
    <w:p>
      <w:pPr>
        <w:spacing w:after="0" w:line="16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2472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13"/>
          </w:cols>
          <w:pgMar w:left="247" w:top="125"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color w:val="auto"/>
        </w:rPr>
        <w:t>EXHIBIT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Sections 3.8 and 3.12 of Security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Patents, copyrights and trademarks protected under federal law and industrial designs:</w:t>
      </w:r>
    </w:p>
    <w:p>
      <w:pPr>
        <w:spacing w:after="0" w:line="250" w:lineRule="exact"/>
        <w:rPr>
          <w:sz w:val="20"/>
          <w:szCs w:val="20"/>
          <w:color w:val="auto"/>
        </w:rPr>
      </w:pPr>
    </w:p>
    <w:p>
      <w:pPr>
        <w:ind w:left="4700" w:right="4140" w:hanging="552"/>
        <w:spacing w:after="0" w:line="522" w:lineRule="auto"/>
        <w:tabs>
          <w:tab w:leader="none" w:pos="469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FEDERAL TRADEMARKS – U.S. A. Registered Trademarks</w:t>
      </w:r>
    </w:p>
    <w:tbl>
      <w:tblPr>
        <w:tblLayout w:type="fixed"/>
        <w:tblInd w:w="10" w:type="dxa"/>
        <w:tblCellMar>
          <w:top w:w="0" w:type="dxa"/>
          <w:left w:w="0" w:type="dxa"/>
          <w:bottom w:w="0" w:type="dxa"/>
          <w:right w:w="0" w:type="dxa"/>
        </w:tblCellMar>
      </w:tblPr>
      <w:tr>
        <w:trPr>
          <w:trHeight w:val="229"/>
        </w:trPr>
        <w:tc>
          <w:tcPr>
            <w:tcW w:w="294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Mark</w:t>
            </w:r>
          </w:p>
        </w:tc>
        <w:tc>
          <w:tcPr>
            <w:tcW w:w="1800" w:type="dxa"/>
            <w:vAlign w:val="bottom"/>
            <w:tcBorders>
              <w:top w:val="single" w:sz="8" w:color="auto"/>
              <w:bottom w:val="single" w:sz="8" w:color="auto"/>
              <w:right w:val="single" w:sz="8" w:color="auto"/>
            </w:tcBorders>
            <w:shd w:val="clear" w:color="auto" w:fill="F2F2F2"/>
          </w:tcPr>
          <w:p>
            <w:pPr>
              <w:ind w:left="500"/>
              <w:spacing w:after="0"/>
              <w:rPr>
                <w:sz w:val="20"/>
                <w:szCs w:val="20"/>
                <w:color w:val="auto"/>
              </w:rPr>
            </w:pPr>
            <w:r>
              <w:rPr>
                <w:rFonts w:ascii="Arial" w:cs="Arial" w:eastAsia="Arial" w:hAnsi="Arial"/>
                <w:sz w:val="18"/>
                <w:szCs w:val="18"/>
                <w:b w:val="1"/>
                <w:bCs w:val="1"/>
                <w:color w:val="auto"/>
              </w:rPr>
              <w:t>Reg. Date</w:t>
            </w:r>
          </w:p>
        </w:tc>
        <w:tc>
          <w:tcPr>
            <w:tcW w:w="32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Reg. Number</w:t>
            </w:r>
          </w:p>
        </w:tc>
        <w:tc>
          <w:tcPr>
            <w:tcW w:w="340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229"/>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CYBERMASK</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5/25/2004</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2,845,577</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207"/>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222"/>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MASKLINK</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6/1/2004</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2,848,038</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222"/>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MASKPILOT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6/1/2004</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2,847,311</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222"/>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MASKTRAC</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9/17/2002</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2,621,660</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11/6/2007</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3,331,421</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556"/>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7/25/1995</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1,907,169</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556"/>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r>
      <w:tr>
        <w:trPr>
          <w:trHeight w:val="222"/>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PHOTRONICS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6/20/1995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1,900,475</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222"/>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PHOTRONICS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2/19/2008</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3,386,407</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430"/>
        </w:trPr>
        <w:tc>
          <w:tcPr>
            <w:tcW w:w="29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6/20/1995</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1,900,474</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571"/>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3400" w:type="dxa"/>
            <w:vAlign w:val="bottom"/>
            <w:tcBorders>
              <w:bottom w:val="single" w:sz="8" w:color="auto"/>
              <w:right w:val="single" w:sz="8" w:color="auto"/>
            </w:tcBorders>
          </w:tcPr>
          <w:p>
            <w:pPr>
              <w:spacing w:after="0"/>
              <w:rPr>
                <w:sz w:val="24"/>
                <w:szCs w:val="24"/>
                <w:color w:val="auto"/>
              </w:rPr>
            </w:pPr>
          </w:p>
        </w:tc>
      </w:tr>
      <w:tr>
        <w:trPr>
          <w:trHeight w:val="390"/>
        </w:trPr>
        <w:tc>
          <w:tcPr>
            <w:tcW w:w="2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80" w:type="dxa"/>
            <w:vAlign w:val="bottom"/>
          </w:tcPr>
          <w:p>
            <w:pPr>
              <w:jc w:val="right"/>
              <w:ind w:right="2171"/>
              <w:spacing w:after="0"/>
              <w:rPr>
                <w:sz w:val="20"/>
                <w:szCs w:val="20"/>
                <w:color w:val="auto"/>
              </w:rPr>
            </w:pPr>
            <w:r>
              <w:rPr>
                <w:rFonts w:ascii="Arial" w:cs="Arial" w:eastAsia="Arial" w:hAnsi="Arial"/>
                <w:sz w:val="18"/>
                <w:szCs w:val="18"/>
                <w:color w:val="auto"/>
              </w:rPr>
              <w:t>4</w:t>
            </w:r>
          </w:p>
        </w:tc>
        <w:tc>
          <w:tcPr>
            <w:tcW w:w="3400" w:type="dxa"/>
            <w:vAlign w:val="bottom"/>
          </w:tcPr>
          <w:p>
            <w:pPr>
              <w:spacing w:after="0"/>
              <w:rPr>
                <w:sz w:val="24"/>
                <w:szCs w:val="24"/>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-2275840</wp:posOffset>
            </wp:positionV>
            <wp:extent cx="903605" cy="3581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903605" cy="35814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-1764665</wp:posOffset>
            </wp:positionV>
            <wp:extent cx="903605" cy="358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903605" cy="35814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-809625</wp:posOffset>
            </wp:positionV>
            <wp:extent cx="903605" cy="3581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903605" cy="3581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3" w:name="page234"/>
    <w:bookmarkEnd w:id="233"/>
    <w:p>
      <w:pPr>
        <w:ind w:left="5140" w:hanging="337"/>
        <w:spacing w:after="0"/>
        <w:tabs>
          <w:tab w:leader="none" w:pos="5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Pending Trademarks</w:t>
      </w:r>
    </w:p>
    <w:p>
      <w:pPr>
        <w:spacing w:after="0" w:line="22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22" w:lineRule="exact"/>
        <w:rPr>
          <w:rFonts w:ascii="Arial" w:cs="Arial" w:eastAsia="Arial" w:hAnsi="Arial"/>
          <w:sz w:val="18"/>
          <w:szCs w:val="18"/>
          <w:color w:val="auto"/>
        </w:rPr>
      </w:pPr>
    </w:p>
    <w:p>
      <w:pPr>
        <w:ind w:left="5580" w:hanging="612"/>
        <w:spacing w:after="0"/>
        <w:tabs>
          <w:tab w:leader="none" w:pos="5580" w:val="left"/>
        </w:tabs>
        <w:numPr>
          <w:ilvl w:val="2"/>
          <w:numId w:val="152"/>
        </w:numPr>
        <w:rPr>
          <w:rFonts w:ascii="Arial" w:cs="Arial" w:eastAsia="Arial" w:hAnsi="Arial"/>
          <w:sz w:val="18"/>
          <w:szCs w:val="18"/>
          <w:color w:val="auto"/>
        </w:rPr>
      </w:pPr>
      <w:r>
        <w:rPr>
          <w:rFonts w:ascii="Arial" w:cs="Arial" w:eastAsia="Arial" w:hAnsi="Arial"/>
          <w:sz w:val="18"/>
          <w:szCs w:val="18"/>
          <w:u w:val="single" w:color="auto"/>
          <w:color w:val="auto"/>
        </w:rPr>
        <w:t>U.S. Patents</w:t>
      </w:r>
    </w:p>
    <w:p>
      <w:pPr>
        <w:spacing w:after="0" w:line="222"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A.  Pending U.S. Patent Applications</w:t>
      </w: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80" w:type="dxa"/>
            <w:vAlign w:val="bottom"/>
            <w:tcBorders>
              <w:top w:val="single" w:sz="8" w:color="3F3F3F"/>
              <w:left w:val="single" w:sz="8" w:color="F2F2F2"/>
              <w:bottom w:val="single" w:sz="8" w:color="3F3F3F"/>
              <w:right w:val="single" w:sz="8" w:color="3F3F3F"/>
            </w:tcBorders>
            <w:shd w:val="clear" w:color="auto" w:fill="F2F2F2"/>
          </w:tcPr>
          <w:p>
            <w:pPr>
              <w:spacing w:after="0"/>
              <w:rPr>
                <w:sz w:val="23"/>
                <w:szCs w:val="23"/>
                <w:color w:val="auto"/>
              </w:rPr>
            </w:pPr>
          </w:p>
        </w:tc>
        <w:tc>
          <w:tcPr>
            <w:tcW w:w="120" w:type="dxa"/>
            <w:vAlign w:val="bottom"/>
            <w:tcBorders>
              <w:top w:val="single" w:sz="8" w:color="auto"/>
              <w:bottom w:val="single" w:sz="8" w:color="auto"/>
              <w:right w:val="single" w:sz="8" w:color="F2F2F2"/>
            </w:tcBorders>
            <w:shd w:val="clear" w:color="auto" w:fill="F2F2F2"/>
          </w:tcPr>
          <w:p>
            <w:pPr>
              <w:spacing w:after="0"/>
              <w:rPr>
                <w:sz w:val="23"/>
                <w:szCs w:val="23"/>
                <w:color w:val="auto"/>
              </w:rPr>
            </w:pPr>
          </w:p>
        </w:tc>
        <w:tc>
          <w:tcPr>
            <w:tcW w:w="1820" w:type="dxa"/>
            <w:vAlign w:val="bottom"/>
            <w:tcBorders>
              <w:top w:val="single" w:sz="8" w:color="auto"/>
              <w:bottom w:val="single" w:sz="8" w:color="auto"/>
            </w:tcBorders>
            <w:gridSpan w:val="2"/>
            <w:shd w:val="clear" w:color="auto" w:fill="F2F2F2"/>
          </w:tcPr>
          <w:p>
            <w:pPr>
              <w:spacing w:after="0"/>
              <w:rPr>
                <w:sz w:val="20"/>
                <w:szCs w:val="20"/>
                <w:color w:val="auto"/>
              </w:rPr>
            </w:pPr>
            <w:r>
              <w:rPr>
                <w:rFonts w:ascii="Arial" w:cs="Arial" w:eastAsia="Arial" w:hAnsi="Arial"/>
                <w:sz w:val="20"/>
                <w:szCs w:val="20"/>
                <w:b w:val="1"/>
                <w:bCs w:val="1"/>
                <w:color w:val="3F3F3F"/>
                <w:w w:val="94"/>
              </w:rPr>
              <w:t>Application Number</w:t>
            </w:r>
          </w:p>
        </w:tc>
        <w:tc>
          <w:tcPr>
            <w:tcW w:w="80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1880" w:type="dxa"/>
            <w:vAlign w:val="bottom"/>
            <w:tcBorders>
              <w:top w:val="single" w:sz="8" w:color="auto"/>
              <w:bottom w:val="single" w:sz="8" w:color="auto"/>
            </w:tcBorders>
            <w:gridSpan w:val="2"/>
            <w:shd w:val="clear" w:color="auto" w:fill="F2F2F2"/>
          </w:tcPr>
          <w:p>
            <w:pPr>
              <w:ind w:left="100"/>
              <w:spacing w:after="0"/>
              <w:rPr>
                <w:sz w:val="20"/>
                <w:szCs w:val="20"/>
                <w:color w:val="auto"/>
              </w:rPr>
            </w:pPr>
            <w:r>
              <w:rPr>
                <w:rFonts w:ascii="Arial" w:cs="Arial" w:eastAsia="Arial" w:hAnsi="Arial"/>
                <w:sz w:val="20"/>
                <w:szCs w:val="20"/>
                <w:b w:val="1"/>
                <w:bCs w:val="1"/>
                <w:color w:val="3F3F3F"/>
              </w:rPr>
              <w:t>Filing Date</w:t>
            </w:r>
          </w:p>
        </w:tc>
        <w:tc>
          <w:tcPr>
            <w:tcW w:w="86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2100" w:type="dxa"/>
            <w:vAlign w:val="bottom"/>
            <w:tcBorders>
              <w:top w:val="single" w:sz="8" w:color="auto"/>
              <w:bottom w:val="single" w:sz="8" w:color="auto"/>
              <w:right w:val="single" w:sz="8" w:color="F2F2F2"/>
            </w:tcBorders>
            <w:shd w:val="clear" w:color="auto" w:fill="F2F2F2"/>
          </w:tcPr>
          <w:p>
            <w:pPr>
              <w:ind w:left="100"/>
              <w:spacing w:after="0"/>
              <w:rPr>
                <w:sz w:val="20"/>
                <w:szCs w:val="20"/>
                <w:color w:val="auto"/>
              </w:rPr>
            </w:pPr>
            <w:r>
              <w:rPr>
                <w:rFonts w:ascii="Arial" w:cs="Arial" w:eastAsia="Arial" w:hAnsi="Arial"/>
                <w:sz w:val="20"/>
                <w:szCs w:val="20"/>
                <w:b w:val="1"/>
                <w:bCs w:val="1"/>
                <w:color w:val="3F3F3F"/>
              </w:rPr>
              <w:t>Title</w:t>
            </w:r>
          </w:p>
        </w:tc>
        <w:tc>
          <w:tcPr>
            <w:tcW w:w="64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1100" w:type="dxa"/>
            <w:vAlign w:val="bottom"/>
            <w:tcBorders>
              <w:top w:val="single" w:sz="8" w:color="auto"/>
              <w:bottom w:val="single" w:sz="8" w:color="auto"/>
              <w:right w:val="single" w:sz="8" w:color="F2F2F2"/>
            </w:tcBorders>
            <w:shd w:val="clear" w:color="auto" w:fill="F2F2F2"/>
          </w:tcPr>
          <w:p>
            <w:pPr>
              <w:jc w:val="right"/>
              <w:ind w:right="322"/>
              <w:spacing w:after="0"/>
              <w:rPr>
                <w:sz w:val="20"/>
                <w:szCs w:val="20"/>
                <w:color w:val="auto"/>
              </w:rPr>
            </w:pPr>
            <w:r>
              <w:rPr>
                <w:rFonts w:ascii="Arial" w:cs="Arial" w:eastAsia="Arial" w:hAnsi="Arial"/>
                <w:sz w:val="20"/>
                <w:szCs w:val="20"/>
                <w:b w:val="1"/>
                <w:bCs w:val="1"/>
                <w:color w:val="3F3F3F"/>
              </w:rPr>
              <w:t>Owner</w:t>
            </w:r>
          </w:p>
        </w:tc>
        <w:tc>
          <w:tcPr>
            <w:tcW w:w="164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80" w:type="dxa"/>
            <w:vAlign w:val="bottom"/>
            <w:tcBorders>
              <w:bottom w:val="single" w:sz="8" w:color="auto"/>
              <w:right w:val="single" w:sz="8" w:color="auto"/>
            </w:tcBorders>
          </w:tcPr>
          <w:p>
            <w:pPr>
              <w:jc w:val="right"/>
              <w:ind w:right="169"/>
              <w:spacing w:after="0"/>
              <w:rPr>
                <w:sz w:val="20"/>
                <w:szCs w:val="20"/>
                <w:color w:val="auto"/>
              </w:rPr>
            </w:pPr>
            <w:r>
              <w:rPr>
                <w:rFonts w:ascii="Arial" w:cs="Arial" w:eastAsia="Arial" w:hAnsi="Arial"/>
                <w:sz w:val="20"/>
                <w:szCs w:val="20"/>
                <w:b w:val="1"/>
                <w:bCs w:val="1"/>
                <w:color w:val="3F3F3F"/>
              </w:rPr>
              <w:t>1</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3F3F3F"/>
              </w:rPr>
              <w:t>15/960,963</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3F3F3F"/>
              </w:rPr>
              <w:t>4/24/2018</w:t>
            </w:r>
          </w:p>
        </w:tc>
        <w:tc>
          <w:tcPr>
            <w:tcW w:w="860" w:type="dxa"/>
            <w:vAlign w:val="bottom"/>
            <w:tcBorders>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3F3F3F"/>
              </w:rPr>
              <w:t>PELLICLE REMOVAL TOOL</w:t>
            </w:r>
          </w:p>
        </w:tc>
        <w:tc>
          <w:tcPr>
            <w:tcW w:w="274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20"/>
                <w:szCs w:val="20"/>
                <w:color w:val="3F3F3F"/>
              </w:rPr>
              <w:t>Photronics, Inc.</w:t>
            </w:r>
          </w:p>
        </w:tc>
        <w:tc>
          <w:tcPr>
            <w:tcW w:w="0" w:type="dxa"/>
            <w:vAlign w:val="bottom"/>
          </w:tcPr>
          <w:p>
            <w:pPr>
              <w:spacing w:after="0"/>
              <w:rPr>
                <w:sz w:val="1"/>
                <w:szCs w:val="1"/>
                <w:color w:val="auto"/>
              </w:rPr>
            </w:pPr>
          </w:p>
        </w:tc>
      </w:tr>
      <w:tr>
        <w:trPr>
          <w:trHeight w:val="45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B.</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U.S. Issued Patents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 w:type="dxa"/>
            <w:vAlign w:val="bottom"/>
            <w:tcBorders>
              <w:left w:val="single" w:sz="8" w:color="auto"/>
              <w:right w:val="single" w:sz="8" w:color="F2F2F2"/>
            </w:tcBorders>
            <w:shd w:val="clear" w:color="auto" w:fill="F2F2F2"/>
          </w:tcPr>
          <w:p>
            <w:pPr>
              <w:spacing w:after="0"/>
              <w:rPr>
                <w:sz w:val="17"/>
                <w:szCs w:val="17"/>
                <w:color w:val="auto"/>
              </w:rPr>
            </w:pPr>
          </w:p>
        </w:tc>
        <w:tc>
          <w:tcPr>
            <w:tcW w:w="120" w:type="dxa"/>
            <w:vAlign w:val="bottom"/>
            <w:tcBorders>
              <w:right w:val="single" w:sz="8" w:color="auto"/>
            </w:tcBorders>
            <w:shd w:val="clear" w:color="auto" w:fill="F2F2F2"/>
          </w:tcPr>
          <w:p>
            <w:pPr>
              <w:spacing w:after="0"/>
              <w:rPr>
                <w:sz w:val="17"/>
                <w:szCs w:val="17"/>
                <w:color w:val="auto"/>
              </w:rPr>
            </w:pPr>
          </w:p>
        </w:tc>
        <w:tc>
          <w:tcPr>
            <w:tcW w:w="150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720" w:type="dxa"/>
            <w:vAlign w:val="bottom"/>
            <w:tcBorders>
              <w:right w:val="single" w:sz="8" w:color="auto"/>
            </w:tcBorders>
            <w:gridSpan w:val="3"/>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1280" w:type="dxa"/>
            <w:vAlign w:val="bottom"/>
            <w:shd w:val="clear" w:color="auto" w:fill="F2F2F2"/>
          </w:tcPr>
          <w:p>
            <w:pPr>
              <w:spacing w:after="0"/>
              <w:rPr>
                <w:sz w:val="17"/>
                <w:szCs w:val="17"/>
                <w:color w:val="auto"/>
              </w:rPr>
            </w:pPr>
          </w:p>
        </w:tc>
        <w:tc>
          <w:tcPr>
            <w:tcW w:w="2960" w:type="dxa"/>
            <w:vAlign w:val="bottom"/>
            <w:tcBorders>
              <w:right w:val="single" w:sz="8" w:color="auto"/>
            </w:tcBorders>
            <w:gridSpan w:val="2"/>
            <w:vMerge w:val="restart"/>
            <w:shd w:val="clear" w:color="auto" w:fill="F2F2F2"/>
          </w:tcPr>
          <w:p>
            <w:pPr>
              <w:jc w:val="center"/>
              <w:ind w:right="1202"/>
              <w:spacing w:after="0"/>
              <w:rPr>
                <w:sz w:val="20"/>
                <w:szCs w:val="20"/>
                <w:color w:val="auto"/>
              </w:rPr>
            </w:pPr>
            <w:r>
              <w:rPr>
                <w:rFonts w:ascii="Arial" w:cs="Arial" w:eastAsia="Arial" w:hAnsi="Arial"/>
                <w:sz w:val="18"/>
                <w:szCs w:val="18"/>
                <w:b w:val="1"/>
                <w:bCs w:val="1"/>
                <w:color w:val="auto"/>
                <w:w w:val="91"/>
              </w:rPr>
              <w:t>Title</w:t>
            </w:r>
          </w:p>
        </w:tc>
        <w:tc>
          <w:tcPr>
            <w:tcW w:w="1740" w:type="dxa"/>
            <w:vAlign w:val="bottom"/>
            <w:tcBorders>
              <w:right w:val="single" w:sz="8" w:color="auto"/>
            </w:tcBorders>
            <w:gridSpan w:val="2"/>
            <w:shd w:val="clear" w:color="auto" w:fill="F2F2F2"/>
          </w:tcPr>
          <w:p>
            <w:pPr>
              <w:jc w:val="right"/>
              <w:ind w:right="342"/>
              <w:spacing w:after="0" w:line="196" w:lineRule="exact"/>
              <w:rPr>
                <w:sz w:val="20"/>
                <w:szCs w:val="20"/>
                <w:color w:val="auto"/>
              </w:rPr>
            </w:pPr>
            <w:r>
              <w:rPr>
                <w:rFonts w:ascii="Arial" w:cs="Arial" w:eastAsia="Arial" w:hAnsi="Arial"/>
                <w:sz w:val="18"/>
                <w:szCs w:val="18"/>
                <w:b w:val="1"/>
                <w:bCs w:val="1"/>
                <w:color w:val="auto"/>
              </w:rPr>
              <w:t>Filing Date/</w:t>
            </w:r>
          </w:p>
        </w:tc>
        <w:tc>
          <w:tcPr>
            <w:tcW w:w="16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26"/>
        </w:trPr>
        <w:tc>
          <w:tcPr>
            <w:tcW w:w="480" w:type="dxa"/>
            <w:vAlign w:val="bottom"/>
            <w:tcBorders>
              <w:left w:val="single" w:sz="8" w:color="auto"/>
              <w:right w:val="single" w:sz="8" w:color="F2F2F2"/>
            </w:tcBorders>
            <w:shd w:val="clear" w:color="auto" w:fill="F2F2F2"/>
          </w:tcPr>
          <w:p>
            <w:pPr>
              <w:spacing w:after="0"/>
              <w:rPr>
                <w:sz w:val="10"/>
                <w:szCs w:val="10"/>
                <w:color w:val="auto"/>
              </w:rPr>
            </w:pPr>
          </w:p>
        </w:tc>
        <w:tc>
          <w:tcPr>
            <w:tcW w:w="120" w:type="dxa"/>
            <w:vAlign w:val="bottom"/>
            <w:tcBorders>
              <w:right w:val="single" w:sz="8" w:color="auto"/>
            </w:tcBorders>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1720" w:type="dxa"/>
            <w:vAlign w:val="bottom"/>
            <w:tcBorders>
              <w:right w:val="single" w:sz="8" w:color="auto"/>
            </w:tcBorders>
            <w:gridSpan w:val="3"/>
            <w:vMerge w:val="continue"/>
            <w:shd w:val="clear" w:color="auto" w:fill="F2F2F2"/>
          </w:tcPr>
          <w:p>
            <w:pPr>
              <w:spacing w:after="0"/>
              <w:rPr>
                <w:sz w:val="10"/>
                <w:szCs w:val="10"/>
                <w:color w:val="auto"/>
              </w:rPr>
            </w:pPr>
          </w:p>
        </w:tc>
        <w:tc>
          <w:tcPr>
            <w:tcW w:w="1280" w:type="dxa"/>
            <w:vAlign w:val="bottom"/>
            <w:shd w:val="clear" w:color="auto" w:fill="F2F2F2"/>
          </w:tcPr>
          <w:p>
            <w:pPr>
              <w:spacing w:after="0"/>
              <w:rPr>
                <w:sz w:val="10"/>
                <w:szCs w:val="10"/>
                <w:color w:val="auto"/>
              </w:rPr>
            </w:pPr>
          </w:p>
        </w:tc>
        <w:tc>
          <w:tcPr>
            <w:tcW w:w="2960" w:type="dxa"/>
            <w:vAlign w:val="bottom"/>
            <w:tcBorders>
              <w:right w:val="single" w:sz="8" w:color="auto"/>
            </w:tcBorders>
            <w:gridSpan w:val="2"/>
            <w:vMerge w:val="continue"/>
            <w:shd w:val="clear" w:color="auto" w:fill="F2F2F2"/>
          </w:tcPr>
          <w:p>
            <w:pPr>
              <w:spacing w:after="0"/>
              <w:rPr>
                <w:sz w:val="10"/>
                <w:szCs w:val="10"/>
                <w:color w:val="auto"/>
              </w:rPr>
            </w:pPr>
          </w:p>
        </w:tc>
        <w:tc>
          <w:tcPr>
            <w:tcW w:w="1740" w:type="dxa"/>
            <w:vAlign w:val="bottom"/>
            <w:tcBorders>
              <w:right w:val="single" w:sz="8" w:color="auto"/>
            </w:tcBorders>
            <w:gridSpan w:val="2"/>
            <w:vMerge w:val="restart"/>
            <w:shd w:val="clear" w:color="auto" w:fill="F2F2F2"/>
          </w:tcPr>
          <w:p>
            <w:pPr>
              <w:jc w:val="right"/>
              <w:ind w:right="382"/>
              <w:spacing w:after="0"/>
              <w:rPr>
                <w:sz w:val="20"/>
                <w:szCs w:val="20"/>
                <w:color w:val="auto"/>
              </w:rPr>
            </w:pPr>
            <w:r>
              <w:rPr>
                <w:rFonts w:ascii="Arial" w:cs="Arial" w:eastAsia="Arial" w:hAnsi="Arial"/>
                <w:sz w:val="18"/>
                <w:szCs w:val="18"/>
                <w:b w:val="1"/>
                <w:bCs w:val="1"/>
                <w:color w:val="auto"/>
              </w:rPr>
              <w:t>Issue Date</w:t>
            </w:r>
          </w:p>
        </w:tc>
        <w:tc>
          <w:tcPr>
            <w:tcW w:w="164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right w:val="single" w:sz="8" w:color="F2F2F2"/>
            </w:tcBorders>
            <w:shd w:val="clear" w:color="auto" w:fill="F2F2F2"/>
          </w:tcPr>
          <w:p>
            <w:pPr>
              <w:spacing w:after="0"/>
              <w:rPr>
                <w:sz w:val="9"/>
                <w:szCs w:val="9"/>
                <w:color w:val="auto"/>
              </w:rPr>
            </w:pPr>
          </w:p>
        </w:tc>
        <w:tc>
          <w:tcPr>
            <w:tcW w:w="120" w:type="dxa"/>
            <w:vAlign w:val="bottom"/>
            <w:tcBorders>
              <w:bottom w:val="single" w:sz="8" w:color="auto"/>
              <w:right w:val="single" w:sz="8" w:color="auto"/>
            </w:tcBorders>
            <w:shd w:val="clear" w:color="auto" w:fill="F2F2F2"/>
          </w:tcPr>
          <w:p>
            <w:pPr>
              <w:spacing w:after="0"/>
              <w:rPr>
                <w:sz w:val="9"/>
                <w:szCs w:val="9"/>
                <w:color w:val="auto"/>
              </w:rPr>
            </w:pPr>
          </w:p>
        </w:tc>
        <w:tc>
          <w:tcPr>
            <w:tcW w:w="1500" w:type="dxa"/>
            <w:vAlign w:val="bottom"/>
            <w:tcBorders>
              <w:bottom w:val="single" w:sz="8" w:color="auto"/>
              <w:right w:val="single" w:sz="8" w:color="auto"/>
            </w:tcBorders>
            <w:shd w:val="clear" w:color="auto" w:fill="F2F2F2"/>
          </w:tcPr>
          <w:p>
            <w:pPr>
              <w:spacing w:after="0"/>
              <w:rPr>
                <w:sz w:val="9"/>
                <w:szCs w:val="9"/>
                <w:color w:val="auto"/>
              </w:rPr>
            </w:pPr>
          </w:p>
        </w:tc>
        <w:tc>
          <w:tcPr>
            <w:tcW w:w="320" w:type="dxa"/>
            <w:vAlign w:val="bottom"/>
            <w:tcBorders>
              <w:bottom w:val="single" w:sz="8" w:color="auto"/>
            </w:tcBorders>
            <w:shd w:val="clear" w:color="auto" w:fill="F2F2F2"/>
          </w:tcPr>
          <w:p>
            <w:pPr>
              <w:spacing w:after="0"/>
              <w:rPr>
                <w:sz w:val="9"/>
                <w:szCs w:val="9"/>
                <w:color w:val="auto"/>
              </w:rPr>
            </w:pPr>
          </w:p>
        </w:tc>
        <w:tc>
          <w:tcPr>
            <w:tcW w:w="800" w:type="dxa"/>
            <w:vAlign w:val="bottom"/>
            <w:tcBorders>
              <w:bottom w:val="single" w:sz="8" w:color="auto"/>
              <w:right w:val="single" w:sz="8" w:color="F2F2F2"/>
            </w:tcBorders>
            <w:shd w:val="clear" w:color="auto" w:fill="F2F2F2"/>
          </w:tcPr>
          <w:p>
            <w:pPr>
              <w:spacing w:after="0"/>
              <w:rPr>
                <w:sz w:val="9"/>
                <w:szCs w:val="9"/>
                <w:color w:val="auto"/>
              </w:rPr>
            </w:pPr>
          </w:p>
        </w:tc>
        <w:tc>
          <w:tcPr>
            <w:tcW w:w="600" w:type="dxa"/>
            <w:vAlign w:val="bottom"/>
            <w:tcBorders>
              <w:bottom w:val="single" w:sz="8" w:color="auto"/>
              <w:right w:val="single" w:sz="8" w:color="auto"/>
            </w:tcBorders>
            <w:shd w:val="clear" w:color="auto" w:fill="F2F2F2"/>
          </w:tcPr>
          <w:p>
            <w:pPr>
              <w:spacing w:after="0"/>
              <w:rPr>
                <w:sz w:val="9"/>
                <w:szCs w:val="9"/>
                <w:color w:val="auto"/>
              </w:rPr>
            </w:pPr>
          </w:p>
        </w:tc>
        <w:tc>
          <w:tcPr>
            <w:tcW w:w="1280" w:type="dxa"/>
            <w:vAlign w:val="bottom"/>
            <w:tcBorders>
              <w:bottom w:val="single" w:sz="8" w:color="auto"/>
            </w:tcBorders>
            <w:shd w:val="clear" w:color="auto" w:fill="F2F2F2"/>
          </w:tcPr>
          <w:p>
            <w:pPr>
              <w:spacing w:after="0"/>
              <w:rPr>
                <w:sz w:val="9"/>
                <w:szCs w:val="9"/>
                <w:color w:val="auto"/>
              </w:rPr>
            </w:pPr>
          </w:p>
        </w:tc>
        <w:tc>
          <w:tcPr>
            <w:tcW w:w="860" w:type="dxa"/>
            <w:vAlign w:val="bottom"/>
            <w:tcBorders>
              <w:bottom w:val="single" w:sz="8" w:color="auto"/>
              <w:right w:val="single" w:sz="8" w:color="F2F2F2"/>
            </w:tcBorders>
            <w:shd w:val="clear" w:color="auto" w:fill="F2F2F2"/>
          </w:tcPr>
          <w:p>
            <w:pPr>
              <w:spacing w:after="0"/>
              <w:rPr>
                <w:sz w:val="9"/>
                <w:szCs w:val="9"/>
                <w:color w:val="auto"/>
              </w:rPr>
            </w:pPr>
          </w:p>
        </w:tc>
        <w:tc>
          <w:tcPr>
            <w:tcW w:w="2100" w:type="dxa"/>
            <w:vAlign w:val="bottom"/>
            <w:tcBorders>
              <w:bottom w:val="single" w:sz="8" w:color="auto"/>
              <w:right w:val="single" w:sz="8" w:color="auto"/>
            </w:tcBorders>
            <w:shd w:val="clear" w:color="auto" w:fill="F2F2F2"/>
          </w:tcPr>
          <w:p>
            <w:pPr>
              <w:spacing w:after="0"/>
              <w:rPr>
                <w:sz w:val="9"/>
                <w:szCs w:val="9"/>
                <w:color w:val="auto"/>
              </w:rPr>
            </w:pPr>
          </w:p>
        </w:tc>
        <w:tc>
          <w:tcPr>
            <w:tcW w:w="1740" w:type="dxa"/>
            <w:vAlign w:val="bottom"/>
            <w:tcBorders>
              <w:bottom w:val="single" w:sz="8" w:color="auto"/>
              <w:right w:val="single" w:sz="8" w:color="auto"/>
            </w:tcBorders>
            <w:gridSpan w:val="2"/>
            <w:vMerge w:val="continue"/>
            <w:shd w:val="clear" w:color="auto" w:fill="F2F2F2"/>
          </w:tcPr>
          <w:p>
            <w:pPr>
              <w:spacing w:after="0"/>
              <w:rPr>
                <w:sz w:val="9"/>
                <w:szCs w:val="9"/>
                <w:color w:val="auto"/>
              </w:rPr>
            </w:pPr>
          </w:p>
        </w:tc>
        <w:tc>
          <w:tcPr>
            <w:tcW w:w="164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6,933,084</w:t>
            </w:r>
          </w:p>
        </w:tc>
        <w:tc>
          <w:tcPr>
            <w:tcW w:w="32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242"/>
              <w:spacing w:after="0"/>
              <w:rPr>
                <w:sz w:val="20"/>
                <w:szCs w:val="20"/>
                <w:color w:val="auto"/>
              </w:rPr>
            </w:pPr>
            <w:r>
              <w:rPr>
                <w:rFonts w:ascii="Arial" w:cs="Arial" w:eastAsia="Arial" w:hAnsi="Arial"/>
                <w:sz w:val="18"/>
                <w:szCs w:val="18"/>
                <w:color w:val="auto"/>
                <w:w w:val="90"/>
              </w:rPr>
              <w:t>10/391,001</w:t>
            </w: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ALTERNATING APERTURE PHASE SHIFT</w:t>
            </w:r>
          </w:p>
        </w:tc>
        <w:tc>
          <w:tcPr>
            <w:tcW w:w="17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3/18/2003</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PHOTOMASK HAVING LIGHT ABSORPTION LAYER</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8/23/2005</w:t>
            </w: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7,344,824</w:t>
            </w:r>
          </w:p>
        </w:tc>
        <w:tc>
          <w:tcPr>
            <w:tcW w:w="32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262"/>
              <w:spacing w:after="0"/>
              <w:rPr>
                <w:sz w:val="20"/>
                <w:szCs w:val="20"/>
                <w:color w:val="auto"/>
              </w:rPr>
            </w:pPr>
            <w:r>
              <w:rPr>
                <w:rFonts w:ascii="Arial" w:cs="Arial" w:eastAsia="Arial" w:hAnsi="Arial"/>
                <w:sz w:val="18"/>
                <w:szCs w:val="18"/>
                <w:color w:val="auto"/>
                <w:w w:val="88"/>
              </w:rPr>
              <w:t>11/024,268</w:t>
            </w: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4"/>
              </w:rPr>
              <w:t>ALTERNATING APERTURE PHASE SHIFT</w:t>
            </w:r>
          </w:p>
        </w:tc>
        <w:tc>
          <w:tcPr>
            <w:tcW w:w="17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12/28/2004</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PHOTOMASK HAVING LIGHT ABSORPTION LAYER</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3/18/2008</w:t>
            </w: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6,760,640</w:t>
            </w:r>
          </w:p>
        </w:tc>
        <w:tc>
          <w:tcPr>
            <w:tcW w:w="32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242"/>
              <w:spacing w:after="0"/>
              <w:rPr>
                <w:sz w:val="20"/>
                <w:szCs w:val="20"/>
                <w:color w:val="auto"/>
              </w:rPr>
            </w:pPr>
            <w:r>
              <w:rPr>
                <w:rFonts w:ascii="Arial" w:cs="Arial" w:eastAsia="Arial" w:hAnsi="Arial"/>
                <w:sz w:val="18"/>
                <w:szCs w:val="18"/>
                <w:color w:val="auto"/>
                <w:w w:val="90"/>
              </w:rPr>
              <w:t>10/099,622</w:t>
            </w: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AUTOMATED MANUFACTURING SYSTEM AND</w:t>
            </w:r>
          </w:p>
        </w:tc>
        <w:tc>
          <w:tcPr>
            <w:tcW w:w="17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3/14/2002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METHOD FOR PROCESSING PHOTOMASKS</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7/6/2004</w:t>
            </w: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6,996,450</w:t>
            </w:r>
          </w:p>
        </w:tc>
        <w:tc>
          <w:tcPr>
            <w:tcW w:w="32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242"/>
              <w:spacing w:after="0"/>
              <w:rPr>
                <w:sz w:val="20"/>
                <w:szCs w:val="20"/>
                <w:color w:val="auto"/>
              </w:rPr>
            </w:pPr>
            <w:r>
              <w:rPr>
                <w:rFonts w:ascii="Arial" w:cs="Arial" w:eastAsia="Arial" w:hAnsi="Arial"/>
                <w:sz w:val="18"/>
                <w:szCs w:val="18"/>
                <w:color w:val="auto"/>
                <w:w w:val="90"/>
              </w:rPr>
              <w:t>10/852,532</w:t>
            </w: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AUTOMATED MANUFACTURING SYSTEM AND</w:t>
            </w:r>
          </w:p>
        </w:tc>
        <w:tc>
          <w:tcPr>
            <w:tcW w:w="17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5/24/2004</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METHOD FOR PROCESSING PHOTOMASKS</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2/7/2006</w:t>
            </w: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7,480,539</w:t>
            </w:r>
          </w:p>
        </w:tc>
        <w:tc>
          <w:tcPr>
            <w:tcW w:w="32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262"/>
              <w:spacing w:after="0"/>
              <w:rPr>
                <w:sz w:val="20"/>
                <w:szCs w:val="20"/>
                <w:color w:val="auto"/>
              </w:rPr>
            </w:pPr>
            <w:r>
              <w:rPr>
                <w:rFonts w:ascii="Arial" w:cs="Arial" w:eastAsia="Arial" w:hAnsi="Arial"/>
                <w:sz w:val="18"/>
                <w:szCs w:val="18"/>
                <w:color w:val="auto"/>
                <w:w w:val="88"/>
              </w:rPr>
              <w:t>11/177,459</w:t>
            </w: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AUTOMATED MANUFACTURING SYSTEM AND</w:t>
            </w:r>
          </w:p>
        </w:tc>
        <w:tc>
          <w:tcPr>
            <w:tcW w:w="17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7/8/2005</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gridSpan w:val="2"/>
            <w:vMerge w:val="continue"/>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METHOD FOR PROCESSING PHOTOMASKS</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1/20/2009</w:t>
            </w: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480" w:type="dxa"/>
            <w:vAlign w:val="bottom"/>
            <w:tcBorders>
              <w:left w:val="single" w:sz="8" w:color="auto"/>
            </w:tcBorders>
            <w:vMerge w:val="restart"/>
          </w:tcPr>
          <w:p>
            <w:pPr>
              <w:jc w:val="right"/>
              <w:ind w:right="269"/>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BINARY HALF TONE PHOTOMASKS AND</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1/23/2003</w:t>
            </w:r>
          </w:p>
        </w:tc>
        <w:tc>
          <w:tcPr>
            <w:tcW w:w="1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8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6,828,068</w:t>
            </w:r>
          </w:p>
        </w:tc>
        <w:tc>
          <w:tcPr>
            <w:tcW w:w="320" w:type="dxa"/>
            <w:vAlign w:val="bottom"/>
          </w:tcPr>
          <w:p>
            <w:pPr>
              <w:spacing w:after="0"/>
              <w:rPr>
                <w:sz w:val="9"/>
                <w:szCs w:val="9"/>
                <w:color w:val="auto"/>
              </w:rPr>
            </w:pPr>
          </w:p>
        </w:tc>
        <w:tc>
          <w:tcPr>
            <w:tcW w:w="1400" w:type="dxa"/>
            <w:vAlign w:val="bottom"/>
            <w:tcBorders>
              <w:right w:val="single" w:sz="8" w:color="auto"/>
            </w:tcBorders>
            <w:gridSpan w:val="2"/>
            <w:vMerge w:val="restart"/>
          </w:tcPr>
          <w:p>
            <w:pPr>
              <w:jc w:val="center"/>
              <w:ind w:right="242"/>
              <w:spacing w:after="0"/>
              <w:rPr>
                <w:sz w:val="20"/>
                <w:szCs w:val="20"/>
                <w:color w:val="auto"/>
              </w:rPr>
            </w:pPr>
            <w:r>
              <w:rPr>
                <w:rFonts w:ascii="Arial" w:cs="Arial" w:eastAsia="Arial" w:hAnsi="Arial"/>
                <w:sz w:val="18"/>
                <w:szCs w:val="18"/>
                <w:color w:val="auto"/>
                <w:w w:val="90"/>
              </w:rPr>
              <w:t>10/349,629</w:t>
            </w: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MICROSCOPIC THREE-DIMENSIONAL DEVICES</w:t>
            </w:r>
          </w:p>
        </w:tc>
        <w:tc>
          <w:tcPr>
            <w:tcW w:w="1740" w:type="dxa"/>
            <w:vAlign w:val="bottom"/>
            <w:tcBorders>
              <w:right w:val="single" w:sz="8" w:color="auto"/>
            </w:tcBorders>
            <w:gridSpan w:val="2"/>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48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Borders>
              <w:right w:val="single" w:sz="8" w:color="auto"/>
            </w:tcBorders>
            <w:gridSpan w:val="2"/>
            <w:vMerge w:val="continue"/>
          </w:tcPr>
          <w:p>
            <w:pPr>
              <w:spacing w:after="0"/>
              <w:rPr>
                <w:sz w:val="9"/>
                <w:szCs w:val="9"/>
                <w:color w:val="auto"/>
              </w:rPr>
            </w:pPr>
          </w:p>
        </w:tc>
        <w:tc>
          <w:tcPr>
            <w:tcW w:w="4240" w:type="dxa"/>
            <w:vAlign w:val="bottom"/>
            <w:tcBorders>
              <w:right w:val="single" w:sz="8" w:color="auto"/>
            </w:tcBorders>
            <w:gridSpan w:val="3"/>
            <w:vMerge w:val="continue"/>
          </w:tcPr>
          <w:p>
            <w:pPr>
              <w:spacing w:after="0"/>
              <w:rPr>
                <w:sz w:val="9"/>
                <w:szCs w:val="9"/>
                <w:color w:val="auto"/>
              </w:rPr>
            </w:pP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12/7/2004</w:t>
            </w:r>
          </w:p>
        </w:tc>
        <w:tc>
          <w:tcPr>
            <w:tcW w:w="1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AND METHOD OF FABRICATING THE SAME</w:t>
            </w:r>
          </w:p>
        </w:tc>
        <w:tc>
          <w:tcPr>
            <w:tcW w:w="1740" w:type="dxa"/>
            <w:vAlign w:val="bottom"/>
            <w:tcBorders>
              <w:right w:val="single" w:sz="8" w:color="auto"/>
            </w:tcBorders>
            <w:gridSpan w:val="2"/>
            <w:vMerge w:val="continue"/>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gridSpan w:val="3"/>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4" w:name="page235"/>
    <w:bookmarkEnd w:id="2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0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15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7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42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Title</w:t>
            </w:r>
          </w:p>
        </w:tc>
        <w:tc>
          <w:tcPr>
            <w:tcW w:w="1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Filing Date/</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1720" w:type="dxa"/>
            <w:vAlign w:val="bottom"/>
            <w:tcBorders>
              <w:right w:val="single" w:sz="8" w:color="auto"/>
            </w:tcBorders>
            <w:vMerge w:val="continue"/>
            <w:shd w:val="clear" w:color="auto" w:fill="F2F2F2"/>
          </w:tcPr>
          <w:p>
            <w:pPr>
              <w:spacing w:after="0"/>
              <w:rPr>
                <w:sz w:val="10"/>
                <w:szCs w:val="10"/>
                <w:color w:val="auto"/>
              </w:rPr>
            </w:pPr>
          </w:p>
        </w:tc>
        <w:tc>
          <w:tcPr>
            <w:tcW w:w="4240" w:type="dxa"/>
            <w:vAlign w:val="bottom"/>
            <w:tcBorders>
              <w:right w:val="single" w:sz="8" w:color="auto"/>
            </w:tcBorders>
            <w:vMerge w:val="continue"/>
            <w:shd w:val="clear" w:color="auto" w:fill="F2F2F2"/>
          </w:tcPr>
          <w:p>
            <w:pPr>
              <w:spacing w:after="0"/>
              <w:rPr>
                <w:sz w:val="10"/>
                <w:szCs w:val="10"/>
                <w:color w:val="auto"/>
              </w:rPr>
            </w:pPr>
          </w:p>
        </w:tc>
        <w:tc>
          <w:tcPr>
            <w:tcW w:w="1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500" w:type="dxa"/>
            <w:vAlign w:val="bottom"/>
            <w:tcBorders>
              <w:bottom w:val="single" w:sz="8" w:color="auto"/>
              <w:right w:val="single" w:sz="8" w:color="auto"/>
            </w:tcBorders>
            <w:shd w:val="clear" w:color="auto" w:fill="F2F2F2"/>
          </w:tcPr>
          <w:p>
            <w:pPr>
              <w:spacing w:after="0"/>
              <w:rPr>
                <w:sz w:val="9"/>
                <w:szCs w:val="9"/>
                <w:color w:val="auto"/>
              </w:rPr>
            </w:pPr>
          </w:p>
        </w:tc>
        <w:tc>
          <w:tcPr>
            <w:tcW w:w="1720" w:type="dxa"/>
            <w:vAlign w:val="bottom"/>
            <w:tcBorders>
              <w:bottom w:val="single" w:sz="8" w:color="auto"/>
              <w:right w:val="single" w:sz="8" w:color="auto"/>
            </w:tcBorders>
            <w:shd w:val="clear" w:color="auto" w:fill="F2F2F2"/>
          </w:tcPr>
          <w:p>
            <w:pPr>
              <w:spacing w:after="0"/>
              <w:rPr>
                <w:sz w:val="9"/>
                <w:szCs w:val="9"/>
                <w:color w:val="auto"/>
              </w:rPr>
            </w:pPr>
          </w:p>
        </w:tc>
        <w:tc>
          <w:tcPr>
            <w:tcW w:w="4240" w:type="dxa"/>
            <w:vAlign w:val="bottom"/>
            <w:tcBorders>
              <w:bottom w:val="single" w:sz="8" w:color="auto"/>
              <w:right w:val="single" w:sz="8" w:color="auto"/>
            </w:tcBorders>
            <w:shd w:val="clear" w:color="auto" w:fill="F2F2F2"/>
          </w:tcPr>
          <w:p>
            <w:pPr>
              <w:spacing w:after="0"/>
              <w:rPr>
                <w:sz w:val="9"/>
                <w:szCs w:val="9"/>
                <w:color w:val="auto"/>
              </w:rPr>
            </w:pPr>
          </w:p>
        </w:tc>
        <w:tc>
          <w:tcPr>
            <w:tcW w:w="174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7</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BINARY HALF TONE PHOTOMASKS AND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10/28/2004</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7,074,530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10/975,293</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MICROSCOPIC THREE-DIMENSIONAL DEVICES</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7/11/2006</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AND METHOD OF FABRICATING THE SAME</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8</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BINARY HALF TONE PHOTOMASKS AND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5/24/2006</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7,473,500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11/439,757</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MICROSCOPIC THREE-DIMENSIONAL DEVICES</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1/6/2009</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AND METHOD OF FABRICATING THE SAME</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9</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COMPREHENSIVE FRONT END METHOD AND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5/27/2005</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7,356,374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11/140,004</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SYSTEM FOR AUTOMATICALLY GENERATING</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4/8/2008</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AND PROCESSING A PHOTOMASK ORDERS</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6,682,861</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10/370,408</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DISPOSABLE HARD MASK FOR PHASE SHIFT</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2/19/2003</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PHOTOMASK PLASMA ETCHING</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1/27/2004</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11</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6,472,107</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09/409,454</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DISPOSABLE HARD MASK FOR PHOTOMASK</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9/30/1999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PLASMA ETCHING</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10/29/2002</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12</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6,749,974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10/234,790</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DISPOSABLE HARD MASK FOR PHOTOMASK</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9/3/2002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PLASMA ETCHING</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6/15/2004</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13</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6,908,716</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10/839,025</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DISPOSABLE HARD MASK FOR PHOTOMASK</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5/4/2004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PLASMA ETCHING</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6/21/2005</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6,537,708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09/773,122</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ELECTRICAL CRITICAL DIMENSION</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1/31/2001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MEASUREMENTS ON PHOTOMASK</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3/25/2003</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15</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7,312,004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10/803,847</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EMBEDDED ATTENUATED PHASE SHIFT MASK</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3/18/2004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WITH TUNABLE TRANSMISSION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12/25/2007</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16</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6,524,754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09/766,907</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FUSED SILICA PELLICLE</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1/22/2001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2/25/2003</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6,686,103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10/322,858</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FUSED SILICA PELLICLE</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12/18/2002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2/3/2004</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18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7,351,503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10/733,723</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FUSED SILICA PELLICLE IN INTIMATE CONTACT</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12/11/2003</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WITH THE SURFACE OF A PHOTOMASK</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4/1/2008</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40" w:type="dxa"/>
            <w:vAlign w:val="bottom"/>
          </w:tcPr>
          <w:p>
            <w:pPr>
              <w:jc w:val="right"/>
              <w:ind w:right="2211"/>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6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35" w:name="page236"/>
    <w:bookmarkEnd w:id="2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0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15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7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42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Title</w:t>
            </w:r>
          </w:p>
        </w:tc>
        <w:tc>
          <w:tcPr>
            <w:tcW w:w="1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Filing Date/</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1720" w:type="dxa"/>
            <w:vAlign w:val="bottom"/>
            <w:tcBorders>
              <w:right w:val="single" w:sz="8" w:color="auto"/>
            </w:tcBorders>
            <w:vMerge w:val="continue"/>
            <w:shd w:val="clear" w:color="auto" w:fill="F2F2F2"/>
          </w:tcPr>
          <w:p>
            <w:pPr>
              <w:spacing w:after="0"/>
              <w:rPr>
                <w:sz w:val="10"/>
                <w:szCs w:val="10"/>
                <w:color w:val="auto"/>
              </w:rPr>
            </w:pPr>
          </w:p>
        </w:tc>
        <w:tc>
          <w:tcPr>
            <w:tcW w:w="4240" w:type="dxa"/>
            <w:vAlign w:val="bottom"/>
            <w:tcBorders>
              <w:right w:val="single" w:sz="8" w:color="auto"/>
            </w:tcBorders>
            <w:vMerge w:val="continue"/>
            <w:shd w:val="clear" w:color="auto" w:fill="F2F2F2"/>
          </w:tcPr>
          <w:p>
            <w:pPr>
              <w:spacing w:after="0"/>
              <w:rPr>
                <w:sz w:val="10"/>
                <w:szCs w:val="10"/>
                <w:color w:val="auto"/>
              </w:rPr>
            </w:pPr>
          </w:p>
        </w:tc>
        <w:tc>
          <w:tcPr>
            <w:tcW w:w="1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500" w:type="dxa"/>
            <w:vAlign w:val="bottom"/>
            <w:tcBorders>
              <w:bottom w:val="single" w:sz="8" w:color="auto"/>
              <w:right w:val="single" w:sz="8" w:color="auto"/>
            </w:tcBorders>
            <w:shd w:val="clear" w:color="auto" w:fill="F2F2F2"/>
          </w:tcPr>
          <w:p>
            <w:pPr>
              <w:spacing w:after="0"/>
              <w:rPr>
                <w:sz w:val="9"/>
                <w:szCs w:val="9"/>
                <w:color w:val="auto"/>
              </w:rPr>
            </w:pPr>
          </w:p>
        </w:tc>
        <w:tc>
          <w:tcPr>
            <w:tcW w:w="1720" w:type="dxa"/>
            <w:vAlign w:val="bottom"/>
            <w:tcBorders>
              <w:bottom w:val="single" w:sz="8" w:color="auto"/>
              <w:right w:val="single" w:sz="8" w:color="auto"/>
            </w:tcBorders>
            <w:shd w:val="clear" w:color="auto" w:fill="F2F2F2"/>
          </w:tcPr>
          <w:p>
            <w:pPr>
              <w:spacing w:after="0"/>
              <w:rPr>
                <w:sz w:val="9"/>
                <w:szCs w:val="9"/>
                <w:color w:val="auto"/>
              </w:rPr>
            </w:pPr>
          </w:p>
        </w:tc>
        <w:tc>
          <w:tcPr>
            <w:tcW w:w="4240" w:type="dxa"/>
            <w:vAlign w:val="bottom"/>
            <w:tcBorders>
              <w:bottom w:val="single" w:sz="8" w:color="auto"/>
              <w:right w:val="single" w:sz="8" w:color="auto"/>
            </w:tcBorders>
            <w:shd w:val="clear" w:color="auto" w:fill="F2F2F2"/>
          </w:tcPr>
          <w:p>
            <w:pPr>
              <w:spacing w:after="0"/>
              <w:rPr>
                <w:sz w:val="9"/>
                <w:szCs w:val="9"/>
                <w:color w:val="auto"/>
              </w:rPr>
            </w:pPr>
          </w:p>
        </w:tc>
        <w:tc>
          <w:tcPr>
            <w:tcW w:w="174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19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6,567,588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09/940,947</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METHOD FOR FABRICATING CHIRPED FIBER</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8/28/2001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BRAGG GRATINGS</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5/20/2003</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6,868,209</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10/369,262</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METHOD FOR FABRICATING CHIRPED FIBER</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2/19/2003</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BRAGG GRATINGS</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3/15/2005</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METHOD FOR FABRICATING CONTINUOUS SPACE</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21</w:t>
            </w:r>
          </w:p>
        </w:tc>
        <w:tc>
          <w:tcPr>
            <w:tcW w:w="15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VARIANT ATTENUATING LITHOGRAPHY MASK</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3/26/1999</w:t>
            </w: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6,534,221</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09/277,497</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FOR FABRICATION OF DEVICES WITH THREE-</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3/18/2003</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DIMENSIONAL STRUCTURES AND</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MICROELECTRONICS</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METHOD OF FORMING A SEMICONDUCTOR</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22</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7,435,533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10/920,475</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LAYER USING A PHOTOMASK RETICLE HAVING</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8/18/2004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MULTIPLE VERSIONS OF THE SAME MASK</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10/14/2008</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PATTERN WITH DIFFERENT BIASES</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23</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6,406,818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09/283,087</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METHOD OF MANUFACTURING PHOTOMASKS BY</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3/31/1999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PLASMA ETCHING WITH RESIST STRIPPED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6/18/2002</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6,562,549</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10/136,251</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METHOD OF MANUFACTURING PHOTOMASKS BY</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4/29/2002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PLASMA ETCHING WITH RESIST STRIPPED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5/13/2003</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25</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9,304,334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14/160,142</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MICROFLUIDIC THERMOPTIC ENERGY</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1/21/2014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PROCESSOR</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4/5/2016</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26</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9,933,611</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15/085,828</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MICROFLUIDIC THERMOPTIC ENERGY</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3/30/2016</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PROCESSOR</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4/3/2018</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9,005,848</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12/486,564</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PHOTOMASK HAVING A REDUCED FIELD SIZE</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6/17/2009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AND METHOD OF USING THE SAME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4/14/2015</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9,005,849</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12/820,905</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PHOTOMASK HAVING A REDUCED FIELD SIZE</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6/22/2010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AND METHOD OF USING THE SAME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4/14/2015</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29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6,855,463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10/229,830</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PHOTOMASK HAVING AN INTERMEDIATE</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8/27/2002</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INSPECTION FILM LAYER</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2/15/2005</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30</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PHOTOMASK HAVING AN INTERNAL</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9/9/2003</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7,049,034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10/658,039</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SUBSTANTIALLY TRANSPARENT ETCH STOP</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5/23/2006</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LAYER</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40" w:type="dxa"/>
            <w:vAlign w:val="bottom"/>
          </w:tcPr>
          <w:p>
            <w:pPr>
              <w:jc w:val="right"/>
              <w:ind w:right="2211"/>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6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36" w:name="page237"/>
    <w:bookmarkEnd w:id="2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0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15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7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42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Title</w:t>
            </w:r>
          </w:p>
        </w:tc>
        <w:tc>
          <w:tcPr>
            <w:tcW w:w="1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Filing Date/</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1720" w:type="dxa"/>
            <w:vAlign w:val="bottom"/>
            <w:tcBorders>
              <w:right w:val="single" w:sz="8" w:color="auto"/>
            </w:tcBorders>
            <w:vMerge w:val="continue"/>
            <w:shd w:val="clear" w:color="auto" w:fill="F2F2F2"/>
          </w:tcPr>
          <w:p>
            <w:pPr>
              <w:spacing w:after="0"/>
              <w:rPr>
                <w:sz w:val="10"/>
                <w:szCs w:val="10"/>
                <w:color w:val="auto"/>
              </w:rPr>
            </w:pPr>
          </w:p>
        </w:tc>
        <w:tc>
          <w:tcPr>
            <w:tcW w:w="4240" w:type="dxa"/>
            <w:vAlign w:val="bottom"/>
            <w:tcBorders>
              <w:right w:val="single" w:sz="8" w:color="auto"/>
            </w:tcBorders>
            <w:vMerge w:val="continue"/>
            <w:shd w:val="clear" w:color="auto" w:fill="F2F2F2"/>
          </w:tcPr>
          <w:p>
            <w:pPr>
              <w:spacing w:after="0"/>
              <w:rPr>
                <w:sz w:val="10"/>
                <w:szCs w:val="10"/>
                <w:color w:val="auto"/>
              </w:rPr>
            </w:pPr>
          </w:p>
        </w:tc>
        <w:tc>
          <w:tcPr>
            <w:tcW w:w="1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500" w:type="dxa"/>
            <w:vAlign w:val="bottom"/>
            <w:tcBorders>
              <w:bottom w:val="single" w:sz="8" w:color="auto"/>
              <w:right w:val="single" w:sz="8" w:color="auto"/>
            </w:tcBorders>
            <w:shd w:val="clear" w:color="auto" w:fill="F2F2F2"/>
          </w:tcPr>
          <w:p>
            <w:pPr>
              <w:spacing w:after="0"/>
              <w:rPr>
                <w:sz w:val="9"/>
                <w:szCs w:val="9"/>
                <w:color w:val="auto"/>
              </w:rPr>
            </w:pPr>
          </w:p>
        </w:tc>
        <w:tc>
          <w:tcPr>
            <w:tcW w:w="1720" w:type="dxa"/>
            <w:vAlign w:val="bottom"/>
            <w:tcBorders>
              <w:bottom w:val="single" w:sz="8" w:color="auto"/>
              <w:right w:val="single" w:sz="8" w:color="auto"/>
            </w:tcBorders>
            <w:shd w:val="clear" w:color="auto" w:fill="F2F2F2"/>
          </w:tcPr>
          <w:p>
            <w:pPr>
              <w:spacing w:after="0"/>
              <w:rPr>
                <w:sz w:val="9"/>
                <w:szCs w:val="9"/>
                <w:color w:val="auto"/>
              </w:rPr>
            </w:pPr>
          </w:p>
        </w:tc>
        <w:tc>
          <w:tcPr>
            <w:tcW w:w="4240" w:type="dxa"/>
            <w:vAlign w:val="bottom"/>
            <w:tcBorders>
              <w:bottom w:val="single" w:sz="8" w:color="auto"/>
              <w:right w:val="single" w:sz="8" w:color="auto"/>
            </w:tcBorders>
            <w:shd w:val="clear" w:color="auto" w:fill="F2F2F2"/>
          </w:tcPr>
          <w:p>
            <w:pPr>
              <w:spacing w:after="0"/>
              <w:rPr>
                <w:sz w:val="9"/>
                <w:szCs w:val="9"/>
                <w:color w:val="auto"/>
              </w:rPr>
            </w:pPr>
          </w:p>
        </w:tc>
        <w:tc>
          <w:tcPr>
            <w:tcW w:w="174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31</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PHOTOMASK RETICLE HAVING MULTIPLE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6/14/2004</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7,396,617</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10/866,976</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VERSIONS OF THE SAME MASK PATTERN WITH</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7/8/2008</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DIFFERENT BIASES</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PHOTOMASK WITH DETECTOR FOR OPTIMIZING</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32</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7,790,340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11/788,473</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AN INTEGRATED CIRCUIT PRODUCTION PROCESS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4/20/2007</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AND METHOD OF MANUFACTURING AN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9/7/2010</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INTEGRATED CIRCUIT USING THE SAME</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PHOTOMASK WITH DETECTOR FOR OPTIMIZING</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33</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7,943,273</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12/106,014</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AN INTEGRATED CIRCUIT PRODUCTION PROCESS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4/18/2008</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AND METHOD OF MANUFACTURING AN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5/17/2011</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INTEGRATED CIRCUIT USING THE SAME</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PHOTOMASK WITH DETECTOR FOR OPTIMIZING</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7,910,269</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12/727,342</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AN INTEGRATED CIRCUIT PRODUCTION PROCESS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3/19/2010</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AND METHOD OF MANUFACTURING AN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3/22/2011</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INTEGRATED CIRCUIT USING THE SAME</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35</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RULE BASED SYSTEM AND METHOD FOR</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7/30/2002</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6,842,881</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10/209,254</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AUTOMATICALLY GENERATING PHOTOMASK</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1/11/2005</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ORDERS IN A SPECIFIED ORDER FORMAT</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RULE BASED SYSTEM AND METHOD FOR</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36</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7,669,167</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10/877,001</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AUTOMATICALLY GENERATING PHOTOMASK</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6/25/2004</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ORDERS BY CONDITIONING INFORMATION FROM</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2/23/2010</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 CUSTOMER'S COMPUTER SYSTEM</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7,851,110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12/105,992</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SECURE PHOTOMASK WITH BLOCKING</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4/18/2008</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APERTURE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12/14/2010</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0"/>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40" w:type="dxa"/>
            <w:vAlign w:val="bottom"/>
          </w:tcPr>
          <w:p>
            <w:pPr>
              <w:jc w:val="right"/>
              <w:ind w:right="2211"/>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6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37" w:name="page238"/>
    <w:bookmarkEnd w:id="2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600" w:type="dxa"/>
            <w:vAlign w:val="bottom"/>
            <w:tcBorders>
              <w:top w:val="single" w:sz="8" w:color="auto"/>
              <w:left w:val="single" w:sz="8" w:color="auto"/>
              <w:right w:val="single" w:sz="8" w:color="auto"/>
            </w:tcBorders>
            <w:shd w:val="clear" w:color="auto" w:fill="F2F2F2"/>
          </w:tcPr>
          <w:p>
            <w:pPr>
              <w:spacing w:after="0"/>
              <w:rPr>
                <w:sz w:val="19"/>
                <w:szCs w:val="19"/>
                <w:color w:val="auto"/>
              </w:rPr>
            </w:pPr>
          </w:p>
        </w:tc>
        <w:tc>
          <w:tcPr>
            <w:tcW w:w="15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7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Application Number</w:t>
            </w:r>
          </w:p>
        </w:tc>
        <w:tc>
          <w:tcPr>
            <w:tcW w:w="424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Title</w:t>
            </w:r>
          </w:p>
        </w:tc>
        <w:tc>
          <w:tcPr>
            <w:tcW w:w="1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Filing Date/</w:t>
            </w:r>
          </w:p>
        </w:tc>
        <w:tc>
          <w:tcPr>
            <w:tcW w:w="162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c>
          <w:tcPr>
            <w:tcW w:w="0" w:type="dxa"/>
            <w:vAlign w:val="bottom"/>
          </w:tcPr>
          <w:p>
            <w:pPr>
              <w:spacing w:after="0"/>
              <w:rPr>
                <w:sz w:val="1"/>
                <w:szCs w:val="1"/>
                <w:color w:val="auto"/>
              </w:rPr>
            </w:pPr>
          </w:p>
        </w:tc>
      </w:tr>
      <w:tr>
        <w:trPr>
          <w:trHeight w:val="126"/>
        </w:trPr>
        <w:tc>
          <w:tcPr>
            <w:tcW w:w="600" w:type="dxa"/>
            <w:vAlign w:val="bottom"/>
            <w:tcBorders>
              <w:left w:val="single" w:sz="8" w:color="auto"/>
              <w:right w:val="single" w:sz="8" w:color="auto"/>
            </w:tcBorders>
            <w:shd w:val="clear" w:color="auto" w:fill="F2F2F2"/>
          </w:tcPr>
          <w:p>
            <w:pPr>
              <w:spacing w:after="0"/>
              <w:rPr>
                <w:sz w:val="10"/>
                <w:szCs w:val="10"/>
                <w:color w:val="auto"/>
              </w:rPr>
            </w:pPr>
          </w:p>
        </w:tc>
        <w:tc>
          <w:tcPr>
            <w:tcW w:w="1500" w:type="dxa"/>
            <w:vAlign w:val="bottom"/>
            <w:tcBorders>
              <w:right w:val="single" w:sz="8" w:color="auto"/>
            </w:tcBorders>
            <w:vMerge w:val="continue"/>
            <w:shd w:val="clear" w:color="auto" w:fill="F2F2F2"/>
          </w:tcPr>
          <w:p>
            <w:pPr>
              <w:spacing w:after="0"/>
              <w:rPr>
                <w:sz w:val="10"/>
                <w:szCs w:val="10"/>
                <w:color w:val="auto"/>
              </w:rPr>
            </w:pPr>
          </w:p>
        </w:tc>
        <w:tc>
          <w:tcPr>
            <w:tcW w:w="1720" w:type="dxa"/>
            <w:vAlign w:val="bottom"/>
            <w:tcBorders>
              <w:right w:val="single" w:sz="8" w:color="auto"/>
            </w:tcBorders>
            <w:vMerge w:val="continue"/>
            <w:shd w:val="clear" w:color="auto" w:fill="F2F2F2"/>
          </w:tcPr>
          <w:p>
            <w:pPr>
              <w:spacing w:after="0"/>
              <w:rPr>
                <w:sz w:val="10"/>
                <w:szCs w:val="10"/>
                <w:color w:val="auto"/>
              </w:rPr>
            </w:pPr>
          </w:p>
        </w:tc>
        <w:tc>
          <w:tcPr>
            <w:tcW w:w="4240" w:type="dxa"/>
            <w:vAlign w:val="bottom"/>
            <w:tcBorders>
              <w:right w:val="single" w:sz="8" w:color="auto"/>
            </w:tcBorders>
            <w:vMerge w:val="continue"/>
            <w:shd w:val="clear" w:color="auto" w:fill="F2F2F2"/>
          </w:tcPr>
          <w:p>
            <w:pPr>
              <w:spacing w:after="0"/>
              <w:rPr>
                <w:sz w:val="10"/>
                <w:szCs w:val="10"/>
                <w:color w:val="auto"/>
              </w:rPr>
            </w:pPr>
          </w:p>
        </w:tc>
        <w:tc>
          <w:tcPr>
            <w:tcW w:w="1740" w:type="dxa"/>
            <w:vAlign w:val="bottom"/>
            <w:tcBorders>
              <w:right w:val="single" w:sz="8" w:color="auto"/>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620" w:type="dxa"/>
            <w:vAlign w:val="bottom"/>
            <w:tcBorders>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500" w:type="dxa"/>
            <w:vAlign w:val="bottom"/>
            <w:tcBorders>
              <w:bottom w:val="single" w:sz="8" w:color="auto"/>
              <w:right w:val="single" w:sz="8" w:color="auto"/>
            </w:tcBorders>
            <w:shd w:val="clear" w:color="auto" w:fill="F2F2F2"/>
          </w:tcPr>
          <w:p>
            <w:pPr>
              <w:spacing w:after="0"/>
              <w:rPr>
                <w:sz w:val="9"/>
                <w:szCs w:val="9"/>
                <w:color w:val="auto"/>
              </w:rPr>
            </w:pPr>
          </w:p>
        </w:tc>
        <w:tc>
          <w:tcPr>
            <w:tcW w:w="1720" w:type="dxa"/>
            <w:vAlign w:val="bottom"/>
            <w:tcBorders>
              <w:bottom w:val="single" w:sz="8" w:color="auto"/>
              <w:right w:val="single" w:sz="8" w:color="auto"/>
            </w:tcBorders>
            <w:shd w:val="clear" w:color="auto" w:fill="F2F2F2"/>
          </w:tcPr>
          <w:p>
            <w:pPr>
              <w:spacing w:after="0"/>
              <w:rPr>
                <w:sz w:val="9"/>
                <w:szCs w:val="9"/>
                <w:color w:val="auto"/>
              </w:rPr>
            </w:pPr>
          </w:p>
        </w:tc>
        <w:tc>
          <w:tcPr>
            <w:tcW w:w="4240" w:type="dxa"/>
            <w:vAlign w:val="bottom"/>
            <w:tcBorders>
              <w:bottom w:val="single" w:sz="8" w:color="auto"/>
              <w:right w:val="single" w:sz="8" w:color="auto"/>
            </w:tcBorders>
            <w:shd w:val="clear" w:color="auto" w:fill="F2F2F2"/>
          </w:tcPr>
          <w:p>
            <w:pPr>
              <w:spacing w:after="0"/>
              <w:rPr>
                <w:sz w:val="9"/>
                <w:szCs w:val="9"/>
                <w:color w:val="auto"/>
              </w:rPr>
            </w:pPr>
          </w:p>
        </w:tc>
        <w:tc>
          <w:tcPr>
            <w:tcW w:w="1740" w:type="dxa"/>
            <w:vAlign w:val="bottom"/>
            <w:tcBorders>
              <w:bottom w:val="single" w:sz="8" w:color="auto"/>
              <w:right w:val="single" w:sz="8" w:color="auto"/>
            </w:tcBorders>
            <w:vMerge w:val="continue"/>
            <w:shd w:val="clear" w:color="auto" w:fill="F2F2F2"/>
          </w:tcPr>
          <w:p>
            <w:pPr>
              <w:spacing w:after="0"/>
              <w:rPr>
                <w:sz w:val="9"/>
                <w:szCs w:val="9"/>
                <w:color w:val="auto"/>
              </w:rPr>
            </w:pPr>
          </w:p>
        </w:tc>
        <w:tc>
          <w:tcPr>
            <w:tcW w:w="162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SECURITY ELEMENT FOR AN INTEGRATED</w:t>
            </w:r>
          </w:p>
        </w:tc>
        <w:tc>
          <w:tcPr>
            <w:tcW w:w="17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8,102,031</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12/106,033</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CIRCUIT, INTEGRATED CIRCUIT INCLUDING THE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4/18/2008</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SAME, AND METHOD FOR SECURING AN</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1/24/2012</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600" w:type="dxa"/>
            <w:vAlign w:val="bottom"/>
            <w:tcBorders>
              <w:left w:val="single" w:sz="8" w:color="auto"/>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INTEGRATED CIRCUIT</w:t>
            </w:r>
          </w:p>
        </w:tc>
        <w:tc>
          <w:tcPr>
            <w:tcW w:w="17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39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6,472,766</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09/755,438</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STEP MASK</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1/5/2001</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10/29/2002</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40</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6,139,994</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09/344,251</w:t>
            </w: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USE OF INTERSECTING SUBRESOLUTION</w:t>
            </w:r>
          </w:p>
        </w:tc>
        <w:tc>
          <w:tcPr>
            <w:tcW w:w="1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6/25/1999</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FEATURES FOR MICROLITHOGRAPHY</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10/31/2000</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600" w:type="dxa"/>
            <w:vAlign w:val="bottom"/>
            <w:tcBorders>
              <w:left w:val="single" w:sz="8" w:color="auto"/>
              <w:right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w w:val="99"/>
              </w:rPr>
              <w:t>41</w:t>
            </w:r>
          </w:p>
        </w:tc>
        <w:tc>
          <w:tcPr>
            <w:tcW w:w="15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USER-FRIENDLY RULE-BASED SYSTEM AND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11/3/2004</w:t>
            </w:r>
          </w:p>
        </w:tc>
        <w:tc>
          <w:tcPr>
            <w:tcW w:w="1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7,640,529</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10/981,201</w:t>
            </w: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METHOD FOR AUTOMATICALLY GENERATING</w:t>
            </w:r>
          </w:p>
        </w:tc>
        <w:tc>
          <w:tcPr>
            <w:tcW w:w="1740" w:type="dxa"/>
            <w:vAlign w:val="bottom"/>
            <w:tcBorders>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Photronics, Inc.</w:t>
            </w:r>
          </w:p>
        </w:tc>
        <w:tc>
          <w:tcPr>
            <w:tcW w:w="0" w:type="dxa"/>
            <w:vAlign w:val="bottom"/>
          </w:tcPr>
          <w:p>
            <w:pPr>
              <w:spacing w:after="0"/>
              <w:rPr>
                <w:sz w:val="1"/>
                <w:szCs w:val="1"/>
                <w:color w:val="auto"/>
              </w:rPr>
            </w:pPr>
          </w:p>
        </w:tc>
      </w:tr>
      <w:tr>
        <w:trPr>
          <w:trHeight w:val="107"/>
        </w:trPr>
        <w:tc>
          <w:tcPr>
            <w:tcW w:w="6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12/29/2009</w:t>
            </w:r>
          </w:p>
        </w:tc>
        <w:tc>
          <w:tcPr>
            <w:tcW w:w="16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PHOTOMASK ORDERS</w:t>
            </w:r>
          </w:p>
        </w:tc>
        <w:tc>
          <w:tcPr>
            <w:tcW w:w="1740" w:type="dxa"/>
            <w:vAlign w:val="bottom"/>
            <w:tcBorders>
              <w:right w:val="single" w:sz="8" w:color="auto"/>
            </w:tcBorders>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4240" w:type="dxa"/>
            <w:vAlign w:val="bottom"/>
            <w:tcBorders>
              <w:bottom w:val="single" w:sz="8" w:color="auto"/>
              <w:right w:val="single" w:sz="8" w:color="auto"/>
            </w:tcBorders>
            <w:vMerge w:val="continue"/>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40" w:type="dxa"/>
            <w:vAlign w:val="bottom"/>
          </w:tcPr>
          <w:p>
            <w:pPr>
              <w:jc w:val="right"/>
              <w:ind w:right="2211"/>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277"/>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Does not include patents owned by Photronics jointly with a third party</w:t>
      </w:r>
    </w:p>
    <w:p>
      <w:pPr>
        <w:spacing w:after="0" w:line="247"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color w:val="auto"/>
        </w:rPr>
        <w:t>C.  Copyrights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4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Copyright</w:t>
            </w:r>
          </w:p>
        </w:tc>
        <w:tc>
          <w:tcPr>
            <w:tcW w:w="180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Reg. Date</w:t>
            </w:r>
          </w:p>
        </w:tc>
        <w:tc>
          <w:tcPr>
            <w:tcW w:w="328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3"/>
              </w:rPr>
              <w:t>Copyright Number</w:t>
            </w:r>
          </w:p>
        </w:tc>
        <w:tc>
          <w:tcPr>
            <w:tcW w:w="340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Owner</w:t>
            </w:r>
          </w:p>
        </w:tc>
      </w:tr>
      <w:tr>
        <w:trPr>
          <w:trHeight w:val="215"/>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Template</w:t>
            </w:r>
          </w:p>
        </w:tc>
        <w:tc>
          <w:tcPr>
            <w:tcW w:w="1800" w:type="dxa"/>
            <w:vAlign w:val="bottom"/>
            <w:tcBorders>
              <w:right w:val="single" w:sz="8" w:color="auto"/>
            </w:tcBorders>
          </w:tcPr>
          <w:p>
            <w:pPr>
              <w:jc w:val="right"/>
              <w:ind w:right="511"/>
              <w:spacing w:after="0"/>
              <w:rPr>
                <w:sz w:val="20"/>
                <w:szCs w:val="20"/>
                <w:color w:val="auto"/>
              </w:rPr>
            </w:pPr>
            <w:r>
              <w:rPr>
                <w:rFonts w:ascii="Arial" w:cs="Arial" w:eastAsia="Arial" w:hAnsi="Arial"/>
                <w:sz w:val="18"/>
                <w:szCs w:val="18"/>
                <w:color w:val="auto"/>
              </w:rPr>
              <w:t>9/7/1993</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TXu000597428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Photronics, Inc.</w:t>
            </w:r>
          </w:p>
        </w:tc>
      </w:tr>
      <w:tr>
        <w:trPr>
          <w:trHeight w:val="390"/>
        </w:trPr>
        <w:tc>
          <w:tcPr>
            <w:tcW w:w="2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80" w:type="dxa"/>
            <w:vAlign w:val="bottom"/>
          </w:tcPr>
          <w:p>
            <w:pPr>
              <w:jc w:val="right"/>
              <w:ind w:right="2171"/>
              <w:spacing w:after="0"/>
              <w:rPr>
                <w:sz w:val="20"/>
                <w:szCs w:val="20"/>
                <w:color w:val="auto"/>
              </w:rPr>
            </w:pPr>
            <w:r>
              <w:rPr>
                <w:rFonts w:ascii="Arial" w:cs="Arial" w:eastAsia="Arial" w:hAnsi="Arial"/>
                <w:sz w:val="18"/>
                <w:szCs w:val="18"/>
                <w:color w:val="auto"/>
              </w:rPr>
              <w:t>9</w:t>
            </w:r>
          </w:p>
        </w:tc>
        <w:tc>
          <w:tcPr>
            <w:tcW w:w="3400" w:type="dxa"/>
            <w:vAlign w:val="bottom"/>
          </w:tcPr>
          <w:p>
            <w:pPr>
              <w:spacing w:after="0"/>
              <w:rPr>
                <w:sz w:val="24"/>
                <w:szCs w:val="24"/>
                <w:color w:val="auto"/>
              </w:rPr>
            </w:pPr>
          </w:p>
        </w:tc>
      </w:tr>
      <w:tr>
        <w:trPr>
          <w:trHeight w:val="60"/>
        </w:trPr>
        <w:tc>
          <w:tcPr>
            <w:tcW w:w="29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0" w:right="239" w:bottom="1440" w:gutter="0" w:footer="0" w:header="0"/>
        </w:sectPr>
      </w:pPr>
    </w:p>
    <w:bookmarkStart w:id="238" w:name="page239"/>
    <w:bookmarkEnd w:id="2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680" w:type="dxa"/>
            <w:vAlign w:val="bottom"/>
          </w:tcPr>
          <w:p>
            <w:pPr>
              <w:ind w:left="480"/>
              <w:spacing w:after="0"/>
              <w:rPr>
                <w:sz w:val="20"/>
                <w:szCs w:val="20"/>
                <w:color w:val="auto"/>
              </w:rPr>
            </w:pPr>
            <w:r>
              <w:rPr>
                <w:rFonts w:ascii="Arial" w:cs="Arial" w:eastAsia="Arial" w:hAnsi="Arial"/>
                <w:sz w:val="18"/>
                <w:szCs w:val="18"/>
                <w:color w:val="auto"/>
              </w:rPr>
              <w:t>D.  Domain Names</w:t>
            </w:r>
          </w:p>
        </w:tc>
        <w:tc>
          <w:tcPr>
            <w:tcW w:w="4240" w:type="dxa"/>
            <w:vAlign w:val="bottom"/>
          </w:tcPr>
          <w:p>
            <w:pPr>
              <w:spacing w:after="0"/>
              <w:rPr>
                <w:sz w:val="19"/>
                <w:szCs w:val="19"/>
                <w:color w:val="auto"/>
              </w:rPr>
            </w:pPr>
          </w:p>
        </w:tc>
      </w:tr>
      <w:tr>
        <w:trPr>
          <w:trHeight w:val="442"/>
        </w:trPr>
        <w:tc>
          <w:tcPr>
            <w:tcW w:w="4500" w:type="dxa"/>
            <w:vAlign w:val="bottom"/>
          </w:tcPr>
          <w:p>
            <w:pPr>
              <w:ind w:left="2340"/>
              <w:spacing w:after="0"/>
              <w:rPr>
                <w:sz w:val="20"/>
                <w:szCs w:val="20"/>
                <w:color w:val="auto"/>
              </w:rPr>
            </w:pPr>
            <w:r>
              <w:rPr>
                <w:rFonts w:ascii="Arial" w:cs="Arial" w:eastAsia="Arial" w:hAnsi="Arial"/>
                <w:sz w:val="18"/>
                <w:szCs w:val="18"/>
                <w:b w:val="1"/>
                <w:bCs w:val="1"/>
                <w:color w:val="auto"/>
              </w:rPr>
              <w:t>Domain Name</w:t>
            </w:r>
          </w:p>
        </w:tc>
        <w:tc>
          <w:tcPr>
            <w:tcW w:w="2680" w:type="dxa"/>
            <w:vAlign w:val="bottom"/>
          </w:tcPr>
          <w:p>
            <w:pPr>
              <w:ind w:left="440"/>
              <w:spacing w:after="0"/>
              <w:rPr>
                <w:sz w:val="20"/>
                <w:szCs w:val="20"/>
                <w:color w:val="auto"/>
              </w:rPr>
            </w:pPr>
            <w:r>
              <w:rPr>
                <w:rFonts w:ascii="Arial" w:cs="Arial" w:eastAsia="Arial" w:hAnsi="Arial"/>
                <w:sz w:val="18"/>
                <w:szCs w:val="18"/>
                <w:b w:val="1"/>
                <w:bCs w:val="1"/>
                <w:color w:val="auto"/>
              </w:rPr>
              <w:t>Account No.</w:t>
            </w:r>
          </w:p>
        </w:tc>
        <w:tc>
          <w:tcPr>
            <w:tcW w:w="4240" w:type="dxa"/>
            <w:vAlign w:val="bottom"/>
          </w:tcPr>
          <w:p>
            <w:pPr>
              <w:jc w:val="right"/>
              <w:ind w:right="2191"/>
              <w:spacing w:after="0"/>
              <w:rPr>
                <w:sz w:val="20"/>
                <w:szCs w:val="20"/>
                <w:color w:val="auto"/>
              </w:rPr>
            </w:pPr>
            <w:r>
              <w:rPr>
                <w:rFonts w:ascii="Arial" w:cs="Arial" w:eastAsia="Arial" w:hAnsi="Arial"/>
                <w:sz w:val="18"/>
                <w:szCs w:val="18"/>
                <w:b w:val="1"/>
                <w:bCs w:val="1"/>
                <w:color w:val="auto"/>
              </w:rPr>
              <w:t>Expiration Date</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cybermask.com</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6/18/2012</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cybermask.info</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spacing w:after="0"/>
              <w:rPr>
                <w:sz w:val="18"/>
                <w:szCs w:val="18"/>
                <w:color w:val="auto"/>
              </w:rPr>
            </w:pP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cybermask.net</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11/15/2009</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cybermask.org</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spacing w:after="0"/>
              <w:rPr>
                <w:sz w:val="18"/>
                <w:szCs w:val="18"/>
                <w:color w:val="auto"/>
              </w:rPr>
            </w:pP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maskpilot.com</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9/23/2009</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mymaskshop.com</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1/21/2012</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phototronics.biz</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11/18/2011</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photronics.com</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31"/>
              <w:spacing w:after="0"/>
              <w:rPr>
                <w:sz w:val="20"/>
                <w:szCs w:val="20"/>
                <w:color w:val="auto"/>
              </w:rPr>
            </w:pPr>
            <w:r>
              <w:rPr>
                <w:rFonts w:ascii="Arial" w:cs="Arial" w:eastAsia="Arial" w:hAnsi="Arial"/>
                <w:sz w:val="18"/>
                <w:szCs w:val="18"/>
                <w:color w:val="auto"/>
              </w:rPr>
              <w:t>11/18/2012</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photronics.info</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51"/>
              <w:spacing w:after="0"/>
              <w:rPr>
                <w:sz w:val="20"/>
                <w:szCs w:val="20"/>
                <w:color w:val="auto"/>
              </w:rPr>
            </w:pPr>
            <w:r>
              <w:rPr>
                <w:rFonts w:ascii="Arial" w:cs="Arial" w:eastAsia="Arial" w:hAnsi="Arial"/>
                <w:sz w:val="18"/>
                <w:szCs w:val="18"/>
                <w:color w:val="auto"/>
              </w:rPr>
              <w:t>12/20/2009</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photronics.us</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51"/>
              <w:spacing w:after="0"/>
              <w:rPr>
                <w:sz w:val="20"/>
                <w:szCs w:val="20"/>
                <w:color w:val="auto"/>
              </w:rPr>
            </w:pPr>
            <w:r>
              <w:rPr>
                <w:rFonts w:ascii="Arial" w:cs="Arial" w:eastAsia="Arial" w:hAnsi="Arial"/>
                <w:sz w:val="18"/>
                <w:szCs w:val="18"/>
                <w:color w:val="auto"/>
              </w:rPr>
              <w:t>4/18/2011</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yourvirtualmaskfab.com</w:t>
            </w:r>
          </w:p>
        </w:tc>
        <w:tc>
          <w:tcPr>
            <w:tcW w:w="2680" w:type="dxa"/>
            <w:vAlign w:val="bottom"/>
          </w:tcPr>
          <w:p>
            <w:pPr>
              <w:ind w:left="420"/>
              <w:spacing w:after="0"/>
              <w:rPr>
                <w:sz w:val="20"/>
                <w:szCs w:val="20"/>
                <w:color w:val="auto"/>
              </w:rPr>
            </w:pPr>
            <w:r>
              <w:rPr>
                <w:rFonts w:ascii="Arial" w:cs="Arial" w:eastAsia="Arial" w:hAnsi="Arial"/>
                <w:sz w:val="18"/>
                <w:szCs w:val="18"/>
                <w:color w:val="auto"/>
              </w:rPr>
              <w:t>23023992</w:t>
            </w:r>
          </w:p>
        </w:tc>
        <w:tc>
          <w:tcPr>
            <w:tcW w:w="4240" w:type="dxa"/>
            <w:vAlign w:val="bottom"/>
          </w:tcPr>
          <w:p>
            <w:pPr>
              <w:jc w:val="right"/>
              <w:ind w:right="2251"/>
              <w:spacing w:after="0"/>
              <w:rPr>
                <w:sz w:val="20"/>
                <w:szCs w:val="20"/>
                <w:color w:val="auto"/>
              </w:rPr>
            </w:pPr>
            <w:r>
              <w:rPr>
                <w:rFonts w:ascii="Arial" w:cs="Arial" w:eastAsia="Arial" w:hAnsi="Arial"/>
                <w:sz w:val="18"/>
                <w:szCs w:val="18"/>
                <w:color w:val="auto"/>
              </w:rPr>
              <w:t>4/5/2010</w:t>
            </w:r>
          </w:p>
        </w:tc>
      </w:tr>
      <w:tr>
        <w:trPr>
          <w:trHeight w:val="215"/>
        </w:trPr>
        <w:tc>
          <w:tcPr>
            <w:tcW w:w="4500" w:type="dxa"/>
            <w:vAlign w:val="bottom"/>
          </w:tcPr>
          <w:p>
            <w:pPr>
              <w:ind w:left="2340"/>
              <w:spacing w:after="0"/>
              <w:rPr>
                <w:sz w:val="20"/>
                <w:szCs w:val="20"/>
                <w:color w:val="auto"/>
              </w:rPr>
            </w:pPr>
            <w:r>
              <w:rPr>
                <w:rFonts w:ascii="Arial" w:cs="Arial" w:eastAsia="Arial" w:hAnsi="Arial"/>
                <w:sz w:val="18"/>
                <w:szCs w:val="18"/>
                <w:color w:val="auto"/>
              </w:rPr>
              <w:t>photronics.net.cn</w:t>
            </w:r>
          </w:p>
        </w:tc>
        <w:tc>
          <w:tcPr>
            <w:tcW w:w="268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9"/>
        </w:trPr>
        <w:tc>
          <w:tcPr>
            <w:tcW w:w="4500" w:type="dxa"/>
            <w:vAlign w:val="bottom"/>
          </w:tcPr>
          <w:p>
            <w:pPr>
              <w:ind w:left="2340"/>
              <w:spacing w:after="0"/>
              <w:rPr>
                <w:sz w:val="20"/>
                <w:szCs w:val="20"/>
                <w:color w:val="auto"/>
              </w:rPr>
            </w:pPr>
            <w:r>
              <w:rPr>
                <w:rFonts w:ascii="Arial" w:cs="Arial" w:eastAsia="Arial" w:hAnsi="Arial"/>
                <w:sz w:val="18"/>
                <w:szCs w:val="18"/>
                <w:color w:val="auto"/>
              </w:rPr>
              <w:t>pkl.co.kr</w:t>
            </w:r>
          </w:p>
        </w:tc>
        <w:tc>
          <w:tcPr>
            <w:tcW w:w="268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389"/>
        </w:trPr>
        <w:tc>
          <w:tcPr>
            <w:tcW w:w="4500" w:type="dxa"/>
            <w:vAlign w:val="bottom"/>
          </w:tcPr>
          <w:p>
            <w:pPr>
              <w:spacing w:after="0"/>
              <w:rPr>
                <w:sz w:val="24"/>
                <w:szCs w:val="24"/>
                <w:color w:val="auto"/>
              </w:rPr>
            </w:pPr>
          </w:p>
        </w:tc>
        <w:tc>
          <w:tcPr>
            <w:tcW w:w="2680" w:type="dxa"/>
            <w:vAlign w:val="bottom"/>
          </w:tcPr>
          <w:p>
            <w:pPr>
              <w:ind w:left="1120"/>
              <w:spacing w:after="0"/>
              <w:rPr>
                <w:sz w:val="20"/>
                <w:szCs w:val="20"/>
                <w:color w:val="auto"/>
              </w:rPr>
            </w:pPr>
            <w:r>
              <w:rPr>
                <w:rFonts w:ascii="Arial" w:cs="Arial" w:eastAsia="Arial" w:hAnsi="Arial"/>
                <w:sz w:val="18"/>
                <w:szCs w:val="18"/>
                <w:color w:val="auto"/>
              </w:rPr>
              <w:t>10</w:t>
            </w:r>
          </w:p>
        </w:tc>
        <w:tc>
          <w:tcPr>
            <w:tcW w:w="4240" w:type="dxa"/>
            <w:vAlign w:val="bottom"/>
          </w:tcPr>
          <w:p>
            <w:pPr>
              <w:spacing w:after="0"/>
              <w:rPr>
                <w:sz w:val="24"/>
                <w:szCs w:val="24"/>
                <w:color w:val="auto"/>
              </w:rPr>
            </w:pPr>
          </w:p>
        </w:tc>
      </w:tr>
      <w:tr>
        <w:trPr>
          <w:trHeight w:val="60"/>
        </w:trPr>
        <w:tc>
          <w:tcPr>
            <w:tcW w:w="45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5"/>
          </w:tcPr>
          <w:p>
            <w:pPr>
              <w:jc w:val="center"/>
              <w:ind w:right="580"/>
              <w:spacing w:after="0"/>
              <w:rPr>
                <w:sz w:val="20"/>
                <w:szCs w:val="20"/>
                <w:color w:val="auto"/>
              </w:rPr>
            </w:pPr>
            <w:r>
              <w:rPr>
                <w:rFonts w:ascii="Arial" w:cs="Arial" w:eastAsia="Arial" w:hAnsi="Arial"/>
                <w:sz w:val="18"/>
                <w:szCs w:val="18"/>
                <w:color w:val="auto"/>
              </w:rPr>
              <w:t>EXHIBIT “C”</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15"/>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List of Pledged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9"/>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9"/>
          </w:tcPr>
          <w:p>
            <w:pPr>
              <w:jc w:val="center"/>
              <w:ind w:left="111"/>
              <w:spacing w:after="0" w:line="189" w:lineRule="exact"/>
              <w:rPr>
                <w:sz w:val="20"/>
                <w:szCs w:val="20"/>
                <w:color w:val="auto"/>
              </w:rPr>
            </w:pPr>
            <w:r>
              <w:rPr>
                <w:rFonts w:ascii="Arial" w:cs="Arial" w:eastAsia="Arial" w:hAnsi="Arial"/>
                <w:sz w:val="18"/>
                <w:szCs w:val="18"/>
                <w:color w:val="auto"/>
                <w:w w:val="89"/>
              </w:rPr>
              <w:t>(See Section 3.10 of Security Agreement)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0"/>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5"/>
          </w:tcPr>
          <w:p>
            <w:pPr>
              <w:jc w:val="center"/>
              <w:ind w:right="600"/>
              <w:spacing w:after="0"/>
              <w:rPr>
                <w:sz w:val="20"/>
                <w:szCs w:val="20"/>
                <w:color w:val="auto"/>
              </w:rPr>
            </w:pPr>
            <w:r>
              <w:rPr>
                <w:rFonts w:ascii="Arial" w:cs="Arial" w:eastAsia="Arial" w:hAnsi="Arial"/>
                <w:sz w:val="18"/>
                <w:szCs w:val="18"/>
                <w:color w:val="auto"/>
                <w:w w:val="92"/>
              </w:rPr>
              <w:t>A. STOCKS: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gridSpan w:val="6"/>
          </w:tcPr>
          <w:p>
            <w:pPr>
              <w:ind w:left="320"/>
              <w:spacing w:after="0"/>
              <w:rPr>
                <w:sz w:val="20"/>
                <w:szCs w:val="20"/>
                <w:color w:val="auto"/>
              </w:rPr>
            </w:pPr>
            <w:r>
              <w:rPr>
                <w:rFonts w:ascii="Arial" w:cs="Arial" w:eastAsia="Arial" w:hAnsi="Arial"/>
                <w:sz w:val="18"/>
                <w:szCs w:val="18"/>
                <w:color w:val="auto"/>
                <w:w w:val="90"/>
              </w:rPr>
              <w:t>Certificate Number</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9"/>
              </w:rPr>
              <w:t>Number of Shares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1"/>
        </w:trPr>
        <w:tc>
          <w:tcPr>
            <w:tcW w:w="2120" w:type="dxa"/>
            <w:vAlign w:val="bottom"/>
            <w:gridSpan w:val="4"/>
          </w:tcPr>
          <w:p>
            <w:pPr>
              <w:spacing w:after="0"/>
              <w:rPr>
                <w:sz w:val="20"/>
                <w:szCs w:val="20"/>
                <w:color w:val="auto"/>
              </w:rPr>
            </w:pPr>
            <w:r>
              <w:rPr>
                <w:rFonts w:ascii="Arial" w:cs="Arial" w:eastAsia="Arial" w:hAnsi="Arial"/>
                <w:sz w:val="18"/>
                <w:szCs w:val="18"/>
                <w:color w:val="auto"/>
              </w:rPr>
              <w:t>Photronics California, Inc.</w:t>
            </w:r>
          </w:p>
        </w:tc>
        <w:tc>
          <w:tcPr>
            <w:tcW w:w="1560" w:type="dxa"/>
            <w:vAlign w:val="bottom"/>
            <w:gridSpan w:val="4"/>
          </w:tcPr>
          <w:p>
            <w:pPr>
              <w:ind w:left="12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5"/>
        </w:trPr>
        <w:tc>
          <w:tcPr>
            <w:tcW w:w="2120" w:type="dxa"/>
            <w:vAlign w:val="bottom"/>
            <w:gridSpan w:val="4"/>
          </w:tcPr>
          <w:p>
            <w:pPr>
              <w:spacing w:after="0"/>
              <w:rPr>
                <w:sz w:val="20"/>
                <w:szCs w:val="20"/>
                <w:color w:val="auto"/>
              </w:rPr>
            </w:pPr>
            <w:r>
              <w:rPr>
                <w:rFonts w:ascii="Arial" w:cs="Arial" w:eastAsia="Arial" w:hAnsi="Arial"/>
                <w:sz w:val="18"/>
                <w:szCs w:val="18"/>
                <w:color w:val="auto"/>
                <w:w w:val="94"/>
              </w:rPr>
              <w:t>Photronics Texas Allen, Inc.</w:t>
            </w:r>
          </w:p>
        </w:tc>
        <w:tc>
          <w:tcPr>
            <w:tcW w:w="1560" w:type="dxa"/>
            <w:vAlign w:val="bottom"/>
            <w:gridSpan w:val="4"/>
          </w:tcPr>
          <w:p>
            <w:pPr>
              <w:ind w:left="12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9"/>
        </w:trPr>
        <w:tc>
          <w:tcPr>
            <w:tcW w:w="2120" w:type="dxa"/>
            <w:vAlign w:val="bottom"/>
            <w:gridSpan w:val="4"/>
          </w:tcPr>
          <w:p>
            <w:pPr>
              <w:spacing w:after="0"/>
              <w:rPr>
                <w:sz w:val="20"/>
                <w:szCs w:val="20"/>
                <w:color w:val="auto"/>
              </w:rPr>
            </w:pPr>
            <w:r>
              <w:rPr>
                <w:rFonts w:ascii="Arial" w:cs="Arial" w:eastAsia="Arial" w:hAnsi="Arial"/>
                <w:sz w:val="18"/>
                <w:szCs w:val="18"/>
                <w:color w:val="auto"/>
              </w:rPr>
              <w:t>Photronics Idaho, Inc.</w:t>
            </w:r>
          </w:p>
        </w:tc>
        <w:tc>
          <w:tcPr>
            <w:tcW w:w="1560" w:type="dxa"/>
            <w:vAlign w:val="bottom"/>
            <w:gridSpan w:val="4"/>
          </w:tcPr>
          <w:p>
            <w:pPr>
              <w:ind w:left="12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645"/>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5"/>
          </w:tcPr>
          <w:p>
            <w:pPr>
              <w:jc w:val="center"/>
              <w:ind w:right="600"/>
              <w:spacing w:after="0"/>
              <w:rPr>
                <w:sz w:val="20"/>
                <w:szCs w:val="20"/>
                <w:color w:val="auto"/>
              </w:rPr>
            </w:pPr>
            <w:r>
              <w:rPr>
                <w:rFonts w:ascii="Arial" w:cs="Arial" w:eastAsia="Arial" w:hAnsi="Arial"/>
                <w:sz w:val="18"/>
                <w:szCs w:val="18"/>
                <w:color w:val="auto"/>
                <w:w w:val="94"/>
              </w:rPr>
              <w:t>B. BONDS: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9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w w:val="89"/>
              </w:rPr>
              <w:t>Face Amount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w w:val="86"/>
              </w:rPr>
              <w:t>Coupon Rate</w:t>
            </w:r>
          </w:p>
        </w:tc>
        <w:tc>
          <w:tcPr>
            <w:tcW w:w="13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8"/>
                <w:szCs w:val="18"/>
                <w:color w:val="auto"/>
              </w:rPr>
              <w:t>Maturity</w:t>
            </w:r>
          </w:p>
        </w:tc>
      </w:tr>
      <w:tr>
        <w:trPr>
          <w:trHeight w:val="20"/>
        </w:trPr>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65"/>
        </w:trPr>
        <w:tc>
          <w:tcPr>
            <w:tcW w:w="1360" w:type="dxa"/>
            <w:vAlign w:val="bottom"/>
            <w:gridSpan w:val="2"/>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59"/>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9"/>
          </w:tcPr>
          <w:p>
            <w:pPr>
              <w:jc w:val="center"/>
              <w:ind w:left="111"/>
              <w:spacing w:after="0"/>
              <w:rPr>
                <w:sz w:val="20"/>
                <w:szCs w:val="20"/>
                <w:color w:val="auto"/>
              </w:rPr>
            </w:pPr>
            <w:r>
              <w:rPr>
                <w:rFonts w:ascii="Arial" w:cs="Arial" w:eastAsia="Arial" w:hAnsi="Arial"/>
                <w:sz w:val="18"/>
                <w:szCs w:val="18"/>
                <w:color w:val="auto"/>
                <w:w w:val="95"/>
              </w:rPr>
              <w:t>C. GOVERNMENT SECURITIES: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9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gridSpan w:val="6"/>
          </w:tcPr>
          <w:p>
            <w:pPr>
              <w:spacing w:after="0"/>
              <w:rPr>
                <w:sz w:val="20"/>
                <w:szCs w:val="20"/>
                <w:color w:val="auto"/>
              </w:rPr>
            </w:pPr>
            <w:r>
              <w:rPr>
                <w:rFonts w:ascii="Arial" w:cs="Arial" w:eastAsia="Arial" w:hAnsi="Arial"/>
                <w:sz w:val="18"/>
                <w:szCs w:val="18"/>
                <w:color w:val="auto"/>
              </w:rPr>
              <w:t>Type</w:t>
            </w:r>
          </w:p>
        </w:tc>
        <w:tc>
          <w:tcPr>
            <w:tcW w:w="2480" w:type="dxa"/>
            <w:vAlign w:val="bottom"/>
            <w:gridSpan w:val="6"/>
          </w:tcPr>
          <w:p>
            <w:pPr>
              <w:ind w:left="20"/>
              <w:spacing w:after="0"/>
              <w:rPr>
                <w:sz w:val="20"/>
                <w:szCs w:val="20"/>
                <w:color w:val="auto"/>
              </w:rPr>
            </w:pPr>
            <w:r>
              <w:rPr>
                <w:rFonts w:ascii="Arial" w:cs="Arial" w:eastAsia="Arial" w:hAnsi="Arial"/>
                <w:sz w:val="18"/>
                <w:szCs w:val="18"/>
                <w:color w:val="auto"/>
              </w:rPr>
              <w:t>Face Amount</w:t>
            </w:r>
          </w:p>
        </w:tc>
        <w:tc>
          <w:tcPr>
            <w:tcW w:w="1480" w:type="dxa"/>
            <w:vAlign w:val="bottom"/>
            <w:gridSpan w:val="4"/>
          </w:tcPr>
          <w:p>
            <w:pPr>
              <w:spacing w:after="0"/>
              <w:rPr>
                <w:sz w:val="20"/>
                <w:szCs w:val="20"/>
                <w:color w:val="auto"/>
              </w:rPr>
            </w:pPr>
            <w:r>
              <w:rPr>
                <w:rFonts w:ascii="Arial" w:cs="Arial" w:eastAsia="Arial" w:hAnsi="Arial"/>
                <w:sz w:val="18"/>
                <w:szCs w:val="18"/>
                <w:color w:val="auto"/>
              </w:rPr>
              <w:t>Coupon Rate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w w:val="93"/>
              </w:rPr>
              <w:t>Maturity</w:t>
            </w:r>
          </w:p>
        </w:tc>
      </w:tr>
      <w:tr>
        <w:trPr>
          <w:trHeight w:val="20"/>
        </w:trPr>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665"/>
        </w:trPr>
        <w:tc>
          <w:tcPr>
            <w:tcW w:w="1360" w:type="dxa"/>
            <w:vAlign w:val="bottom"/>
            <w:gridSpan w:val="2"/>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45"/>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gridSpan w:val="16"/>
          </w:tcPr>
          <w:p>
            <w:pPr>
              <w:jc w:val="center"/>
              <w:ind w:right="360"/>
              <w:spacing w:after="0"/>
              <w:rPr>
                <w:sz w:val="20"/>
                <w:szCs w:val="20"/>
                <w:color w:val="auto"/>
              </w:rPr>
            </w:pPr>
            <w:r>
              <w:rPr>
                <w:rFonts w:ascii="Arial" w:cs="Arial" w:eastAsia="Arial" w:hAnsi="Arial"/>
                <w:sz w:val="18"/>
                <w:szCs w:val="18"/>
                <w:color w:val="auto"/>
                <w:w w:val="94"/>
              </w:rPr>
              <w:t>D. OTHER SECURITIES OR OTHER INVESTMENT PROPERTY</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9"/>
        </w:trPr>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40" w:type="dxa"/>
            <w:vAlign w:val="bottom"/>
            <w:gridSpan w:val="13"/>
          </w:tcPr>
          <w:p>
            <w:pPr>
              <w:jc w:val="center"/>
              <w:ind w:right="1280"/>
              <w:spacing w:after="0"/>
              <w:rPr>
                <w:sz w:val="20"/>
                <w:szCs w:val="20"/>
                <w:color w:val="auto"/>
              </w:rPr>
            </w:pPr>
            <w:r>
              <w:rPr>
                <w:rFonts w:ascii="Arial" w:cs="Arial" w:eastAsia="Arial" w:hAnsi="Arial"/>
                <w:sz w:val="18"/>
                <w:szCs w:val="18"/>
                <w:color w:val="auto"/>
                <w:w w:val="95"/>
              </w:rPr>
              <w:t>(CERTIFICATED AND UNCERTIFICATED):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color w:val="auto"/>
              </w:rPr>
              <w:t>Description of Collateral</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gridSpan w:val="11"/>
          </w:tcPr>
          <w:p>
            <w:pPr>
              <w:ind w:left="540"/>
              <w:spacing w:after="0"/>
              <w:rPr>
                <w:sz w:val="20"/>
                <w:szCs w:val="20"/>
                <w:color w:val="auto"/>
              </w:rPr>
            </w:pPr>
            <w:r>
              <w:rPr>
                <w:rFonts w:ascii="Arial" w:cs="Arial" w:eastAsia="Arial" w:hAnsi="Arial"/>
                <w:sz w:val="18"/>
                <w:szCs w:val="18"/>
                <w:color w:val="auto"/>
              </w:rPr>
              <w:t>Percentage Ownership Interest</w:t>
            </w:r>
          </w:p>
        </w:tc>
      </w:tr>
      <w:tr>
        <w:trPr>
          <w:trHeight w:val="20"/>
        </w:trPr>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-7620</wp:posOffset>
            </wp:positionV>
            <wp:extent cx="285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380"/>
          </w:cols>
          <w:pgMar w:left="240" w:top="125" w:right="1279" w:bottom="1440" w:gutter="0" w:footer="0" w:header="0"/>
        </w:sectPr>
      </w:pPr>
    </w:p>
    <w:bookmarkStart w:id="240" w:name="page241"/>
    <w:bookmarkEnd w:id="240"/>
    <w:tbl>
      <w:tblPr>
        <w:tblLayout w:type="fixed"/>
        <w:tblInd w:w="1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0" w:type="dxa"/>
            <w:vAlign w:val="bottom"/>
            <w:gridSpan w:val="3"/>
          </w:tcPr>
          <w:p>
            <w:pPr>
              <w:jc w:val="center"/>
              <w:ind w:right="4531"/>
              <w:spacing w:after="0"/>
              <w:rPr>
                <w:sz w:val="20"/>
                <w:szCs w:val="20"/>
                <w:color w:val="auto"/>
              </w:rPr>
            </w:pPr>
            <w:r>
              <w:rPr>
                <w:rFonts w:ascii="Arial" w:cs="Arial" w:eastAsia="Arial" w:hAnsi="Arial"/>
                <w:sz w:val="18"/>
                <w:szCs w:val="18"/>
                <w:color w:val="auto"/>
              </w:rPr>
              <w:t>EXHIBIT “D”</w:t>
            </w:r>
          </w:p>
        </w:tc>
      </w:tr>
      <w:tr>
        <w:trPr>
          <w:trHeight w:val="189"/>
        </w:trPr>
        <w:tc>
          <w:tcPr>
            <w:tcW w:w="2540" w:type="dxa"/>
            <w:vAlign w:val="bottom"/>
          </w:tcPr>
          <w:p>
            <w:pPr>
              <w:spacing w:after="0"/>
              <w:rPr>
                <w:sz w:val="16"/>
                <w:szCs w:val="16"/>
                <w:color w:val="auto"/>
              </w:rPr>
            </w:pPr>
          </w:p>
        </w:tc>
        <w:tc>
          <w:tcPr>
            <w:tcW w:w="8880" w:type="dxa"/>
            <w:vAlign w:val="bottom"/>
            <w:gridSpan w:val="4"/>
          </w:tcPr>
          <w:p>
            <w:pPr>
              <w:jc w:val="center"/>
              <w:ind w:right="2451"/>
              <w:spacing w:after="0" w:line="189" w:lineRule="exact"/>
              <w:rPr>
                <w:sz w:val="20"/>
                <w:szCs w:val="20"/>
                <w:color w:val="auto"/>
              </w:rPr>
            </w:pPr>
            <w:r>
              <w:rPr>
                <w:rFonts w:ascii="Arial" w:cs="Arial" w:eastAsia="Arial" w:hAnsi="Arial"/>
                <w:sz w:val="18"/>
                <w:szCs w:val="18"/>
                <w:color w:val="auto"/>
                <w:w w:val="90"/>
              </w:rPr>
              <w:t>(See Section 3.1 of Security Agreement)</w:t>
            </w:r>
          </w:p>
        </w:tc>
      </w:tr>
      <w:tr>
        <w:trPr>
          <w:trHeight w:val="20"/>
        </w:trPr>
        <w:tc>
          <w:tcPr>
            <w:tcW w:w="2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450"/>
        </w:trPr>
        <w:tc>
          <w:tcPr>
            <w:tcW w:w="2540" w:type="dxa"/>
            <w:vAlign w:val="bottom"/>
          </w:tcPr>
          <w:p>
            <w:pPr>
              <w:spacing w:after="0"/>
              <w:rPr>
                <w:sz w:val="24"/>
                <w:szCs w:val="24"/>
                <w:color w:val="auto"/>
              </w:rPr>
            </w:pPr>
          </w:p>
        </w:tc>
        <w:tc>
          <w:tcPr>
            <w:tcW w:w="8880" w:type="dxa"/>
            <w:vAlign w:val="bottom"/>
            <w:gridSpan w:val="4"/>
          </w:tcPr>
          <w:p>
            <w:pPr>
              <w:jc w:val="center"/>
              <w:ind w:right="2451"/>
              <w:spacing w:after="0"/>
              <w:rPr>
                <w:sz w:val="20"/>
                <w:szCs w:val="20"/>
                <w:color w:val="auto"/>
              </w:rPr>
            </w:pPr>
            <w:r>
              <w:rPr>
                <w:rFonts w:ascii="Arial" w:cs="Arial" w:eastAsia="Arial" w:hAnsi="Arial"/>
                <w:sz w:val="18"/>
                <w:szCs w:val="18"/>
                <w:color w:val="auto"/>
                <w:w w:val="95"/>
              </w:rPr>
              <w:t>OFFICES IN WHICH FINANCING STATEMENTS HAVE BEEN FILED</w:t>
            </w:r>
          </w:p>
        </w:tc>
      </w:tr>
      <w:tr>
        <w:trPr>
          <w:trHeight w:val="221"/>
        </w:trPr>
        <w:tc>
          <w:tcPr>
            <w:tcW w:w="25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r>
      <w:tr>
        <w:trPr>
          <w:trHeight w:val="222"/>
        </w:trPr>
        <w:tc>
          <w:tcPr>
            <w:tcW w:w="2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Photronics, Inc.</w:t>
            </w:r>
          </w:p>
        </w:tc>
        <w:tc>
          <w:tcPr>
            <w:tcW w:w="2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Connecticut</w:t>
            </w:r>
          </w:p>
        </w:tc>
      </w:tr>
      <w:tr>
        <w:trPr>
          <w:trHeight w:val="222"/>
        </w:trPr>
        <w:tc>
          <w:tcPr>
            <w:tcW w:w="2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Photronics California, Inc.</w:t>
            </w:r>
          </w:p>
        </w:tc>
        <w:tc>
          <w:tcPr>
            <w:tcW w:w="2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r>
      <w:tr>
        <w:trPr>
          <w:trHeight w:val="222"/>
        </w:trPr>
        <w:tc>
          <w:tcPr>
            <w:tcW w:w="2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Photronics Texas Allen, Inc.</w:t>
            </w:r>
          </w:p>
        </w:tc>
        <w:tc>
          <w:tcPr>
            <w:tcW w:w="2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Texas</w:t>
            </w:r>
          </w:p>
        </w:tc>
      </w:tr>
      <w:tr>
        <w:trPr>
          <w:trHeight w:val="222"/>
        </w:trPr>
        <w:tc>
          <w:tcPr>
            <w:tcW w:w="2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Photronics Idaho, Inc.</w:t>
            </w:r>
          </w:p>
        </w:tc>
        <w:tc>
          <w:tcPr>
            <w:tcW w:w="2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Idaho</w:t>
            </w:r>
          </w:p>
        </w:tc>
      </w:tr>
      <w:tr>
        <w:trPr>
          <w:trHeight w:val="390"/>
        </w:trPr>
        <w:tc>
          <w:tcPr>
            <w:tcW w:w="2540" w:type="dxa"/>
            <w:vAlign w:val="bottom"/>
          </w:tcPr>
          <w:p>
            <w:pPr>
              <w:spacing w:after="0"/>
              <w:rPr>
                <w:sz w:val="24"/>
                <w:szCs w:val="24"/>
                <w:color w:val="auto"/>
              </w:rPr>
            </w:pPr>
          </w:p>
        </w:tc>
        <w:tc>
          <w:tcPr>
            <w:tcW w:w="8880" w:type="dxa"/>
            <w:vAlign w:val="bottom"/>
            <w:gridSpan w:val="4"/>
          </w:tcPr>
          <w:p>
            <w:pPr>
              <w:jc w:val="center"/>
              <w:ind w:right="2451"/>
              <w:spacing w:after="0"/>
              <w:rPr>
                <w:sz w:val="20"/>
                <w:szCs w:val="20"/>
                <w:color w:val="auto"/>
              </w:rPr>
            </w:pPr>
            <w:r>
              <w:rPr>
                <w:rFonts w:ascii="Arial" w:cs="Arial" w:eastAsia="Arial" w:hAnsi="Arial"/>
                <w:sz w:val="18"/>
                <w:szCs w:val="18"/>
                <w:color w:val="auto"/>
                <w:w w:val="99"/>
              </w:rPr>
              <w:t>2</w:t>
            </w:r>
          </w:p>
        </w:tc>
      </w:tr>
      <w:tr>
        <w:trPr>
          <w:trHeight w:val="60"/>
        </w:trPr>
        <w:tc>
          <w:tcPr>
            <w:tcW w:w="254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7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color w:val="auto"/>
        </w:rPr>
        <w:t>EXHIBIT “E”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Definition of “Commercial Tort Claims”)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 TORT CLAIMS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[Describe parties, case number (if applicable), nature of dispute]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48260</wp:posOffset>
            </wp:positionV>
            <wp:extent cx="724725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t>EXHIBIT “F”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Security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EMPLOYER IDENTIFICATION NUMBER;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ORGANIZATION NUMBER; JURISDICTION OF INCORPORATION</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100" w:type="dxa"/>
            <w:vAlign w:val="bottom"/>
            <w:tcBorders>
              <w:top w:val="single" w:sz="8" w:color="auto"/>
              <w:left w:val="single" w:sz="8" w:color="auto"/>
            </w:tcBorders>
          </w:tcPr>
          <w:p>
            <w:pPr>
              <w:spacing w:after="0"/>
              <w:rPr>
                <w:sz w:val="17"/>
                <w:szCs w:val="17"/>
                <w:color w:val="auto"/>
              </w:rPr>
            </w:pPr>
          </w:p>
        </w:tc>
        <w:tc>
          <w:tcPr>
            <w:tcW w:w="1960" w:type="dxa"/>
            <w:vAlign w:val="bottom"/>
            <w:tcBorders>
              <w:top w:val="single" w:sz="8" w:color="auto"/>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GRANTOR</w:t>
            </w:r>
          </w:p>
        </w:tc>
        <w:tc>
          <w:tcPr>
            <w:tcW w:w="2280" w:type="dxa"/>
            <w:vAlign w:val="bottom"/>
            <w:tcBorders>
              <w:top w:val="single" w:sz="8" w:color="auto"/>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Federal Employer</w:t>
            </w:r>
          </w:p>
        </w:tc>
        <w:tc>
          <w:tcPr>
            <w:tcW w:w="1960" w:type="dxa"/>
            <w:vAlign w:val="bottom"/>
            <w:tcBorders>
              <w:top w:val="single" w:sz="8" w:color="auto"/>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Type of</w:t>
            </w:r>
          </w:p>
        </w:tc>
        <w:tc>
          <w:tcPr>
            <w:tcW w:w="2280" w:type="dxa"/>
            <w:vAlign w:val="bottom"/>
            <w:tcBorders>
              <w:top w:val="single" w:sz="8" w:color="auto"/>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State of</w:t>
            </w:r>
          </w:p>
        </w:tc>
        <w:tc>
          <w:tcPr>
            <w:tcW w:w="1840" w:type="dxa"/>
            <w:vAlign w:val="bottom"/>
            <w:tcBorders>
              <w:top w:val="single" w:sz="8" w:color="auto"/>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State</w:t>
            </w: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5"/>
        </w:trPr>
        <w:tc>
          <w:tcPr>
            <w:tcW w:w="110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w w:val="94"/>
              </w:rPr>
              <w:t>Identification</w:t>
            </w:r>
          </w:p>
        </w:tc>
        <w:tc>
          <w:tcPr>
            <w:tcW w:w="3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Organization</w:t>
            </w:r>
          </w:p>
        </w:tc>
        <w:tc>
          <w:tcPr>
            <w:tcW w:w="228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rPr>
              <w:t>Organization or</w:t>
            </w:r>
          </w:p>
        </w:tc>
        <w:tc>
          <w:tcPr>
            <w:tcW w:w="1840" w:type="dxa"/>
            <w:vAlign w:val="bottom"/>
            <w:tcBorders>
              <w:right w:val="single" w:sz="8" w:color="auto"/>
            </w:tcBorders>
            <w:gridSpan w:val="4"/>
          </w:tcPr>
          <w:p>
            <w:pPr>
              <w:spacing w:after="0" w:line="195" w:lineRule="exact"/>
              <w:rPr>
                <w:sz w:val="20"/>
                <w:szCs w:val="20"/>
                <w:color w:val="auto"/>
              </w:rPr>
            </w:pPr>
            <w:r>
              <w:rPr>
                <w:rFonts w:ascii="Arial" w:cs="Arial" w:eastAsia="Arial" w:hAnsi="Arial"/>
                <w:sz w:val="18"/>
                <w:szCs w:val="18"/>
                <w:color w:val="auto"/>
              </w:rPr>
              <w:t>Organization</w:t>
            </w:r>
          </w:p>
        </w:tc>
      </w:tr>
      <w:tr>
        <w:trPr>
          <w:trHeight w:val="195"/>
        </w:trPr>
        <w:tc>
          <w:tcPr>
            <w:tcW w:w="1100" w:type="dxa"/>
            <w:vAlign w:val="bottom"/>
            <w:tcBorders>
              <w:lef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Number</w:t>
            </w:r>
          </w:p>
        </w:tc>
        <w:tc>
          <w:tcPr>
            <w:tcW w:w="1300" w:type="dxa"/>
            <w:vAlign w:val="bottom"/>
            <w:tcBorders>
              <w:right w:val="single" w:sz="8" w:color="auto"/>
            </w:tcBorders>
            <w:gridSpan w:val="2"/>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1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Incorporation</w:t>
            </w:r>
          </w:p>
        </w:tc>
        <w:tc>
          <w:tcPr>
            <w:tcW w:w="1160" w:type="dxa"/>
            <w:vAlign w:val="bottom"/>
            <w:tcBorders>
              <w:right w:val="single" w:sz="8" w:color="auto"/>
            </w:tcBorders>
          </w:tcPr>
          <w:p>
            <w:pPr>
              <w:spacing w:after="0"/>
              <w:rPr>
                <w:sz w:val="16"/>
                <w:szCs w:val="16"/>
                <w:color w:val="auto"/>
              </w:rPr>
            </w:pPr>
          </w:p>
        </w:tc>
        <w:tc>
          <w:tcPr>
            <w:tcW w:w="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Number</w:t>
            </w:r>
          </w:p>
        </w:tc>
        <w:tc>
          <w:tcPr>
            <w:tcW w:w="900" w:type="dxa"/>
            <w:vAlign w:val="bottom"/>
            <w:tcBorders>
              <w:right w:val="single" w:sz="8" w:color="auto"/>
            </w:tcBorders>
          </w:tcPr>
          <w:p>
            <w:pPr>
              <w:spacing w:after="0"/>
              <w:rPr>
                <w:sz w:val="16"/>
                <w:szCs w:val="16"/>
                <w:color w:val="auto"/>
              </w:rPr>
            </w:pPr>
          </w:p>
        </w:tc>
      </w:tr>
      <w:tr>
        <w:trPr>
          <w:trHeight w:val="242"/>
        </w:trPr>
        <w:tc>
          <w:tcPr>
            <w:tcW w:w="1100" w:type="dxa"/>
            <w:vAlign w:val="bottom"/>
            <w:tcBorders>
              <w:left w:val="single" w:sz="8" w:color="auto"/>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222"/>
        </w:trPr>
        <w:tc>
          <w:tcPr>
            <w:tcW w:w="30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Photronics, Inc.</w:t>
            </w:r>
          </w:p>
        </w:tc>
        <w:tc>
          <w:tcPr>
            <w:tcW w:w="2280" w:type="dxa"/>
            <w:vAlign w:val="bottom"/>
            <w:tcBorders>
              <w:bottom w:val="single" w:sz="8" w:color="auto"/>
              <w:right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06-0854886</w:t>
            </w:r>
          </w:p>
        </w:tc>
        <w:tc>
          <w:tcPr>
            <w:tcW w:w="196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8"/>
                <w:szCs w:val="18"/>
                <w:color w:val="auto"/>
              </w:rPr>
              <w:t>Corporation</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0"/>
              </w:rPr>
              <w:t>Connecticut</w:t>
            </w:r>
          </w:p>
        </w:tc>
        <w:tc>
          <w:tcPr>
            <w:tcW w:w="1840" w:type="dxa"/>
            <w:vAlign w:val="bottom"/>
            <w:tcBorders>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0036597</w:t>
            </w:r>
          </w:p>
        </w:tc>
      </w:tr>
      <w:tr>
        <w:trPr>
          <w:trHeight w:val="222"/>
        </w:trPr>
        <w:tc>
          <w:tcPr>
            <w:tcW w:w="30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Photronics Texas Allen, Inc.</w:t>
            </w:r>
          </w:p>
        </w:tc>
        <w:tc>
          <w:tcPr>
            <w:tcW w:w="2280" w:type="dxa"/>
            <w:vAlign w:val="bottom"/>
            <w:tcBorders>
              <w:bottom w:val="single" w:sz="8" w:color="auto"/>
              <w:right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75-2502950</w:t>
            </w:r>
          </w:p>
        </w:tc>
        <w:tc>
          <w:tcPr>
            <w:tcW w:w="196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8"/>
                <w:szCs w:val="18"/>
                <w:color w:val="auto"/>
              </w:rPr>
              <w:t>Corporation</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85"/>
              </w:rPr>
              <w:t>Texas</w:t>
            </w:r>
          </w:p>
        </w:tc>
        <w:tc>
          <w:tcPr>
            <w:tcW w:w="1840" w:type="dxa"/>
            <w:vAlign w:val="bottom"/>
            <w:tcBorders>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0128294000</w:t>
            </w:r>
          </w:p>
        </w:tc>
      </w:tr>
      <w:tr>
        <w:trPr>
          <w:trHeight w:val="222"/>
        </w:trPr>
        <w:tc>
          <w:tcPr>
            <w:tcW w:w="30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Photronics California, Inc.</w:t>
            </w:r>
          </w:p>
        </w:tc>
        <w:tc>
          <w:tcPr>
            <w:tcW w:w="2280" w:type="dxa"/>
            <w:vAlign w:val="bottom"/>
            <w:tcBorders>
              <w:bottom w:val="single" w:sz="8" w:color="auto"/>
              <w:right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75-2502950</w:t>
            </w:r>
          </w:p>
        </w:tc>
        <w:tc>
          <w:tcPr>
            <w:tcW w:w="196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8"/>
                <w:szCs w:val="18"/>
                <w:color w:val="auto"/>
              </w:rPr>
              <w:t>Corporation</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4"/>
              </w:rPr>
              <w:t>California</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89"/>
              </w:rPr>
              <w:t>C1802687</w:t>
            </w:r>
          </w:p>
        </w:tc>
      </w:tr>
      <w:tr>
        <w:trPr>
          <w:trHeight w:val="222"/>
        </w:trPr>
        <w:tc>
          <w:tcPr>
            <w:tcW w:w="30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Photronics Idaho, Inc.</w:t>
            </w:r>
          </w:p>
        </w:tc>
        <w:tc>
          <w:tcPr>
            <w:tcW w:w="2280" w:type="dxa"/>
            <w:vAlign w:val="bottom"/>
            <w:tcBorders>
              <w:bottom w:val="single" w:sz="8" w:color="auto"/>
              <w:right w:val="single" w:sz="8" w:color="auto"/>
            </w:tcBorders>
            <w:gridSpan w:val="4"/>
          </w:tcPr>
          <w:p>
            <w:pPr>
              <w:jc w:val="right"/>
              <w:ind w:right="720"/>
              <w:spacing w:after="0"/>
              <w:rPr>
                <w:sz w:val="20"/>
                <w:szCs w:val="20"/>
                <w:color w:val="auto"/>
              </w:rPr>
            </w:pPr>
            <w:r>
              <w:rPr>
                <w:rFonts w:ascii="Arial" w:cs="Arial" w:eastAsia="Arial" w:hAnsi="Arial"/>
                <w:sz w:val="18"/>
                <w:szCs w:val="18"/>
                <w:color w:val="auto"/>
              </w:rPr>
              <w:t>75-2502950</w:t>
            </w:r>
          </w:p>
        </w:tc>
        <w:tc>
          <w:tcPr>
            <w:tcW w:w="1960" w:type="dxa"/>
            <w:vAlign w:val="bottom"/>
            <w:tcBorders>
              <w:bottom w:val="single" w:sz="8" w:color="auto"/>
              <w:right w:val="single" w:sz="8" w:color="auto"/>
            </w:tcBorders>
            <w:gridSpan w:val="3"/>
          </w:tcPr>
          <w:p>
            <w:pPr>
              <w:ind w:left="540"/>
              <w:spacing w:after="0"/>
              <w:rPr>
                <w:sz w:val="20"/>
                <w:szCs w:val="20"/>
                <w:color w:val="auto"/>
              </w:rPr>
            </w:pPr>
            <w:r>
              <w:rPr>
                <w:rFonts w:ascii="Arial" w:cs="Arial" w:eastAsia="Arial" w:hAnsi="Arial"/>
                <w:sz w:val="18"/>
                <w:szCs w:val="18"/>
                <w:color w:val="auto"/>
              </w:rPr>
              <w:t>Corporation</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3"/>
              </w:rPr>
              <w:t>Idaho</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C183842</w:t>
            </w:r>
          </w:p>
        </w:tc>
      </w:tr>
      <w:tr>
        <w:trPr>
          <w:trHeight w:val="631"/>
        </w:trPr>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
        </w:trPr>
        <w:tc>
          <w:tcPr>
            <w:tcW w:w="1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u w:val="single" w:color="auto"/>
          <w:color w:val="auto"/>
        </w:rPr>
        <w:t>ANNEX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AGREEMENT</w:t>
      </w:r>
    </w:p>
    <w:p>
      <w:pPr>
        <w:spacing w:after="0" w:line="223" w:lineRule="exact"/>
        <w:rPr>
          <w:sz w:val="20"/>
          <w:szCs w:val="20"/>
          <w:color w:val="auto"/>
        </w:rPr>
      </w:pPr>
    </w:p>
    <w:p>
      <w:pPr>
        <w:jc w:val="both"/>
        <w:ind w:firstLine="1289"/>
        <w:spacing w:after="0" w:line="295" w:lineRule="auto"/>
        <w:rPr>
          <w:sz w:val="20"/>
          <w:szCs w:val="20"/>
          <w:color w:val="auto"/>
        </w:rPr>
      </w:pPr>
      <w:r>
        <w:rPr>
          <w:rFonts w:ascii="Arial" w:cs="Arial" w:eastAsia="Arial" w:hAnsi="Arial"/>
          <w:sz w:val="16"/>
          <w:szCs w:val="16"/>
          <w:color w:val="auto"/>
        </w:rPr>
        <w:t>Reference is hereby made to the Third Amended and Restated Security Agreement (as amended, restated, supplemented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27, 2018, made by each of PHOTRONICS, INC., a Connecticut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other Subsidiaries of the Company listed on the signature pages thereto (together with the Company, the “</w:t>
      </w:r>
      <w:r>
        <w:rPr>
          <w:rFonts w:ascii="Arial" w:cs="Arial" w:eastAsia="Arial" w:hAnsi="Arial"/>
          <w:sz w:val="16"/>
          <w:szCs w:val="16"/>
          <w:u w:val="single" w:color="auto"/>
          <w:color w:val="auto"/>
        </w:rPr>
        <w:t>Initial Grantors</w:t>
      </w:r>
      <w:r>
        <w:rPr>
          <w:rFonts w:ascii="Arial" w:cs="Arial" w:eastAsia="Arial" w:hAnsi="Arial"/>
          <w:sz w:val="16"/>
          <w:szCs w:val="16"/>
          <w:color w:val="auto"/>
        </w:rPr>
        <w:t>”, and together with any additional Subsidiaries, including the undersigned, which become parties thereto by executing a Supplement in substantially the form hereof, the “</w:t>
      </w:r>
      <w:r>
        <w:rPr>
          <w:rFonts w:ascii="Arial" w:cs="Arial" w:eastAsia="Arial" w:hAnsi="Arial"/>
          <w:sz w:val="16"/>
          <w:szCs w:val="16"/>
          <w:u w:val="single" w:color="auto"/>
          <w:color w:val="auto"/>
        </w:rPr>
        <w:t>Grantors</w:t>
      </w:r>
      <w:r>
        <w:rPr>
          <w:rFonts w:ascii="Arial" w:cs="Arial" w:eastAsia="Arial" w:hAnsi="Arial"/>
          <w:sz w:val="16"/>
          <w:szCs w:val="16"/>
          <w:color w:val="auto"/>
        </w:rPr>
        <w:t>”), in favor of the Collateral Agent. Capitalized terms used herein and not defined herein shall have the meanings given to them in the Agreement.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By its execution below, the undersigned, [NAME OF NEW GRANTOR], a [__________] [corporation/limited liability company/limited</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partnership] (the “</w:t>
      </w:r>
      <w:r>
        <w:rPr>
          <w:rFonts w:ascii="Arial" w:cs="Arial" w:eastAsia="Arial" w:hAnsi="Arial"/>
          <w:sz w:val="18"/>
          <w:szCs w:val="18"/>
          <w:u w:val="single" w:color="auto"/>
          <w:color w:val="auto"/>
        </w:rPr>
        <w:t>New Grantor</w:t>
      </w:r>
      <w:r>
        <w:rPr>
          <w:rFonts w:ascii="Arial" w:cs="Arial" w:eastAsia="Arial" w:hAnsi="Arial"/>
          <w:sz w:val="18"/>
          <w:szCs w:val="18"/>
          <w:color w:val="auto"/>
        </w:rPr>
        <w:t>”) agrees to become, and does hereby become, a Grantor under the Agreement and agrees to be bound by the Agreement as if originally a party thereto. The New Grantor hereby collaterally assigns and pledges to the Collateral Agent for the benefit of the Holders of Secured Obligations, and grants to the Collateral Agent for the benefit of the Holders of Secured Obligations, a security interest in all of the New Grantor’s right, title and interest in and to the Collateral, whether now owned or hereafter acquired, to secure the prompt and complete payment and performance of the Secured Obligations. For the avoidance of doubt, the grant of a security interest herein shall not be deemed to be an assignment of intellectual property rights owned by the New Grantor.</w:t>
      </w:r>
    </w:p>
    <w:p>
      <w:pPr>
        <w:spacing w:after="0" w:line="196" w:lineRule="exact"/>
        <w:rPr>
          <w:sz w:val="20"/>
          <w:szCs w:val="20"/>
          <w:color w:val="auto"/>
        </w:rPr>
      </w:pPr>
    </w:p>
    <w:p>
      <w:pPr>
        <w:jc w:val="both"/>
        <w:ind w:firstLine="1289"/>
        <w:spacing w:after="0" w:line="255" w:lineRule="auto"/>
        <w:rPr>
          <w:sz w:val="20"/>
          <w:szCs w:val="20"/>
          <w:color w:val="auto"/>
        </w:rPr>
      </w:pPr>
      <w:r>
        <w:rPr>
          <w:rFonts w:ascii="Arial" w:cs="Arial" w:eastAsia="Arial" w:hAnsi="Arial"/>
          <w:sz w:val="18"/>
          <w:szCs w:val="18"/>
          <w:color w:val="auto"/>
        </w:rPr>
        <w:t>By its execution below, the undersigned represents and warrants as to itself that all of the representations and warranties contained in the Agreement are true and correct in all respects as of the date hereof. New Grantor represents and warrants that the supplements to the Exhibits to the Agreement attached hereto are true and correct in all respects and such supplements set forth all information required to be scheduled under the Agreement. New Grantor shall take all steps necessary and required under the Agreement to perfect, in favor of the Collateral Agent, a first-priority security interest in and lien against New Grantor’s Collateral.</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CONSTRUED IN ACCORDANCE WITH AND GOVERNED BY THE LAW OF THE STATE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IN WITNESS WHEREOF, the New Grantor has executed and delivered this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counterpart to the Agreement as of this ___________</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day of ____________, 20___.</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NEW GRANTOR]</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22860</wp:posOffset>
            </wp:positionV>
            <wp:extent cx="325691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3256915" cy="1714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-130175</wp:posOffset>
            </wp:positionV>
            <wp:extent cx="325691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325691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24725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Assets Loan Contract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490"/>
        <w:spacing w:after="0" w:line="264" w:lineRule="auto"/>
        <w:rPr>
          <w:sz w:val="20"/>
          <w:szCs w:val="20"/>
          <w:color w:val="auto"/>
        </w:rPr>
      </w:pPr>
      <w:r>
        <w:rPr>
          <w:rFonts w:ascii="Arial" w:cs="Arial" w:eastAsia="Arial" w:hAnsi="Arial"/>
          <w:sz w:val="18"/>
          <w:szCs w:val="18"/>
          <w:b w:val="1"/>
          <w:bCs w:val="1"/>
          <w:color w:val="auto"/>
        </w:rPr>
        <w:t>Special note: The Contract is negotiated by the lender and the borrower on an equal and voluntary basis. All contract terms are true representations of the parties’ intentions. To protect the legitimate rights and interests of the Borrower, the Lender specifically invites the Borrower to take full notice of the full terms and conditions of the parties, in particular, the contents in 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24725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 xml:space="preserve">Lender: Industrial and Commercial Bank of China Limited </w:t>
      </w:r>
      <w:r>
        <w:rPr>
          <w:rFonts w:ascii="Arial" w:cs="Arial" w:eastAsia="Arial" w:hAnsi="Arial"/>
          <w:sz w:val="18"/>
          <w:szCs w:val="18"/>
          <w:u w:val="single" w:color="auto"/>
          <w:color w:val="auto"/>
        </w:rPr>
        <w:t>Xiamen Xiang’an Branch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Principal:  Zhuang Youjie Contact: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-20320</wp:posOffset>
            </wp:positionV>
            <wp:extent cx="7588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58825"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-20320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Domicile (Address):  13 Xiangxi Fifth Lane, Maxiang Township, Xiang’an District, Xiamen Postal Code: </w:t>
      </w:r>
      <w:r>
        <w:rPr>
          <w:rFonts w:ascii="Arial" w:cs="Arial" w:eastAsia="Arial" w:hAnsi="Arial"/>
          <w:sz w:val="18"/>
          <w:szCs w:val="18"/>
          <w:u w:val="single" w:color="auto"/>
          <w:color w:val="auto"/>
        </w:rPr>
        <w:t>36101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-20320</wp:posOffset>
            </wp:positionV>
            <wp:extent cx="32994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32994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0592-7065287</w:t>
      </w:r>
      <w:r>
        <w:rPr>
          <w:rFonts w:ascii="Arial" w:cs="Arial" w:eastAsia="Arial" w:hAnsi="Arial"/>
          <w:sz w:val="18"/>
          <w:szCs w:val="18"/>
          <w:color w:val="auto"/>
        </w:rPr>
        <w:t xml:space="preserve"> Fax: / 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-20320</wp:posOffset>
            </wp:positionV>
            <wp:extent cx="882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-20320</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7"/>
              </w:rPr>
              <w:t>Borrower:</w:t>
            </w:r>
          </w:p>
        </w:tc>
        <w:tc>
          <w:tcPr>
            <w:tcW w:w="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1"/>
          </w:tcPr>
          <w:p>
            <w:pPr>
              <w:ind w:left="300"/>
              <w:spacing w:after="0"/>
              <w:rPr>
                <w:sz w:val="20"/>
                <w:szCs w:val="20"/>
                <w:color w:val="auto"/>
              </w:rPr>
            </w:pPr>
            <w:r>
              <w:rPr>
                <w:rFonts w:ascii="Arial" w:cs="Arial" w:eastAsia="Arial" w:hAnsi="Arial"/>
                <w:sz w:val="18"/>
                <w:szCs w:val="18"/>
                <w:color w:val="auto"/>
                <w:w w:val="91"/>
              </w:rPr>
              <w:t>Photronics DNP Mask Corporation Xiamen</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5"/>
        </w:trPr>
        <w:tc>
          <w:tcPr>
            <w:tcW w:w="4520" w:type="dxa"/>
            <w:vAlign w:val="bottom"/>
            <w:gridSpan w:val="14"/>
          </w:tcPr>
          <w:p>
            <w:pPr>
              <w:spacing w:after="0" w:line="195" w:lineRule="exact"/>
              <w:rPr>
                <w:sz w:val="20"/>
                <w:szCs w:val="20"/>
                <w:color w:val="auto"/>
              </w:rPr>
            </w:pPr>
            <w:r>
              <w:rPr>
                <w:rFonts w:ascii="Arial" w:cs="Arial" w:eastAsia="Arial" w:hAnsi="Arial"/>
                <w:sz w:val="18"/>
                <w:szCs w:val="18"/>
                <w:color w:val="auto"/>
              </w:rPr>
              <w:t>Legal Representative: PETER SCOTT KIRLIN Contact:</w:t>
            </w:r>
          </w:p>
        </w:tc>
        <w:tc>
          <w:tcPr>
            <w:tcW w:w="1140" w:type="dxa"/>
            <w:vAlign w:val="bottom"/>
          </w:tcPr>
          <w:p>
            <w:pPr>
              <w:ind w:left="280"/>
              <w:spacing w:after="0" w:line="195" w:lineRule="exact"/>
              <w:rPr>
                <w:sz w:val="20"/>
                <w:szCs w:val="20"/>
                <w:color w:val="auto"/>
              </w:rPr>
            </w:pPr>
            <w:r>
              <w:rPr>
                <w:rFonts w:ascii="Arial" w:cs="Arial" w:eastAsia="Arial" w:hAnsi="Arial"/>
                <w:sz w:val="18"/>
                <w:szCs w:val="18"/>
                <w:color w:val="auto"/>
                <w:w w:val="92"/>
              </w:rPr>
              <w:t>Mobile No.:</w:t>
            </w:r>
          </w:p>
        </w:tc>
      </w:tr>
      <w:tr>
        <w:trPr>
          <w:trHeight w:val="20"/>
        </w:trPr>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95"/>
        </w:trPr>
        <w:tc>
          <w:tcPr>
            <w:tcW w:w="1480" w:type="dxa"/>
            <w:vAlign w:val="bottom"/>
            <w:gridSpan w:val="3"/>
          </w:tcPr>
          <w:p>
            <w:pPr>
              <w:spacing w:after="0" w:line="195" w:lineRule="exact"/>
              <w:rPr>
                <w:sz w:val="20"/>
                <w:szCs w:val="20"/>
                <w:color w:val="auto"/>
              </w:rPr>
            </w:pPr>
            <w:r>
              <w:rPr>
                <w:rFonts w:ascii="Arial" w:cs="Arial" w:eastAsia="Arial" w:hAnsi="Arial"/>
                <w:sz w:val="18"/>
                <w:szCs w:val="18"/>
                <w:color w:val="auto"/>
                <w:w w:val="92"/>
              </w:rPr>
              <w:t>Domicile (Address):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gridSpan w:val="6"/>
          </w:tcPr>
          <w:p>
            <w:pPr>
              <w:spacing w:after="0" w:line="195" w:lineRule="exact"/>
              <w:rPr>
                <w:sz w:val="20"/>
                <w:szCs w:val="20"/>
                <w:color w:val="auto"/>
              </w:rPr>
            </w:pPr>
            <w:r>
              <w:rPr>
                <w:rFonts w:ascii="Arial" w:cs="Arial" w:eastAsia="Arial" w:hAnsi="Arial"/>
                <w:sz w:val="18"/>
                <w:szCs w:val="18"/>
                <w:color w:val="auto"/>
              </w:rPr>
              <w:t>Postal Code:</w:t>
            </w:r>
          </w:p>
        </w:tc>
        <w:tc>
          <w:tcPr>
            <w:tcW w:w="1140" w:type="dxa"/>
            <w:vAlign w:val="bottom"/>
          </w:tcPr>
          <w:p>
            <w:pPr>
              <w:spacing w:after="0"/>
              <w:rPr>
                <w:sz w:val="16"/>
                <w:szCs w:val="16"/>
                <w:color w:val="auto"/>
              </w:rPr>
            </w:pPr>
          </w:p>
        </w:tc>
      </w:tr>
      <w:tr>
        <w:trPr>
          <w:trHeight w:val="195"/>
        </w:trPr>
        <w:tc>
          <w:tcPr>
            <w:tcW w:w="800" w:type="dxa"/>
            <w:vAlign w:val="bottom"/>
            <w:gridSpan w:val="2"/>
          </w:tcPr>
          <w:p>
            <w:pPr>
              <w:spacing w:after="0" w:line="195" w:lineRule="exact"/>
              <w:rPr>
                <w:sz w:val="20"/>
                <w:szCs w:val="20"/>
                <w:color w:val="auto"/>
              </w:rPr>
            </w:pPr>
            <w:r>
              <w:rPr>
                <w:rFonts w:ascii="Arial" w:cs="Arial" w:eastAsia="Arial" w:hAnsi="Arial"/>
                <w:sz w:val="18"/>
                <w:szCs w:val="18"/>
                <w:color w:val="auto"/>
                <w:w w:val="86"/>
              </w:rPr>
              <w:t>Telephone:</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w w:val="85"/>
              </w:rPr>
              <w:t>Fax:</w:t>
            </w:r>
          </w:p>
        </w:tc>
        <w:tc>
          <w:tcPr>
            <w:tcW w:w="760" w:type="dxa"/>
            <w:vAlign w:val="bottom"/>
            <w:tcBorders>
              <w:bottom w:val="single" w:sz="8" w:color="auto"/>
            </w:tcBorders>
          </w:tcPr>
          <w:p>
            <w:pPr>
              <w:spacing w:after="0"/>
              <w:rPr>
                <w:sz w:val="16"/>
                <w:szCs w:val="16"/>
                <w:color w:val="auto"/>
              </w:rPr>
            </w:pPr>
          </w:p>
        </w:tc>
        <w:tc>
          <w:tcPr>
            <w:tcW w:w="480" w:type="dxa"/>
            <w:vAlign w:val="bottom"/>
            <w:gridSpan w:val="2"/>
          </w:tcPr>
          <w:p>
            <w:pPr>
              <w:spacing w:after="0" w:line="195" w:lineRule="exact"/>
              <w:rPr>
                <w:sz w:val="20"/>
                <w:szCs w:val="20"/>
                <w:color w:val="auto"/>
              </w:rPr>
            </w:pPr>
            <w:r>
              <w:rPr>
                <w:rFonts w:ascii="Arial" w:cs="Arial" w:eastAsia="Arial" w:hAnsi="Arial"/>
                <w:sz w:val="18"/>
                <w:szCs w:val="18"/>
                <w:color w:val="auto"/>
                <w:w w:val="91"/>
              </w:rPr>
              <w:t>Email:</w:t>
            </w:r>
          </w:p>
        </w:tc>
        <w:tc>
          <w:tcPr>
            <w:tcW w:w="540" w:type="dxa"/>
            <w:vAlign w:val="bottom"/>
            <w:tcBorders>
              <w:bottom w:val="single" w:sz="8" w:color="auto"/>
            </w:tcBorders>
            <w:gridSpan w:val="2"/>
          </w:tcPr>
          <w:p>
            <w:pPr>
              <w:spacing w:after="0"/>
              <w:rPr>
                <w:sz w:val="16"/>
                <w:szCs w:val="16"/>
                <w:color w:val="auto"/>
              </w:rPr>
            </w:pPr>
          </w:p>
        </w:tc>
        <w:tc>
          <w:tcPr>
            <w:tcW w:w="86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r>
    </w:tbl>
    <w:p>
      <w:pPr>
        <w:spacing w:after="0" w:line="9"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b w:val="1"/>
          <w:bCs w:val="1"/>
          <w:color w:val="auto"/>
        </w:rPr>
        <w:t>[Please ensure that the Borrower fills in the above information accurately and completely to ensure the timely delivery of relevant notices and legal documents.]</w:t>
      </w:r>
    </w:p>
    <w:p>
      <w:pPr>
        <w:spacing w:after="0" w:line="194" w:lineRule="exact"/>
        <w:rPr>
          <w:sz w:val="20"/>
          <w:szCs w:val="20"/>
          <w:color w:val="auto"/>
        </w:rPr>
      </w:pPr>
    </w:p>
    <w:p>
      <w:pPr>
        <w:jc w:val="both"/>
        <w:ind w:right="20" w:firstLine="359"/>
        <w:spacing w:after="0" w:line="275" w:lineRule="auto"/>
        <w:rPr>
          <w:sz w:val="20"/>
          <w:szCs w:val="20"/>
          <w:color w:val="auto"/>
        </w:rPr>
      </w:pPr>
      <w:r>
        <w:rPr>
          <w:rFonts w:ascii="Arial" w:cs="Arial" w:eastAsia="Arial" w:hAnsi="Arial"/>
          <w:sz w:val="18"/>
          <w:szCs w:val="18"/>
          <w:color w:val="auto"/>
        </w:rPr>
        <w:t>Through equal negotiations, a consensus has been reached and the Contract has been entered into on the matters of the Lender’s issuance of lending to the Borrower.</w:t>
      </w:r>
    </w:p>
    <w:p>
      <w:pPr>
        <w:spacing w:after="0" w:line="19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General Stipulations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 Loan Purpose</w:t>
      </w:r>
    </w:p>
    <w:p>
      <w:pPr>
        <w:spacing w:after="0" w:line="227"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8"/>
          <w:szCs w:val="18"/>
          <w:color w:val="auto"/>
        </w:rPr>
        <w:t xml:space="preserve">The purpose of loans under the Contract is: </w:t>
      </w:r>
      <w:r>
        <w:rPr>
          <w:rFonts w:ascii="Arial" w:cs="Arial" w:eastAsia="Arial" w:hAnsi="Arial"/>
          <w:sz w:val="18"/>
          <w:szCs w:val="18"/>
          <w:u w:val="single" w:color="auto"/>
          <w:color w:val="auto"/>
        </w:rPr>
        <w:t>Project construction for the “Photronics DNP Mask Corporation Xiamen “New Project (X2017G07-G Plot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Phase I Construction)”.</w:t>
      </w:r>
      <w:r>
        <w:rPr>
          <w:rFonts w:ascii="Arial" w:cs="Arial" w:eastAsia="Arial" w:hAnsi="Arial"/>
          <w:sz w:val="18"/>
          <w:szCs w:val="18"/>
          <w:color w:val="auto"/>
        </w:rPr>
        <w:t xml:space="preserve"> Without the written consent of the Lender, the Borrower shall not use lending for other purposes The Lender is entitled to supervision of the use of funds.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2 Lending Amount and Term</w:t>
      </w:r>
    </w:p>
    <w:p>
      <w:pPr>
        <w:spacing w:after="0" w:line="227" w:lineRule="exact"/>
        <w:rPr>
          <w:sz w:val="20"/>
          <w:szCs w:val="20"/>
          <w:color w:val="auto"/>
        </w:rPr>
      </w:pPr>
    </w:p>
    <w:p>
      <w:pPr>
        <w:jc w:val="both"/>
        <w:ind w:firstLine="368"/>
        <w:spacing w:after="0" w:line="275" w:lineRule="auto"/>
        <w:rPr>
          <w:sz w:val="20"/>
          <w:szCs w:val="20"/>
          <w:color w:val="auto"/>
        </w:rPr>
      </w:pPr>
      <w:r>
        <w:rPr>
          <w:rFonts w:ascii="Arial" w:cs="Arial" w:eastAsia="Arial" w:hAnsi="Arial"/>
          <w:sz w:val="18"/>
          <w:szCs w:val="18"/>
          <w:color w:val="auto"/>
        </w:rPr>
        <w:t xml:space="preserve">2.1 The lending currency under the Contract is the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RMB, and the amount is </w:t>
      </w:r>
      <w:r>
        <w:rPr>
          <w:rFonts w:ascii="Arial" w:cs="Arial" w:eastAsia="Arial" w:hAnsi="Arial"/>
          <w:sz w:val="18"/>
          <w:szCs w:val="18"/>
          <w:u w:val="single" w:color="auto"/>
          <w:color w:val="auto"/>
        </w:rPr>
        <w:t>the actual lending amount</w:t>
      </w:r>
      <w:r>
        <w:rPr>
          <w:rFonts w:ascii="Arial" w:cs="Arial" w:eastAsia="Arial" w:hAnsi="Arial"/>
          <w:sz w:val="18"/>
          <w:szCs w:val="18"/>
          <w:color w:val="auto"/>
        </w:rPr>
        <w:t xml:space="preserve"> (in words: the actual withdrawal amount) (where the figure and the amount in words is not the same, the amount in the words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-180340</wp:posOffset>
            </wp:positionV>
            <wp:extent cx="15036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50" w:lineRule="exact"/>
        <w:rPr>
          <w:sz w:val="20"/>
          <w:szCs w:val="20"/>
          <w:color w:val="auto"/>
        </w:rPr>
      </w:pPr>
    </w:p>
    <w:p>
      <w:pPr>
        <w:jc w:val="both"/>
        <w:ind w:firstLine="424"/>
        <w:spacing w:after="0" w:line="275" w:lineRule="auto"/>
        <w:rPr>
          <w:sz w:val="20"/>
          <w:szCs w:val="20"/>
          <w:color w:val="auto"/>
        </w:rPr>
      </w:pPr>
      <w:r>
        <w:rPr>
          <w:rFonts w:ascii="Arial" w:cs="Arial" w:eastAsia="Arial" w:hAnsi="Arial"/>
          <w:sz w:val="18"/>
          <w:szCs w:val="18"/>
          <w:color w:val="auto"/>
        </w:rPr>
        <w:t>2.2 The lending term under the Contract is no longer than eight years, from the actual withdrawal date (for multiple withdrawals, from the first withdrawal date); the actual withdrawal date shall be based on the loan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-180340</wp:posOffset>
            </wp:positionV>
            <wp:extent cx="13106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3 Interest Rate, Interest, and Fees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3.1 [Method for determining the RMB lending rate]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RMB lending rate is determined according to the following method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1892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3" w:lineRule="exact"/>
        <w:rPr>
          <w:sz w:val="20"/>
          <w:szCs w:val="20"/>
          <w:color w:val="auto"/>
        </w:rPr>
      </w:pPr>
    </w:p>
    <w:p>
      <w:pPr>
        <w:ind w:left="5660" w:right="1680" w:hanging="5295"/>
        <w:spacing w:after="0" w:line="477" w:lineRule="auto"/>
        <w:tabs>
          <w:tab w:leader="none" w:pos="60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Fixed interest rate, at an annual interest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 with the interest rate remaining unchanged for the duration of the Contract.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24725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46" w:name="page247"/>
    <w:bookmarkEnd w:id="246"/>
    <w:p>
      <w:pPr>
        <w:jc w:val="both"/>
        <w:ind w:right="20" w:firstLine="371"/>
        <w:spacing w:after="0" w:line="289" w:lineRule="auto"/>
        <w:tabs>
          <w:tab w:leader="none" w:pos="61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The lending rate is determined by the benchmark interest rate plus a floating range, wherein the benchmark interest rate is the benchmark lending rate of the People’s Bank of China on </w:t>
      </w:r>
      <w:r>
        <w:rPr>
          <w:rFonts w:ascii="Arial" w:cs="Arial" w:eastAsia="Arial" w:hAnsi="Arial"/>
          <w:sz w:val="16"/>
          <w:szCs w:val="16"/>
          <w:u w:val="single" w:color="auto"/>
          <w:color w:val="auto"/>
        </w:rPr>
        <w:t>/</w:t>
      </w:r>
      <w:r>
        <w:rPr>
          <w:rFonts w:ascii="Arial" w:cs="Arial" w:eastAsia="Arial" w:hAnsi="Arial"/>
          <w:sz w:val="16"/>
          <w:szCs w:val="16"/>
          <w:color w:val="auto"/>
        </w:rPr>
        <w:t xml:space="preserve"> (withdrawal date/contract effective date) that corresponds to the lending term stipulated in Article 2.2, and the floating</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range is (</w:t>
      </w:r>
      <w:r>
        <w:rPr>
          <w:rFonts w:ascii="Arial" w:cs="Arial" w:eastAsia="Arial" w:hAnsi="Arial"/>
          <w:sz w:val="18"/>
          <w:szCs w:val="18"/>
          <w:b w:val="1"/>
          <w:bCs w:val="1"/>
          <w:color w:val="auto"/>
        </w:rPr>
        <w:t>upward/downward/zero</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 xml:space="preserve"> %. After the Borrower makes a withdrawal, the lending rate will remain the same for a period of / (1/3/6/12) month(s), to be adjusted once a period, with interest accounted for in segments. The date for determining the interest rate for the second period shall be the date that corresponds to the withdrawal date at the end of the first period; should the given month not have the given date that corresponds to the withdrawal date, the corresponding date shall be the last day of the given month, and the same shall hold true for other periods. Should the Borrower make withdrawals in installments, the lending rate shall be adjusted according to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6176010</wp:posOffset>
            </wp:positionH>
            <wp:positionV relativeFrom="paragraph">
              <wp:posOffset>-575945</wp:posOffset>
            </wp:positionV>
            <wp:extent cx="1168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116840" cy="8255"/>
                    </a:xfrm>
                    <a:prstGeom prst="rect">
                      <a:avLst/>
                    </a:prstGeom>
                    <a:noFill/>
                  </pic:spPr>
                </pic:pic>
              </a:graphicData>
            </a:graphic>
          </wp:anchor>
        </w:drawing>
      </w:r>
    </w:p>
    <w:p>
      <w:pPr>
        <w:spacing w:after="0" w:line="172"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8"/>
          <w:szCs w:val="18"/>
          <w:color w:val="auto"/>
        </w:rPr>
        <w:t>A. Regardless of the number of withdrawals during a single period, the current lending rate determined on the date on which the interest rate for the current period shall be used, to be adjusted at the next period.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lending rate shall be determined and adjusted for each withdrawal.</w:t>
      </w:r>
    </w:p>
    <w:p>
      <w:pPr>
        <w:spacing w:after="0" w:line="223" w:lineRule="exact"/>
        <w:rPr>
          <w:sz w:val="20"/>
          <w:szCs w:val="20"/>
          <w:color w:val="auto"/>
        </w:rPr>
      </w:pPr>
    </w:p>
    <w:p>
      <w:pPr>
        <w:jc w:val="both"/>
        <w:ind w:firstLine="258"/>
        <w:spacing w:after="0" w:line="286" w:lineRule="auto"/>
        <w:tabs>
          <w:tab w:leader="none" w:pos="511"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 xml:space="preserve">The lending rate for each withdrawal shall be determined based on the benchmark interest rate plus the floating range, wherein the benchmark interest rate shall be the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(annual/monthly) loan promotion rate (LPR) by the National Interbank Funding Center published on the business day prior to the </w:t>
      </w:r>
      <w:r>
        <w:rPr>
          <w:rFonts w:ascii="Arial" w:cs="Arial" w:eastAsia="Arial" w:hAnsi="Arial"/>
          <w:sz w:val="16"/>
          <w:szCs w:val="16"/>
          <w:u w:val="single" w:color="auto"/>
          <w:color w:val="auto"/>
        </w:rPr>
        <w:t>withdrawal date</w:t>
      </w:r>
      <w:r>
        <w:rPr>
          <w:rFonts w:ascii="Arial" w:cs="Arial" w:eastAsia="Arial" w:hAnsi="Arial"/>
          <w:sz w:val="16"/>
          <w:szCs w:val="16"/>
          <w:color w:val="auto"/>
        </w:rPr>
        <w:t xml:space="preserve"> (withdrawal date/effective date of the contract) for the current withdrawal, and the floating range shall be </w:t>
      </w:r>
      <w:r>
        <w:rPr>
          <w:rFonts w:ascii="Arial" w:cs="Arial" w:eastAsia="Arial" w:hAnsi="Arial"/>
          <w:sz w:val="16"/>
          <w:szCs w:val="16"/>
          <w:u w:val="single" w:color="auto"/>
          <w:color w:val="auto"/>
        </w:rPr>
        <w:t>/</w:t>
      </w:r>
      <w:r>
        <w:rPr>
          <w:rFonts w:ascii="Arial" w:cs="Arial" w:eastAsia="Arial" w:hAnsi="Arial"/>
          <w:sz w:val="16"/>
          <w:szCs w:val="16"/>
          <w:color w:val="auto"/>
        </w:rPr>
        <w:t xml:space="preserve"> (upward/downward/zero) </w:t>
      </w:r>
      <w:r>
        <w:rPr>
          <w:rFonts w:ascii="Arial" w:cs="Arial" w:eastAsia="Arial" w:hAnsi="Arial"/>
          <w:sz w:val="16"/>
          <w:szCs w:val="16"/>
          <w:u w:val="single" w:color="auto"/>
          <w:color w:val="auto"/>
        </w:rPr>
        <w:t>/</w:t>
      </w:r>
      <w:r>
        <w:rPr>
          <w:rFonts w:ascii="Arial" w:cs="Arial" w:eastAsia="Arial" w:hAnsi="Arial"/>
          <w:sz w:val="16"/>
          <w:szCs w:val="16"/>
          <w:color w:val="auto"/>
        </w:rPr>
        <w:t xml:space="preserve"> % or</w:t>
      </w:r>
    </w:p>
    <w:p>
      <w:pPr>
        <w:spacing w:after="0" w:line="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(plus/less/zero) 83.5 base points (with one base point being 0.01%). The lending rate after each withdrawal shall be adjusted according to method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-171450</wp:posOffset>
            </wp:positionV>
            <wp:extent cx="255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255905" cy="8255"/>
                    </a:xfrm>
                    <a:prstGeom prst="rect">
                      <a:avLst/>
                    </a:prstGeom>
                    <a:noFill/>
                  </pic:spPr>
                </pic:pic>
              </a:graphicData>
            </a:graphic>
          </wp:anchor>
        </w:drawing>
        <w:drawing>
          <wp:anchor simplePos="0" relativeHeight="251657728" behindDoc="1" locked="0" layoutInCell="0" allowOverlap="1">
            <wp:simplePos x="0" y="0"/>
            <wp:positionH relativeFrom="column">
              <wp:posOffset>6933565</wp:posOffset>
            </wp:positionH>
            <wp:positionV relativeFrom="paragraph">
              <wp:posOffset>-171450</wp:posOffset>
            </wp:positionV>
            <wp:extent cx="285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1" w:lineRule="exact"/>
        <w:rPr>
          <w:sz w:val="20"/>
          <w:szCs w:val="20"/>
          <w:color w:val="auto"/>
        </w:rPr>
      </w:pPr>
    </w:p>
    <w:p>
      <w:pPr>
        <w:jc w:val="both"/>
        <w:ind w:firstLine="224"/>
        <w:spacing w:after="0" w:line="25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For a period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(1/3/6/12) month(s), to be adjusted once a period, with interest accounted for in segments. The benchmark interest rate adjustment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second period shall be the date that corresponds to the withdrawal date at the end of the first period; should the given month not have the given date that corresponds to the withdrawal date, the corresponding date shall be the last day of the given month. Should the National Interbank Funding Center not have published a loan benchmark interest rate for the corresponding term on the previous business day, the loan benchmark interest for the corresponding term published on the last business day shall prevail, and so on and so forth.</w:t>
      </w:r>
    </w:p>
    <w:p>
      <w:pPr>
        <w:spacing w:after="0" w:line="185" w:lineRule="exact"/>
        <w:rPr>
          <w:sz w:val="20"/>
          <w:szCs w:val="20"/>
          <w:color w:val="auto"/>
        </w:rPr>
      </w:pPr>
    </w:p>
    <w:tbl>
      <w:tblPr>
        <w:tblLayout w:type="fixed"/>
        <w:tblInd w:w="280" w:type="dxa"/>
        <w:tblCellMar>
          <w:top w:w="0" w:type="dxa"/>
          <w:left w:w="0" w:type="dxa"/>
          <w:bottom w:w="0" w:type="dxa"/>
          <w:right w:w="0" w:type="dxa"/>
        </w:tblCellMar>
      </w:tblPr>
      <w:tr>
        <w:trPr>
          <w:trHeight w:val="233"/>
        </w:trPr>
        <w:tc>
          <w:tcPr>
            <w:tcW w:w="5740" w:type="dxa"/>
            <w:vAlign w:val="bottom"/>
            <w:gridSpan w:val="6"/>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The lending rate shall not be adjusted for the entire lending term.</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740" w:type="dxa"/>
            <w:vAlign w:val="bottom"/>
            <w:gridSpan w:val="6"/>
          </w:tcPr>
          <w:p>
            <w:pPr>
              <w:spacing w:after="0"/>
              <w:rPr>
                <w:sz w:val="20"/>
                <w:szCs w:val="20"/>
                <w:color w:val="auto"/>
              </w:rPr>
            </w:pPr>
            <w:r>
              <w:rPr>
                <w:rFonts w:ascii="Arial" w:cs="Arial" w:eastAsia="Arial" w:hAnsi="Arial"/>
                <w:sz w:val="18"/>
                <w:szCs w:val="18"/>
                <w:b w:val="1"/>
                <w:bCs w:val="1"/>
                <w:color w:val="auto"/>
              </w:rPr>
              <w:t>(4) Other: /</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740" w:type="dxa"/>
            <w:vAlign w:val="bottom"/>
            <w:gridSpan w:val="6"/>
          </w:tcPr>
          <w:p>
            <w:pPr>
              <w:ind w:left="80"/>
              <w:spacing w:after="0"/>
              <w:rPr>
                <w:sz w:val="20"/>
                <w:szCs w:val="20"/>
                <w:color w:val="auto"/>
              </w:rPr>
            </w:pPr>
            <w:r>
              <w:rPr>
                <w:rFonts w:ascii="Arial" w:cs="Arial" w:eastAsia="Arial" w:hAnsi="Arial"/>
                <w:sz w:val="18"/>
                <w:szCs w:val="18"/>
                <w:b w:val="1"/>
                <w:bCs w:val="1"/>
                <w:color w:val="auto"/>
              </w:rPr>
              <w:t>3.2 [Method for determining the foreign exchange lending rate]</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5740" w:type="dxa"/>
            <w:vAlign w:val="bottom"/>
            <w:gridSpan w:val="6"/>
          </w:tcPr>
          <w:p>
            <w:pPr>
              <w:ind w:left="80"/>
              <w:spacing w:after="0"/>
              <w:rPr>
                <w:sz w:val="20"/>
                <w:szCs w:val="20"/>
                <w:color w:val="auto"/>
              </w:rPr>
            </w:pPr>
            <w:r>
              <w:rPr>
                <w:rFonts w:ascii="Arial" w:cs="Arial" w:eastAsia="Arial" w:hAnsi="Arial"/>
                <w:sz w:val="18"/>
                <w:szCs w:val="18"/>
                <w:color w:val="auto"/>
                <w:w w:val="91"/>
              </w:rPr>
              <w:t xml:space="preserve">The foreign exchange lending rate shall be determined according to method </w:t>
            </w:r>
            <w:r>
              <w:rPr>
                <w:rFonts w:ascii="Arial" w:cs="Arial" w:eastAsia="Arial" w:hAnsi="Arial"/>
                <w:sz w:val="18"/>
                <w:szCs w:val="18"/>
                <w:b w:val="1"/>
                <w:bCs w:val="1"/>
                <w:color w:val="auto"/>
                <w:w w:val="91"/>
              </w:rPr>
              <w:t>/</w:t>
            </w:r>
          </w:p>
        </w:tc>
        <w:tc>
          <w:tcPr>
            <w:tcW w:w="5400" w:type="dxa"/>
            <w:vAlign w:val="bottom"/>
            <w:gridSpan w:val="7"/>
          </w:tcPr>
          <w:p>
            <w:pPr>
              <w:ind w:left="4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20"/>
        </w:trPr>
        <w:tc>
          <w:tcPr>
            <w:tcW w:w="3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140" w:type="dxa"/>
            <w:vAlign w:val="bottom"/>
            <w:gridSpan w:val="13"/>
          </w:tcPr>
          <w:p>
            <w:pPr>
              <w:ind w:left="80"/>
              <w:spacing w:after="0"/>
              <w:rPr>
                <w:sz w:val="20"/>
                <w:szCs w:val="20"/>
                <w:color w:val="auto"/>
              </w:rPr>
            </w:pPr>
            <w:r>
              <w:rPr>
                <w:rFonts w:ascii="Arial" w:cs="Arial" w:eastAsia="Arial" w:hAnsi="Arial"/>
                <w:sz w:val="18"/>
                <w:szCs w:val="18"/>
                <w:color w:val="auto"/>
              </w:rPr>
              <w:t xml:space="preserve">(1) Fixed interest rate, at an annual interest rate of </w:t>
            </w:r>
            <w:r>
              <w:rPr>
                <w:rFonts w:ascii="Arial" w:cs="Arial" w:eastAsia="Arial" w:hAnsi="Arial"/>
                <w:sz w:val="18"/>
                <w:szCs w:val="18"/>
                <w:b w:val="1"/>
                <w:bCs w:val="1"/>
                <w:color w:val="auto"/>
              </w:rPr>
              <w:t>/</w:t>
            </w:r>
            <w:r>
              <w:rPr>
                <w:rFonts w:ascii="Arial" w:cs="Arial" w:eastAsia="Arial" w:hAnsi="Arial"/>
                <w:sz w:val="18"/>
                <w:szCs w:val="18"/>
                <w:color w:val="auto"/>
              </w:rPr>
              <w:t xml:space="preserve"> %, with the interest rate remaining unchanged for the duration of the Contract.</w:t>
            </w:r>
          </w:p>
        </w:tc>
        <w:tc>
          <w:tcPr>
            <w:tcW w:w="0" w:type="dxa"/>
            <w:vAlign w:val="bottom"/>
          </w:tcPr>
          <w:p>
            <w:pPr>
              <w:spacing w:after="0"/>
              <w:rPr>
                <w:sz w:val="1"/>
                <w:szCs w:val="1"/>
                <w:color w:val="auto"/>
              </w:rPr>
            </w:pPr>
          </w:p>
        </w:tc>
      </w:tr>
      <w:tr>
        <w:trPr>
          <w:trHeight w:val="20"/>
        </w:trPr>
        <w:tc>
          <w:tcPr>
            <w:tcW w:w="370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-month</w:t>
            </w:r>
            <w:r>
              <w:rPr>
                <w:rFonts w:ascii="Arial" w:cs="Arial" w:eastAsia="Arial" w:hAnsi="Arial"/>
                <w:sz w:val="18"/>
                <w:szCs w:val="18"/>
                <w:b w:val="1"/>
                <w:bCs w:val="1"/>
                <w:color w:val="auto"/>
                <w:w w:val="94"/>
              </w:rPr>
              <w:t xml:space="preserve"> /  </w:t>
            </w:r>
            <w:r>
              <w:rPr>
                <w:rFonts w:ascii="Arial" w:cs="Arial" w:eastAsia="Arial" w:hAnsi="Arial"/>
                <w:sz w:val="18"/>
                <w:szCs w:val="18"/>
                <w:color w:val="auto"/>
                <w:w w:val="94"/>
              </w:rPr>
              <w:t>(LIBOR/HIBOR) as the benchmark interest rate plus</w:t>
            </w:r>
            <w:r>
              <w:rPr>
                <w:rFonts w:ascii="Arial" w:cs="Arial" w:eastAsia="Arial" w:hAnsi="Arial"/>
                <w:sz w:val="18"/>
                <w:szCs w:val="18"/>
                <w:b w:val="1"/>
                <w:bCs w:val="1"/>
                <w:color w:val="auto"/>
                <w:w w:val="94"/>
              </w:rPr>
              <w:t xml:space="preserve"> /  </w:t>
            </w:r>
            <w:r>
              <w:rPr>
                <w:rFonts w:ascii="Arial" w:cs="Arial" w:eastAsia="Arial" w:hAnsi="Arial"/>
                <w:sz w:val="18"/>
                <w:szCs w:val="18"/>
                <w:color w:val="auto"/>
                <w:w w:val="94"/>
              </w:rPr>
              <w:t>base</w:t>
            </w:r>
          </w:p>
        </w:tc>
        <w:tc>
          <w:tcPr>
            <w:tcW w:w="0" w:type="dxa"/>
            <w:vAlign w:val="bottom"/>
          </w:tcPr>
          <w:p>
            <w:pPr>
              <w:spacing w:after="0" w:line="20" w:lineRule="exact"/>
              <w:rPr>
                <w:sz w:val="1"/>
                <w:szCs w:val="1"/>
                <w:color w:val="auto"/>
              </w:rPr>
            </w:pPr>
          </w:p>
        </w:tc>
      </w:tr>
      <w:tr>
        <w:trPr>
          <w:trHeight w:val="410"/>
        </w:trPr>
        <w:tc>
          <w:tcPr>
            <w:tcW w:w="5740" w:type="dxa"/>
            <w:vAlign w:val="bottom"/>
            <w:gridSpan w:val="6"/>
          </w:tcPr>
          <w:p>
            <w:pPr>
              <w:ind w:left="100"/>
              <w:spacing w:after="0"/>
              <w:rPr>
                <w:sz w:val="20"/>
                <w:szCs w:val="20"/>
                <w:color w:val="auto"/>
              </w:rPr>
            </w:pPr>
            <w:r>
              <w:rPr>
                <w:rFonts w:ascii="Arial" w:cs="Arial" w:eastAsia="Arial" w:hAnsi="Arial"/>
                <w:sz w:val="18"/>
                <w:szCs w:val="18"/>
                <w:color w:val="auto"/>
                <w:w w:val="90"/>
              </w:rPr>
              <w:t>(2) Floating interest rate, with the lending rate determined by the spread of the</w:t>
            </w:r>
          </w:p>
        </w:tc>
        <w:tc>
          <w:tcPr>
            <w:tcW w:w="40" w:type="dxa"/>
            <w:vAlign w:val="bottom"/>
          </w:tcPr>
          <w:p>
            <w:pPr>
              <w:spacing w:after="0"/>
              <w:rPr>
                <w:sz w:val="24"/>
                <w:szCs w:val="24"/>
                <w:color w:val="auto"/>
              </w:rPr>
            </w:pPr>
          </w:p>
        </w:tc>
        <w:tc>
          <w:tcPr>
            <w:tcW w:w="536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points (i.e., 0.01%). The spread will remain unchanged during the Contract term. After the Borrower makes a withdrawal, the benchmark interest rate shall be adjusted according to method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listed below, with interest accounted for in segments:</w:t>
      </w:r>
    </w:p>
    <w:p>
      <w:pPr>
        <w:spacing w:after="0" w:line="170" w:lineRule="exact"/>
        <w:rPr>
          <w:sz w:val="20"/>
          <w:szCs w:val="20"/>
          <w:color w:val="auto"/>
        </w:rPr>
      </w:pPr>
    </w:p>
    <w:p>
      <w:pPr>
        <w:jc w:val="both"/>
        <w:ind w:firstLine="377"/>
        <w:spacing w:after="0" w:line="284" w:lineRule="auto"/>
        <w:rPr>
          <w:sz w:val="20"/>
          <w:szCs w:val="20"/>
          <w:color w:val="auto"/>
        </w:rPr>
      </w:pPr>
      <w:r>
        <w:rPr>
          <w:rFonts w:ascii="Arial" w:cs="Arial" w:eastAsia="Arial" w:hAnsi="Arial"/>
          <w:sz w:val="17"/>
          <w:szCs w:val="17"/>
          <w:color w:val="auto"/>
        </w:rPr>
        <w:t xml:space="preserve">A. For a period of </w:t>
      </w:r>
      <w:r>
        <w:rPr>
          <w:rFonts w:ascii="Arial" w:cs="Arial" w:eastAsia="Arial" w:hAnsi="Arial"/>
          <w:sz w:val="17"/>
          <w:szCs w:val="17"/>
          <w:u w:val="single" w:color="auto"/>
          <w:color w:val="auto"/>
        </w:rPr>
        <w:t>/</w:t>
      </w:r>
      <w:r>
        <w:rPr>
          <w:rFonts w:ascii="Arial" w:cs="Arial" w:eastAsia="Arial" w:hAnsi="Arial"/>
          <w:sz w:val="17"/>
          <w:szCs w:val="17"/>
          <w:color w:val="auto"/>
        </w:rPr>
        <w:t xml:space="preserve"> (1/3/6/12) month(s), to be adjusted once a period. The benchmark interest rate adjustment date for the second period shall be the date that corresponds to the withdrawal date at the end of the first period; should the given month not have the given date that corresponds to the withdrawal date, the corresponding date shall be the last day of the given month, and the same shall hold true for other periods.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7" w:name="page248"/>
    <w:bookmarkEnd w:id="247"/>
    <w:p>
      <w:pPr>
        <w:ind w:left="360"/>
        <w:spacing w:after="0"/>
        <w:rPr>
          <w:sz w:val="20"/>
          <w:szCs w:val="20"/>
          <w:color w:val="auto"/>
        </w:rPr>
      </w:pPr>
      <w:r>
        <w:rPr>
          <w:rFonts w:ascii="Arial" w:cs="Arial" w:eastAsia="Arial" w:hAnsi="Arial"/>
          <w:sz w:val="18"/>
          <w:szCs w:val="18"/>
          <w:color w:val="auto"/>
        </w:rPr>
        <w:t>B. The benchmark interest rate shall be adjusted on the first day of each interest-bearing period.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 Other: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-8255</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7" w:lineRule="exact"/>
        <w:rPr>
          <w:sz w:val="20"/>
          <w:szCs w:val="20"/>
          <w:color w:val="auto"/>
        </w:rPr>
      </w:pPr>
    </w:p>
    <w:p>
      <w:pPr>
        <w:jc w:val="both"/>
        <w:ind w:firstLine="345"/>
        <w:spacing w:after="0" w:line="305" w:lineRule="auto"/>
        <w:rPr>
          <w:sz w:val="20"/>
          <w:szCs w:val="20"/>
          <w:color w:val="auto"/>
        </w:rPr>
      </w:pPr>
      <w:r>
        <w:rPr>
          <w:rFonts w:ascii="Arial" w:cs="Arial" w:eastAsia="Arial" w:hAnsi="Arial"/>
          <w:sz w:val="17"/>
          <w:szCs w:val="17"/>
          <w:color w:val="auto"/>
        </w:rPr>
        <w:t xml:space="preserve">3.3 Interest shall be calculated on lending under the Contract on a daily basis from the withdrawal date and settled every </w:t>
      </w:r>
      <w:r>
        <w:rPr>
          <w:rFonts w:ascii="Arial" w:cs="Arial" w:eastAsia="Arial" w:hAnsi="Arial"/>
          <w:sz w:val="17"/>
          <w:szCs w:val="17"/>
          <w:u w:val="single" w:color="auto"/>
          <w:color w:val="auto"/>
        </w:rPr>
        <w:t>month</w:t>
      </w:r>
      <w:r>
        <w:rPr>
          <w:rFonts w:ascii="Arial" w:cs="Arial" w:eastAsia="Arial" w:hAnsi="Arial"/>
          <w:sz w:val="17"/>
          <w:szCs w:val="17"/>
          <w:color w:val="auto"/>
        </w:rPr>
        <w:t xml:space="preserve"> (month/quarter/six months/year). Interest shall be settled with principal when loans are due, and the daily interest rate = annual interest rate/360.</w:t>
      </w:r>
    </w:p>
    <w:p>
      <w:pPr>
        <w:spacing w:after="0" w:line="148" w:lineRule="exact"/>
        <w:rPr>
          <w:sz w:val="20"/>
          <w:szCs w:val="20"/>
          <w:color w:val="auto"/>
        </w:rPr>
      </w:pPr>
    </w:p>
    <w:p>
      <w:pPr>
        <w:jc w:val="both"/>
        <w:ind w:firstLine="237"/>
        <w:spacing w:after="0" w:line="275" w:lineRule="auto"/>
        <w:rPr>
          <w:sz w:val="20"/>
          <w:szCs w:val="20"/>
          <w:color w:val="auto"/>
        </w:rPr>
      </w:pPr>
      <w:r>
        <w:rPr>
          <w:rFonts w:ascii="Arial" w:cs="Arial" w:eastAsia="Arial" w:hAnsi="Arial"/>
          <w:sz w:val="18"/>
          <w:szCs w:val="18"/>
          <w:color w:val="auto"/>
        </w:rPr>
        <w:t xml:space="preserve">3.4 The penalty interest rate for overdue payments under the Contract shall be determined at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 of the original lending rate, and the penalty interest rate for misuse of loans shall be determined at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 of the original lending rate.</w:t>
      </w:r>
    </w:p>
    <w:p>
      <w:pPr>
        <w:spacing w:after="0" w:line="170" w:lineRule="exact"/>
        <w:rPr>
          <w:sz w:val="20"/>
          <w:szCs w:val="20"/>
          <w:color w:val="auto"/>
        </w:rPr>
      </w:pPr>
    </w:p>
    <w:p>
      <w:pPr>
        <w:jc w:val="both"/>
        <w:ind w:firstLine="237"/>
        <w:spacing w:after="0" w:line="262" w:lineRule="auto"/>
        <w:rPr>
          <w:sz w:val="20"/>
          <w:szCs w:val="20"/>
          <w:color w:val="auto"/>
        </w:rPr>
      </w:pPr>
      <w:r>
        <w:rPr>
          <w:rFonts w:ascii="Arial" w:cs="Arial" w:eastAsia="Arial" w:hAnsi="Arial"/>
          <w:sz w:val="18"/>
          <w:szCs w:val="18"/>
          <w:color w:val="auto"/>
        </w:rPr>
        <w:t xml:space="preserve">3.5 In addition to interest, the Borrower shall also pay a commitment fee to the Lender. The commitment fee shall be the difference between the amount of lending stipulated in Article 2 and the Borrower’s withdrawals (the daily average balance during the billing period) and an annual rate of </w:t>
      </w:r>
      <w:r>
        <w:rPr>
          <w:rFonts w:ascii="Arial" w:cs="Arial" w:eastAsia="Arial" w:hAnsi="Arial"/>
          <w:sz w:val="18"/>
          <w:szCs w:val="18"/>
          <w:b w:val="1"/>
          <w:bCs w:val="1"/>
          <w:color w:val="auto"/>
        </w:rPr>
        <w:t>/ %</w:t>
      </w:r>
      <w:r>
        <w:rPr>
          <w:rFonts w:ascii="Arial" w:cs="Arial" w:eastAsia="Arial" w:hAnsi="Arial"/>
          <w:sz w:val="18"/>
          <w:szCs w:val="18"/>
          <w:color w:val="auto"/>
        </w:rPr>
        <w:t xml:space="preserve">, to be paid according to method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6457950</wp:posOffset>
            </wp:positionH>
            <wp:positionV relativeFrom="paragraph">
              <wp:posOffset>-173355</wp:posOffset>
            </wp:positionV>
            <wp:extent cx="1422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142240" cy="8255"/>
                    </a:xfrm>
                    <a:prstGeom prst="rect">
                      <a:avLst/>
                    </a:prstGeom>
                    <a:noFill/>
                  </pic:spPr>
                </pic:pic>
              </a:graphicData>
            </a:graphic>
          </wp:anchor>
        </w:drawing>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A single payment shall be made to the Lender on the last day of the billing period.</w:t>
      </w:r>
    </w:p>
    <w:p>
      <w:pPr>
        <w:spacing w:after="0" w:line="223" w:lineRule="exact"/>
        <w:rPr>
          <w:sz w:val="20"/>
          <w:szCs w:val="20"/>
          <w:color w:val="auto"/>
        </w:rPr>
      </w:pPr>
    </w:p>
    <w:p>
      <w:pPr>
        <w:jc w:val="both"/>
        <w:ind w:right="20" w:firstLine="264"/>
        <w:spacing w:after="0" w:line="275" w:lineRule="auto"/>
        <w:rPr>
          <w:sz w:val="20"/>
          <w:szCs w:val="20"/>
          <w:color w:val="auto"/>
        </w:rPr>
      </w:pPr>
      <w:r>
        <w:rPr>
          <w:rFonts w:ascii="Arial" w:cs="Arial" w:eastAsia="Arial" w:hAnsi="Arial"/>
          <w:sz w:val="18"/>
          <w:szCs w:val="18"/>
          <w:color w:val="auto"/>
        </w:rPr>
        <w:t xml:space="preserve">(2) After the Contract enters into force, payments shall be made in installments to the Lender on the 20th day of every </w:t>
      </w:r>
      <w:r>
        <w:rPr>
          <w:rFonts w:ascii="Arial" w:cs="Arial" w:eastAsia="Arial" w:hAnsi="Arial"/>
          <w:sz w:val="18"/>
          <w:szCs w:val="18"/>
          <w:u w:val="single" w:color="auto"/>
          <w:color w:val="auto"/>
        </w:rPr>
        <w:t>/</w:t>
      </w:r>
      <w:r>
        <w:rPr>
          <w:rFonts w:ascii="Arial" w:cs="Arial" w:eastAsia="Arial" w:hAnsi="Arial"/>
          <w:sz w:val="18"/>
          <w:szCs w:val="18"/>
          <w:color w:val="auto"/>
        </w:rPr>
        <w:t xml:space="preserve"> (month/quarter/six months) up until the last day of the billing period.</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billing period refers to the period between the signing date of the Contract and the withdrawal date of the last loan as stipulated in Article 4.</w:t>
      </w:r>
    </w:p>
    <w:p>
      <w:pPr>
        <w:spacing w:after="0" w:line="230"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8"/>
          <w:szCs w:val="18"/>
          <w:b w:val="1"/>
          <w:bCs w:val="1"/>
          <w:color w:val="auto"/>
        </w:rPr>
        <w:t>The commitment fee is paid in installments; should the Borrower fail to pay the commitment fee on time, the Lender is entitled to the suspension of the issuance of loans or to cancel all amounts that the Borrower has not withdrawn.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4 Withdrawals</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Borrower shall make withdrawals according to method  listed below according to actual funding needs:[x1]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-8255</wp:posOffset>
            </wp:positionV>
            <wp:extent cx="28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1"/>
              </w:rPr>
              <w:t>(1)</w:t>
            </w:r>
          </w:p>
        </w:tc>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One-time loan request prior to  ;</w:t>
            </w:r>
          </w:p>
        </w:tc>
      </w:tr>
      <w:tr>
        <w:trPr>
          <w:trHeight w:val="20"/>
        </w:trPr>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0"/>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1"/>
              </w:rPr>
              <w:t>(2)</w:t>
            </w:r>
          </w:p>
        </w:tc>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One or more loan requests after the Contract’s effective date and before  ;</w:t>
            </w:r>
          </w:p>
        </w:tc>
      </w:tr>
      <w:tr>
        <w:trPr>
          <w:trHeight w:val="20"/>
        </w:trPr>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251"/>
        <w:spacing w:after="0" w:line="279" w:lineRule="auto"/>
        <w:rPr>
          <w:sz w:val="20"/>
          <w:szCs w:val="20"/>
          <w:color w:val="auto"/>
        </w:rPr>
      </w:pPr>
      <w:r>
        <w:rPr>
          <w:rFonts w:ascii="Arial" w:cs="Arial" w:eastAsia="Arial" w:hAnsi="Arial"/>
          <w:sz w:val="18"/>
          <w:szCs w:val="18"/>
          <w:b w:val="1"/>
          <w:bCs w:val="1"/>
          <w:color w:val="auto"/>
        </w:rPr>
        <w:t>(3) Withdrawals in installments on the dates below; the Borrower may, with the Lender’s consent, make changes to withdrawal dates or amounts based on funding needs, though the Borrower must make loan requests no later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-45720</wp:posOffset>
            </wp:positionV>
            <wp:extent cx="850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7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Withdrawal Date</w:t>
            </w:r>
          </w:p>
        </w:tc>
        <w:tc>
          <w:tcPr>
            <w:tcW w:w="5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Withdrawal Amount</w:t>
            </w: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bl>
    <w:p>
      <w:pPr>
        <w:spacing w:after="0" w:line="223" w:lineRule="exact"/>
        <w:rPr>
          <w:sz w:val="20"/>
          <w:szCs w:val="20"/>
          <w:color w:val="auto"/>
        </w:rPr>
      </w:pPr>
    </w:p>
    <w:p>
      <w:pPr>
        <w:jc w:val="both"/>
        <w:ind w:firstLine="282"/>
        <w:spacing w:after="0" w:line="279" w:lineRule="auto"/>
        <w:rPr>
          <w:sz w:val="20"/>
          <w:szCs w:val="20"/>
          <w:color w:val="auto"/>
        </w:rPr>
      </w:pPr>
      <w:r>
        <w:rPr>
          <w:rFonts w:ascii="Arial" w:cs="Arial" w:eastAsia="Arial" w:hAnsi="Arial"/>
          <w:sz w:val="18"/>
          <w:szCs w:val="18"/>
          <w:b w:val="1"/>
          <w:bCs w:val="1"/>
          <w:color w:val="auto"/>
        </w:rPr>
        <w:t>4.2 Should the Borrower fail to make withdrawals as agreed, the Lender is entitled to cancel, in part or in full, lending that the Borrower has not yet withdrawn.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5 Repayment</w:t>
      </w: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5.1 The Borrower shall repay lending according to the following repayment plan (when there is additional content, additional pages can be attached):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8" w:name="page249"/>
    <w:bookmarkEnd w:id="248"/>
    <w:tbl>
      <w:tblPr>
        <w:tblLayout w:type="fixed"/>
        <w:tblInd w:w="10" w:type="dxa"/>
        <w:tblCellMar>
          <w:top w:w="0" w:type="dxa"/>
          <w:left w:w="0" w:type="dxa"/>
          <w:bottom w:w="0" w:type="dxa"/>
          <w:right w:w="0" w:type="dxa"/>
        </w:tblCellMar>
      </w:tblPr>
      <w:tr>
        <w:trPr>
          <w:trHeight w:val="248"/>
        </w:trPr>
        <w:tc>
          <w:tcPr>
            <w:tcW w:w="5760" w:type="dxa"/>
            <w:vAlign w:val="bottom"/>
            <w:tcBorders>
              <w:top w:val="single" w:sz="8" w:color="auto"/>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color w:val="auto"/>
              </w:rPr>
              <w:t>Planned Repayment Date</w:t>
            </w:r>
          </w:p>
        </w:tc>
        <w:tc>
          <w:tcPr>
            <w:tcW w:w="5660" w:type="dxa"/>
            <w:vAlign w:val="bottom"/>
            <w:tcBorders>
              <w:top w:val="single" w:sz="8" w:color="auto"/>
              <w:bottom w:val="single" w:sz="8" w:color="auto"/>
              <w:right w:val="single" w:sz="8" w:color="auto"/>
            </w:tcBorders>
          </w:tcPr>
          <w:p>
            <w:pPr>
              <w:ind w:left="1780"/>
              <w:spacing w:after="0"/>
              <w:rPr>
                <w:sz w:val="20"/>
                <w:szCs w:val="20"/>
                <w:color w:val="auto"/>
              </w:rPr>
            </w:pPr>
            <w:r>
              <w:rPr>
                <w:rFonts w:ascii="Arial" w:cs="Arial" w:eastAsia="Arial" w:hAnsi="Arial"/>
                <w:sz w:val="18"/>
                <w:szCs w:val="18"/>
                <w:color w:val="auto"/>
              </w:rPr>
              <w:t>Planned Repayment Amount</w:t>
            </w:r>
          </w:p>
        </w:tc>
      </w:tr>
      <w:tr>
        <w:trPr>
          <w:trHeight w:val="222"/>
        </w:trPr>
        <w:tc>
          <w:tcPr>
            <w:tcW w:w="5760" w:type="dxa"/>
            <w:vAlign w:val="bottom"/>
            <w:tcBorders>
              <w:left w:val="single" w:sz="8" w:color="auto"/>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22"/>
        </w:trPr>
        <w:tc>
          <w:tcPr>
            <w:tcW w:w="5760" w:type="dxa"/>
            <w:vAlign w:val="bottom"/>
            <w:tcBorders>
              <w:left w:val="single" w:sz="8" w:color="auto"/>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22"/>
        </w:trPr>
        <w:tc>
          <w:tcPr>
            <w:tcW w:w="5760" w:type="dxa"/>
            <w:vAlign w:val="bottom"/>
            <w:tcBorders>
              <w:left w:val="single" w:sz="8" w:color="auto"/>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22"/>
        </w:trPr>
        <w:tc>
          <w:tcPr>
            <w:tcW w:w="5760" w:type="dxa"/>
            <w:vAlign w:val="bottom"/>
            <w:tcBorders>
              <w:left w:val="single" w:sz="8" w:color="auto"/>
              <w:bottom w:val="single" w:sz="8" w:color="auto"/>
              <w:right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bl>
    <w:p>
      <w:pPr>
        <w:spacing w:after="0" w:line="223" w:lineRule="exact"/>
        <w:rPr>
          <w:sz w:val="20"/>
          <w:szCs w:val="20"/>
          <w:color w:val="auto"/>
        </w:rPr>
      </w:pPr>
    </w:p>
    <w:p>
      <w:pPr>
        <w:jc w:val="both"/>
        <w:ind w:firstLine="386"/>
        <w:spacing w:after="0" w:line="279" w:lineRule="auto"/>
        <w:rPr>
          <w:sz w:val="20"/>
          <w:szCs w:val="20"/>
          <w:color w:val="auto"/>
        </w:rPr>
      </w:pPr>
      <w:r>
        <w:rPr>
          <w:rFonts w:ascii="Arial" w:cs="Arial" w:eastAsia="Arial" w:hAnsi="Arial"/>
          <w:sz w:val="18"/>
          <w:szCs w:val="18"/>
          <w:b w:val="1"/>
          <w:bCs w:val="1"/>
          <w:color w:val="auto"/>
        </w:rPr>
        <w:t>For lending under the Contract under the following circumstances, the Borrower shall not be required to pay the early repayment penalty in case the loan is returned immediately after the corresponding funds are in place, thus resulting in early repayment:</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-8255</wp:posOffset>
            </wp:positionV>
            <wp:extent cx="20770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-20320</wp:posOffset>
            </wp:positionV>
            <wp:extent cx="21050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2105025" cy="8255"/>
                    </a:xfrm>
                    <a:prstGeom prst="rect">
                      <a:avLst/>
                    </a:prstGeom>
                    <a:noFill/>
                  </pic:spPr>
                </pic:pic>
              </a:graphicData>
            </a:graphic>
          </wp:anchor>
        </w:drawing>
      </w:r>
    </w:p>
    <w:p>
      <w:pPr>
        <w:spacing w:after="0" w:line="184" w:lineRule="exact"/>
        <w:rPr>
          <w:sz w:val="20"/>
          <w:szCs w:val="20"/>
          <w:color w:val="auto"/>
        </w:rPr>
      </w:pPr>
    </w:p>
    <w:p>
      <w:pPr>
        <w:jc w:val="both"/>
        <w:ind w:firstLine="378"/>
        <w:spacing w:after="0" w:line="292" w:lineRule="auto"/>
        <w:rPr>
          <w:sz w:val="20"/>
          <w:szCs w:val="20"/>
          <w:color w:val="auto"/>
        </w:rPr>
      </w:pPr>
      <w:r>
        <w:rPr>
          <w:rFonts w:ascii="Arial" w:cs="Arial" w:eastAsia="Arial" w:hAnsi="Arial"/>
          <w:sz w:val="16"/>
          <w:szCs w:val="16"/>
          <w:b w:val="1"/>
          <w:bCs w:val="1"/>
          <w:color w:val="auto"/>
        </w:rPr>
        <w:t>Apart from the circumstances stipulated in Article 5.2, should loans be repaid early, the Borrower shall pay an early repayment penalty to the Lender, with the early repayment penalty calculated according to the following criteria: early repayment amount × remaining lending term (months)</w:t>
      </w:r>
    </w:p>
    <w:p>
      <w:pPr>
        <w:spacing w:after="0" w:line="1" w:lineRule="exact"/>
        <w:rPr>
          <w:sz w:val="20"/>
          <w:szCs w:val="20"/>
          <w:color w:val="auto"/>
        </w:rPr>
      </w:pPr>
    </w:p>
    <w:p>
      <w:pPr>
        <w:ind w:left="360" w:right="3360" w:hanging="353"/>
        <w:spacing w:after="0" w:line="548" w:lineRule="auto"/>
        <w:tabs>
          <w:tab w:leader="none" w:pos="193"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 if the remaining lending term is less than one month, the period shall be calculated as one month. Special Agreements on Revolving Loans </w:t>
      </w:r>
      <w:r>
        <w:rPr>
          <w:rFonts w:ascii="Arial" w:cs="Arial" w:eastAsia="Arial" w:hAnsi="Arial"/>
          <w:sz w:val="16"/>
          <w:szCs w:val="16"/>
          <w:color w:val="auto"/>
        </w:rPr>
        <w:t>(Optional clause; this Article □ is applicable ■ is not applicable)</w:t>
      </w:r>
    </w:p>
    <w:p>
      <w:pPr>
        <w:spacing w:after="0" w:line="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 xml:space="preserve">The Borrower may use lending under the Contract on a revolving basis every </w:t>
      </w:r>
      <w:r>
        <w:rPr>
          <w:rFonts w:ascii="Arial" w:cs="Arial" w:eastAsia="Arial" w:hAnsi="Arial"/>
          <w:sz w:val="18"/>
          <w:szCs w:val="18"/>
          <w:b w:val="1"/>
          <w:bCs w:val="1"/>
          <w:color w:val="auto"/>
        </w:rPr>
        <w:t>/</w:t>
      </w:r>
      <w:r>
        <w:rPr>
          <w:rFonts w:ascii="Arial" w:cs="Arial" w:eastAsia="Arial" w:hAnsi="Arial"/>
          <w:sz w:val="18"/>
          <w:szCs w:val="18"/>
          <w:color w:val="auto"/>
        </w:rPr>
        <w:t xml:space="preserve"> (six months/one year/two years/three years/four years/five years) (hereinafter referred to as the unit lending period). After necessary procedures are performed, the outstanding principal of the loan during the previous unit borrowing period may continue to be used during the next unit borrowing period, but the maturity date of any withdrawal shall not exceed the expiration date of the borrowing period mentioned in the preceding Article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-444500</wp:posOffset>
            </wp:positionV>
            <wp:extent cx="1676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Article 7 Guarantee[x2]</w:t>
      </w:r>
    </w:p>
    <w:p>
      <w:pPr>
        <w:spacing w:after="0" w:line="2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loan guarantee under the Contract is the maximum guarantee, and the corresponding maximum guarantee contract is as follows:</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of the maximum guarantee contract:  Maximum Mortgage Contract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17418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203" w:lineRule="exact"/>
        <w:rPr>
          <w:sz w:val="20"/>
          <w:szCs w:val="20"/>
          <w:color w:val="auto"/>
        </w:rPr>
      </w:pPr>
    </w:p>
    <w:p>
      <w:pPr>
        <w:ind w:left="280"/>
        <w:spacing w:after="0"/>
        <w:tabs>
          <w:tab w:leader="none" w:pos="1560" w:val="left"/>
        </w:tabs>
        <w:rPr>
          <w:sz w:val="20"/>
          <w:szCs w:val="20"/>
          <w:color w:val="auto"/>
        </w:rPr>
      </w:pPr>
      <w:r>
        <w:rPr>
          <w:rFonts w:ascii="Arial" w:cs="Arial" w:eastAsia="Arial" w:hAnsi="Arial"/>
          <w:sz w:val="18"/>
          <w:szCs w:val="18"/>
          <w:color w:val="auto"/>
        </w:rPr>
        <w:t>Guarantor:</w:t>
      </w:r>
      <w:r>
        <w:rPr>
          <w:sz w:val="20"/>
          <w:szCs w:val="20"/>
          <w:color w:val="auto"/>
        </w:rPr>
        <w:tab/>
      </w:r>
      <w:r>
        <w:rPr>
          <w:rFonts w:ascii="Arial" w:cs="Arial" w:eastAsia="Arial" w:hAnsi="Arial"/>
          <w:sz w:val="18"/>
          <w:szCs w:val="18"/>
          <w:color w:val="auto"/>
        </w:rPr>
        <w:t>Photronics DNP Mask Corporation Xiamen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-10795</wp:posOffset>
            </wp:positionV>
            <wp:extent cx="2329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2329180" cy="8255"/>
                    </a:xfrm>
                    <a:prstGeom prst="rect">
                      <a:avLst/>
                    </a:prstGeom>
                    <a:noFill/>
                  </pic:spPr>
                </pic:pic>
              </a:graphicData>
            </a:graphic>
          </wp:anchor>
        </w:drawing>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Article 8 Financial Agreement </w:t>
      </w:r>
      <w:r>
        <w:rPr>
          <w:rFonts w:ascii="Arial" w:cs="Arial" w:eastAsia="Arial" w:hAnsi="Arial"/>
          <w:sz w:val="18"/>
          <w:szCs w:val="18"/>
          <w:color w:val="auto"/>
        </w:rPr>
        <w:t>(Optional clause; this Article □ is applicable ■ is not applicable)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duration of the Contract, the Borrower shall be subject to the following financial metrics:</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-8255</wp:posOffset>
            </wp:positionV>
            <wp:extent cx="20770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-20320</wp:posOffset>
            </wp:positionV>
            <wp:extent cx="207708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9" w:name="page250"/>
    <w:bookmarkEnd w:id="249"/>
    <w:p>
      <w:pPr>
        <w:ind w:left="360"/>
        <w:spacing w:after="0"/>
        <w:rPr>
          <w:sz w:val="20"/>
          <w:szCs w:val="20"/>
          <w:color w:val="auto"/>
        </w:rPr>
      </w:pPr>
      <w:r>
        <w:rPr>
          <w:rFonts w:ascii="Arial" w:cs="Arial" w:eastAsia="Arial" w:hAnsi="Arial"/>
          <w:sz w:val="18"/>
          <w:szCs w:val="18"/>
          <w:b w:val="1"/>
          <w:bCs w:val="1"/>
          <w:color w:val="auto"/>
        </w:rPr>
        <w:t>Article 9 Dispute Resolution</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dispute resolution method under the Contract is (1):</w:t>
      </w:r>
    </w:p>
    <w:p>
      <w:pPr>
        <w:spacing w:after="0" w:line="223" w:lineRule="exact"/>
        <w:rPr>
          <w:sz w:val="20"/>
          <w:szCs w:val="20"/>
          <w:color w:val="auto"/>
        </w:rPr>
      </w:pPr>
    </w:p>
    <w:p>
      <w:pPr>
        <w:ind w:firstLine="329"/>
        <w:spacing w:after="0" w:line="310" w:lineRule="auto"/>
        <w:tabs>
          <w:tab w:leader="none" w:pos="599"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dispute shall be submitted to the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Arbitration Commission, subject to the arbitration rules effective at the time in which the application for arbitration is submitted for arbitration in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(arbitral place). The arbitral award is final and binding upon the parties.</w:t>
      </w:r>
    </w:p>
    <w:p>
      <w:pPr>
        <w:spacing w:after="0" w:line="139" w:lineRule="exact"/>
        <w:rPr>
          <w:rFonts w:ascii="Arial" w:cs="Arial" w:eastAsia="Arial" w:hAnsi="Arial"/>
          <w:sz w:val="17"/>
          <w:szCs w:val="17"/>
          <w:b w:val="1"/>
          <w:bCs w:val="1"/>
          <w:color w:val="auto"/>
        </w:rPr>
      </w:pPr>
    </w:p>
    <w:p>
      <w:pPr>
        <w:ind w:left="620" w:hanging="255"/>
        <w:spacing w:after="0"/>
        <w:tabs>
          <w:tab w:leader="none" w:pos="620"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The dispute shall be resolved through litigation in the court of the Lender’s location.</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10 Miscellaneous</w:t>
      </w:r>
    </w:p>
    <w:p>
      <w:pPr>
        <w:spacing w:after="0" w:line="227" w:lineRule="exact"/>
        <w:rPr>
          <w:sz w:val="20"/>
          <w:szCs w:val="20"/>
          <w:color w:val="auto"/>
        </w:rPr>
      </w:pPr>
    </w:p>
    <w:p>
      <w:pPr>
        <w:ind w:left="360"/>
        <w:spacing w:after="0"/>
        <w:tabs>
          <w:tab w:leader="none" w:pos="5220" w:val="left"/>
        </w:tabs>
        <w:rPr>
          <w:sz w:val="20"/>
          <w:szCs w:val="20"/>
          <w:color w:val="auto"/>
        </w:rPr>
      </w:pPr>
      <w:r>
        <w:rPr>
          <w:rFonts w:ascii="Arial" w:cs="Arial" w:eastAsia="Arial" w:hAnsi="Arial"/>
          <w:sz w:val="18"/>
          <w:szCs w:val="18"/>
          <w:color w:val="auto"/>
        </w:rPr>
        <w:t xml:space="preserve">The Contract is in </w:t>
      </w:r>
      <w:r>
        <w:rPr>
          <w:rFonts w:ascii="Arial" w:cs="Arial" w:eastAsia="Arial" w:hAnsi="Arial"/>
          <w:sz w:val="18"/>
          <w:szCs w:val="18"/>
          <w:u w:val="single" w:color="auto"/>
          <w:color w:val="auto"/>
        </w:rPr>
        <w:t>duplicate</w:t>
      </w:r>
      <w:r>
        <w:rPr>
          <w:rFonts w:ascii="Arial" w:cs="Arial" w:eastAsia="Arial" w:hAnsi="Arial"/>
          <w:sz w:val="18"/>
          <w:szCs w:val="18"/>
          <w:color w:val="auto"/>
        </w:rPr>
        <w:t>, with the Borrower, Lender, and  , / /</w:t>
      </w:r>
      <w:r>
        <w:rPr>
          <w:sz w:val="20"/>
          <w:szCs w:val="20"/>
          <w:color w:val="auto"/>
        </w:rPr>
        <w:tab/>
      </w:r>
      <w:r>
        <w:rPr>
          <w:rFonts w:ascii="Arial" w:cs="Arial" w:eastAsia="Arial" w:hAnsi="Arial"/>
          <w:sz w:val="16"/>
          <w:szCs w:val="16"/>
          <w:color w:val="auto"/>
        </w:rPr>
        <w:t xml:space="preserve">, each holding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original, each of equal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-10795</wp:posOffset>
            </wp:positionV>
            <wp:extent cx="882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88265" cy="8255"/>
                    </a:xfrm>
                    <a:prstGeom prst="rect">
                      <a:avLst/>
                    </a:prstGeom>
                    <a:noFill/>
                  </pic:spPr>
                </pic:pic>
              </a:graphicData>
            </a:graphic>
          </wp:anchor>
        </w:drawing>
      </w:r>
    </w:p>
    <w:p>
      <w:pPr>
        <w:spacing w:after="0" w:line="203" w:lineRule="exact"/>
        <w:rPr>
          <w:sz w:val="20"/>
          <w:szCs w:val="20"/>
          <w:color w:val="auto"/>
        </w:rPr>
      </w:pPr>
    </w:p>
    <w:p>
      <w:pPr>
        <w:ind w:right="20" w:firstLine="371"/>
        <w:spacing w:after="0" w:line="275" w:lineRule="auto"/>
        <w:rPr>
          <w:sz w:val="20"/>
          <w:szCs w:val="20"/>
          <w:color w:val="auto"/>
        </w:rPr>
      </w:pPr>
      <w:r>
        <w:rPr>
          <w:rFonts w:ascii="Arial" w:cs="Arial" w:eastAsia="Arial" w:hAnsi="Arial"/>
          <w:sz w:val="18"/>
          <w:szCs w:val="18"/>
          <w:color w:val="auto"/>
        </w:rPr>
        <w:t>10.2 The following attachments and other attachments mutually agreed upon by the parties shall constitute an integral part of the Contract and have the same legal effect as the Contract: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Attachment 1: Withdrawal Notice (Format)</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Attachment 2: Entrusted Payment Agreement</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Attachment 3: /</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11 Other Matters of Agreement</w:t>
      </w:r>
    </w:p>
    <w:p>
      <w:pPr>
        <w:spacing w:after="0" w:line="227" w:lineRule="exact"/>
        <w:rPr>
          <w:sz w:val="20"/>
          <w:szCs w:val="20"/>
          <w:color w:val="auto"/>
        </w:rPr>
      </w:pPr>
    </w:p>
    <w:p>
      <w:pPr>
        <w:ind w:right="100" w:firstLine="358"/>
        <w:spacing w:after="0" w:line="262" w:lineRule="auto"/>
        <w:rPr>
          <w:sz w:val="20"/>
          <w:szCs w:val="20"/>
          <w:color w:val="auto"/>
        </w:rPr>
      </w:pPr>
      <w:r>
        <w:rPr>
          <w:rFonts w:ascii="Arial" w:cs="Arial" w:eastAsia="Arial" w:hAnsi="Arial"/>
          <w:sz w:val="18"/>
          <w:szCs w:val="18"/>
          <w:color w:val="auto"/>
        </w:rPr>
        <w:t>11.1 The arbitral ruling is final and binding on both parties. The parties agree that the arbitration shall be conducted after the arbitration has been filed; the relevant legal documents (including the arbitration documents) shall be deemed to have been served on the day following mailing to the mailing addresses of the parties as recorded in the Contract.</w:t>
      </w:r>
    </w:p>
    <w:p>
      <w:pPr>
        <w:spacing w:after="0" w:line="181" w:lineRule="exact"/>
        <w:rPr>
          <w:sz w:val="20"/>
          <w:szCs w:val="20"/>
          <w:color w:val="auto"/>
        </w:rPr>
      </w:pPr>
    </w:p>
    <w:p>
      <w:pPr>
        <w:jc w:val="both"/>
        <w:ind w:right="40" w:firstLine="358"/>
        <w:spacing w:after="0" w:line="309" w:lineRule="auto"/>
        <w:rPr>
          <w:sz w:val="20"/>
          <w:szCs w:val="20"/>
          <w:color w:val="auto"/>
        </w:rPr>
      </w:pPr>
      <w:r>
        <w:rPr>
          <w:rFonts w:ascii="Arial" w:cs="Arial" w:eastAsia="Arial" w:hAnsi="Arial"/>
          <w:sz w:val="16"/>
          <w:szCs w:val="16"/>
          <w:color w:val="auto"/>
        </w:rPr>
        <w:t>11.2 The Borrower shall disclose related party relationships and related party transactions to the Lender in a timely, comprehensive, and accurate manner; the total amount of financing that the Borrower applies to the Lender for shall not exceed the actual funding needs of Party B. Should the Borrower violate any of the stipulations in the two foregoing paragraphs, the Lender is entitled to take the breach of contract remedy measures as stipulated in this agreement.</w:t>
      </w:r>
    </w:p>
    <w:p>
      <w:pPr>
        <w:spacing w:after="0" w:line="149" w:lineRule="exact"/>
        <w:rPr>
          <w:sz w:val="20"/>
          <w:szCs w:val="20"/>
          <w:color w:val="auto"/>
        </w:rPr>
      </w:pPr>
    </w:p>
    <w:p>
      <w:pPr>
        <w:ind w:right="460" w:firstLine="358"/>
        <w:spacing w:after="0" w:line="275" w:lineRule="auto"/>
        <w:rPr>
          <w:sz w:val="20"/>
          <w:szCs w:val="20"/>
          <w:color w:val="auto"/>
        </w:rPr>
      </w:pPr>
      <w:r>
        <w:rPr>
          <w:rFonts w:ascii="Arial" w:cs="Arial" w:eastAsia="Arial" w:hAnsi="Arial"/>
          <w:sz w:val="18"/>
          <w:szCs w:val="18"/>
          <w:color w:val="auto"/>
        </w:rPr>
        <w:t>11.3 Without the consent of the Lender, the Borrower shall not provide any guarantees or warranties to others or be deemed as in breach of contract, wherein the Lender is entitled to withdraw financing in advance.</w:t>
      </w:r>
    </w:p>
    <w:p>
      <w:pPr>
        <w:spacing w:after="0" w:line="170" w:lineRule="exact"/>
        <w:rPr>
          <w:sz w:val="20"/>
          <w:szCs w:val="20"/>
          <w:color w:val="auto"/>
        </w:rPr>
      </w:pPr>
    </w:p>
    <w:p>
      <w:pPr>
        <w:ind w:right="80" w:firstLine="358"/>
        <w:spacing w:after="0" w:line="275" w:lineRule="auto"/>
        <w:rPr>
          <w:sz w:val="20"/>
          <w:szCs w:val="20"/>
          <w:color w:val="auto"/>
        </w:rPr>
      </w:pPr>
      <w:r>
        <w:rPr>
          <w:rFonts w:ascii="Arial" w:cs="Arial" w:eastAsia="Arial" w:hAnsi="Arial"/>
          <w:sz w:val="18"/>
          <w:szCs w:val="18"/>
          <w:color w:val="auto"/>
        </w:rPr>
        <w:t>11.4 Without the written consent of the Lender, the Borrower shall not set up mortgages (pledges) on or provide guarantees or warranties for assets that it effectively operates.</w:t>
      </w:r>
    </w:p>
    <w:p>
      <w:pPr>
        <w:spacing w:after="0" w:line="170" w:lineRule="exact"/>
        <w:rPr>
          <w:sz w:val="20"/>
          <w:szCs w:val="20"/>
          <w:color w:val="auto"/>
        </w:rPr>
      </w:pPr>
    </w:p>
    <w:p>
      <w:pPr>
        <w:ind w:right="160" w:firstLine="358"/>
        <w:spacing w:after="0" w:line="275" w:lineRule="auto"/>
        <w:rPr>
          <w:sz w:val="20"/>
          <w:szCs w:val="20"/>
          <w:color w:val="auto"/>
        </w:rPr>
      </w:pPr>
      <w:r>
        <w:rPr>
          <w:rFonts w:ascii="Arial" w:cs="Arial" w:eastAsia="Arial" w:hAnsi="Arial"/>
          <w:sz w:val="18"/>
          <w:szCs w:val="18"/>
          <w:color w:val="auto"/>
        </w:rPr>
        <w:t>11.5 The Borrower shall regularly submit reports to the Lender on external guarantees and promise that such information on external guarantee amounts is complete, true, and accurate.</w:t>
      </w:r>
    </w:p>
    <w:p>
      <w:pPr>
        <w:spacing w:after="0" w:line="170"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11.6 When the Borrower’s financial metrics during the existence of lending are inferior to those previously agreed to by the Lender (if any), the Lender is entitled to declare that the loan expire in advance, to suspend the issuance of unissued funds, to require that the Borrower repay some or all of the loans already issued, or to require that the Borrower provide a legal and valid guarantee as recognized by the Lender.</w:t>
      </w:r>
    </w:p>
    <w:p>
      <w:pPr>
        <w:spacing w:after="0" w:line="181" w:lineRule="exact"/>
        <w:rPr>
          <w:sz w:val="20"/>
          <w:szCs w:val="20"/>
          <w:color w:val="auto"/>
        </w:rPr>
      </w:pPr>
    </w:p>
    <w:p>
      <w:pPr>
        <w:jc w:val="both"/>
        <w:ind w:right="20" w:firstLine="358"/>
        <w:spacing w:after="0" w:line="275" w:lineRule="auto"/>
        <w:rPr>
          <w:sz w:val="20"/>
          <w:szCs w:val="20"/>
          <w:color w:val="auto"/>
        </w:rPr>
      </w:pPr>
      <w:r>
        <w:rPr>
          <w:rFonts w:ascii="Arial" w:cs="Arial" w:eastAsia="Arial" w:hAnsi="Arial"/>
          <w:sz w:val="18"/>
          <w:szCs w:val="18"/>
          <w:color w:val="auto"/>
        </w:rPr>
        <w:t>11.7 The Borrower’s operating income shall be collected in an account overseen by the Bank at a ratio no lower than the Bank’s interbank ratio, subject to the Bank’s supervision, whereby such income is first used to repay loan principal and interest;</w:t>
      </w:r>
    </w:p>
    <w:p>
      <w:pPr>
        <w:spacing w:after="0" w:line="170" w:lineRule="exact"/>
        <w:rPr>
          <w:sz w:val="20"/>
          <w:szCs w:val="20"/>
          <w:color w:val="auto"/>
        </w:rPr>
      </w:pPr>
    </w:p>
    <w:p>
      <w:pPr>
        <w:jc w:val="both"/>
        <w:ind w:right="20" w:firstLine="358"/>
        <w:spacing w:after="0" w:line="275" w:lineRule="auto"/>
        <w:rPr>
          <w:sz w:val="20"/>
          <w:szCs w:val="20"/>
          <w:color w:val="auto"/>
        </w:rPr>
      </w:pPr>
      <w:r>
        <w:rPr>
          <w:rFonts w:ascii="Arial" w:cs="Arial" w:eastAsia="Arial" w:hAnsi="Arial"/>
          <w:sz w:val="18"/>
          <w:szCs w:val="18"/>
          <w:color w:val="auto"/>
        </w:rPr>
        <w:t>11.8 During the existence of loans, without the written consent of the lending bank, the Borrower shall not use this project and the associated rights to add financing, provide guarantees, or invest in others;</w:t>
      </w:r>
    </w:p>
    <w:p>
      <w:pPr>
        <w:spacing w:after="0" w:line="170" w:lineRule="exact"/>
        <w:rPr>
          <w:sz w:val="20"/>
          <w:szCs w:val="20"/>
          <w:color w:val="auto"/>
        </w:rPr>
      </w:pPr>
    </w:p>
    <w:p>
      <w:pPr>
        <w:ind w:right="340" w:firstLine="358"/>
        <w:spacing w:after="0" w:line="339" w:lineRule="auto"/>
        <w:rPr>
          <w:sz w:val="20"/>
          <w:szCs w:val="20"/>
          <w:color w:val="auto"/>
        </w:rPr>
      </w:pPr>
      <w:r>
        <w:rPr>
          <w:rFonts w:ascii="Arial" w:cs="Arial" w:eastAsia="Arial" w:hAnsi="Arial"/>
          <w:sz w:val="16"/>
          <w:szCs w:val="16"/>
          <w:color w:val="auto"/>
        </w:rPr>
        <w:t>11.9 Prior to settling all debts with the Bank, should the Borrower adjust its planning for project operations or otherwise cause significant matters that may adversely affect the interests of the Bank, the Borrower shall first notice the lending bank in advance and obtain their written consent.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Section 2 Specific Stipulations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 Interest Rate and Interest</w:t>
      </w:r>
    </w:p>
    <w:p>
      <w:pPr>
        <w:spacing w:after="0" w:line="227" w:lineRule="exact"/>
        <w:rPr>
          <w:sz w:val="20"/>
          <w:szCs w:val="20"/>
          <w:color w:val="auto"/>
        </w:rPr>
      </w:pPr>
    </w:p>
    <w:p>
      <w:pPr>
        <w:jc w:val="both"/>
        <w:ind w:firstLine="377"/>
        <w:spacing w:after="0" w:line="277" w:lineRule="auto"/>
        <w:rPr>
          <w:sz w:val="20"/>
          <w:szCs w:val="20"/>
          <w:color w:val="auto"/>
        </w:rPr>
      </w:pPr>
      <w:r>
        <w:rPr>
          <w:rFonts w:ascii="Arial" w:cs="Arial" w:eastAsia="Arial" w:hAnsi="Arial"/>
          <w:sz w:val="17"/>
          <w:szCs w:val="17"/>
          <w:color w:val="auto"/>
        </w:rPr>
        <w:t>1.1 For foreign currency borrowing, LIBOR is the interbank interest rate for the lending currency under the Contract displayed on the Reuters financial telecommunications terminal “LIBO=” page two banking days (11: 00 am London time) prior to the withdrawal date or benchmark interest rate adjustment date; HIBOR is the interbank interest rate for the lending currency under the Contract displayed on the Reuters financial telecommunications terminal “HIBO=” page two banking days (11: 15 am Hong Kong time) prior to the withdrawal date or benchmark interest rate adjustment date.</w:t>
      </w:r>
    </w:p>
    <w:p>
      <w:pPr>
        <w:spacing w:after="0" w:line="172" w:lineRule="exact"/>
        <w:rPr>
          <w:sz w:val="20"/>
          <w:szCs w:val="20"/>
          <w:color w:val="auto"/>
        </w:rPr>
      </w:pPr>
    </w:p>
    <w:p>
      <w:pPr>
        <w:jc w:val="both"/>
        <w:ind w:firstLine="398"/>
        <w:spacing w:after="0" w:line="262" w:lineRule="auto"/>
        <w:rPr>
          <w:sz w:val="20"/>
          <w:szCs w:val="20"/>
          <w:color w:val="auto"/>
        </w:rPr>
      </w:pPr>
      <w:r>
        <w:rPr>
          <w:rFonts w:ascii="Arial" w:cs="Arial" w:eastAsia="Arial" w:hAnsi="Arial"/>
          <w:sz w:val="18"/>
          <w:szCs w:val="18"/>
          <w:color w:val="auto"/>
        </w:rPr>
        <w:t>1.2 Should loan interest be settled on a monthly basis, the settlement date shall be the 20th of each month; should interest be settled quarterly, the settlement date shall be the 20th day of the last month of each quarter; should interest be settled semi-annually, the settlement date shall be June 20 or December 20 of each year.</w:t>
      </w:r>
    </w:p>
    <w:p>
      <w:pPr>
        <w:spacing w:after="0" w:line="181" w:lineRule="exact"/>
        <w:rPr>
          <w:sz w:val="20"/>
          <w:szCs w:val="20"/>
          <w:color w:val="auto"/>
        </w:rPr>
      </w:pPr>
    </w:p>
    <w:p>
      <w:pPr>
        <w:jc w:val="both"/>
        <w:ind w:right="20" w:firstLine="371"/>
        <w:spacing w:after="0" w:line="262" w:lineRule="auto"/>
        <w:rPr>
          <w:sz w:val="20"/>
          <w:szCs w:val="20"/>
          <w:color w:val="auto"/>
        </w:rPr>
      </w:pPr>
      <w:r>
        <w:rPr>
          <w:rFonts w:ascii="Arial" w:cs="Arial" w:eastAsia="Arial" w:hAnsi="Arial"/>
          <w:sz w:val="18"/>
          <w:szCs w:val="18"/>
          <w:color w:val="auto"/>
        </w:rPr>
        <w:t>1.3 The first interest-bearing period shall be from the actual date of withdrawal to the first settlement date; the last interest-bearing period shall be from the day after the end of the previous interest-bearing period to the final payment date; all other interest-bearing periods shall be from the date after the end of the previous interest-bearing period to the next settlement date.</w:t>
      </w:r>
    </w:p>
    <w:p>
      <w:pPr>
        <w:spacing w:after="0" w:line="204" w:lineRule="exact"/>
        <w:rPr>
          <w:sz w:val="20"/>
          <w:szCs w:val="20"/>
          <w:color w:val="auto"/>
        </w:rPr>
      </w:pPr>
    </w:p>
    <w:p>
      <w:pPr>
        <w:jc w:val="both"/>
        <w:ind w:firstLine="385"/>
        <w:spacing w:after="0" w:line="279" w:lineRule="auto"/>
        <w:rPr>
          <w:sz w:val="20"/>
          <w:szCs w:val="20"/>
          <w:color w:val="auto"/>
        </w:rPr>
      </w:pPr>
      <w:r>
        <w:rPr>
          <w:rFonts w:ascii="Arial" w:cs="Arial" w:eastAsia="Arial" w:hAnsi="Arial"/>
          <w:sz w:val="18"/>
          <w:szCs w:val="18"/>
          <w:b w:val="1"/>
          <w:bCs w:val="1"/>
          <w:color w:val="auto"/>
        </w:rPr>
        <w:t>1.4 Loan Interest = Loan Principal × Daily Interest Rate × Actual Days of Use. Should the equal principal and interest repayment method be adopted, the formula for calculating the principal and interest shall be as follows: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Total Principal and Interest Per Period =</w:t>
            </w:r>
          </w:p>
        </w:tc>
        <w:tc>
          <w:tcPr>
            <w:tcW w:w="3700" w:type="dxa"/>
            <w:vAlign w:val="bottom"/>
            <w:vMerge w:val="restart"/>
          </w:tcPr>
          <w:p>
            <w:pPr>
              <w:spacing w:after="0"/>
              <w:rPr>
                <w:sz w:val="20"/>
                <w:szCs w:val="20"/>
                <w:color w:val="auto"/>
              </w:rPr>
            </w:pPr>
            <w:r>
              <w:rPr>
                <w:rFonts w:ascii="Arial" w:cs="Arial" w:eastAsia="Arial" w:hAnsi="Arial"/>
                <w:sz w:val="18"/>
                <w:szCs w:val="18"/>
                <w:color w:val="auto"/>
                <w:w w:val="93"/>
              </w:rPr>
              <w:t>Loan Principle x Period Profit x (1 + Period Profit)</w:t>
            </w:r>
          </w:p>
        </w:tc>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Number of Repayment Installments</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40" w:type="dxa"/>
            <w:vAlign w:val="bottom"/>
            <w:vMerge w:val="continue"/>
          </w:tcPr>
          <w:p>
            <w:pPr>
              <w:spacing w:after="0" w:line="20" w:lineRule="exact"/>
              <w:rPr>
                <w:sz w:val="1"/>
                <w:szCs w:val="1"/>
                <w:color w:val="auto"/>
              </w:rPr>
            </w:pPr>
          </w:p>
        </w:tc>
        <w:tc>
          <w:tcPr>
            <w:tcW w:w="3700" w:type="dxa"/>
            <w:vAlign w:val="bottom"/>
            <w:tcBorders>
              <w:bottom w:val="single" w:sz="8" w:color="auto"/>
            </w:tcBorders>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440" w:type="dxa"/>
            <w:vAlign w:val="bottom"/>
          </w:tcPr>
          <w:p>
            <w:pPr>
              <w:spacing w:after="0"/>
              <w:rPr>
                <w:sz w:val="24"/>
                <w:szCs w:val="24"/>
                <w:color w:val="auto"/>
              </w:rPr>
            </w:pPr>
          </w:p>
        </w:tc>
        <w:tc>
          <w:tcPr>
            <w:tcW w:w="5860" w:type="dxa"/>
            <w:vAlign w:val="bottom"/>
            <w:gridSpan w:val="3"/>
          </w:tcPr>
          <w:p>
            <w:pPr>
              <w:ind w:left="1060"/>
              <w:spacing w:after="0"/>
              <w:rPr>
                <w:sz w:val="20"/>
                <w:szCs w:val="20"/>
                <w:color w:val="auto"/>
              </w:rPr>
            </w:pPr>
            <w:r>
              <w:rPr>
                <w:rFonts w:ascii="Arial" w:cs="Arial" w:eastAsia="Arial" w:hAnsi="Arial"/>
                <w:sz w:val="35"/>
                <w:szCs w:val="35"/>
                <w:color w:val="auto"/>
                <w:vertAlign w:val="subscript"/>
              </w:rPr>
              <w:t>(1 + Period Profit)</w:t>
            </w:r>
            <w:r>
              <w:rPr>
                <w:rFonts w:ascii="Arial" w:cs="Arial" w:eastAsia="Arial" w:hAnsi="Arial"/>
                <w:sz w:val="15"/>
                <w:szCs w:val="15"/>
                <w:color w:val="auto"/>
              </w:rPr>
              <w:t xml:space="preserve"> Number of Repayment Installments </w:t>
            </w:r>
            <w:r>
              <w:rPr>
                <w:rFonts w:ascii="Arial" w:cs="Arial" w:eastAsia="Arial" w:hAnsi="Arial"/>
                <w:sz w:val="35"/>
                <w:szCs w:val="35"/>
                <w:color w:val="auto"/>
                <w:vertAlign w:val="subscript"/>
              </w:rPr>
              <w:t>- 1</w:t>
            </w:r>
          </w:p>
        </w:tc>
        <w:tc>
          <w:tcPr>
            <w:tcW w:w="0" w:type="dxa"/>
            <w:vAlign w:val="bottom"/>
          </w:tcPr>
          <w:p>
            <w:pPr>
              <w:spacing w:after="0"/>
              <w:rPr>
                <w:sz w:val="1"/>
                <w:szCs w:val="1"/>
                <w:color w:val="auto"/>
              </w:rPr>
            </w:pPr>
          </w:p>
        </w:tc>
      </w:tr>
    </w:tbl>
    <w:p>
      <w:pPr>
        <w:jc w:val="both"/>
        <w:ind w:right="20" w:firstLine="412"/>
        <w:spacing w:after="0" w:line="256" w:lineRule="auto"/>
        <w:rPr>
          <w:sz w:val="20"/>
          <w:szCs w:val="20"/>
          <w:color w:val="auto"/>
        </w:rPr>
      </w:pPr>
      <w:r>
        <w:rPr>
          <w:rFonts w:ascii="Arial" w:cs="Arial" w:eastAsia="Arial" w:hAnsi="Arial"/>
          <w:sz w:val="18"/>
          <w:szCs w:val="18"/>
          <w:color w:val="auto"/>
        </w:rPr>
        <w:t>1.5 For lending under the Contract that adopts a floating interest rate, after a loan is overdue, the rules for interest rate adjustments shall remain unchanged.</w:t>
      </w:r>
    </w:p>
    <w:p>
      <w:pPr>
        <w:spacing w:after="0" w:line="187" w:lineRule="exact"/>
        <w:rPr>
          <w:sz w:val="20"/>
          <w:szCs w:val="20"/>
          <w:color w:val="auto"/>
        </w:rPr>
      </w:pPr>
    </w:p>
    <w:p>
      <w:pPr>
        <w:jc w:val="both"/>
        <w:ind w:firstLine="358"/>
        <w:spacing w:after="0" w:line="275" w:lineRule="auto"/>
        <w:rPr>
          <w:sz w:val="20"/>
          <w:szCs w:val="20"/>
          <w:color w:val="auto"/>
        </w:rPr>
      </w:pPr>
      <w:r>
        <w:rPr>
          <w:rFonts w:ascii="Arial" w:cs="Arial" w:eastAsia="Arial" w:hAnsi="Arial"/>
          <w:sz w:val="18"/>
          <w:szCs w:val="18"/>
          <w:color w:val="auto"/>
        </w:rPr>
        <w:t>1.6 Should the People’s Bank of China adjust its measures for determining loan interest rates applicable to lending under the Contract, the relevant rules of the People’s Bank of China shall be adopted, and the Lender shall not provide separate notice thereof to the Borrower.</w:t>
      </w:r>
    </w:p>
    <w:p>
      <w:pPr>
        <w:spacing w:after="0" w:line="166"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b w:val="1"/>
          <w:bCs w:val="1"/>
          <w:color w:val="auto"/>
        </w:rPr>
        <w:t>1.7 The lending rate determined at the signing of the Contract may float downward to a certain degree from the relevant loan benchmark interest rate published by the People’s Bank of China or the loan prime rate (LPR) published by the National Interbank Funding Center. The Lender is entitled to re-evaluate the Borrower’s interest rate concessions each year and determine whether to cancel, in part or in full, the interest rate concessions granted to the Borrower, based on national policies, the Borrower’s credit standing, lending guarantee changes, and other such circumstances, and promptly notify the Borrower of such a cancellation.</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2 Loan Issuance and Payments</w:t>
      </w:r>
    </w:p>
    <w:p>
      <w:pPr>
        <w:spacing w:after="0" w:line="227" w:lineRule="exact"/>
        <w:rPr>
          <w:sz w:val="20"/>
          <w:szCs w:val="20"/>
          <w:color w:val="auto"/>
        </w:rPr>
      </w:pPr>
    </w:p>
    <w:p>
      <w:pPr>
        <w:jc w:val="both"/>
        <w:ind w:firstLine="359"/>
        <w:spacing w:after="0" w:line="275" w:lineRule="auto"/>
        <w:rPr>
          <w:sz w:val="20"/>
          <w:szCs w:val="20"/>
          <w:color w:val="auto"/>
        </w:rPr>
      </w:pPr>
      <w:r>
        <w:rPr>
          <w:rFonts w:ascii="Arial" w:cs="Arial" w:eastAsia="Arial" w:hAnsi="Arial"/>
          <w:sz w:val="18"/>
          <w:szCs w:val="18"/>
          <w:color w:val="auto"/>
        </w:rPr>
        <w:t>2.1 The Borrower must meet the withdrawal preconditions stipulated under the Contract in order to withdraw loans, otherwise the Lender is not obligated to issue any funds to the Borrower, unless the Lender has agreed to such an issuance in advance;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 Preconditions for initial withdrawal:</w:t>
      </w:r>
    </w:p>
    <w:p>
      <w:pPr>
        <w:spacing w:after="0" w:line="223" w:lineRule="exact"/>
        <w:rPr>
          <w:sz w:val="20"/>
          <w:szCs w:val="20"/>
          <w:color w:val="auto"/>
        </w:rPr>
      </w:pPr>
    </w:p>
    <w:p>
      <w:pPr>
        <w:ind w:firstLine="376"/>
        <w:spacing w:after="0" w:line="275" w:lineRule="auto"/>
        <w:tabs>
          <w:tab w:leader="none" w:pos="62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loan project has been approved, accepted, or filed by state authorities; (unless, pursuant to relevant regulations, relevant approval, acceptance, or filing is required prior to issuance of the loan);</w:t>
      </w:r>
    </w:p>
    <w:p>
      <w:pPr>
        <w:spacing w:after="0" w:line="170" w:lineRule="exact"/>
        <w:rPr>
          <w:rFonts w:ascii="Arial" w:cs="Arial" w:eastAsia="Arial" w:hAnsi="Arial"/>
          <w:sz w:val="18"/>
          <w:szCs w:val="18"/>
          <w:color w:val="auto"/>
        </w:rPr>
      </w:pPr>
    </w:p>
    <w:p>
      <w:pPr>
        <w:ind w:left="620" w:hanging="255"/>
        <w:spacing w:after="0"/>
        <w:tabs>
          <w:tab w:leader="none" w:pos="6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Project capital or other funds to be raised have been fully paid at the prescribed times and proportions;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1" w:name="page252"/>
    <w:bookmarkEnd w:id="251"/>
    <w:p>
      <w:pPr>
        <w:ind w:firstLine="325"/>
        <w:spacing w:after="0" w:line="275" w:lineRule="auto"/>
        <w:tabs>
          <w:tab w:leader="none" w:pos="6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Apart from credit loans, the Borrower has provided corresponding guarantees as required by the Lender and has completed relevant guarantee procedures;</w:t>
      </w:r>
    </w:p>
    <w:p>
      <w:pPr>
        <w:spacing w:after="0" w:line="170" w:lineRule="exact"/>
        <w:rPr>
          <w:rFonts w:ascii="Arial" w:cs="Arial" w:eastAsia="Arial" w:hAnsi="Arial"/>
          <w:sz w:val="18"/>
          <w:szCs w:val="18"/>
          <w:color w:val="auto"/>
        </w:rPr>
      </w:pPr>
    </w:p>
    <w:p>
      <w:pPr>
        <w:ind w:left="620" w:hanging="255"/>
        <w:spacing w:after="0"/>
        <w:tabs>
          <w:tab w:leader="none" w:pos="6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 withdrawal notice has been submitted to the Lender as stipulated under the Contract.</w:t>
      </w:r>
    </w:p>
    <w:p>
      <w:pPr>
        <w:spacing w:after="0" w:line="222" w:lineRule="exact"/>
        <w:rPr>
          <w:rFonts w:ascii="Arial" w:cs="Arial" w:eastAsia="Arial" w:hAnsi="Arial"/>
          <w:sz w:val="18"/>
          <w:szCs w:val="18"/>
          <w:color w:val="auto"/>
        </w:rPr>
      </w:pPr>
    </w:p>
    <w:p>
      <w:pPr>
        <w:ind w:left="580" w:hanging="260"/>
        <w:spacing w:after="0"/>
        <w:tabs>
          <w:tab w:leader="none" w:pos="580"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Other materials required by the Lender have been submitted.</w:t>
      </w:r>
    </w:p>
    <w:p>
      <w:pPr>
        <w:spacing w:after="0" w:line="223" w:lineRule="exact"/>
        <w:rPr>
          <w:sz w:val="20"/>
          <w:szCs w:val="20"/>
          <w:color w:val="auto"/>
        </w:rPr>
      </w:pPr>
    </w:p>
    <w:p>
      <w:pPr>
        <w:ind w:firstLine="445"/>
        <w:spacing w:after="0" w:line="275" w:lineRule="auto"/>
        <w:rPr>
          <w:sz w:val="20"/>
          <w:szCs w:val="20"/>
          <w:color w:val="auto"/>
        </w:rPr>
      </w:pPr>
      <w:r>
        <w:rPr>
          <w:rFonts w:ascii="Arial" w:cs="Arial" w:eastAsia="Arial" w:hAnsi="Arial"/>
          <w:sz w:val="18"/>
          <w:szCs w:val="18"/>
          <w:color w:val="auto"/>
        </w:rPr>
        <w:t>2.3 Prior to each withdrawal, in addition to meeting the preconditions for the initial withdrawal, the Borrower shall also meet the following preconditions:</w:t>
      </w:r>
    </w:p>
    <w:p>
      <w:pPr>
        <w:spacing w:after="0" w:line="170" w:lineRule="exact"/>
        <w:rPr>
          <w:sz w:val="20"/>
          <w:szCs w:val="20"/>
          <w:color w:val="auto"/>
        </w:rPr>
      </w:pPr>
    </w:p>
    <w:p>
      <w:pPr>
        <w:ind w:left="520" w:hanging="244"/>
        <w:spacing w:after="0"/>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Project capital is allocated, and the current capital has been sufficiently allocated for at the given ratio;</w:t>
      </w:r>
    </w:p>
    <w:p>
      <w:pPr>
        <w:spacing w:after="0" w:line="222" w:lineRule="exact"/>
        <w:rPr>
          <w:rFonts w:ascii="Arial" w:cs="Arial" w:eastAsia="Arial" w:hAnsi="Arial"/>
          <w:sz w:val="18"/>
          <w:szCs w:val="18"/>
          <w:color w:val="auto"/>
        </w:rPr>
      </w:pPr>
    </w:p>
    <w:p>
      <w:pPr>
        <w:ind w:left="520" w:hanging="244"/>
        <w:spacing w:after="0"/>
        <w:tabs>
          <w:tab w:leader="none" w:pos="5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cost overruns have occurred or cost overruns have been self-financed;</w:t>
      </w:r>
    </w:p>
    <w:p>
      <w:pPr>
        <w:spacing w:after="0" w:line="222" w:lineRule="exact"/>
        <w:rPr>
          <w:rFonts w:ascii="Arial" w:cs="Arial" w:eastAsia="Arial" w:hAnsi="Arial"/>
          <w:sz w:val="18"/>
          <w:szCs w:val="18"/>
          <w:color w:val="auto"/>
        </w:rPr>
      </w:pPr>
    </w:p>
    <w:p>
      <w:pPr>
        <w:ind w:left="620" w:hanging="255"/>
        <w:spacing w:after="0"/>
        <w:tabs>
          <w:tab w:leader="none" w:pos="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progress of the project has been completed as planned, and the actual progress of the project matches the invested amount;</w:t>
      </w:r>
    </w:p>
    <w:p>
      <w:pPr>
        <w:spacing w:after="0" w:line="222" w:lineRule="exact"/>
        <w:rPr>
          <w:rFonts w:ascii="Arial" w:cs="Arial" w:eastAsia="Arial" w:hAnsi="Arial"/>
          <w:sz w:val="18"/>
          <w:szCs w:val="18"/>
          <w:color w:val="auto"/>
        </w:rPr>
      </w:pPr>
    </w:p>
    <w:p>
      <w:pPr>
        <w:ind w:left="620" w:hanging="255"/>
        <w:spacing w:after="0"/>
        <w:tabs>
          <w:tab w:leader="none" w:pos="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There has been no breach of contract under the Contract or other contracts with the Lender;</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 The proof of loan usage provided is consistent with the intended use.</w:t>
      </w:r>
    </w:p>
    <w:p>
      <w:pPr>
        <w:spacing w:after="0" w:line="223" w:lineRule="exact"/>
        <w:rPr>
          <w:sz w:val="20"/>
          <w:szCs w:val="20"/>
          <w:color w:val="auto"/>
        </w:rPr>
      </w:pPr>
    </w:p>
    <w:p>
      <w:pPr>
        <w:jc w:val="both"/>
        <w:ind w:right="20" w:firstLine="387"/>
        <w:spacing w:after="0" w:line="275" w:lineRule="auto"/>
        <w:rPr>
          <w:sz w:val="20"/>
          <w:szCs w:val="20"/>
          <w:color w:val="auto"/>
        </w:rPr>
      </w:pPr>
      <w:r>
        <w:rPr>
          <w:rFonts w:ascii="Arial" w:cs="Arial" w:eastAsia="Arial" w:hAnsi="Arial"/>
          <w:sz w:val="18"/>
          <w:szCs w:val="18"/>
          <w:color w:val="auto"/>
        </w:rPr>
        <w:t>2.4 Written documents provided to the Lender by the Borrower at the time of withdrawal must be originals; if originals cannot be provided, with the Lender’s consent, photocopies affixed with the Borrower’s corporate seal may be provided.</w:t>
      </w:r>
    </w:p>
    <w:p>
      <w:pPr>
        <w:spacing w:after="0" w:line="170"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8"/>
          <w:szCs w:val="18"/>
          <w:color w:val="auto"/>
        </w:rPr>
        <w:t>2.5 The Borrower must provide the Lender with a withdrawal notice at least five banking days in advance of a withdrawal. Once the withdrawal notice has been submitted, it cannot be revoked without the written consent of the Lender. Once the withdrawal notice has been submitted, it cannot be revoked without the written consent of the Lender.</w:t>
      </w:r>
    </w:p>
    <w:p>
      <w:pPr>
        <w:spacing w:after="0" w:line="181" w:lineRule="exact"/>
        <w:rPr>
          <w:sz w:val="20"/>
          <w:szCs w:val="20"/>
          <w:color w:val="auto"/>
        </w:rPr>
      </w:pPr>
    </w:p>
    <w:p>
      <w:pPr>
        <w:jc w:val="both"/>
        <w:ind w:right="20" w:firstLine="370"/>
        <w:spacing w:after="0" w:line="275" w:lineRule="auto"/>
        <w:rPr>
          <w:sz w:val="20"/>
          <w:szCs w:val="20"/>
          <w:color w:val="auto"/>
        </w:rPr>
      </w:pPr>
      <w:r>
        <w:rPr>
          <w:rFonts w:ascii="Arial" w:cs="Arial" w:eastAsia="Arial" w:hAnsi="Arial"/>
          <w:sz w:val="18"/>
          <w:szCs w:val="18"/>
          <w:color w:val="auto"/>
        </w:rPr>
        <w:t>2.6 Once the Lender has approved of and agreed to the Borrower’s withdrawal, the Lender shall transfer the loan to the Borrower’s designated account, meaning that the Lender has issued the loan to the Borrower as stipulated under the Contract.</w:t>
      </w:r>
    </w:p>
    <w:p>
      <w:pPr>
        <w:spacing w:after="0" w:line="170" w:lineRule="exact"/>
        <w:rPr>
          <w:sz w:val="20"/>
          <w:szCs w:val="20"/>
          <w:color w:val="auto"/>
        </w:rPr>
      </w:pPr>
    </w:p>
    <w:p>
      <w:pPr>
        <w:jc w:val="both"/>
        <w:ind w:firstLine="371"/>
        <w:spacing w:after="0" w:line="300" w:lineRule="auto"/>
        <w:rPr>
          <w:sz w:val="20"/>
          <w:szCs w:val="20"/>
          <w:color w:val="auto"/>
        </w:rPr>
      </w:pPr>
      <w:r>
        <w:rPr>
          <w:rFonts w:ascii="Arial" w:cs="Arial" w:eastAsia="Arial" w:hAnsi="Arial"/>
          <w:sz w:val="16"/>
          <w:szCs w:val="16"/>
          <w:color w:val="auto"/>
        </w:rPr>
        <w:t>2.7 Pursuant to relevant regulatory requirements and the Lender’s administrative requirements, lending exceeding a certain amount or meeting certain conditions shall be made with a Lender’s entrusted payment, whereby the Lender pays the loan amount to payment objects that comply with the usage stipulated under the Contract based on the Borrower’s withdrawal application and payment entrustment. To this end, the Borrower shall enter into a separate entrusted payment agreement with the Lender as an attachment to the Contract and open or designate an account at the Lender for entrusted payments.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3 Repayments</w:t>
      </w:r>
    </w:p>
    <w:p>
      <w:pPr>
        <w:spacing w:after="0" w:line="227"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3.1 The Borrower shall repay the principal, interest and other payables in full and on time as stipulated under the Contract. One banking day prior to the repayment date and each settlement date, the Borrower shall deposit enough in its repayment account opened at the Lender for the current interest, principal, and other payables, and the Lender is entitled to actively collect payment there from on the repayment date or settlement date, or ask that the Borrower comply with relevant transfer procedures. Should the amount in the repayment account be insufficient to pay all payables due, the Lender has the right to determine the order of payment.</w:t>
      </w:r>
    </w:p>
    <w:p>
      <w:pPr>
        <w:spacing w:after="0" w:line="189" w:lineRule="exact"/>
        <w:rPr>
          <w:sz w:val="20"/>
          <w:szCs w:val="20"/>
          <w:color w:val="auto"/>
        </w:rPr>
      </w:pPr>
    </w:p>
    <w:p>
      <w:pPr>
        <w:jc w:val="both"/>
        <w:ind w:right="20" w:firstLine="375"/>
        <w:spacing w:after="0" w:line="275" w:lineRule="auto"/>
        <w:rPr>
          <w:sz w:val="20"/>
          <w:szCs w:val="20"/>
          <w:color w:val="auto"/>
        </w:rPr>
      </w:pPr>
      <w:r>
        <w:rPr>
          <w:rFonts w:ascii="Arial" w:cs="Arial" w:eastAsia="Arial" w:hAnsi="Arial"/>
          <w:sz w:val="18"/>
          <w:szCs w:val="18"/>
          <w:color w:val="auto"/>
        </w:rPr>
        <w:t>3.2 Should the Borrower apply to repay loans early, in part or in full, the Borrower shall submit a written application to the Lender 10 banking days in advance and pay the early repayment penalty to the Lender according to the standards stipulated under the Contract.</w:t>
      </w:r>
    </w:p>
    <w:p>
      <w:pPr>
        <w:spacing w:after="0" w:line="170" w:lineRule="exact"/>
        <w:rPr>
          <w:sz w:val="20"/>
          <w:szCs w:val="20"/>
          <w:color w:val="auto"/>
        </w:rPr>
      </w:pPr>
    </w:p>
    <w:p>
      <w:pPr>
        <w:jc w:val="both"/>
        <w:ind w:right="20" w:firstLine="413"/>
        <w:spacing w:after="0" w:line="275" w:lineRule="auto"/>
        <w:rPr>
          <w:sz w:val="20"/>
          <w:szCs w:val="20"/>
          <w:color w:val="auto"/>
        </w:rPr>
      </w:pPr>
      <w:r>
        <w:rPr>
          <w:rFonts w:ascii="Arial" w:cs="Arial" w:eastAsia="Arial" w:hAnsi="Arial"/>
          <w:sz w:val="18"/>
          <w:szCs w:val="18"/>
          <w:color w:val="auto"/>
        </w:rPr>
        <w:t>3.3 Should the Lender agree to an early repayment, on the early repayment date, the Borrower shall also settle loan principal, interest, and other payments due as of the early repayment date, as stipulated under the Contract.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2" w:name="page253"/>
    <w:bookmarkEnd w:id="252"/>
    <w:p>
      <w:pPr>
        <w:jc w:val="both"/>
        <w:ind w:firstLine="358"/>
        <w:spacing w:after="0" w:line="344" w:lineRule="auto"/>
        <w:rPr>
          <w:sz w:val="20"/>
          <w:szCs w:val="20"/>
          <w:color w:val="auto"/>
        </w:rPr>
      </w:pPr>
      <w:r>
        <w:rPr>
          <w:rFonts w:ascii="Arial" w:cs="Arial" w:eastAsia="Arial" w:hAnsi="Arial"/>
          <w:sz w:val="16"/>
          <w:szCs w:val="16"/>
          <w:b w:val="1"/>
          <w:bCs w:val="1"/>
          <w:color w:val="auto"/>
        </w:rPr>
        <w:t>3.4 Should the actual loan period be shortened because of the Borrower’s early repayment or because the Lender withdraws the loan in advance as stipulated under the Contract, the corresponding interest rate grade shall not be adjusted, and the original lending rate shall still be used.</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Article 4 Revolving Loans</w:t>
      </w:r>
    </w:p>
    <w:p>
      <w:pPr>
        <w:spacing w:after="0" w:line="227" w:lineRule="exact"/>
        <w:rPr>
          <w:sz w:val="20"/>
          <w:szCs w:val="20"/>
          <w:color w:val="auto"/>
        </w:rPr>
      </w:pPr>
    </w:p>
    <w:p>
      <w:pPr>
        <w:jc w:val="both"/>
        <w:ind w:firstLine="358"/>
        <w:spacing w:after="0" w:line="277" w:lineRule="auto"/>
        <w:rPr>
          <w:sz w:val="20"/>
          <w:szCs w:val="20"/>
          <w:color w:val="auto"/>
        </w:rPr>
      </w:pPr>
      <w:r>
        <w:rPr>
          <w:rFonts w:ascii="Arial" w:cs="Arial" w:eastAsia="Arial" w:hAnsi="Arial"/>
          <w:sz w:val="17"/>
          <w:szCs w:val="17"/>
          <w:color w:val="auto"/>
        </w:rPr>
        <w:t>4.1 Loans under the Contract may be used on a revolving basis, with the first unit lending period being the initial withdrawal date, and the starting date of the second unit lending period being the date that corresponds to the withdrawal date at the end of the first period. Should the starting month of a certain unit lending period not have the date that corresponds to the initial withdrawal date, the last day of the given month shall be the corresponding date, and so on and so forth. Once the unit lending period is determined, it shall not be adjusted without the Lender’s consent.</w:t>
      </w:r>
    </w:p>
    <w:p>
      <w:pPr>
        <w:spacing w:after="0" w:line="172"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8"/>
          <w:szCs w:val="18"/>
          <w:color w:val="auto"/>
        </w:rPr>
        <w:t>4.2 The lending balance of each unit lending period after the initial unit lending period shall be less than the loan balance of the previous unit lending period, and at the end of each unit lending period, the Borrower shall repay lending according to the stipulated repayment plan. Lending cannot be used on a revolving basis within a single unit lending period.</w:t>
      </w:r>
    </w:p>
    <w:p>
      <w:pPr>
        <w:spacing w:after="0" w:line="181" w:lineRule="exact"/>
        <w:rPr>
          <w:sz w:val="20"/>
          <w:szCs w:val="20"/>
          <w:color w:val="auto"/>
        </w:rPr>
      </w:pPr>
    </w:p>
    <w:p>
      <w:pPr>
        <w:jc w:val="both"/>
        <w:ind w:firstLine="359"/>
        <w:spacing w:after="0" w:line="275" w:lineRule="auto"/>
        <w:rPr>
          <w:sz w:val="20"/>
          <w:szCs w:val="20"/>
          <w:color w:val="auto"/>
        </w:rPr>
      </w:pPr>
      <w:r>
        <w:rPr>
          <w:rFonts w:ascii="Arial" w:cs="Arial" w:eastAsia="Arial" w:hAnsi="Arial"/>
          <w:sz w:val="18"/>
          <w:szCs w:val="18"/>
          <w:color w:val="auto"/>
        </w:rPr>
        <w:t>4.3 If a floating interest rate is used for RMB revolving loans, the benchmark interest rate shall be determined based on the benchmark lending rate of the People’s Bank of China for the lending grade that corresponds to the unit lending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Guarantees</w:t>
      </w:r>
    </w:p>
    <w:p>
      <w:pPr>
        <w:spacing w:after="0" w:line="227" w:lineRule="exact"/>
        <w:rPr>
          <w:sz w:val="20"/>
          <w:szCs w:val="20"/>
          <w:color w:val="auto"/>
        </w:rPr>
      </w:pPr>
    </w:p>
    <w:p>
      <w:pPr>
        <w:jc w:val="both"/>
        <w:ind w:firstLine="366"/>
        <w:spacing w:after="0" w:line="275" w:lineRule="auto"/>
        <w:rPr>
          <w:sz w:val="20"/>
          <w:szCs w:val="20"/>
          <w:color w:val="auto"/>
        </w:rPr>
      </w:pPr>
      <w:r>
        <w:rPr>
          <w:rFonts w:ascii="Arial" w:cs="Arial" w:eastAsia="Arial" w:hAnsi="Arial"/>
          <w:sz w:val="18"/>
          <w:szCs w:val="18"/>
          <w:color w:val="auto"/>
        </w:rPr>
        <w:t>5.1 Apart from credit loans, the Borrower shall provide legal and valid guarantees recognized by the Lender for its performance of obligations under the Contract. A guarantee contract shall be separately signed. A guarantee contract shall be separately signed.</w:t>
      </w:r>
    </w:p>
    <w:p>
      <w:pPr>
        <w:spacing w:after="0" w:line="170" w:lineRule="exact"/>
        <w:rPr>
          <w:sz w:val="20"/>
          <w:szCs w:val="20"/>
          <w:color w:val="auto"/>
        </w:rPr>
      </w:pPr>
    </w:p>
    <w:p>
      <w:pPr>
        <w:jc w:val="both"/>
        <w:ind w:firstLine="358"/>
        <w:spacing w:after="0" w:line="284" w:lineRule="auto"/>
        <w:rPr>
          <w:sz w:val="20"/>
          <w:szCs w:val="20"/>
          <w:color w:val="auto"/>
        </w:rPr>
      </w:pPr>
      <w:r>
        <w:rPr>
          <w:rFonts w:ascii="Arial" w:cs="Arial" w:eastAsia="Arial" w:hAnsi="Arial"/>
          <w:sz w:val="17"/>
          <w:szCs w:val="17"/>
          <w:color w:val="auto"/>
        </w:rPr>
        <w:t>5.2 Should the collateral under the Contract be damaged, devalued, subject to an ownership dispute, seized or withheld, or should the mortgager dispose of the collateral without authorization, or should the financial situation of the guarantor adversely change or change in a way that is not conducive to the Lender’s claims, the Borrower shall promptly notify the Lender and provide additional guarantees as recognized by the Lender.</w:t>
      </w:r>
    </w:p>
    <w:p>
      <w:pPr>
        <w:spacing w:after="0" w:line="161" w:lineRule="exact"/>
        <w:rPr>
          <w:sz w:val="20"/>
          <w:szCs w:val="20"/>
          <w:color w:val="auto"/>
        </w:rPr>
      </w:pPr>
    </w:p>
    <w:p>
      <w:pPr>
        <w:jc w:val="both"/>
        <w:ind w:firstLine="37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The Lender is entitled to periodically or irregularly reassess the value of the collateral and the guarantor’s ability to guarantee. Should the</w:t>
      </w:r>
      <w:r>
        <w:rPr>
          <w:rFonts w:ascii="Arial" w:cs="Arial" w:eastAsia="Arial" w:hAnsi="Arial"/>
          <w:sz w:val="16"/>
          <w:szCs w:val="16"/>
          <w:color w:val="auto"/>
        </w:rPr>
        <w:t xml:space="preserve"> </w:t>
      </w:r>
      <w:r>
        <w:rPr>
          <w:rFonts w:ascii="Arial" w:cs="Arial" w:eastAsia="Arial" w:hAnsi="Arial"/>
          <w:sz w:val="16"/>
          <w:szCs w:val="16"/>
          <w:b w:val="1"/>
          <w:bCs w:val="1"/>
          <w:color w:val="auto"/>
        </w:rPr>
        <w:t>assessment hold that the value of the collateral has declined or that the guarantor’s ability to guarantee has declined, the Borrower shall provide additional guarantees equal to the reduced value or the reduced ability to guarantee and may provide other guarantees as recognized by the Lender.</w:t>
      </w:r>
    </w:p>
    <w:p>
      <w:pPr>
        <w:spacing w:after="0" w:line="146" w:lineRule="exact"/>
        <w:rPr>
          <w:sz w:val="20"/>
          <w:szCs w:val="20"/>
          <w:color w:val="auto"/>
        </w:rPr>
      </w:pPr>
    </w:p>
    <w:p>
      <w:pPr>
        <w:jc w:val="both"/>
        <w:ind w:firstLine="395"/>
        <w:spacing w:after="0" w:line="262" w:lineRule="auto"/>
        <w:rPr>
          <w:sz w:val="20"/>
          <w:szCs w:val="20"/>
          <w:color w:val="auto"/>
        </w:rPr>
      </w:pPr>
      <w:r>
        <w:rPr>
          <w:rFonts w:ascii="Arial" w:cs="Arial" w:eastAsia="Arial" w:hAnsi="Arial"/>
          <w:sz w:val="18"/>
          <w:szCs w:val="18"/>
          <w:color w:val="auto"/>
        </w:rPr>
        <w:t>5.4 Should pledge guarantees for receivables be provided for loans under the Contract, for the duration of the Contract, in any one of the following circumstances, the Lender has the right to declare the early expiration of lending, require that the Borrower immediately repay loan principal and interest, in part or in full, or add additional legal, valid, and sufficient guarantees recognized by the Lender:</w:t>
      </w:r>
    </w:p>
    <w:p>
      <w:pPr>
        <w:spacing w:after="0" w:line="181" w:lineRule="exact"/>
        <w:rPr>
          <w:sz w:val="20"/>
          <w:szCs w:val="20"/>
          <w:color w:val="auto"/>
        </w:rPr>
      </w:pPr>
    </w:p>
    <w:p>
      <w:pPr>
        <w:ind w:left="520" w:hanging="244"/>
        <w:spacing w:after="0"/>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accounts receivable pledgor’s bad debt rate on the payer’s accounts receivable has increased for two consecutive months;</w:t>
      </w:r>
    </w:p>
    <w:p>
      <w:pPr>
        <w:spacing w:after="0" w:line="222" w:lineRule="exact"/>
        <w:rPr>
          <w:rFonts w:ascii="Arial" w:cs="Arial" w:eastAsia="Arial" w:hAnsi="Arial"/>
          <w:sz w:val="18"/>
          <w:szCs w:val="18"/>
          <w:color w:val="auto"/>
        </w:rPr>
      </w:pPr>
    </w:p>
    <w:p>
      <w:pPr>
        <w:ind w:firstLine="336"/>
        <w:spacing w:after="0" w:line="275" w:lineRule="auto"/>
        <w:tabs>
          <w:tab w:leader="none" w:pos="592" w:val="left"/>
        </w:tabs>
        <w:numPr>
          <w:ilvl w:val="2"/>
          <w:numId w:val="163"/>
        </w:numPr>
        <w:rPr>
          <w:rFonts w:ascii="Arial" w:cs="Arial" w:eastAsia="Arial" w:hAnsi="Arial"/>
          <w:sz w:val="18"/>
          <w:szCs w:val="18"/>
          <w:color w:val="auto"/>
        </w:rPr>
      </w:pPr>
      <w:r>
        <w:rPr>
          <w:rFonts w:ascii="Arial" w:cs="Arial" w:eastAsia="Arial" w:hAnsi="Arial"/>
          <w:sz w:val="18"/>
          <w:szCs w:val="18"/>
          <w:color w:val="auto"/>
        </w:rPr>
        <w:t>The accounts receivable pledgor’s accounts receivable for the payer that are overdue and have yet to be received account for over 5% of the payer’s balance of accounts receivable;</w:t>
      </w:r>
    </w:p>
    <w:p>
      <w:pPr>
        <w:spacing w:after="0" w:line="170" w:lineRule="exact"/>
        <w:rPr>
          <w:rFonts w:ascii="Arial" w:cs="Arial" w:eastAsia="Arial" w:hAnsi="Arial"/>
          <w:sz w:val="18"/>
          <w:szCs w:val="18"/>
          <w:color w:val="auto"/>
        </w:rPr>
      </w:pPr>
    </w:p>
    <w:p>
      <w:pPr>
        <w:ind w:firstLine="293"/>
        <w:spacing w:after="0" w:line="275" w:lineRule="auto"/>
        <w:tabs>
          <w:tab w:leader="none" w:pos="54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accounts receivable pledgor has entered into a trade dispute (including but not limited to quality, technology, or service disputes) or claims dispute with the payer or another third party, such that the accounts receivable may not be payable on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3" w:name="page254"/>
    <w:bookmarkEnd w:id="253"/>
    <w:p>
      <w:pPr>
        <w:ind w:left="360"/>
        <w:spacing w:after="0"/>
        <w:rPr>
          <w:sz w:val="20"/>
          <w:szCs w:val="20"/>
          <w:color w:val="auto"/>
        </w:rPr>
      </w:pPr>
      <w:r>
        <w:rPr>
          <w:rFonts w:ascii="Arial" w:cs="Arial" w:eastAsia="Arial" w:hAnsi="Arial"/>
          <w:sz w:val="18"/>
          <w:szCs w:val="18"/>
          <w:b w:val="1"/>
          <w:bCs w:val="1"/>
          <w:color w:val="auto"/>
        </w:rPr>
        <w:t>Article 6 Insurance</w:t>
      </w:r>
    </w:p>
    <w:p>
      <w:pPr>
        <w:spacing w:after="0" w:line="227"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8"/>
          <w:szCs w:val="18"/>
          <w:color w:val="auto"/>
        </w:rPr>
        <w:t>6.1 At the Lender’s request, the Borrower shall purchase insurance from an insurance company recognized by the Lender for project equipment, project construction, and shipment of goods associated with the borrowing, as well as project construction and operations risks. The type of insurance and period of insurance shall meet the Lender’s requirements, and the amount of insurance shall cover the risk of the loan.</w:t>
      </w:r>
    </w:p>
    <w:p>
      <w:pPr>
        <w:spacing w:after="0" w:line="181" w:lineRule="exact"/>
        <w:rPr>
          <w:sz w:val="20"/>
          <w:szCs w:val="20"/>
          <w:color w:val="auto"/>
        </w:rPr>
      </w:pPr>
    </w:p>
    <w:p>
      <w:pPr>
        <w:jc w:val="both"/>
        <w:ind w:firstLine="358"/>
        <w:spacing w:after="0" w:line="300" w:lineRule="auto"/>
        <w:rPr>
          <w:sz w:val="20"/>
          <w:szCs w:val="20"/>
          <w:color w:val="auto"/>
        </w:rPr>
      </w:pPr>
      <w:r>
        <w:rPr>
          <w:rFonts w:ascii="Arial" w:cs="Arial" w:eastAsia="Arial" w:hAnsi="Arial"/>
          <w:sz w:val="16"/>
          <w:szCs w:val="16"/>
          <w:color w:val="auto"/>
        </w:rPr>
        <w:t>6.2 For the duration of the Contract, the Borrower shall not interrupt insurance for any reason. Should insurance be interrupted, the Lender has the right to renew the insurance or purchase insurance on its behalf, and the Borrower shall bear expenses. Should the Borrower and related parties make substantial changes to the policy or terminate it in advance, the Lender shall be notified 30 days in advance, and the Lender’s consent must be obtained; otherwise, the Borrower shall be liable for compensation for losses suffered by the Lender from the interruption or termination of insurance or policy changes.</w:t>
      </w:r>
    </w:p>
    <w:p>
      <w:pPr>
        <w:spacing w:after="0" w:line="154" w:lineRule="exact"/>
        <w:rPr>
          <w:sz w:val="20"/>
          <w:szCs w:val="20"/>
          <w:color w:val="auto"/>
        </w:rPr>
      </w:pPr>
    </w:p>
    <w:p>
      <w:pPr>
        <w:jc w:val="both"/>
        <w:ind w:firstLine="385"/>
        <w:spacing w:after="0" w:line="275" w:lineRule="auto"/>
        <w:rPr>
          <w:sz w:val="20"/>
          <w:szCs w:val="20"/>
          <w:color w:val="auto"/>
        </w:rPr>
      </w:pPr>
      <w:r>
        <w:rPr>
          <w:rFonts w:ascii="Arial" w:cs="Arial" w:eastAsia="Arial" w:hAnsi="Arial"/>
          <w:sz w:val="18"/>
          <w:szCs w:val="18"/>
          <w:color w:val="auto"/>
        </w:rPr>
        <w:t>6.3 The insurance policy shall indicate that the Lender is the priority recipient (primary beneficiary) at the time of insurance, and the insurer should directly pay insurance payouts to the Lender. There shall be no restrictions on the Lender’s interests in the insurance policy.</w:t>
      </w:r>
    </w:p>
    <w:p>
      <w:pPr>
        <w:spacing w:after="0" w:line="170" w:lineRule="exact"/>
        <w:rPr>
          <w:sz w:val="20"/>
          <w:szCs w:val="20"/>
          <w:color w:val="auto"/>
        </w:rPr>
      </w:pPr>
    </w:p>
    <w:p>
      <w:pPr>
        <w:jc w:val="both"/>
        <w:ind w:firstLine="373"/>
        <w:spacing w:after="0" w:line="277" w:lineRule="auto"/>
        <w:rPr>
          <w:sz w:val="20"/>
          <w:szCs w:val="20"/>
          <w:color w:val="auto"/>
        </w:rPr>
      </w:pPr>
      <w:r>
        <w:rPr>
          <w:rFonts w:ascii="Arial" w:cs="Arial" w:eastAsia="Arial" w:hAnsi="Arial"/>
          <w:sz w:val="17"/>
          <w:szCs w:val="17"/>
          <w:color w:val="auto"/>
        </w:rPr>
        <w:t xml:space="preserve">6.4 The Borrower shall notify the Lender in writing within three days from the date on which it becomes aware or should be aware of an insured event and shall make a timely claim with the insurance company in accordance with the relevant provisions of the insurance contract. </w:t>
      </w:r>
      <w:r>
        <w:rPr>
          <w:rFonts w:ascii="Arial" w:cs="Arial" w:eastAsia="Arial" w:hAnsi="Arial"/>
          <w:sz w:val="17"/>
          <w:szCs w:val="17"/>
          <w:b w:val="1"/>
          <w:bCs w:val="1"/>
          <w:color w:val="auto"/>
        </w:rPr>
        <w:t>Insurance compensation or</w:t>
      </w:r>
      <w:r>
        <w:rPr>
          <w:rFonts w:ascii="Arial" w:cs="Arial" w:eastAsia="Arial" w:hAnsi="Arial"/>
          <w:sz w:val="17"/>
          <w:szCs w:val="17"/>
          <w:color w:val="auto"/>
        </w:rPr>
        <w:t xml:space="preserve"> </w:t>
      </w:r>
      <w:r>
        <w:rPr>
          <w:rFonts w:ascii="Arial" w:cs="Arial" w:eastAsia="Arial" w:hAnsi="Arial"/>
          <w:sz w:val="17"/>
          <w:szCs w:val="17"/>
          <w:b w:val="1"/>
          <w:bCs w:val="1"/>
          <w:color w:val="auto"/>
        </w:rPr>
        <w:t>payouts shall be used to repay the loan in advance or to restore the value of the project with the Lender’s approval or shall be deposited into the Lender’s designated account, as a margin to guarantee the Borrower’s performance of debt under the Contract.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The Borrower makes the following representations and warranties to the Lender, which shall be valid for the duration of the Contract:</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7.1 Borrowing and related matters comply with legal and regulatory requirements;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7.2 The Borrower has the qualifications for borrowing and the qualifications and ability to sign and perform the Contract.</w:t>
      </w:r>
    </w:p>
    <w:p>
      <w:pPr>
        <w:spacing w:after="0" w:line="223" w:lineRule="exact"/>
        <w:rPr>
          <w:sz w:val="20"/>
          <w:szCs w:val="20"/>
          <w:color w:val="auto"/>
        </w:rPr>
      </w:pPr>
    </w:p>
    <w:p>
      <w:pPr>
        <w:jc w:val="both"/>
        <w:ind w:firstLine="365"/>
        <w:spacing w:after="0" w:line="339" w:lineRule="auto"/>
        <w:rPr>
          <w:sz w:val="20"/>
          <w:szCs w:val="20"/>
          <w:color w:val="auto"/>
        </w:rPr>
      </w:pPr>
      <w:r>
        <w:rPr>
          <w:rFonts w:ascii="Arial" w:cs="Arial" w:eastAsia="Arial" w:hAnsi="Arial"/>
          <w:sz w:val="16"/>
          <w:szCs w:val="16"/>
          <w:color w:val="auto"/>
        </w:rPr>
        <w:t>7.3 All necessary authorizations or approvals have been obtained for signing the contract, and the signing and performance of the contract do not violate the provisions of the company’s articles of incorporation or relevant laws and regulations and do not conflict with obligations under other contracts.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7.4 Other debts payable have been paid on time, with no malicious defaults on bank loans or interest.</w:t>
      </w:r>
    </w:p>
    <w:p>
      <w:pPr>
        <w:spacing w:after="0" w:line="223" w:lineRule="exact"/>
        <w:rPr>
          <w:sz w:val="20"/>
          <w:szCs w:val="20"/>
          <w:color w:val="auto"/>
        </w:rPr>
      </w:pPr>
    </w:p>
    <w:p>
      <w:pPr>
        <w:jc w:val="both"/>
        <w:ind w:firstLine="375"/>
        <w:spacing w:after="0" w:line="275" w:lineRule="auto"/>
        <w:rPr>
          <w:sz w:val="20"/>
          <w:szCs w:val="20"/>
          <w:color w:val="auto"/>
        </w:rPr>
      </w:pPr>
      <w:r>
        <w:rPr>
          <w:rFonts w:ascii="Arial" w:cs="Arial" w:eastAsia="Arial" w:hAnsi="Arial"/>
          <w:sz w:val="18"/>
          <w:szCs w:val="18"/>
          <w:color w:val="auto"/>
        </w:rPr>
        <w:t>7.5 There are sound organizations and financial management systems in place. In the past one year, there have been no major disciplinary violations or unlawful conduct, and current senior management have no significantly negative records.</w:t>
      </w:r>
    </w:p>
    <w:p>
      <w:pPr>
        <w:spacing w:after="0" w:line="170" w:lineRule="exact"/>
        <w:rPr>
          <w:sz w:val="20"/>
          <w:szCs w:val="20"/>
          <w:color w:val="auto"/>
        </w:rPr>
      </w:pPr>
    </w:p>
    <w:p>
      <w:pPr>
        <w:jc w:val="both"/>
        <w:ind w:right="20" w:firstLine="367"/>
        <w:spacing w:after="0" w:line="275" w:lineRule="auto"/>
        <w:rPr>
          <w:sz w:val="20"/>
          <w:szCs w:val="20"/>
          <w:color w:val="auto"/>
        </w:rPr>
      </w:pPr>
      <w:r>
        <w:rPr>
          <w:rFonts w:ascii="Arial" w:cs="Arial" w:eastAsia="Arial" w:hAnsi="Arial"/>
          <w:sz w:val="18"/>
          <w:szCs w:val="18"/>
          <w:color w:val="auto"/>
        </w:rPr>
        <w:t>7.6 All documents and materials provided to the Lender are true, accurate, complete, and valid, and they are free of false records, material omissions, or misleading statements.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8"/>
          <w:szCs w:val="18"/>
          <w:color w:val="auto"/>
        </w:rPr>
        <w:t>7.7 Financial accounting reports provided to the Lender have been prepared in accordance with PRC accounting standards, reflecting the Borrower’s operating conditions and liabilities in a true, fair, and complete manner. Since the latest financial accounting report, the Borrower’s financial position has not experienced any significantly adverse changes.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7.8 No litigation, arbitration, or claims have been concealed from the Lender.</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4" w:name="page255"/>
    <w:bookmarkEnd w:id="254"/>
    <w:p>
      <w:pPr>
        <w:ind w:left="360"/>
        <w:spacing w:after="0"/>
        <w:tabs>
          <w:tab w:leader="none" w:pos="118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6"/>
          <w:szCs w:val="16"/>
          <w:b w:val="1"/>
          <w:bCs w:val="1"/>
          <w:color w:val="auto"/>
        </w:rPr>
        <w:t>Borrower Commitments</w:t>
      </w:r>
    </w:p>
    <w:p>
      <w:pPr>
        <w:spacing w:after="0" w:line="223" w:lineRule="exact"/>
        <w:rPr>
          <w:sz w:val="20"/>
          <w:szCs w:val="20"/>
          <w:color w:val="auto"/>
        </w:rPr>
      </w:pPr>
    </w:p>
    <w:p>
      <w:pPr>
        <w:jc w:val="both"/>
        <w:ind w:right="20" w:firstLine="371"/>
        <w:spacing w:after="0" w:line="310" w:lineRule="auto"/>
        <w:rPr>
          <w:sz w:val="20"/>
          <w:szCs w:val="20"/>
          <w:color w:val="auto"/>
        </w:rPr>
      </w:pPr>
      <w:r>
        <w:rPr>
          <w:rFonts w:ascii="Arial" w:cs="Arial" w:eastAsia="Arial" w:hAnsi="Arial"/>
          <w:sz w:val="17"/>
          <w:szCs w:val="17"/>
          <w:b w:val="1"/>
          <w:bCs w:val="1"/>
          <w:color w:val="auto"/>
        </w:rPr>
        <w:t>8.1 To withdraw and use loans according to the terms and purposes stipulated under the Contract and to ensure that borrowings, in any form, do not flow into the securities market, futures market, or other uses prohibited or restricted by relevant laws and regulations.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8.2 To settle loan principal, interest, and other payables as stipulated under the Contract.</w:t>
      </w:r>
    </w:p>
    <w:p>
      <w:pPr>
        <w:spacing w:after="0" w:line="219" w:lineRule="exact"/>
        <w:rPr>
          <w:sz w:val="20"/>
          <w:szCs w:val="20"/>
          <w:color w:val="auto"/>
        </w:rPr>
      </w:pPr>
    </w:p>
    <w:p>
      <w:pPr>
        <w:jc w:val="both"/>
        <w:ind w:right="20" w:firstLine="358"/>
        <w:spacing w:after="0" w:line="344" w:lineRule="auto"/>
        <w:rPr>
          <w:sz w:val="20"/>
          <w:szCs w:val="20"/>
          <w:color w:val="auto"/>
        </w:rPr>
      </w:pPr>
      <w:r>
        <w:rPr>
          <w:rFonts w:ascii="Arial" w:cs="Arial" w:eastAsia="Arial" w:hAnsi="Arial"/>
          <w:sz w:val="16"/>
          <w:szCs w:val="16"/>
          <w:b w:val="1"/>
          <w:bCs w:val="1"/>
          <w:color w:val="auto"/>
        </w:rPr>
        <w:t>8.3 To accept and actively cooperate with the Lender’s accounts analysis inspection and supervision of the use of loan funds, including by means of account analysis, document inspection, and on-site investigations, and to regularly report the use of loan funds as required by the Lender.</w:t>
      </w:r>
    </w:p>
    <w:p>
      <w:pPr>
        <w:spacing w:after="0" w:line="121" w:lineRule="exact"/>
        <w:rPr>
          <w:sz w:val="20"/>
          <w:szCs w:val="20"/>
          <w:color w:val="auto"/>
        </w:rPr>
      </w:pPr>
    </w:p>
    <w:p>
      <w:pPr>
        <w:jc w:val="both"/>
        <w:ind w:firstLine="386"/>
        <w:spacing w:after="0" w:line="262" w:lineRule="auto"/>
        <w:rPr>
          <w:sz w:val="20"/>
          <w:szCs w:val="20"/>
          <w:color w:val="auto"/>
        </w:rPr>
      </w:pPr>
      <w:r>
        <w:rPr>
          <w:rFonts w:ascii="Arial" w:cs="Arial" w:eastAsia="Arial" w:hAnsi="Arial"/>
          <w:sz w:val="18"/>
          <w:szCs w:val="18"/>
          <w:color w:val="auto"/>
        </w:rPr>
        <w:t>8.4 To accept the Lender’s credit checks, to provide financial accounting materials, such as balance sheets and income and loss statements, and other materials reflecting the Borrower’s solvency, as required by the Lender, and to assist and cooperate with the Lender’s investigations, inquiries, and supervision of its productions, operations, and financial standing.</w:t>
      </w:r>
    </w:p>
    <w:p>
      <w:pPr>
        <w:spacing w:after="0" w:line="177"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8"/>
          <w:szCs w:val="18"/>
          <w:b w:val="1"/>
          <w:bCs w:val="1"/>
          <w:color w:val="auto"/>
        </w:rPr>
        <w:t>8.5 To not distribute dividends or bonuses, in any form, when there are outstanding loan principal, interest, or other payables (including amounts that are announced as due immediately) under the Contract.</w:t>
      </w:r>
    </w:p>
    <w:p>
      <w:pPr>
        <w:spacing w:after="0" w:line="163" w:lineRule="exact"/>
        <w:rPr>
          <w:sz w:val="20"/>
          <w:szCs w:val="20"/>
          <w:color w:val="auto"/>
        </w:rPr>
      </w:pPr>
    </w:p>
    <w:p>
      <w:pPr>
        <w:jc w:val="both"/>
        <w:ind w:firstLine="365"/>
        <w:spacing w:after="0" w:line="264" w:lineRule="auto"/>
        <w:rPr>
          <w:sz w:val="20"/>
          <w:szCs w:val="20"/>
          <w:color w:val="auto"/>
        </w:rPr>
      </w:pPr>
      <w:r>
        <w:rPr>
          <w:rFonts w:ascii="Arial" w:cs="Arial" w:eastAsia="Arial" w:hAnsi="Arial"/>
          <w:sz w:val="18"/>
          <w:szCs w:val="18"/>
          <w:b w:val="1"/>
          <w:bCs w:val="1"/>
          <w:color w:val="auto"/>
        </w:rPr>
        <w:t>8.6 To first obtain the Lender’s written consent or to make arrangements that satisfy the Lender prior to Mergers, divisions, capital reductions, equity changes, equity pledges, transfers of major assets and claims, major foreign investments, substantial increases in debt financing, and other actions that may adversely affect the Lender’s equity.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8.7 In any one of the following events, to promptly notify the Lender:</w:t>
      </w:r>
    </w:p>
    <w:p>
      <w:pPr>
        <w:spacing w:after="0" w:line="223" w:lineRule="exact"/>
        <w:rPr>
          <w:sz w:val="20"/>
          <w:szCs w:val="20"/>
          <w:color w:val="auto"/>
        </w:rPr>
      </w:pPr>
    </w:p>
    <w:p>
      <w:pPr>
        <w:ind w:left="480" w:hanging="249"/>
        <w:spacing w:after="0"/>
        <w:tabs>
          <w:tab w:leader="none" w:pos="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changes to the company’s articles of incorporation, business scope, registered capital, or legal representative;</w:t>
      </w:r>
    </w:p>
    <w:p>
      <w:pPr>
        <w:spacing w:after="0" w:line="222" w:lineRule="exact"/>
        <w:rPr>
          <w:rFonts w:ascii="Arial" w:cs="Arial" w:eastAsia="Arial" w:hAnsi="Arial"/>
          <w:sz w:val="18"/>
          <w:szCs w:val="18"/>
          <w:color w:val="auto"/>
        </w:rPr>
      </w:pPr>
    </w:p>
    <w:p>
      <w:pPr>
        <w:ind w:firstLine="265"/>
        <w:spacing w:after="0" w:line="275" w:lineRule="auto"/>
        <w:tabs>
          <w:tab w:leader="none" w:pos="51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closure, dissolution, liquidation, suspension of business, business license suspended or revoked for rectification, or the company applies (is subject to) bankruptcy;</w:t>
      </w:r>
    </w:p>
    <w:p>
      <w:pPr>
        <w:spacing w:after="0" w:line="170" w:lineRule="exact"/>
        <w:rPr>
          <w:rFonts w:ascii="Arial" w:cs="Arial" w:eastAsia="Arial" w:hAnsi="Arial"/>
          <w:sz w:val="18"/>
          <w:szCs w:val="18"/>
          <w:color w:val="auto"/>
        </w:rPr>
      </w:pPr>
    </w:p>
    <w:p>
      <w:pPr>
        <w:ind w:left="620" w:hanging="255"/>
        <w:spacing w:after="0"/>
        <w:tabs>
          <w:tab w:leader="none" w:pos="620" w:val="left"/>
        </w:tabs>
        <w:numPr>
          <w:ilvl w:val="2"/>
          <w:numId w:val="164"/>
        </w:numPr>
        <w:rPr>
          <w:rFonts w:ascii="Arial" w:cs="Arial" w:eastAsia="Arial" w:hAnsi="Arial"/>
          <w:sz w:val="16"/>
          <w:szCs w:val="16"/>
          <w:color w:val="auto"/>
        </w:rPr>
      </w:pPr>
      <w:r>
        <w:rPr>
          <w:rFonts w:ascii="Arial" w:cs="Arial" w:eastAsia="Arial" w:hAnsi="Arial"/>
          <w:sz w:val="16"/>
          <w:szCs w:val="16"/>
          <w:color w:val="auto"/>
        </w:rPr>
        <w:t>involvement or possible involvement in major economic disputes, litigation, or arbitration, or property is seized, detained or under supervision by law;</w:t>
      </w:r>
    </w:p>
    <w:p>
      <w:pPr>
        <w:spacing w:after="0" w:line="245" w:lineRule="exact"/>
        <w:rPr>
          <w:rFonts w:ascii="Arial" w:cs="Arial" w:eastAsia="Arial" w:hAnsi="Arial"/>
          <w:sz w:val="16"/>
          <w:szCs w:val="16"/>
          <w:color w:val="auto"/>
        </w:rPr>
      </w:pPr>
    </w:p>
    <w:p>
      <w:pPr>
        <w:ind w:left="620" w:hanging="255"/>
        <w:spacing w:after="0"/>
        <w:tabs>
          <w:tab w:leader="none" w:pos="62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shareholder(s), director(s), and current senior management are suspect of major cases or economic disputes.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8.8 To promptly, comprehensively, and accurately disclose of related party relationships and related party transactions to the Lender.</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8.9 To mail or otherwise send to the Lender and promptly receive various notices.</w:t>
      </w:r>
    </w:p>
    <w:p>
      <w:pPr>
        <w:spacing w:after="0" w:line="223"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8"/>
          <w:szCs w:val="18"/>
          <w:color w:val="auto"/>
        </w:rPr>
        <w:t>8.10 To not dispose of its own assets in a manner that reduces solvency; to not use assets formed under the Contract, without obtaining the Lender’s consent, to provide guarantees to third parties.</w:t>
      </w:r>
    </w:p>
    <w:p>
      <w:pPr>
        <w:spacing w:after="0" w:line="170"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8.11 If borrowing under the Contract is issued as credit, to completely, truthfully, and accurately report routinely to the Lender on external guarantees and, as required by the Lender, sign an account supervision agreement; when external guarantees may affect performance of obligations under the contract, the Lender’s written consent must be obtained. when external guarantees may affect performance of obligations under the contract, the Lender’s written consent must be obtained.</w:t>
      </w:r>
    </w:p>
    <w:p>
      <w:pPr>
        <w:spacing w:after="0" w:line="188" w:lineRule="exact"/>
        <w:rPr>
          <w:sz w:val="20"/>
          <w:szCs w:val="20"/>
          <w:color w:val="auto"/>
        </w:rPr>
      </w:pPr>
    </w:p>
    <w:p>
      <w:pPr>
        <w:jc w:val="both"/>
        <w:ind w:firstLine="381"/>
        <w:spacing w:after="0" w:line="275" w:lineRule="auto"/>
        <w:rPr>
          <w:sz w:val="20"/>
          <w:szCs w:val="20"/>
          <w:color w:val="auto"/>
        </w:rPr>
      </w:pPr>
      <w:r>
        <w:rPr>
          <w:rFonts w:ascii="Arial" w:cs="Arial" w:eastAsia="Arial" w:hAnsi="Arial"/>
          <w:sz w:val="18"/>
          <w:szCs w:val="18"/>
          <w:color w:val="auto"/>
        </w:rPr>
        <w:t>8.12 To support the Lender’s participation in matters such as borrowing calculation (estimates, budgeting, and final accounts) reviews, project bidding, and project completion inspections.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8.13 To bear expenses generated by the Lender to realize claims under the Contract, including but not limited to attorneys’ fees and auction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5" w:name="page256"/>
    <w:bookmarkEnd w:id="255"/>
    <w:p>
      <w:pPr>
        <w:ind w:firstLine="385"/>
        <w:spacing w:after="0" w:line="275" w:lineRule="auto"/>
        <w:rPr>
          <w:sz w:val="20"/>
          <w:szCs w:val="20"/>
          <w:color w:val="auto"/>
        </w:rPr>
      </w:pPr>
      <w:r>
        <w:rPr>
          <w:rFonts w:ascii="Arial" w:cs="Arial" w:eastAsia="Arial" w:hAnsi="Arial"/>
          <w:sz w:val="18"/>
          <w:szCs w:val="18"/>
          <w:color w:val="auto"/>
        </w:rPr>
        <w:t>8.14 To give priority to the Borrower’s debts to its shareholders in terms of the priority for settling debts under the Contract and to at least give such debts an equal footing as other similar debts of the Borrower’s other creditors.</w:t>
      </w:r>
    </w:p>
    <w:p>
      <w:pPr>
        <w:spacing w:after="0" w:line="166" w:lineRule="exact"/>
        <w:rPr>
          <w:sz w:val="20"/>
          <w:szCs w:val="20"/>
          <w:color w:val="auto"/>
        </w:rPr>
      </w:pPr>
    </w:p>
    <w:p>
      <w:pPr>
        <w:ind w:right="60" w:firstLine="313"/>
        <w:spacing w:after="0" w:line="279" w:lineRule="auto"/>
        <w:rPr>
          <w:sz w:val="20"/>
          <w:szCs w:val="20"/>
          <w:color w:val="auto"/>
        </w:rPr>
      </w:pPr>
      <w:r>
        <w:rPr>
          <w:rFonts w:ascii="Arial" w:cs="Arial" w:eastAsia="Arial" w:hAnsi="Arial"/>
          <w:sz w:val="18"/>
          <w:szCs w:val="18"/>
          <w:b w:val="1"/>
          <w:bCs w:val="1"/>
          <w:color w:val="auto"/>
        </w:rPr>
        <w:t>8.15 To strengthen environmental and social risk management and accept the Lender’s supervision and inspections in this regard. If required by the Lender, to submit environmental and social risk reports to the Lender.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9 Lender Commitments</w:t>
      </w:r>
    </w:p>
    <w:p>
      <w:pPr>
        <w:spacing w:after="0" w:line="22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To issue loans to the Borrower as stipulated under the Contract.</w:t>
      </w:r>
    </w:p>
    <w:p>
      <w:pPr>
        <w:spacing w:after="0" w:line="223" w:lineRule="exact"/>
        <w:rPr>
          <w:sz w:val="20"/>
          <w:szCs w:val="20"/>
          <w:color w:val="auto"/>
        </w:rPr>
      </w:pPr>
    </w:p>
    <w:p>
      <w:pPr>
        <w:ind w:firstLine="364"/>
        <w:spacing w:after="0" w:line="275" w:lineRule="auto"/>
        <w:rPr>
          <w:sz w:val="20"/>
          <w:szCs w:val="20"/>
          <w:color w:val="auto"/>
        </w:rPr>
      </w:pPr>
      <w:r>
        <w:rPr>
          <w:rFonts w:ascii="Arial" w:cs="Arial" w:eastAsia="Arial" w:hAnsi="Arial"/>
          <w:sz w:val="18"/>
          <w:szCs w:val="18"/>
          <w:color w:val="auto"/>
        </w:rPr>
        <w:t>9.2 To keep confidential non-public materials and information provided by the Borrower, unless laws and regulations require otherwise or the Contract stipulates otherwise.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10  Breach of Contract</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 Any one of the following events shall constitute breach of contract by the Borrower:</w:t>
      </w:r>
    </w:p>
    <w:p>
      <w:pPr>
        <w:spacing w:after="0" w:line="223" w:lineRule="exact"/>
        <w:rPr>
          <w:sz w:val="20"/>
          <w:szCs w:val="20"/>
          <w:color w:val="auto"/>
        </w:rPr>
      </w:pPr>
    </w:p>
    <w:p>
      <w:pPr>
        <w:ind w:firstLine="365"/>
        <w:spacing w:after="0" w:line="275" w:lineRule="auto"/>
        <w:tabs>
          <w:tab w:leader="none" w:pos="6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fails to repay loan principal, interest, or other payables under the Contract according to stipulations under the Contract or acts contrary to representations, warranties, or commitments under the Contract;</w:t>
      </w:r>
    </w:p>
    <w:p>
      <w:pPr>
        <w:spacing w:after="0" w:line="170" w:lineRule="exact"/>
        <w:rPr>
          <w:rFonts w:ascii="Arial" w:cs="Arial" w:eastAsia="Arial" w:hAnsi="Arial"/>
          <w:sz w:val="18"/>
          <w:szCs w:val="18"/>
          <w:color w:val="auto"/>
        </w:rPr>
      </w:pPr>
    </w:p>
    <w:p>
      <w:pPr>
        <w:ind w:right="20" w:firstLine="401"/>
        <w:spacing w:after="0" w:line="275" w:lineRule="auto"/>
        <w:tabs>
          <w:tab w:leader="none" w:pos="665" w:val="left"/>
        </w:tabs>
        <w:numPr>
          <w:ilvl w:val="3"/>
          <w:numId w:val="165"/>
        </w:numPr>
        <w:rPr>
          <w:rFonts w:ascii="Arial" w:cs="Arial" w:eastAsia="Arial" w:hAnsi="Arial"/>
          <w:sz w:val="18"/>
          <w:szCs w:val="18"/>
          <w:color w:val="auto"/>
        </w:rPr>
      </w:pPr>
      <w:r>
        <w:rPr>
          <w:rFonts w:ascii="Arial" w:cs="Arial" w:eastAsia="Arial" w:hAnsi="Arial"/>
          <w:sz w:val="18"/>
          <w:szCs w:val="18"/>
          <w:color w:val="auto"/>
        </w:rPr>
        <w:t>changes occur to guarantees under the Contract that are not conducive to the Lender’s claims, and the Borrower fails to provide other guarantees recognized by the Lender;</w:t>
      </w:r>
    </w:p>
    <w:p>
      <w:pPr>
        <w:spacing w:after="0" w:line="170" w:lineRule="exact"/>
        <w:rPr>
          <w:rFonts w:ascii="Arial" w:cs="Arial" w:eastAsia="Arial" w:hAnsi="Arial"/>
          <w:sz w:val="18"/>
          <w:szCs w:val="18"/>
          <w:color w:val="auto"/>
        </w:rPr>
      </w:pPr>
    </w:p>
    <w:p>
      <w:pPr>
        <w:ind w:firstLine="415"/>
        <w:spacing w:after="0" w:line="275" w:lineRule="auto"/>
        <w:tabs>
          <w:tab w:leader="none" w:pos="686" w:val="left"/>
        </w:tabs>
        <w:numPr>
          <w:ilvl w:val="4"/>
          <w:numId w:val="165"/>
        </w:numPr>
        <w:rPr>
          <w:rFonts w:ascii="Arial" w:cs="Arial" w:eastAsia="Arial" w:hAnsi="Arial"/>
          <w:sz w:val="18"/>
          <w:szCs w:val="18"/>
          <w:color w:val="auto"/>
        </w:rPr>
      </w:pPr>
      <w:r>
        <w:rPr>
          <w:rFonts w:ascii="Arial" w:cs="Arial" w:eastAsia="Arial" w:hAnsi="Arial"/>
          <w:sz w:val="18"/>
          <w:szCs w:val="18"/>
          <w:color w:val="auto"/>
        </w:rPr>
        <w:t>the Borrower is unable to settle any other debts due (including debts declared due early) or fails to perform or violates obligations under other agreements, such that it has affected or may affect its performance of obligations under the Contract;</w:t>
      </w:r>
    </w:p>
    <w:p>
      <w:pPr>
        <w:spacing w:after="0" w:line="170" w:lineRule="exact"/>
        <w:rPr>
          <w:rFonts w:ascii="Arial" w:cs="Arial" w:eastAsia="Arial" w:hAnsi="Arial"/>
          <w:sz w:val="18"/>
          <w:szCs w:val="18"/>
          <w:color w:val="auto"/>
        </w:rPr>
      </w:pPr>
    </w:p>
    <w:p>
      <w:pPr>
        <w:ind w:firstLine="382"/>
        <w:spacing w:after="0" w:line="275" w:lineRule="auto"/>
        <w:tabs>
          <w:tab w:leader="none" w:pos="636"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Borrower’s financial metrics, such as profitability, solvency, operating capacity, and cash flow, fail to meet agreed standards, or the deterioration thereof has affected or may affect the performance of its obligations under the Contract;</w:t>
      </w:r>
    </w:p>
    <w:p>
      <w:pPr>
        <w:spacing w:after="0" w:line="170" w:lineRule="exact"/>
        <w:rPr>
          <w:rFonts w:ascii="Arial" w:cs="Arial" w:eastAsia="Arial" w:hAnsi="Arial"/>
          <w:sz w:val="18"/>
          <w:szCs w:val="18"/>
          <w:color w:val="auto"/>
        </w:rPr>
      </w:pPr>
    </w:p>
    <w:p>
      <w:pPr>
        <w:ind w:firstLine="387"/>
        <w:spacing w:after="0" w:line="275" w:lineRule="auto"/>
        <w:tabs>
          <w:tab w:leader="none" w:pos="644"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Borrower’s equity structure, production, operations, and foreign investments have undergone significantly adverse changes that have affected or may affect the performance of its obligations under the Contract;</w:t>
      </w:r>
    </w:p>
    <w:p>
      <w:pPr>
        <w:spacing w:after="0" w:line="170" w:lineRule="exact"/>
        <w:rPr>
          <w:rFonts w:ascii="Arial" w:cs="Arial" w:eastAsia="Arial" w:hAnsi="Arial"/>
          <w:sz w:val="18"/>
          <w:szCs w:val="18"/>
          <w:color w:val="auto"/>
        </w:rPr>
      </w:pPr>
    </w:p>
    <w:p>
      <w:pPr>
        <w:jc w:val="both"/>
        <w:ind w:firstLine="370"/>
        <w:spacing w:after="0" w:line="257" w:lineRule="auto"/>
        <w:tabs>
          <w:tab w:leader="none" w:pos="61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Borrower is involved in or may be involved in major economic disputes, litigation, arbitration, or assets have been seized, detained or enforced, or is being investigated or dealt with by judicial or administrative organs in accordance with the law or subject to penalties in accordance with the law, or is exposed by the media for violating relevant state regulations or policies, such that it has affected or may affect the performance of its obligations under the Contract;</w:t>
      </w:r>
    </w:p>
    <w:p>
      <w:pPr>
        <w:spacing w:after="0" w:line="187" w:lineRule="exact"/>
        <w:rPr>
          <w:rFonts w:ascii="Arial" w:cs="Arial" w:eastAsia="Arial" w:hAnsi="Arial"/>
          <w:sz w:val="18"/>
          <w:szCs w:val="18"/>
          <w:color w:val="auto"/>
        </w:rPr>
      </w:pPr>
    </w:p>
    <w:p>
      <w:pPr>
        <w:ind w:right="20" w:firstLine="415"/>
        <w:spacing w:after="0" w:line="275" w:lineRule="auto"/>
        <w:tabs>
          <w:tab w:leader="none" w:pos="686" w:val="left"/>
        </w:tabs>
        <w:numPr>
          <w:ilvl w:val="4"/>
          <w:numId w:val="166"/>
        </w:numPr>
        <w:rPr>
          <w:rFonts w:ascii="Arial" w:cs="Arial" w:eastAsia="Arial" w:hAnsi="Arial"/>
          <w:sz w:val="18"/>
          <w:szCs w:val="18"/>
          <w:color w:val="auto"/>
        </w:rPr>
      </w:pPr>
      <w:r>
        <w:rPr>
          <w:rFonts w:ascii="Arial" w:cs="Arial" w:eastAsia="Arial" w:hAnsi="Arial"/>
          <w:sz w:val="18"/>
          <w:szCs w:val="18"/>
          <w:color w:val="auto"/>
        </w:rPr>
        <w:t>the Borrower’s main investors and key management personnel make abnormal changes, go missing, or are investigated or restricted by judicial authorities in accordance with the law, such that it has affected or may affect the performance of its obligations under the Contract;</w:t>
      </w:r>
    </w:p>
    <w:p>
      <w:pPr>
        <w:spacing w:after="0" w:line="170" w:lineRule="exact"/>
        <w:rPr>
          <w:rFonts w:ascii="Arial" w:cs="Arial" w:eastAsia="Arial" w:hAnsi="Arial"/>
          <w:sz w:val="18"/>
          <w:szCs w:val="18"/>
          <w:color w:val="auto"/>
        </w:rPr>
      </w:pPr>
    </w:p>
    <w:p>
      <w:pPr>
        <w:ind w:firstLine="391"/>
        <w:spacing w:after="0" w:line="275" w:lineRule="auto"/>
        <w:tabs>
          <w:tab w:leader="none" w:pos="650" w:val="left"/>
        </w:tabs>
        <w:numPr>
          <w:ilvl w:val="3"/>
          <w:numId w:val="167"/>
        </w:numPr>
        <w:rPr>
          <w:rFonts w:ascii="Arial" w:cs="Arial" w:eastAsia="Arial" w:hAnsi="Arial"/>
          <w:sz w:val="18"/>
          <w:szCs w:val="18"/>
          <w:color w:val="auto"/>
        </w:rPr>
      </w:pPr>
      <w:r>
        <w:rPr>
          <w:rFonts w:ascii="Arial" w:cs="Arial" w:eastAsia="Arial" w:hAnsi="Arial"/>
          <w:sz w:val="18"/>
          <w:szCs w:val="18"/>
          <w:color w:val="auto"/>
        </w:rPr>
        <w:t>the Borrower utilizes false contracts with related parties, utilizes transactions without actual trading to obtain funding or credit from the Lender, or intentionally evades the Lender’s claims through related transactions;</w:t>
      </w:r>
    </w:p>
    <w:p>
      <w:pPr>
        <w:spacing w:after="0" w:line="170" w:lineRule="exact"/>
        <w:rPr>
          <w:rFonts w:ascii="Arial" w:cs="Arial" w:eastAsia="Arial" w:hAnsi="Arial"/>
          <w:sz w:val="18"/>
          <w:szCs w:val="18"/>
          <w:color w:val="auto"/>
        </w:rPr>
      </w:pPr>
    </w:p>
    <w:p>
      <w:pPr>
        <w:ind w:firstLine="379"/>
        <w:spacing w:after="0" w:line="275" w:lineRule="auto"/>
        <w:tabs>
          <w:tab w:leader="none" w:pos="63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Borrower has or may be closed, dissolved, liquidated, have its business suspended, have its business license rectified or revoked, or apply for (or be subject to) bankruptcy;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6" w:name="page257"/>
    <w:bookmarkEnd w:id="256"/>
    <w:p>
      <w:pPr>
        <w:jc w:val="both"/>
        <w:ind w:firstLine="379"/>
        <w:spacing w:after="0" w:line="262" w:lineRule="auto"/>
        <w:tabs>
          <w:tab w:leader="none" w:pos="72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Borrower has a liability incident or a major environmental or social risk incident for food safety, safety production, or environmental protection violations or violation other environmental or social risk management laws, regulations, or industry standards, such that it has affected or may affect the performance of its obligations under the Contract;</w:t>
      </w:r>
    </w:p>
    <w:p>
      <w:pPr>
        <w:spacing w:after="0" w:line="181" w:lineRule="exact"/>
        <w:rPr>
          <w:rFonts w:ascii="Arial" w:cs="Arial" w:eastAsia="Arial" w:hAnsi="Arial"/>
          <w:sz w:val="18"/>
          <w:szCs w:val="18"/>
          <w:color w:val="auto"/>
        </w:rPr>
      </w:pPr>
    </w:p>
    <w:p>
      <w:pPr>
        <w:ind w:left="700" w:hanging="335"/>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project capital is not allocated as planned or at the stipulated ratio or is not paid up within the time prescribed by the Lender;</w:t>
      </w:r>
    </w:p>
    <w:p>
      <w:pPr>
        <w:spacing w:after="0" w:line="222" w:lineRule="exact"/>
        <w:rPr>
          <w:rFonts w:ascii="Arial" w:cs="Arial" w:eastAsia="Arial" w:hAnsi="Arial"/>
          <w:sz w:val="18"/>
          <w:szCs w:val="18"/>
          <w:color w:val="auto"/>
        </w:rPr>
      </w:pPr>
    </w:p>
    <w:p>
      <w:pPr>
        <w:ind w:left="780" w:hanging="373"/>
        <w:spacing w:after="0"/>
        <w:tabs>
          <w:tab w:leader="none" w:pos="780" w:val="left"/>
        </w:tabs>
        <w:numPr>
          <w:ilvl w:val="2"/>
          <w:numId w:val="170"/>
        </w:numPr>
        <w:rPr>
          <w:rFonts w:ascii="Arial" w:cs="Arial" w:eastAsia="Arial" w:hAnsi="Arial"/>
          <w:sz w:val="16"/>
          <w:szCs w:val="16"/>
          <w:color w:val="auto"/>
        </w:rPr>
      </w:pPr>
      <w:r>
        <w:rPr>
          <w:rFonts w:ascii="Arial" w:cs="Arial" w:eastAsia="Arial" w:hAnsi="Arial"/>
          <w:sz w:val="16"/>
          <w:szCs w:val="16"/>
          <w:color w:val="auto"/>
        </w:rPr>
        <w:t>the project is not completed as scheduled or the project construction or the operating environment and conditions undergo significantly adverse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changes;</w:t>
      </w:r>
    </w:p>
    <w:p>
      <w:pPr>
        <w:spacing w:after="0" w:line="208" w:lineRule="exact"/>
        <w:rPr>
          <w:rFonts w:ascii="Arial" w:cs="Arial" w:eastAsia="Arial" w:hAnsi="Arial"/>
          <w:sz w:val="16"/>
          <w:szCs w:val="16"/>
          <w:color w:val="auto"/>
        </w:rPr>
      </w:pPr>
    </w:p>
    <w:p>
      <w:pPr>
        <w:jc w:val="both"/>
        <w:ind w:firstLine="371"/>
        <w:spacing w:after="0" w:line="257" w:lineRule="auto"/>
        <w:tabs>
          <w:tab w:leader="none" w:pos="71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borrowing under the Contract is issued as credit, the Borrower’s credit rating, profitability, asset-liability ratio, cash flow from operating activities, or other metrics do not meet the Lender’s conditions for credit lending; or the Borrow sets up pledge/mortgage guarantees for others or provides guarantees using its validly operated assets without the written consent of the Lender, such that it has affected or may affect the performance of its obligations under the Contract;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(14) Other circumstances that may adversely affect the Lender’s realization of claims under the Contract.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10.2 Should the Borrower breach the Contract, the Lender is entitled to take one or more of the following remedies:</w:t>
      </w:r>
    </w:p>
    <w:p>
      <w:pPr>
        <w:spacing w:after="0" w:line="223" w:lineRule="exact"/>
        <w:rPr>
          <w:sz w:val="20"/>
          <w:szCs w:val="20"/>
          <w:color w:val="auto"/>
        </w:rPr>
      </w:pPr>
    </w:p>
    <w:p>
      <w:pPr>
        <w:ind w:left="620" w:hanging="255"/>
        <w:spacing w:after="0"/>
        <w:tabs>
          <w:tab w:leader="none" w:pos="62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rectify the breach of contract within a period of time;</w:t>
      </w:r>
    </w:p>
    <w:p>
      <w:pPr>
        <w:spacing w:after="0" w:line="222" w:lineRule="exact"/>
        <w:rPr>
          <w:rFonts w:ascii="Arial" w:cs="Arial" w:eastAsia="Arial" w:hAnsi="Arial"/>
          <w:sz w:val="18"/>
          <w:szCs w:val="18"/>
          <w:b w:val="1"/>
          <w:bCs w:val="1"/>
          <w:color w:val="auto"/>
        </w:rPr>
      </w:pPr>
    </w:p>
    <w:p>
      <w:pPr>
        <w:ind w:firstLine="394"/>
        <w:spacing w:after="0" w:line="279" w:lineRule="auto"/>
        <w:tabs>
          <w:tab w:leader="none" w:pos="655" w:val="left"/>
        </w:tabs>
        <w:numPr>
          <w:ilvl w:val="1"/>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to suspend the issuance of loans or other financing to the Borrower based on the Contract or other contracts between the Lender and the Borrower and cancel, in part or in full, loans or other financing that the Borrower has yet to withdraw;</w:t>
      </w:r>
    </w:p>
    <w:p>
      <w:pPr>
        <w:spacing w:after="0" w:line="163" w:lineRule="exact"/>
        <w:rPr>
          <w:rFonts w:ascii="Arial" w:cs="Arial" w:eastAsia="Arial" w:hAnsi="Arial"/>
          <w:sz w:val="18"/>
          <w:szCs w:val="18"/>
          <w:b w:val="1"/>
          <w:bCs w:val="1"/>
          <w:color w:val="auto"/>
        </w:rPr>
      </w:pPr>
    </w:p>
    <w:p>
      <w:pPr>
        <w:ind w:right="20" w:firstLine="431"/>
        <w:spacing w:after="0" w:line="279" w:lineRule="auto"/>
        <w:tabs>
          <w:tab w:leader="none" w:pos="710" w:val="left"/>
        </w:tabs>
        <w:numPr>
          <w:ilvl w:val="2"/>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to announce immediate expiration of lending or other financing under the Contract and other contracts between the Lender and the Borrower and to immediately recover unpaid amounts;</w:t>
      </w:r>
    </w:p>
    <w:p>
      <w:pPr>
        <w:spacing w:after="0" w:line="163" w:lineRule="exact"/>
        <w:rPr>
          <w:sz w:val="20"/>
          <w:szCs w:val="20"/>
          <w:color w:val="auto"/>
        </w:rPr>
      </w:pPr>
    </w:p>
    <w:p>
      <w:pPr>
        <w:ind w:left="620" w:hanging="255"/>
        <w:spacing w:after="0"/>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compensate for losses suffered by the Lender from the breach of contract;</w:t>
      </w:r>
    </w:p>
    <w:p>
      <w:pPr>
        <w:spacing w:after="0" w:line="222" w:lineRule="exact"/>
        <w:rPr>
          <w:rFonts w:ascii="Arial" w:cs="Arial" w:eastAsia="Arial" w:hAnsi="Arial"/>
          <w:sz w:val="18"/>
          <w:szCs w:val="18"/>
          <w:b w:val="1"/>
          <w:bCs w:val="1"/>
          <w:color w:val="auto"/>
        </w:rPr>
      </w:pPr>
    </w:p>
    <w:p>
      <w:pPr>
        <w:ind w:left="620" w:hanging="255"/>
        <w:spacing w:after="0"/>
        <w:tabs>
          <w:tab w:leader="none" w:pos="62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other remedies provided by laws or regulations, as stipulated under the Contract, or as deemed necessary by the Lender.</w:t>
      </w:r>
    </w:p>
    <w:p>
      <w:pPr>
        <w:spacing w:after="0" w:line="227"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7"/>
          <w:szCs w:val="17"/>
          <w:color w:val="auto"/>
        </w:rPr>
        <w:t>10.3 For loans due yet unrepaid by the Borrower as agreed (including debts that are announced as due immediately), the Lender is entitled to charge penalty interest from the date at the overdue penalty interest rate stipulated under the Contract from the date on which the amount was overdue. For interest that the Borrower fails to pay on time (including penalty interest), compound interest shall be charged based on the overdue penalty interest rate. Penalty interest / compound interest shall be settled according to the interest settlement rules stipulated under the Contract.</w:t>
      </w:r>
    </w:p>
    <w:p>
      <w:pPr>
        <w:spacing w:after="0" w:line="172" w:lineRule="exact"/>
        <w:rPr>
          <w:sz w:val="20"/>
          <w:szCs w:val="20"/>
          <w:color w:val="auto"/>
        </w:rPr>
      </w:pPr>
    </w:p>
    <w:p>
      <w:pPr>
        <w:jc w:val="both"/>
        <w:ind w:firstLine="385"/>
        <w:spacing w:after="0" w:line="277" w:lineRule="auto"/>
        <w:rPr>
          <w:sz w:val="20"/>
          <w:szCs w:val="20"/>
          <w:color w:val="auto"/>
        </w:rPr>
      </w:pPr>
      <w:r>
        <w:rPr>
          <w:rFonts w:ascii="Arial" w:cs="Arial" w:eastAsia="Arial" w:hAnsi="Arial"/>
          <w:sz w:val="17"/>
          <w:szCs w:val="17"/>
          <w:color w:val="auto"/>
        </w:rPr>
        <w:t>10.4 Should the Borrower fail to use loans according to the usage stipulated under the Contract, the Lender is entitled to charge penalty interest for misuse of funds according to the penalty interest rate stipulated in the Contract from the date in which funds are misused, and compound interest shall be charged according to the penalty interest rate for misuse of funds for interest (including penalty interest) not paid on time during the misuse of funds. Penalty interest / compound interest shall be settled according to the interest settlement rules stipulated under the Contract.</w:t>
      </w:r>
    </w:p>
    <w:p>
      <w:pPr>
        <w:spacing w:after="0" w:line="168" w:lineRule="exact"/>
        <w:rPr>
          <w:sz w:val="20"/>
          <w:szCs w:val="20"/>
          <w:color w:val="auto"/>
        </w:rPr>
      </w:pPr>
    </w:p>
    <w:p>
      <w:pPr>
        <w:jc w:val="both"/>
        <w:ind w:firstLine="398"/>
        <w:spacing w:after="0" w:line="279" w:lineRule="auto"/>
        <w:rPr>
          <w:sz w:val="20"/>
          <w:szCs w:val="20"/>
          <w:color w:val="auto"/>
        </w:rPr>
      </w:pPr>
      <w:r>
        <w:rPr>
          <w:rFonts w:ascii="Arial" w:cs="Arial" w:eastAsia="Arial" w:hAnsi="Arial"/>
          <w:sz w:val="18"/>
          <w:szCs w:val="18"/>
          <w:color w:val="auto"/>
        </w:rPr>
        <w:t xml:space="preserve">10.5 Should the Borrower simultaneously encounter the circumstances of </w:t>
      </w:r>
      <w:r>
        <w:rPr>
          <w:rFonts w:ascii="Arial" w:cs="Arial" w:eastAsia="Arial" w:hAnsi="Arial"/>
          <w:sz w:val="18"/>
          <w:szCs w:val="18"/>
          <w:b w:val="1"/>
          <w:bCs w:val="1"/>
          <w:color w:val="auto"/>
        </w:rPr>
        <w:t>Article 10.3 and Article 10.4</w:t>
      </w:r>
      <w:r>
        <w:rPr>
          <w:rFonts w:ascii="Arial" w:cs="Arial" w:eastAsia="Arial" w:hAnsi="Arial"/>
          <w:sz w:val="18"/>
          <w:szCs w:val="18"/>
          <w:color w:val="auto"/>
        </w:rPr>
        <w:t>, the greater penalty interest rate shall be charged and cannot be combined.</w:t>
      </w:r>
    </w:p>
    <w:p>
      <w:pPr>
        <w:spacing w:after="0" w:line="163" w:lineRule="exact"/>
        <w:rPr>
          <w:sz w:val="20"/>
          <w:szCs w:val="20"/>
          <w:color w:val="auto"/>
        </w:rPr>
      </w:pPr>
    </w:p>
    <w:p>
      <w:pPr>
        <w:jc w:val="both"/>
        <w:ind w:right="20" w:firstLine="358"/>
        <w:spacing w:after="0" w:line="279" w:lineRule="auto"/>
        <w:rPr>
          <w:sz w:val="20"/>
          <w:szCs w:val="20"/>
          <w:color w:val="auto"/>
        </w:rPr>
      </w:pPr>
      <w:r>
        <w:rPr>
          <w:rFonts w:ascii="Arial" w:cs="Arial" w:eastAsia="Arial" w:hAnsi="Arial"/>
          <w:sz w:val="18"/>
          <w:szCs w:val="18"/>
          <w:b w:val="1"/>
          <w:bCs w:val="1"/>
          <w:color w:val="auto"/>
        </w:rPr>
        <w:t>10.6 Should the Borrower fail to repay loan principal, interest (including penalty interest and compound interest), or other payables on time, the Lender is entitled to make an announcement through the media.</w:t>
      </w:r>
    </w:p>
    <w:p>
      <w:pPr>
        <w:spacing w:after="0" w:line="167" w:lineRule="exact"/>
        <w:rPr>
          <w:sz w:val="20"/>
          <w:szCs w:val="20"/>
          <w:color w:val="auto"/>
        </w:rPr>
      </w:pPr>
    </w:p>
    <w:p>
      <w:pPr>
        <w:jc w:val="both"/>
        <w:ind w:firstLine="398"/>
        <w:spacing w:after="0" w:line="262" w:lineRule="auto"/>
        <w:rPr>
          <w:sz w:val="20"/>
          <w:szCs w:val="20"/>
          <w:color w:val="auto"/>
        </w:rPr>
      </w:pPr>
      <w:r>
        <w:rPr>
          <w:rFonts w:ascii="Arial" w:cs="Arial" w:eastAsia="Arial" w:hAnsi="Arial"/>
          <w:sz w:val="18"/>
          <w:szCs w:val="18"/>
          <w:color w:val="auto"/>
        </w:rPr>
        <w:t xml:space="preserve">10.7 Should the Borrower’s related parties’ controlling relationship with the Borrower change or should the Borrower’s related party encounter the circumstances in Article </w:t>
      </w:r>
      <w:r>
        <w:rPr>
          <w:rFonts w:ascii="Arial" w:cs="Arial" w:eastAsia="Arial" w:hAnsi="Arial"/>
          <w:sz w:val="18"/>
          <w:szCs w:val="18"/>
          <w:b w:val="1"/>
          <w:bCs w:val="1"/>
          <w:color w:val="auto"/>
        </w:rPr>
        <w:t>10.1</w:t>
      </w:r>
      <w:r>
        <w:rPr>
          <w:rFonts w:ascii="Arial" w:cs="Arial" w:eastAsia="Arial" w:hAnsi="Arial"/>
          <w:sz w:val="18"/>
          <w:szCs w:val="18"/>
          <w:color w:val="auto"/>
        </w:rPr>
        <w:t xml:space="preserve"> other than items </w:t>
      </w:r>
      <w:r>
        <w:rPr>
          <w:rFonts w:ascii="Arial" w:cs="Arial" w:eastAsia="Arial" w:hAnsi="Arial"/>
          <w:sz w:val="18"/>
          <w:szCs w:val="18"/>
          <w:b w:val="1"/>
          <w:bCs w:val="1"/>
          <w:color w:val="auto"/>
        </w:rPr>
        <w:t>(1) or (2)</w:t>
      </w:r>
      <w:r>
        <w:rPr>
          <w:rFonts w:ascii="Arial" w:cs="Arial" w:eastAsia="Arial" w:hAnsi="Arial"/>
          <w:sz w:val="18"/>
          <w:szCs w:val="18"/>
          <w:color w:val="auto"/>
        </w:rPr>
        <w:t>, such that it has affected or may affect the Borrower’s performance of its obligations under the Contract, the Lender is entitled to take various measures as stipulated under the Contract.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7" w:name="page258"/>
    <w:bookmarkEnd w:id="257"/>
    <w:p>
      <w:pPr>
        <w:ind w:left="360"/>
        <w:spacing w:after="0"/>
        <w:rPr>
          <w:sz w:val="20"/>
          <w:szCs w:val="20"/>
          <w:color w:val="auto"/>
        </w:rPr>
      </w:pPr>
      <w:r>
        <w:rPr>
          <w:rFonts w:ascii="Arial" w:cs="Arial" w:eastAsia="Arial" w:hAnsi="Arial"/>
          <w:sz w:val="18"/>
          <w:szCs w:val="18"/>
          <w:b w:val="1"/>
          <w:bCs w:val="1"/>
          <w:color w:val="auto"/>
        </w:rPr>
        <w:t>Article 11 Withholding</w:t>
      </w:r>
    </w:p>
    <w:p>
      <w:pPr>
        <w:spacing w:after="0" w:line="223" w:lineRule="exact"/>
        <w:rPr>
          <w:sz w:val="20"/>
          <w:szCs w:val="20"/>
          <w:color w:val="auto"/>
        </w:rPr>
      </w:pPr>
    </w:p>
    <w:p>
      <w:pPr>
        <w:jc w:val="both"/>
        <w:ind w:firstLine="371"/>
        <w:spacing w:after="0" w:line="264" w:lineRule="auto"/>
        <w:rPr>
          <w:sz w:val="20"/>
          <w:szCs w:val="20"/>
          <w:color w:val="auto"/>
        </w:rPr>
      </w:pPr>
      <w:r>
        <w:rPr>
          <w:rFonts w:ascii="Arial" w:cs="Arial" w:eastAsia="Arial" w:hAnsi="Arial"/>
          <w:sz w:val="18"/>
          <w:szCs w:val="18"/>
          <w:b w:val="1"/>
          <w:bCs w:val="1"/>
          <w:color w:val="auto"/>
        </w:rPr>
        <w:t>11.1 Should the Borrower fail to repay debts due under the Contract as agreed (including debts announced as due immediately), the Borrower agrees that the Lender may withhold corresponding amounts from all foreign exchange and RMB accounts that the Borrower has opened at ICBC to settle debts owed, until the Borrower’s debts under the Contract have been settled in full.</w:t>
      </w:r>
    </w:p>
    <w:p>
      <w:pPr>
        <w:spacing w:after="0" w:line="176" w:lineRule="exact"/>
        <w:rPr>
          <w:sz w:val="20"/>
          <w:szCs w:val="20"/>
          <w:color w:val="auto"/>
        </w:rPr>
      </w:pPr>
    </w:p>
    <w:p>
      <w:pPr>
        <w:jc w:val="both"/>
        <w:ind w:firstLine="377"/>
        <w:spacing w:after="0" w:line="301" w:lineRule="auto"/>
        <w:rPr>
          <w:sz w:val="20"/>
          <w:szCs w:val="20"/>
          <w:color w:val="auto"/>
        </w:rPr>
      </w:pPr>
      <w:r>
        <w:rPr>
          <w:rFonts w:ascii="Arial" w:cs="Arial" w:eastAsia="Arial" w:hAnsi="Arial"/>
          <w:sz w:val="16"/>
          <w:szCs w:val="16"/>
          <w:b w:val="1"/>
          <w:bCs w:val="1"/>
          <w:color w:val="auto"/>
        </w:rPr>
        <w:t>11.2 Should the withheld amount be in a currency other than that of the Contract, the currency shall be exchanged at the Lender’s applicable exchange rate on the withholding date. The Borrower shall bear interest and other expenses incurred from the withholding date to the settlement date (the date on which the Lender converts the withheld amount into the currency of the Contract according to national foreign exchange management policies and actually pays of the debts under the Contract), as well as differences from exchange rate volatility during this period.</w:t>
      </w:r>
    </w:p>
    <w:p>
      <w:pPr>
        <w:spacing w:after="0" w:line="151" w:lineRule="exact"/>
        <w:rPr>
          <w:sz w:val="20"/>
          <w:szCs w:val="20"/>
          <w:color w:val="auto"/>
        </w:rPr>
      </w:pPr>
    </w:p>
    <w:p>
      <w:pPr>
        <w:jc w:val="both"/>
        <w:ind w:firstLine="359"/>
        <w:spacing w:after="0" w:line="279" w:lineRule="auto"/>
        <w:rPr>
          <w:sz w:val="20"/>
          <w:szCs w:val="20"/>
          <w:color w:val="auto"/>
        </w:rPr>
      </w:pPr>
      <w:r>
        <w:rPr>
          <w:rFonts w:ascii="Arial" w:cs="Arial" w:eastAsia="Arial" w:hAnsi="Arial"/>
          <w:sz w:val="18"/>
          <w:szCs w:val="18"/>
          <w:b w:val="1"/>
          <w:bCs w:val="1"/>
          <w:color w:val="auto"/>
        </w:rPr>
        <w:t>11.3 Should the amount withheld by the Lender be insufficient to settle all debts owed by the Borrower, the Lender has the right to decide on the order of settlement.</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12 Transfer of Rights and Obligations</w:t>
      </w:r>
    </w:p>
    <w:p>
      <w:pPr>
        <w:spacing w:after="0" w:line="227"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12.1 The Lender is entitled to transfer its rights under the Contract, in part or in full, to a third party, and the Lender’s transfer thereof does not require the Borrower’s consent. Without the written consent of the Lender, the Borrower shall not transfer any of its rights or obligations under the Contract. Without the written consent of the Lender, the Borrower shall not transfer any of its rights or obligations under the Contract.</w:t>
      </w:r>
    </w:p>
    <w:p>
      <w:pPr>
        <w:spacing w:after="0" w:line="181" w:lineRule="exact"/>
        <w:rPr>
          <w:sz w:val="20"/>
          <w:szCs w:val="20"/>
          <w:color w:val="auto"/>
        </w:rPr>
      </w:pPr>
    </w:p>
    <w:p>
      <w:pPr>
        <w:jc w:val="both"/>
        <w:ind w:firstLine="385"/>
        <w:spacing w:after="0" w:line="295" w:lineRule="auto"/>
        <w:rPr>
          <w:sz w:val="20"/>
          <w:szCs w:val="20"/>
          <w:color w:val="auto"/>
        </w:rPr>
      </w:pPr>
      <w:r>
        <w:rPr>
          <w:rFonts w:ascii="Arial" w:cs="Arial" w:eastAsia="Arial" w:hAnsi="Arial"/>
          <w:sz w:val="16"/>
          <w:szCs w:val="16"/>
          <w:color w:val="auto"/>
        </w:rPr>
        <w:t>12.2 The Lender or Industrial and Commercial Bank of China Limited (“ICBC”) may, based on its business management needs, authorize or entrust other ICBC branch agencies to perform rights and obligations under the Contract, or place loan claims under the Contract under the management of other ICBC branch agencies. The Borrower agrees that the such actions shall no longer require the consent of the Borrower. The Borrower agrees that the such actions shall no longer require the consent of the Borrower. Other ICBC branch agencies that undertake the rights and obligations of the Lender are entitled to exercise all rights under the Contract and are entitled to file lawsuits, submit for arbitration, or apply for enforcement in the name of the given agency.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13 Entry into Force, Changes, and Release of Contract</w:t>
      </w:r>
    </w:p>
    <w:p>
      <w:pPr>
        <w:spacing w:after="0" w:line="227" w:lineRule="exact"/>
        <w:rPr>
          <w:sz w:val="20"/>
          <w:szCs w:val="20"/>
          <w:color w:val="auto"/>
        </w:rPr>
      </w:pPr>
    </w:p>
    <w:p>
      <w:pPr>
        <w:jc w:val="both"/>
        <w:ind w:right="20" w:firstLine="358"/>
        <w:spacing w:after="0" w:line="275" w:lineRule="auto"/>
        <w:rPr>
          <w:sz w:val="20"/>
          <w:szCs w:val="20"/>
          <w:color w:val="auto"/>
        </w:rPr>
      </w:pPr>
      <w:r>
        <w:rPr>
          <w:rFonts w:ascii="Arial" w:cs="Arial" w:eastAsia="Arial" w:hAnsi="Arial"/>
          <w:sz w:val="18"/>
          <w:szCs w:val="18"/>
          <w:color w:val="auto"/>
        </w:rPr>
        <w:t>13.1 The Contract enters into force on the signing date and shall be terminated on the date on which the Borrower fully performs all obligations under the Contract.</w:t>
      </w:r>
    </w:p>
    <w:p>
      <w:pPr>
        <w:spacing w:after="0" w:line="170"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8"/>
          <w:szCs w:val="18"/>
          <w:color w:val="auto"/>
        </w:rPr>
        <w:t>13.2 Any changes to the Contract shall be agreed to the parties and made in writing. Changed clauses or agreements constitute a part of the Contract and shall have the same legal effect of the Contract. Apart from the changed sections, other parts of the Contract shall remain in effect, and the original terms shall remain in effect until the change is effective.</w:t>
      </w:r>
    </w:p>
    <w:p>
      <w:pPr>
        <w:spacing w:after="0" w:line="181" w:lineRule="exact"/>
        <w:rPr>
          <w:sz w:val="20"/>
          <w:szCs w:val="20"/>
          <w:color w:val="auto"/>
        </w:rPr>
      </w:pPr>
    </w:p>
    <w:p>
      <w:pPr>
        <w:jc w:val="both"/>
        <w:ind w:firstLine="377"/>
        <w:spacing w:after="0" w:line="275" w:lineRule="auto"/>
        <w:rPr>
          <w:sz w:val="20"/>
          <w:szCs w:val="20"/>
          <w:color w:val="auto"/>
        </w:rPr>
      </w:pPr>
      <w:r>
        <w:rPr>
          <w:rFonts w:ascii="Arial" w:cs="Arial" w:eastAsia="Arial" w:hAnsi="Arial"/>
          <w:sz w:val="18"/>
          <w:szCs w:val="18"/>
          <w:color w:val="auto"/>
        </w:rPr>
        <w:t>13.3 Changes to and release of the Contract shall not affect the rights of the contracting parties to claim damages. The release of the Contract does not affect the validity of the dispute resolution clause.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8" w:name="page259"/>
    <w:bookmarkEnd w:id="258"/>
    <w:p>
      <w:pPr>
        <w:ind w:left="360"/>
        <w:spacing w:after="0"/>
        <w:rPr>
          <w:sz w:val="20"/>
          <w:szCs w:val="20"/>
          <w:color w:val="auto"/>
        </w:rPr>
      </w:pPr>
      <w:r>
        <w:rPr>
          <w:rFonts w:ascii="Arial" w:cs="Arial" w:eastAsia="Arial" w:hAnsi="Arial"/>
          <w:sz w:val="18"/>
          <w:szCs w:val="18"/>
          <w:b w:val="1"/>
          <w:bCs w:val="1"/>
          <w:color w:val="auto"/>
        </w:rPr>
        <w:t>Article 14 Applicable Law and Dispute Resolution</w:t>
      </w:r>
    </w:p>
    <w:p>
      <w:pPr>
        <w:spacing w:after="0" w:line="227" w:lineRule="exact"/>
        <w:rPr>
          <w:sz w:val="20"/>
          <w:szCs w:val="20"/>
          <w:color w:val="auto"/>
        </w:rPr>
      </w:pPr>
    </w:p>
    <w:p>
      <w:pPr>
        <w:jc w:val="both"/>
        <w:ind w:firstLine="371"/>
        <w:spacing w:after="0" w:line="262" w:lineRule="auto"/>
        <w:rPr>
          <w:sz w:val="20"/>
          <w:szCs w:val="20"/>
          <w:color w:val="auto"/>
        </w:rPr>
      </w:pPr>
      <w:r>
        <w:rPr>
          <w:rFonts w:ascii="Arial" w:cs="Arial" w:eastAsia="Arial" w:hAnsi="Arial"/>
          <w:sz w:val="18"/>
          <w:szCs w:val="18"/>
          <w:color w:val="auto"/>
        </w:rPr>
        <w:t>The conclusion, validity, interpretation, performance of the Contract and settlement of disputes under the Contract shall be governed by the laws of the People’s Republic of China. Any disputes or issues arising from or related to the Contract shall be settled through negotiations by the borrower and the lender; where negotiations fail, disputes shall be resolved through methods as stipulated under the Contract.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15 Address Confirmation for Serving Litigation/Arbitration Instruments</w:t>
      </w:r>
    </w:p>
    <w:p>
      <w:pPr>
        <w:spacing w:after="0" w:line="223"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The Borrower confirms that the address listed on the first page of the Contract is the address for serving litigation/arbitration instruments for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Contract. Litigation/arbitration instruments include but are not limited to subpoenas, notices of hearings, judgments, rulings, mediations, and time-limit notices.</w:t>
      </w:r>
    </w:p>
    <w:p>
      <w:pPr>
        <w:spacing w:after="0" w:line="176" w:lineRule="exact"/>
        <w:rPr>
          <w:sz w:val="20"/>
          <w:szCs w:val="20"/>
          <w:color w:val="auto"/>
        </w:rPr>
      </w:pPr>
    </w:p>
    <w:p>
      <w:pPr>
        <w:jc w:val="both"/>
        <w:ind w:firstLine="371"/>
        <w:spacing w:after="0" w:line="279" w:lineRule="auto"/>
        <w:rPr>
          <w:sz w:val="20"/>
          <w:szCs w:val="20"/>
          <w:color w:val="auto"/>
        </w:rPr>
      </w:pPr>
      <w:r>
        <w:rPr>
          <w:rFonts w:ascii="Arial" w:cs="Arial" w:eastAsia="Arial" w:hAnsi="Arial"/>
          <w:sz w:val="18"/>
          <w:szCs w:val="18"/>
          <w:b w:val="1"/>
          <w:bCs w:val="1"/>
          <w:color w:val="auto"/>
        </w:rPr>
        <w:t>15.2 The Borrower agrees that arbitration institutions or the courts may use the fax or email address listed on the first page of the Contract to serve arbitration/litigation instruments, except for judgments, rulings, and mediations.</w:t>
      </w:r>
    </w:p>
    <w:p>
      <w:pPr>
        <w:spacing w:after="0" w:line="163" w:lineRule="exact"/>
        <w:rPr>
          <w:sz w:val="20"/>
          <w:szCs w:val="20"/>
          <w:color w:val="auto"/>
        </w:rPr>
      </w:pPr>
    </w:p>
    <w:p>
      <w:pPr>
        <w:jc w:val="both"/>
        <w:ind w:firstLine="425"/>
        <w:spacing w:after="0" w:line="310" w:lineRule="auto"/>
        <w:rPr>
          <w:sz w:val="20"/>
          <w:szCs w:val="20"/>
          <w:color w:val="auto"/>
        </w:rPr>
      </w:pPr>
      <w:r>
        <w:rPr>
          <w:rFonts w:ascii="Arial" w:cs="Arial" w:eastAsia="Arial" w:hAnsi="Arial"/>
          <w:sz w:val="17"/>
          <w:szCs w:val="17"/>
          <w:b w:val="1"/>
          <w:bCs w:val="1"/>
          <w:color w:val="auto"/>
        </w:rPr>
        <w:t xml:space="preserve">15.3 </w:t>
      </w:r>
      <w:r>
        <w:rPr>
          <w:rFonts w:ascii="Arial" w:cs="Arial" w:eastAsia="Arial" w:hAnsi="Arial"/>
          <w:sz w:val="17"/>
          <w:szCs w:val="17"/>
          <w:color w:val="auto"/>
        </w:rPr>
        <w:t>The abovementioned stipulations on service are applicable to first hearings, second hearings, retrials, and enforcement under arbitration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proceedings. As for service to the above address, arbitration institutions or the courts may serve instruments directly by mail.</w:t>
      </w:r>
    </w:p>
    <w:p>
      <w:pPr>
        <w:spacing w:after="0" w:line="140" w:lineRule="exact"/>
        <w:rPr>
          <w:sz w:val="20"/>
          <w:szCs w:val="20"/>
          <w:color w:val="auto"/>
        </w:rPr>
      </w:pPr>
    </w:p>
    <w:p>
      <w:pPr>
        <w:jc w:val="both"/>
        <w:ind w:firstLine="398"/>
        <w:spacing w:after="0" w:line="264" w:lineRule="auto"/>
        <w:rPr>
          <w:sz w:val="20"/>
          <w:szCs w:val="20"/>
          <w:color w:val="auto"/>
        </w:rPr>
      </w:pPr>
      <w:r>
        <w:rPr>
          <w:rFonts w:ascii="Arial" w:cs="Arial" w:eastAsia="Arial" w:hAnsi="Arial"/>
          <w:sz w:val="18"/>
          <w:szCs w:val="18"/>
          <w:b w:val="1"/>
          <w:bCs w:val="1"/>
          <w:color w:val="auto"/>
        </w:rPr>
        <w:t>15.4 The Borrower shall ensure the truthfulness and validity of the address, contact, fax, email address, and other information listed in the Contract, and if related information changes, the Borrower shall promptly notify the Lender in writing; otherwise, service to the original mailing address shall still be valid, and the Borrower shall bear all resulting legal consequences.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16 Complete Contract</w:t>
      </w:r>
    </w:p>
    <w:p>
      <w:pPr>
        <w:spacing w:after="0" w:line="227"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8"/>
          <w:szCs w:val="18"/>
          <w:color w:val="auto"/>
        </w:rPr>
        <w:t>Section 1: Basic Stipulations and Section 2: Specific Stipulations of the Contract together constitute a single complete fixed assets loan contract, and the same terms in the two sections shall have the same meanings. The Borrower’s borrowing is subject to the above two sections. The Borrower’s borrowing is subject to the above two sections.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17  Notifications</w:t>
      </w:r>
    </w:p>
    <w:p>
      <w:pPr>
        <w:spacing w:after="0" w:line="227" w:lineRule="exact"/>
        <w:rPr>
          <w:sz w:val="20"/>
          <w:szCs w:val="20"/>
          <w:color w:val="auto"/>
        </w:rPr>
      </w:pPr>
    </w:p>
    <w:p>
      <w:pPr>
        <w:jc w:val="both"/>
        <w:ind w:firstLine="389"/>
        <w:spacing w:after="0" w:line="309" w:lineRule="auto"/>
        <w:rPr>
          <w:sz w:val="20"/>
          <w:szCs w:val="20"/>
          <w:color w:val="auto"/>
        </w:rPr>
      </w:pPr>
      <w:r>
        <w:rPr>
          <w:rFonts w:ascii="Arial" w:cs="Arial" w:eastAsia="Arial" w:hAnsi="Arial"/>
          <w:sz w:val="16"/>
          <w:szCs w:val="16"/>
          <w:color w:val="auto"/>
        </w:rPr>
        <w:t>17.1 All notices from the parties to the Contract shall be sent in writing. Unless stipulated otherwise, the parties designate the domiciles listed in the Contract as their mailing address and contact address. Unless stipulated otherwise, the parties designate the domiciles listed in the Contract as their mailing address and contact address. Should either party’s mailing address or other contact information change, the other party shall be promptly notified in writing.</w:t>
      </w:r>
    </w:p>
    <w:p>
      <w:pPr>
        <w:spacing w:after="0" w:line="149" w:lineRule="exact"/>
        <w:rPr>
          <w:sz w:val="20"/>
          <w:szCs w:val="20"/>
          <w:color w:val="auto"/>
        </w:rPr>
      </w:pPr>
    </w:p>
    <w:p>
      <w:pPr>
        <w:jc w:val="both"/>
        <w:ind w:firstLine="412"/>
        <w:spacing w:after="0" w:line="275" w:lineRule="auto"/>
        <w:rPr>
          <w:sz w:val="20"/>
          <w:szCs w:val="20"/>
          <w:color w:val="auto"/>
        </w:rPr>
      </w:pPr>
      <w:r>
        <w:rPr>
          <w:rFonts w:ascii="Arial" w:cs="Arial" w:eastAsia="Arial" w:hAnsi="Arial"/>
          <w:sz w:val="18"/>
          <w:szCs w:val="18"/>
          <w:color w:val="auto"/>
        </w:rPr>
        <w:t>17.2 Should either party to the Contract refuse to accept mail or should otherwise be unable to be served, the notifying party may serve mail by notarization or an announcement.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18 Special Value-Added Tax Stipulations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18.1 Interest and expenses under the Contract paid by the Borrower to the Lender shall all include taxes.</w:t>
      </w:r>
    </w:p>
    <w:p>
      <w:pPr>
        <w:spacing w:after="0" w:line="1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9" w:name="page260"/>
    <w:bookmarkEnd w:id="259"/>
    <w:p>
      <w:pPr>
        <w:ind w:right="100" w:firstLine="358"/>
        <w:spacing w:after="0" w:line="277" w:lineRule="auto"/>
        <w:rPr>
          <w:sz w:val="20"/>
          <w:szCs w:val="20"/>
          <w:color w:val="auto"/>
        </w:rPr>
      </w:pPr>
      <w:r>
        <w:rPr>
          <w:rFonts w:ascii="Arial" w:cs="Arial" w:eastAsia="Arial" w:hAnsi="Arial"/>
          <w:sz w:val="17"/>
          <w:szCs w:val="17"/>
          <w:color w:val="auto"/>
        </w:rPr>
        <w:t>18.2 Should the Borrower request that the Lender issue a value-added tax receipt, relevant information shall first be registered with the Lender. Information for registration includes the Borrower’s full name, the taxpayer’s identification number or social credit code, address, telephone, bank of account, and account number. The Borrower shall ensure that relevant information provided to the Lender is true, accurate, and complete and shall provide relevant proof as required by the Lender; for specific requirements, the Lender may send online notices or make online announcements.</w:t>
      </w:r>
    </w:p>
    <w:p>
      <w:pPr>
        <w:spacing w:after="0" w:line="172" w:lineRule="exact"/>
        <w:rPr>
          <w:sz w:val="20"/>
          <w:szCs w:val="20"/>
          <w:color w:val="auto"/>
        </w:rPr>
      </w:pPr>
    </w:p>
    <w:p>
      <w:pPr>
        <w:ind w:right="20" w:firstLine="358"/>
        <w:spacing w:after="0" w:line="254" w:lineRule="auto"/>
        <w:rPr>
          <w:sz w:val="20"/>
          <w:szCs w:val="20"/>
          <w:color w:val="auto"/>
        </w:rPr>
      </w:pPr>
      <w:r>
        <w:rPr>
          <w:rFonts w:ascii="Arial" w:cs="Arial" w:eastAsia="Arial" w:hAnsi="Arial"/>
          <w:sz w:val="18"/>
          <w:szCs w:val="18"/>
          <w:color w:val="auto"/>
        </w:rPr>
        <w:t>18.3 Should the Borrower collect its own value-added tax invoices, it shall provide the Lender with a stamped power of attorney, designating the collector and specifying such information as the collector’s identification number; thereafter, the collector shall present the original of his or her identification card to collect value-added tax invoices. If the designated collector changes, the Borrower shall need to issue to the Lender a new stamped power of attorney. If the designated collector changes, the Borrower shall need to issue to the Lender a new stamped power of attorney. Should the Borrower choose to receive value-added tax invoices by mail, the Borrower shall still provide accurate, error-free, and servable mailing information; if the mailing information changes, the Lender shall be promptly notified in writing.</w:t>
      </w:r>
    </w:p>
    <w:p>
      <w:pPr>
        <w:spacing w:after="0" w:line="190" w:lineRule="exact"/>
        <w:rPr>
          <w:sz w:val="20"/>
          <w:szCs w:val="20"/>
          <w:color w:val="auto"/>
        </w:rPr>
      </w:pPr>
    </w:p>
    <w:p>
      <w:pPr>
        <w:ind w:right="300" w:firstLine="358"/>
        <w:spacing w:after="0" w:line="339" w:lineRule="auto"/>
        <w:rPr>
          <w:sz w:val="20"/>
          <w:szCs w:val="20"/>
          <w:color w:val="auto"/>
        </w:rPr>
      </w:pPr>
      <w:r>
        <w:rPr>
          <w:rFonts w:ascii="Arial" w:cs="Arial" w:eastAsia="Arial" w:hAnsi="Arial"/>
          <w:sz w:val="16"/>
          <w:szCs w:val="16"/>
          <w:color w:val="auto"/>
        </w:rPr>
        <w:t>18.4 Should the Lender be unable to promptly issue value-added tax invoices due to natural disasters, government actions, social anomalies, and other circumstances of force majeure or because of tax authorities, the Lender is entitled to delay invoicing and shall not assume any responsibility.</w:t>
      </w:r>
    </w:p>
    <w:p>
      <w:pPr>
        <w:spacing w:after="0" w:line="121" w:lineRule="exact"/>
        <w:rPr>
          <w:sz w:val="20"/>
          <w:szCs w:val="20"/>
          <w:color w:val="auto"/>
        </w:rPr>
      </w:pPr>
    </w:p>
    <w:p>
      <w:pPr>
        <w:ind w:right="300" w:firstLine="358"/>
        <w:spacing w:after="0" w:line="287" w:lineRule="auto"/>
        <w:rPr>
          <w:sz w:val="20"/>
          <w:szCs w:val="20"/>
          <w:color w:val="auto"/>
        </w:rPr>
      </w:pPr>
      <w:r>
        <w:rPr>
          <w:rFonts w:ascii="Arial" w:cs="Arial" w:eastAsia="Arial" w:hAnsi="Arial"/>
          <w:sz w:val="17"/>
          <w:szCs w:val="17"/>
          <w:b w:val="1"/>
          <w:bCs w:val="1"/>
          <w:color w:val="auto"/>
        </w:rPr>
        <w:t>18.5 Should a value-added tax invoice be lost, damaged, or overdue after it is collected by the Borrower or delivery by the Lender to a third party, or for other reasons unrelated to the Lender, such that the Borrower cannot receive the value-added tax invoice or cannot deduct the tax on time, the Lender shall not be liable for compensating the Borrower for related economic losses.</w:t>
      </w:r>
    </w:p>
    <w:p>
      <w:pPr>
        <w:spacing w:after="0" w:line="162" w:lineRule="exact"/>
        <w:rPr>
          <w:sz w:val="20"/>
          <w:szCs w:val="20"/>
          <w:color w:val="auto"/>
        </w:rPr>
      </w:pPr>
    </w:p>
    <w:p>
      <w:pPr>
        <w:ind w:right="40" w:firstLine="358"/>
        <w:spacing w:after="0" w:line="300" w:lineRule="auto"/>
        <w:rPr>
          <w:sz w:val="20"/>
          <w:szCs w:val="20"/>
          <w:color w:val="auto"/>
        </w:rPr>
      </w:pPr>
      <w:r>
        <w:rPr>
          <w:rFonts w:ascii="Arial" w:cs="Arial" w:eastAsia="Arial" w:hAnsi="Arial"/>
          <w:sz w:val="16"/>
          <w:szCs w:val="16"/>
          <w:color w:val="auto"/>
        </w:rPr>
        <w:t>18.6 Should the Borrower need to have a special red-text value-added tax invoice issued because of sales returns, the suspension of taxable services, or invoicing errors, deductions, or the inability to certify invoices and the Borrower is required, under relevant laws, regulations, and policy documents, to submit a Special Red-Text Value-Added Tax Invoice Issuance Information Form, the Borrower shall submit a Special Red-Text Value-Added Tax Invoice Issuance Information Form to tax authorities; once approved by tax authorities and once notified, the Lender shall issue a special red-text value-added tax invoice.</w:t>
      </w:r>
    </w:p>
    <w:p>
      <w:pPr>
        <w:spacing w:after="0" w:line="154" w:lineRule="exact"/>
        <w:rPr>
          <w:sz w:val="20"/>
          <w:szCs w:val="20"/>
          <w:color w:val="auto"/>
        </w:rPr>
      </w:pPr>
    </w:p>
    <w:p>
      <w:pPr>
        <w:ind w:right="300" w:firstLine="358"/>
        <w:spacing w:after="0" w:line="275" w:lineRule="auto"/>
        <w:rPr>
          <w:sz w:val="20"/>
          <w:szCs w:val="20"/>
          <w:color w:val="auto"/>
        </w:rPr>
      </w:pPr>
      <w:r>
        <w:rPr>
          <w:rFonts w:ascii="Arial" w:cs="Arial" w:eastAsia="Arial" w:hAnsi="Arial"/>
          <w:sz w:val="18"/>
          <w:szCs w:val="18"/>
          <w:color w:val="auto"/>
        </w:rPr>
        <w:t>18.7 During the performance of the Contract, should national tax rates be adjusted, the Lender is entitled to adjust pricing under the Contract based on changes and adjustments to national tax rates.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Article 19  Miscellaneous</w:t>
      </w:r>
    </w:p>
    <w:p>
      <w:pPr>
        <w:spacing w:after="0" w:line="227" w:lineRule="exact"/>
        <w:rPr>
          <w:sz w:val="20"/>
          <w:szCs w:val="20"/>
          <w:color w:val="auto"/>
        </w:rPr>
      </w:pPr>
    </w:p>
    <w:p>
      <w:pPr>
        <w:jc w:val="both"/>
        <w:ind w:firstLine="365"/>
        <w:spacing w:after="0" w:line="275" w:lineRule="auto"/>
        <w:rPr>
          <w:sz w:val="20"/>
          <w:szCs w:val="20"/>
          <w:color w:val="auto"/>
        </w:rPr>
      </w:pPr>
      <w:r>
        <w:rPr>
          <w:rFonts w:ascii="Arial" w:cs="Arial" w:eastAsia="Arial" w:hAnsi="Arial"/>
          <w:sz w:val="18"/>
          <w:szCs w:val="18"/>
          <w:color w:val="auto"/>
        </w:rPr>
        <w:t>19.1 Lender’s failure to exercise or partially exercise or delay the exercise of any right under the Contract does not constitute a waiver or change of that right or other rights, nor does it affect its further exercise of that right or other rights.</w:t>
      </w:r>
    </w:p>
    <w:p>
      <w:pPr>
        <w:spacing w:after="0" w:line="170" w:lineRule="exact"/>
        <w:rPr>
          <w:sz w:val="20"/>
          <w:szCs w:val="20"/>
          <w:color w:val="auto"/>
        </w:rPr>
      </w:pPr>
    </w:p>
    <w:p>
      <w:pPr>
        <w:jc w:val="both"/>
        <w:ind w:firstLine="363"/>
        <w:spacing w:after="0" w:line="275" w:lineRule="auto"/>
        <w:rPr>
          <w:sz w:val="20"/>
          <w:szCs w:val="20"/>
          <w:color w:val="auto"/>
        </w:rPr>
      </w:pPr>
      <w:r>
        <w:rPr>
          <w:rFonts w:ascii="Arial" w:cs="Arial" w:eastAsia="Arial" w:hAnsi="Arial"/>
          <w:sz w:val="18"/>
          <w:szCs w:val="18"/>
          <w:color w:val="auto"/>
        </w:rPr>
        <w:t>19.2 Should any term of the Contract be invalid or unenforceable, it shall not affect the validity and enforceability of other terms and shall not affect the validity of the entire contract.</w:t>
      </w:r>
    </w:p>
    <w:p>
      <w:pPr>
        <w:spacing w:after="0" w:line="170"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8"/>
          <w:szCs w:val="18"/>
          <w:color w:val="auto"/>
        </w:rPr>
        <w:t>19.3 The Lender is entitled to, pursuant to relevant legal and regulatory provisions and the requirements of financial regulators, to provide information related to the Contract or the Borrower’s other information to the People’s Bank of China Credit System and other lawfully established credit information databases to be queried and used by qualified institutions or individuals. The Lender is also entitled, for the purposes of entering into and performing the Contract, to query the Borrower’s related information on the People’s Bank of China Credit System and other lawfully established credit information databases.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0" w:name="page261"/>
    <w:bookmarkEnd w:id="260"/>
    <w:p>
      <w:pPr>
        <w:jc w:val="both"/>
        <w:ind w:firstLine="371"/>
        <w:spacing w:after="0" w:line="262" w:lineRule="auto"/>
        <w:rPr>
          <w:sz w:val="20"/>
          <w:szCs w:val="20"/>
          <w:color w:val="auto"/>
        </w:rPr>
      </w:pPr>
      <w:r>
        <w:rPr>
          <w:rFonts w:ascii="Arial" w:cs="Arial" w:eastAsia="Arial" w:hAnsi="Arial"/>
          <w:sz w:val="18"/>
          <w:szCs w:val="18"/>
          <w:color w:val="auto"/>
        </w:rPr>
        <w:t>19.4 The terms “related party”, “related party relationships”, “related party transactions”, “main investors”, “key management personnel”, and other such terms shall have the same meanings as the same terms in the Accounting Standards for Business Enterprises No. 36 - Related Party Disclosures (C.H. [2006] 3) issued by the Ministry of Finance, as well as subsequent amendments to the Standards.</w:t>
      </w:r>
    </w:p>
    <w:p>
      <w:pPr>
        <w:spacing w:after="0" w:line="177"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The environmental and social risks mentioned in the Contract refer to the environmental and social hazards and risks associated with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important related parties in construction, production, and operation activities, including environmental and social issues related to energy consumption, pollution, land, health, safety, resettlement, ecological protection, and climate change.</w:t>
      </w:r>
    </w:p>
    <w:p>
      <w:pPr>
        <w:spacing w:after="0" w:line="180"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8"/>
          <w:szCs w:val="18"/>
          <w:color w:val="auto"/>
        </w:rPr>
        <w:t>19.6 The documents and vouchers for loans under the Contract prepared and retained by the Lender according to its business rules constitute valid evidence for the credit relationship between the Borrower and the Lender and are binding on the Borrower.</w:t>
      </w:r>
    </w:p>
    <w:p>
      <w:pPr>
        <w:spacing w:after="0" w:line="170" w:lineRule="exact"/>
        <w:rPr>
          <w:sz w:val="20"/>
          <w:szCs w:val="20"/>
          <w:color w:val="auto"/>
        </w:rPr>
      </w:pPr>
    </w:p>
    <w:p>
      <w:pPr>
        <w:jc w:val="both"/>
        <w:ind w:firstLine="358"/>
        <w:spacing w:after="0" w:line="262" w:lineRule="auto"/>
        <w:rPr>
          <w:sz w:val="20"/>
          <w:szCs w:val="20"/>
          <w:color w:val="auto"/>
        </w:rPr>
      </w:pPr>
      <w:r>
        <w:rPr>
          <w:rFonts w:ascii="Arial" w:cs="Arial" w:eastAsia="Arial" w:hAnsi="Arial"/>
          <w:sz w:val="18"/>
          <w:szCs w:val="18"/>
          <w:color w:val="auto"/>
        </w:rPr>
        <w:t>19.7 In the Contract, (1) all mention of the Contract shall include revisions to or supplementation of the Contract; (2) article titles are for reference only and do not constitute any interpretation of the Contract, nor do they impose any restrictions on the content of the titles or their scope; and (3) should withdrawal dates or repayment dates fall on non-banking days, they shall be postponed to the next banking day.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The parties acknowledge that: both the Borrower and the Lender have fully negotiated on all of the terms of the Contract. Lender has drawn the Borrower’s attention to all terms related to the parties’ rights and obligations, so that the Borrower full and accurately understands them, and at the request of the Borrower, the Lender has provided explanations for relevant provisions. The Borrower has carefully read and fully understands all terms of the Contract (including Section 1: General Stipulations and Section 2: Specific Stipulations), and both the Borrower and the Lender have reached full consensus on the understanding of the terms of the Contract with no objections to the contractual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Lender (Seal):</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Principal/Attorney: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-20320</wp:posOffset>
            </wp:positionV>
            <wp:extent cx="4832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Borrower (Seal):</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Legal Representative/Attorney: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1760220</wp:posOffset>
            </wp:positionH>
            <wp:positionV relativeFrom="paragraph">
              <wp:posOffset>-20320</wp:posOffset>
            </wp:positionV>
            <wp:extent cx="4546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Contract Signing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-8255</wp:posOffset>
            </wp:positionV>
            <wp:extent cx="4546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Attachment 1:</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Withdrawal Notice</w:t>
      </w:r>
    </w:p>
    <w:p>
      <w:pPr>
        <w:spacing w:after="0" w:line="227" w:lineRule="exact"/>
        <w:rPr>
          <w:sz w:val="20"/>
          <w:szCs w:val="20"/>
          <w:color w:val="auto"/>
        </w:rPr>
      </w:pPr>
    </w:p>
    <w:p>
      <w:pPr>
        <w:spacing w:after="0"/>
        <w:tabs>
          <w:tab w:leader="none" w:pos="5180" w:val="left"/>
        </w:tabs>
        <w:rPr>
          <w:sz w:val="20"/>
          <w:szCs w:val="20"/>
          <w:color w:val="auto"/>
        </w:rPr>
      </w:pPr>
      <w:r>
        <w:rPr>
          <w:rFonts w:ascii="Arial" w:cs="Arial" w:eastAsia="Arial" w:hAnsi="Arial"/>
          <w:sz w:val="18"/>
          <w:szCs w:val="18"/>
          <w:color w:val="auto"/>
        </w:rPr>
        <w:t>Industrial and Commercial Bank of China</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136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3" w:lineRule="exact"/>
        <w:rPr>
          <w:sz w:val="20"/>
          <w:szCs w:val="20"/>
          <w:color w:val="auto"/>
        </w:rPr>
      </w:pPr>
    </w:p>
    <w:p>
      <w:pPr>
        <w:ind w:right="20" w:firstLine="412"/>
        <w:spacing w:after="0" w:line="305" w:lineRule="auto"/>
        <w:rPr>
          <w:sz w:val="20"/>
          <w:szCs w:val="20"/>
          <w:color w:val="auto"/>
        </w:rPr>
      </w:pPr>
      <w:r>
        <w:rPr>
          <w:rFonts w:ascii="Arial" w:cs="Arial" w:eastAsia="Arial" w:hAnsi="Arial"/>
          <w:sz w:val="17"/>
          <w:szCs w:val="17"/>
          <w:color w:val="auto"/>
        </w:rPr>
        <w:t>Pursuant to the Contract, number , signed by our company and your bank on (hereinafter referred to as the “Lending Contract”), we have fully implemented the preconditions for withdrawal as stipulated in the Lending Contract, and we hereby issue the following withdrawal notice to your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-194945</wp:posOffset>
            </wp:positionV>
            <wp:extent cx="457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4572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-194945</wp:posOffset>
            </wp:positionV>
            <wp:extent cx="457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28" w:lineRule="exact"/>
        <w:rPr>
          <w:sz w:val="20"/>
          <w:szCs w:val="20"/>
          <w:color w:val="auto"/>
        </w:rPr>
      </w:pPr>
    </w:p>
    <w:p>
      <w:pPr>
        <w:ind w:left="280"/>
        <w:spacing w:after="0"/>
        <w:tabs>
          <w:tab w:leader="none" w:pos="5460" w:val="left"/>
          <w:tab w:leader="none" w:pos="6380" w:val="left"/>
        </w:tabs>
        <w:rPr>
          <w:sz w:val="20"/>
          <w:szCs w:val="20"/>
          <w:color w:val="auto"/>
        </w:rPr>
      </w:pPr>
      <w:r>
        <w:rPr>
          <w:rFonts w:ascii="Arial" w:cs="Arial" w:eastAsia="Arial" w:hAnsi="Arial"/>
          <w:sz w:val="18"/>
          <w:szCs w:val="18"/>
          <w:color w:val="auto"/>
        </w:rPr>
        <w:t>I. We intend to withdrawal lending from your bank for the amount of</w:t>
        <w:tab/>
        <w:t>(currency)</w:t>
      </w:r>
      <w:r>
        <w:rPr>
          <w:sz w:val="20"/>
          <w:szCs w:val="20"/>
          <w:color w:val="auto"/>
        </w:rPr>
        <w:tab/>
      </w:r>
      <w:r>
        <w:rPr>
          <w:rFonts w:ascii="Arial" w:cs="Arial" w:eastAsia="Arial" w:hAnsi="Arial"/>
          <w:sz w:val="16"/>
          <w:szCs w:val="16"/>
          <w:color w:val="auto"/>
        </w:rPr>
        <w:t>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-10795</wp:posOffset>
            </wp:positionV>
            <wp:extent cx="1422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14224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-10795</wp:posOffset>
            </wp:positionV>
            <wp:extent cx="850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203" w:lineRule="exact"/>
        <w:rPr>
          <w:sz w:val="20"/>
          <w:szCs w:val="20"/>
          <w:color w:val="auto"/>
        </w:rPr>
      </w:pPr>
    </w:p>
    <w:p>
      <w:pPr>
        <w:ind w:left="480" w:hanging="204"/>
        <w:spacing w:after="0"/>
        <w:tabs>
          <w:tab w:leader="none" w:pos="4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lending term is , ending on .</w:t>
      </w:r>
    </w:p>
    <w:p>
      <w:pPr>
        <w:spacing w:after="0" w:line="222"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III. Please transfer this loan to our designated account below:</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-10795</wp:posOffset>
            </wp:positionV>
            <wp:extent cx="136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-20320</wp:posOffset>
            </wp:positionV>
            <wp:extent cx="136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-20320</wp:posOffset>
            </wp:positionV>
            <wp:extent cx="136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IV. Pursuant to the stipulations of the Lending Contract and the entrusted payment agreement, for this loan, the entrusted payment is _____;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itself shall pay _____.</w:t>
      </w:r>
    </w:p>
    <w:p>
      <w:pPr>
        <w:spacing w:after="0" w:line="208" w:lineRule="exact"/>
        <w:rPr>
          <w:sz w:val="20"/>
          <w:szCs w:val="20"/>
          <w:color w:val="auto"/>
        </w:rPr>
      </w:pPr>
    </w:p>
    <w:p>
      <w:pPr>
        <w:ind w:firstLine="274"/>
        <w:spacing w:after="0" w:line="275" w:lineRule="auto"/>
        <w:rPr>
          <w:sz w:val="20"/>
          <w:szCs w:val="20"/>
          <w:color w:val="auto"/>
        </w:rPr>
      </w:pPr>
      <w:r>
        <w:rPr>
          <w:rFonts w:ascii="Arial" w:cs="Arial" w:eastAsia="Arial" w:hAnsi="Arial"/>
          <w:sz w:val="18"/>
          <w:szCs w:val="18"/>
          <w:color w:val="auto"/>
        </w:rPr>
        <w:t>Under the Lender’s entrusted payment method, we authorize and entrust your bank to transfer the loan to our account and make payment to the accounts of the following payment objects for the purposes agreed upon under the Lending Contract: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-10795</wp:posOffset>
            </wp:positionV>
            <wp:extent cx="136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-20320</wp:posOffset>
            </wp:positionV>
            <wp:extent cx="13639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-20320</wp:posOffset>
            </wp:positionV>
            <wp:extent cx="13639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loan must be paid to multiple payment objects at the same time. See the attachment for the list of payment objects and accounts.]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 We provide confirmation to your bank that:</w:t>
      </w:r>
    </w:p>
    <w:p>
      <w:pPr>
        <w:spacing w:after="0" w:line="223" w:lineRule="exact"/>
        <w:rPr>
          <w:sz w:val="20"/>
          <w:szCs w:val="20"/>
          <w:color w:val="auto"/>
        </w:rPr>
      </w:pPr>
    </w:p>
    <w:p>
      <w:pPr>
        <w:ind w:left="540" w:hanging="175"/>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loan shall be used for the purposes as stipulated in the Lending Contract;</w:t>
      </w:r>
    </w:p>
    <w:p>
      <w:pPr>
        <w:spacing w:after="0" w:line="222" w:lineRule="exact"/>
        <w:rPr>
          <w:rFonts w:ascii="Arial" w:cs="Arial" w:eastAsia="Arial" w:hAnsi="Arial"/>
          <w:sz w:val="18"/>
          <w:szCs w:val="18"/>
          <w:color w:val="auto"/>
        </w:rPr>
      </w:pPr>
    </w:p>
    <w:p>
      <w:pPr>
        <w:ind w:right="20" w:firstLine="419"/>
        <w:spacing w:after="0" w:line="275" w:lineRule="auto"/>
        <w:tabs>
          <w:tab w:leader="none" w:pos="61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statements, warranties, and commitments that we make are true, accurate, complete, and valid at the date of issuance of this notice and the withdrawal date.</w:t>
      </w:r>
    </w:p>
    <w:p>
      <w:pPr>
        <w:spacing w:after="0" w:line="170" w:lineRule="exact"/>
        <w:rPr>
          <w:sz w:val="20"/>
          <w:szCs w:val="20"/>
          <w:color w:val="auto"/>
        </w:rPr>
      </w:pPr>
    </w:p>
    <w:p>
      <w:pPr>
        <w:ind w:left="540" w:hanging="175"/>
        <w:spacing w:after="0"/>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As of the date of issuance of this notice, there have been no significantly adverse changes to our production operations or our financial credit standing.</w:t>
      </w:r>
    </w:p>
    <w:p>
      <w:pPr>
        <w:spacing w:after="0" w:line="245" w:lineRule="exact"/>
        <w:rPr>
          <w:rFonts w:ascii="Arial" w:cs="Arial" w:eastAsia="Arial" w:hAnsi="Arial"/>
          <w:sz w:val="16"/>
          <w:szCs w:val="16"/>
          <w:color w:val="auto"/>
        </w:rPr>
      </w:pPr>
    </w:p>
    <w:p>
      <w:pPr>
        <w:ind w:firstLine="382"/>
        <w:spacing w:after="0" w:line="275" w:lineRule="auto"/>
        <w:tabs>
          <w:tab w:leader="none" w:pos="56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of the date of issuance of this notice, there are no defaults or expected defaults under the Lending Contract or in relation to the Lending Contract. We further confirm that no default events shall occur or be present on the withdrawal date.</w:t>
      </w:r>
    </w:p>
    <w:p>
      <w:pPr>
        <w:spacing w:after="0" w:line="170" w:lineRule="exact"/>
        <w:rPr>
          <w:sz w:val="20"/>
          <w:szCs w:val="20"/>
          <w:color w:val="auto"/>
        </w:rPr>
      </w:pPr>
    </w:p>
    <w:p>
      <w:pPr>
        <w:ind w:left="1180" w:right="7760" w:hanging="815"/>
        <w:spacing w:after="0" w:line="529" w:lineRule="auto"/>
        <w:tabs>
          <w:tab w:leader="none" w:pos="55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notification is irrevocable once issued. Borrower (Seal):</w:t>
      </w:r>
    </w:p>
    <w:p>
      <w:pPr>
        <w:ind w:left="1180" w:right="8000"/>
        <w:spacing w:after="0" w:line="551" w:lineRule="auto"/>
        <w:rPr>
          <w:rFonts w:ascii="Arial" w:cs="Arial" w:eastAsia="Arial" w:hAnsi="Arial"/>
          <w:sz w:val="18"/>
          <w:szCs w:val="18"/>
          <w:color w:val="auto"/>
        </w:rPr>
      </w:pPr>
      <w:r>
        <w:rPr>
          <w:rFonts w:ascii="Arial" w:cs="Arial" w:eastAsia="Arial" w:hAnsi="Arial"/>
          <w:sz w:val="16"/>
          <w:szCs w:val="16"/>
          <w:color w:val="auto"/>
        </w:rPr>
        <w:t>Legal Representative/Attorney: Date: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724725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2" w:name="page263"/>
    <w:bookmarkEnd w:id="262"/>
    <w:p>
      <w:pPr>
        <w:jc w:val="right"/>
        <w:ind w:right="3019"/>
        <w:spacing w:after="0"/>
        <w:rPr>
          <w:sz w:val="20"/>
          <w:szCs w:val="20"/>
          <w:color w:val="auto"/>
        </w:rPr>
      </w:pPr>
      <w:r>
        <w:rPr>
          <w:rFonts w:ascii="Arial" w:cs="Arial" w:eastAsia="Arial" w:hAnsi="Arial"/>
          <w:sz w:val="18"/>
          <w:szCs w:val="18"/>
          <w:color w:val="auto"/>
        </w:rPr>
        <w:t>List of Objects of Payment and Accounts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Object 1:</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-20320</wp:posOffset>
            </wp:positionV>
            <wp:extent cx="13919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-20320</wp:posOffset>
            </wp:positionV>
            <wp:extent cx="13919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-20320</wp:posOffset>
            </wp:positionV>
            <wp:extent cx="13919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-20320</wp:posOffset>
            </wp:positionV>
            <wp:extent cx="13919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Object 2:</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-20320</wp:posOffset>
            </wp:positionV>
            <wp:extent cx="13919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-20320</wp:posOffset>
            </wp:positionV>
            <wp:extent cx="13919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-20320</wp:posOffset>
            </wp:positionV>
            <wp:extent cx="13919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-20320</wp:posOffset>
            </wp:positionV>
            <wp:extent cx="13919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Object 3:</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-20320</wp:posOffset>
            </wp:positionV>
            <wp:extent cx="13919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-20320</wp:posOffset>
            </wp:positionV>
            <wp:extent cx="13919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-20320</wp:posOffset>
            </wp:positionV>
            <wp:extent cx="13919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-20320</wp:posOffset>
            </wp:positionV>
            <wp:extent cx="13919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Object 4:</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-20320</wp:posOffset>
            </wp:positionV>
            <wp:extent cx="13919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-20320</wp:posOffset>
            </wp:positionV>
            <wp:extent cx="13919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Bank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-20320</wp:posOffset>
            </wp:positionV>
            <wp:extent cx="13919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-20320</wp:posOffset>
            </wp:positionV>
            <wp:extent cx="10509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Borrower: (Seal)</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247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10.27</w:t>
      </w:r>
    </w:p>
    <w:p>
      <w:pPr>
        <w:spacing w:after="0" w:line="22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No.:0410000286-2018 (Xiang’an) No. 00287___________________________________________________________________</w:t>
      </w:r>
    </w:p>
    <w:p>
      <w:pPr>
        <w:spacing w:after="0" w:line="250" w:lineRule="exact"/>
        <w:rPr>
          <w:sz w:val="20"/>
          <w:szCs w:val="20"/>
          <w:color w:val="auto"/>
        </w:rPr>
      </w:pPr>
    </w:p>
    <w:p>
      <w:pPr>
        <w:ind w:left="10960"/>
        <w:spacing w:after="0"/>
        <w:rPr>
          <w:sz w:val="20"/>
          <w:szCs w:val="20"/>
          <w:color w:val="auto"/>
        </w:rPr>
      </w:pPr>
      <w:r>
        <w:rPr>
          <w:rFonts w:ascii="Arial" w:cs="Arial" w:eastAsia="Arial" w:hAnsi="Arial"/>
          <w:sz w:val="15"/>
          <w:szCs w:val="15"/>
          <w:b w:val="1"/>
          <w:bCs w:val="1"/>
          <w:color w:val="auto"/>
        </w:rPr>
        <w:t>[seal:]</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Working Capital Loan Contract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Edition)</w:t>
      </w:r>
    </w:p>
    <w:p>
      <w:pPr>
        <w:spacing w:after="0" w:line="231" w:lineRule="exact"/>
        <w:rPr>
          <w:sz w:val="20"/>
          <w:szCs w:val="20"/>
          <w:color w:val="auto"/>
        </w:rPr>
      </w:pPr>
    </w:p>
    <w:p>
      <w:pPr>
        <w:ind w:left="10960"/>
        <w:spacing w:after="0"/>
        <w:rPr>
          <w:sz w:val="20"/>
          <w:szCs w:val="20"/>
          <w:color w:val="auto"/>
        </w:rPr>
      </w:pPr>
      <w:r>
        <w:rPr>
          <w:rFonts w:ascii="Arial" w:cs="Arial" w:eastAsia="Arial" w:hAnsi="Arial"/>
          <w:sz w:val="15"/>
          <w:szCs w:val="15"/>
          <w:b w:val="1"/>
          <w:bCs w:val="1"/>
          <w:color w:val="auto"/>
        </w:rPr>
        <w:t>[seal:]</w:t>
      </w:r>
    </w:p>
    <w:p>
      <w:pPr>
        <w:spacing w:after="0" w:line="257"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Special Note: The Contract is negotiated by the lender and the borrower on an equal and voluntary basis. All contract terms are true representations of the parties’ intentions. To protect the legitimate rights and interests of the Borrower, the Lender specifically invites the Borrower to take full notice of the full terms and conditions of the parties, in particular, the contents in bold.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1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282" w:right="239" w:bottom="1440" w:gutter="0" w:footer="0" w:header="0"/>
        </w:sectPr>
      </w:pPr>
    </w:p>
    <w:bookmarkStart w:id="264" w:name="page265"/>
    <w:bookmarkEnd w:id="264"/>
    <w:p>
      <w:pPr>
        <w:ind w:right="4860"/>
        <w:spacing w:after="0" w:line="259" w:lineRule="auto"/>
        <w:rPr>
          <w:sz w:val="20"/>
          <w:szCs w:val="20"/>
          <w:color w:val="auto"/>
        </w:rPr>
      </w:pPr>
      <w:r>
        <w:rPr>
          <w:rFonts w:ascii="Arial" w:cs="Arial" w:eastAsia="Arial" w:hAnsi="Arial"/>
          <w:sz w:val="18"/>
          <w:szCs w:val="18"/>
          <w:b w:val="1"/>
          <w:bCs w:val="1"/>
          <w:color w:val="auto"/>
        </w:rPr>
        <w:t xml:space="preserve">Lender: Industrial and Commercial Bank of China Limited </w:t>
      </w:r>
      <w:r>
        <w:rPr>
          <w:rFonts w:ascii="Arial" w:cs="Arial" w:eastAsia="Arial" w:hAnsi="Arial"/>
          <w:sz w:val="18"/>
          <w:szCs w:val="18"/>
          <w:b w:val="1"/>
          <w:bCs w:val="1"/>
          <w:u w:val="single" w:color="auto"/>
          <w:color w:val="auto"/>
        </w:rPr>
        <w:t>Xiamen Xiang’an Branch</w:t>
      </w:r>
      <w:r>
        <w:rPr>
          <w:rFonts w:ascii="Arial" w:cs="Arial" w:eastAsia="Arial" w:hAnsi="Arial"/>
          <w:sz w:val="18"/>
          <w:szCs w:val="18"/>
          <w:b w:val="1"/>
          <w:bCs w:val="1"/>
          <w:color w:val="auto"/>
        </w:rPr>
        <w:t xml:space="preserv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-24130</wp:posOffset>
            </wp:positionV>
            <wp:extent cx="8521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2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Domicile (Address):</w:t>
            </w: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gridSpan w:val="5"/>
          </w:tcPr>
          <w:p>
            <w:pPr>
              <w:ind w:left="80"/>
              <w:spacing w:after="0" w:line="176" w:lineRule="exact"/>
              <w:rPr>
                <w:sz w:val="20"/>
                <w:szCs w:val="20"/>
                <w:color w:val="auto"/>
              </w:rPr>
            </w:pPr>
            <w:r>
              <w:rPr>
                <w:rFonts w:ascii="Arial" w:cs="Arial" w:eastAsia="Arial" w:hAnsi="Arial"/>
                <w:sz w:val="18"/>
                <w:szCs w:val="18"/>
                <w:b w:val="1"/>
                <w:bCs w:val="1"/>
                <w:color w:val="auto"/>
              </w:rPr>
              <w:t>Postal Code:</w:t>
            </w:r>
          </w:p>
        </w:tc>
      </w:tr>
      <w:tr>
        <w:trPr>
          <w:trHeight w:val="195"/>
        </w:trPr>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Borrower:</w:t>
            </w:r>
          </w:p>
        </w:tc>
        <w:tc>
          <w:tcPr>
            <w:tcW w:w="720" w:type="dxa"/>
            <w:vAlign w:val="bottom"/>
            <w:tcBorders>
              <w:top w:val="single" w:sz="8" w:color="auto"/>
            </w:tcBorders>
            <w:gridSpan w:val="2"/>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r>
      <w:tr>
        <w:trPr>
          <w:trHeight w:val="20"/>
        </w:trPr>
        <w:tc>
          <w:tcPr>
            <w:tcW w:w="8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5"/>
        </w:trPr>
        <w:tc>
          <w:tcPr>
            <w:tcW w:w="16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88"/>
              </w:rPr>
              <w:t>Legal Representative:</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0"/>
              </w:rPr>
              <w:t>Contact:</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60" w:type="dxa"/>
            <w:vAlign w:val="bottom"/>
            <w:gridSpan w:val="7"/>
          </w:tcPr>
          <w:p>
            <w:pPr>
              <w:spacing w:after="0" w:line="195" w:lineRule="exact"/>
              <w:rPr>
                <w:sz w:val="20"/>
                <w:szCs w:val="20"/>
                <w:color w:val="auto"/>
              </w:rPr>
            </w:pPr>
            <w:r>
              <w:rPr>
                <w:rFonts w:ascii="Arial" w:cs="Arial" w:eastAsia="Arial" w:hAnsi="Arial"/>
                <w:sz w:val="18"/>
                <w:szCs w:val="18"/>
                <w:b w:val="1"/>
                <w:bCs w:val="1"/>
                <w:color w:val="auto"/>
              </w:rPr>
              <w:t>Mobile No.:</w:t>
            </w:r>
          </w:p>
        </w:tc>
      </w:tr>
      <w:tr>
        <w:trPr>
          <w:trHeight w:val="20"/>
        </w:trPr>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5"/>
        </w:trPr>
        <w:tc>
          <w:tcPr>
            <w:tcW w:w="16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7"/>
              </w:rPr>
              <w:t>Domicile (Address):</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40" w:type="dxa"/>
            <w:vAlign w:val="bottom"/>
            <w:gridSpan w:val="9"/>
          </w:tcPr>
          <w:p>
            <w:pPr>
              <w:ind w:left="80"/>
              <w:spacing w:after="0" w:line="195" w:lineRule="exact"/>
              <w:rPr>
                <w:sz w:val="20"/>
                <w:szCs w:val="20"/>
                <w:color w:val="auto"/>
              </w:rPr>
            </w:pPr>
            <w:r>
              <w:rPr>
                <w:rFonts w:ascii="Arial" w:cs="Arial" w:eastAsia="Arial" w:hAnsi="Arial"/>
                <w:sz w:val="18"/>
                <w:szCs w:val="18"/>
                <w:b w:val="1"/>
                <w:bCs w:val="1"/>
                <w:color w:val="auto"/>
              </w:rPr>
              <w:t>Postal Code:</w:t>
            </w:r>
          </w:p>
        </w:tc>
      </w:tr>
      <w:tr>
        <w:trPr>
          <w:trHeight w:val="195"/>
        </w:trPr>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Telephone:</w:t>
            </w:r>
          </w:p>
        </w:tc>
        <w:tc>
          <w:tcPr>
            <w:tcW w:w="720" w:type="dxa"/>
            <w:vAlign w:val="bottom"/>
            <w:tcBorders>
              <w:top w:val="single" w:sz="8" w:color="auto"/>
            </w:tcBorders>
            <w:gridSpan w:val="2"/>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86"/>
              </w:rPr>
              <w:t>Fax:</w:t>
            </w:r>
          </w:p>
        </w:tc>
        <w:tc>
          <w:tcPr>
            <w:tcW w:w="2940" w:type="dxa"/>
            <w:vAlign w:val="bottom"/>
            <w:tcBorders>
              <w:top w:val="single" w:sz="8" w:color="auto"/>
            </w:tcBorders>
            <w:gridSpan w:val="6"/>
          </w:tcPr>
          <w:p>
            <w:pPr>
              <w:ind w:left="1380"/>
              <w:spacing w:after="0" w:line="195" w:lineRule="exact"/>
              <w:rPr>
                <w:sz w:val="20"/>
                <w:szCs w:val="20"/>
                <w:color w:val="auto"/>
              </w:rPr>
            </w:pPr>
            <w:r>
              <w:rPr>
                <w:rFonts w:ascii="Arial" w:cs="Arial" w:eastAsia="Arial" w:hAnsi="Arial"/>
                <w:sz w:val="18"/>
                <w:szCs w:val="18"/>
                <w:b w:val="1"/>
                <w:bCs w:val="1"/>
                <w:color w:val="auto"/>
              </w:rPr>
              <w:t>Email:</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u w:val="single" w:color="auto"/>
          <w:color w:val="auto"/>
        </w:rPr>
        <w:t>[Please ensure that the Borrower fills in the above information accurately and completely to ensure the timely delivery of relevant notices and legal documents.]</w:t>
      </w:r>
    </w:p>
    <w:p>
      <w:pPr>
        <w:spacing w:after="0" w:line="194" w:lineRule="exact"/>
        <w:rPr>
          <w:sz w:val="20"/>
          <w:szCs w:val="20"/>
          <w:color w:val="auto"/>
        </w:rPr>
      </w:pPr>
    </w:p>
    <w:p>
      <w:pPr>
        <w:ind w:right="60" w:firstLine="322"/>
        <w:spacing w:after="0" w:line="275" w:lineRule="auto"/>
        <w:rPr>
          <w:sz w:val="20"/>
          <w:szCs w:val="20"/>
          <w:color w:val="auto"/>
        </w:rPr>
      </w:pPr>
      <w:r>
        <w:rPr>
          <w:rFonts w:ascii="Arial" w:cs="Arial" w:eastAsia="Arial" w:hAnsi="Arial"/>
          <w:sz w:val="18"/>
          <w:szCs w:val="18"/>
          <w:color w:val="auto"/>
        </w:rPr>
        <w:t>Through equal negotiations, a consensus has been reached and the Contract has been entered into on the matters of the Lender’s issuance of lending to the Borrower.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 General Stipulations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 Loan Purpose</w:t>
      </w:r>
    </w:p>
    <w:p>
      <w:pPr>
        <w:spacing w:after="0" w:line="227" w:lineRule="exact"/>
        <w:rPr>
          <w:sz w:val="20"/>
          <w:szCs w:val="20"/>
          <w:color w:val="auto"/>
        </w:rPr>
      </w:pPr>
    </w:p>
    <w:p>
      <w:pPr>
        <w:ind w:firstLine="322"/>
        <w:spacing w:after="0" w:line="275" w:lineRule="auto"/>
        <w:rPr>
          <w:sz w:val="20"/>
          <w:szCs w:val="20"/>
          <w:color w:val="auto"/>
        </w:rPr>
      </w:pPr>
      <w:r>
        <w:rPr>
          <w:rFonts w:ascii="Arial" w:cs="Arial" w:eastAsia="Arial" w:hAnsi="Arial"/>
          <w:sz w:val="18"/>
          <w:szCs w:val="18"/>
          <w:color w:val="auto"/>
        </w:rPr>
        <w:t>Loans under the Contract shall be used for the following purpose; without the written consent of the Lender, the Borrower shall not misuse any loans. The Lender is entitled to supervision of the use of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Loan Purpose: </w:t>
      </w:r>
      <w:r>
        <w:rPr>
          <w:rFonts w:ascii="Arial" w:cs="Arial" w:eastAsia="Arial" w:hAnsi="Arial"/>
          <w:sz w:val="18"/>
          <w:szCs w:val="18"/>
          <w:u w:val="single" w:color="auto"/>
          <w:color w:val="auto"/>
        </w:rPr>
        <w:t>VAT Payment</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2 Lending Amount and Term</w:t>
      </w:r>
    </w:p>
    <w:p>
      <w:pPr>
        <w:spacing w:after="0" w:line="223" w:lineRule="exact"/>
        <w:rPr>
          <w:sz w:val="20"/>
          <w:szCs w:val="20"/>
          <w:color w:val="auto"/>
        </w:rPr>
      </w:pPr>
    </w:p>
    <w:p>
      <w:pPr>
        <w:ind w:right="40" w:firstLine="322"/>
        <w:spacing w:after="0" w:line="279"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currency of the contract is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RMB</w:t>
      </w:r>
      <w:r>
        <w:rPr>
          <w:rFonts w:ascii="Arial" w:cs="Arial" w:eastAsia="Arial" w:hAnsi="Arial"/>
          <w:sz w:val="18"/>
          <w:szCs w:val="18"/>
          <w:b w:val="1"/>
          <w:bCs w:val="1"/>
          <w:color w:val="auto"/>
        </w:rPr>
        <w:t xml:space="preserve"> </w:t>
      </w:r>
      <w:r>
        <w:rPr>
          <w:rFonts w:ascii="Arial" w:cs="Arial" w:eastAsia="Arial" w:hAnsi="Arial"/>
          <w:sz w:val="18"/>
          <w:szCs w:val="18"/>
          <w:color w:val="auto"/>
        </w:rPr>
        <w:t>, and the amount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1600000.00</w:t>
      </w:r>
      <w:r>
        <w:rPr>
          <w:rFonts w:ascii="Arial" w:cs="Arial" w:eastAsia="Arial" w:hAnsi="Arial"/>
          <w:sz w:val="18"/>
          <w:szCs w:val="18"/>
          <w:b w:val="1"/>
          <w:bCs w:val="1"/>
          <w:color w:val="auto"/>
        </w:rPr>
        <w:t xml:space="preserve"> </w:t>
      </w:r>
      <w:r>
        <w:rPr>
          <w:rFonts w:ascii="Arial" w:cs="Arial" w:eastAsia="Arial" w:hAnsi="Arial"/>
          <w:sz w:val="18"/>
          <w:szCs w:val="18"/>
          <w:color w:val="auto"/>
        </w:rPr>
        <w:t>(in words: One million and six hundred thousand yuan) (where the figure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in words is not the same, the amount in words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-182245</wp:posOffset>
            </wp:positionV>
            <wp:extent cx="20167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spacing w:after="0" w:line="143" w:lineRule="exact"/>
        <w:rPr>
          <w:sz w:val="20"/>
          <w:szCs w:val="20"/>
          <w:color w:val="auto"/>
        </w:rPr>
      </w:pPr>
    </w:p>
    <w:p>
      <w:pPr>
        <w:ind w:right="380" w:firstLine="322"/>
        <w:spacing w:after="0" w:line="279"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lending term under the Contract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from the actual withdrawal date (for multiple withdrawals, from the first withdrawal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actual withdrawal date shall be based on the loan receipt.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3 Interest Rates, Interest, and Fees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 [Method for determining the RMB lending rate]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2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65" w:name="page266"/>
    <w:bookmarkEnd w:id="265"/>
    <w:p>
      <w:pPr>
        <w:ind w:left="320"/>
        <w:spacing w:after="0"/>
        <w:rPr>
          <w:sz w:val="20"/>
          <w:szCs w:val="20"/>
          <w:color w:val="auto"/>
        </w:rPr>
      </w:pPr>
      <w:r>
        <w:rPr>
          <w:rFonts w:ascii="Arial" w:cs="Arial" w:eastAsia="Arial" w:hAnsi="Arial"/>
          <w:sz w:val="18"/>
          <w:szCs w:val="18"/>
          <w:color w:val="auto"/>
        </w:rPr>
        <w:t xml:space="preserve">The RMB lending rate is determined according to the following method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(1/2/3/4)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-10795</wp:posOffset>
            </wp:positionV>
            <wp:extent cx="2857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3" w:lineRule="exact"/>
        <w:rPr>
          <w:sz w:val="20"/>
          <w:szCs w:val="20"/>
          <w:color w:val="auto"/>
        </w:rPr>
      </w:pPr>
    </w:p>
    <w:p>
      <w:pPr>
        <w:ind w:left="580" w:hanging="250"/>
        <w:spacing w:after="0"/>
        <w:tabs>
          <w:tab w:leader="none" w:pos="58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 xml:space="preserve">Fixed interest rate, at an annual interest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 with the interest rate remaining unchanged for the duration of the Contract.</w:t>
      </w:r>
    </w:p>
    <w:p>
      <w:pPr>
        <w:spacing w:after="0" w:line="222" w:lineRule="exact"/>
        <w:rPr>
          <w:rFonts w:ascii="Arial" w:cs="Arial" w:eastAsia="Arial" w:hAnsi="Arial"/>
          <w:sz w:val="18"/>
          <w:szCs w:val="18"/>
          <w:b w:val="1"/>
          <w:bCs w:val="1"/>
          <w:color w:val="auto"/>
        </w:rPr>
      </w:pPr>
    </w:p>
    <w:p>
      <w:pPr>
        <w:ind w:right="80" w:firstLine="330"/>
        <w:spacing w:after="0" w:line="270" w:lineRule="auto"/>
        <w:tabs>
          <w:tab w:leader="none" w:pos="576"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 xml:space="preserve">The lending rate is determined by the benchmark interest rate plus a floating range, wherein the benchmark interest rate is the benchmark lending rate of the People’s Bank of China on </w:t>
      </w:r>
      <w:r>
        <w:rPr>
          <w:rFonts w:ascii="Arial" w:cs="Arial" w:eastAsia="Arial" w:hAnsi="Arial"/>
          <w:sz w:val="17"/>
          <w:szCs w:val="17"/>
          <w:u w:val="single" w:color="auto"/>
          <w:color w:val="auto"/>
        </w:rPr>
        <w:t>/</w:t>
      </w:r>
      <w:r>
        <w:rPr>
          <w:rFonts w:ascii="Arial" w:cs="Arial" w:eastAsia="Arial" w:hAnsi="Arial"/>
          <w:sz w:val="17"/>
          <w:szCs w:val="17"/>
          <w:color w:val="auto"/>
        </w:rPr>
        <w:t xml:space="preserve"> (withdrawal date/ effective date of the Contract) that corresponds to the lending term stipulated in Article </w:t>
      </w:r>
      <w:r>
        <w:rPr>
          <w:rFonts w:ascii="Arial" w:cs="Arial" w:eastAsia="Arial" w:hAnsi="Arial"/>
          <w:sz w:val="17"/>
          <w:szCs w:val="17"/>
          <w:b w:val="1"/>
          <w:bCs w:val="1"/>
          <w:color w:val="auto"/>
        </w:rPr>
        <w:t>2.2</w:t>
      </w:r>
      <w:r>
        <w:rPr>
          <w:rFonts w:ascii="Arial" w:cs="Arial" w:eastAsia="Arial" w:hAnsi="Arial"/>
          <w:sz w:val="17"/>
          <w:szCs w:val="17"/>
          <w:color w:val="auto"/>
        </w:rPr>
        <w:t xml:space="preserve">, and the floating range is </w:t>
      </w:r>
      <w:r>
        <w:rPr>
          <w:rFonts w:ascii="Arial" w:cs="Arial" w:eastAsia="Arial" w:hAnsi="Arial"/>
          <w:sz w:val="17"/>
          <w:szCs w:val="17"/>
          <w:u w:val="single" w:color="auto"/>
          <w:color w:val="auto"/>
        </w:rPr>
        <w:t>/</w:t>
      </w:r>
      <w:r>
        <w:rPr>
          <w:rFonts w:ascii="Arial" w:cs="Arial" w:eastAsia="Arial" w:hAnsi="Arial"/>
          <w:sz w:val="17"/>
          <w:szCs w:val="17"/>
          <w:color w:val="auto"/>
        </w:rPr>
        <w:t>(</w:t>
      </w:r>
      <w:r>
        <w:rPr>
          <w:rFonts w:ascii="Arial" w:cs="Arial" w:eastAsia="Arial" w:hAnsi="Arial"/>
          <w:sz w:val="17"/>
          <w:szCs w:val="17"/>
          <w:b w:val="1"/>
          <w:bCs w:val="1"/>
          <w:color w:val="auto"/>
        </w:rPr>
        <w:t>upward/downward/zero</w:t>
      </w:r>
      <w:r>
        <w:rPr>
          <w:rFonts w:ascii="Arial" w:cs="Arial" w:eastAsia="Arial" w:hAnsi="Arial"/>
          <w:sz w:val="17"/>
          <w:szCs w:val="17"/>
          <w:color w:val="auto"/>
        </w:rPr>
        <w:t xml:space="preserve">) / %. After the Borrower makes a withdrawal, the lending rate will remain the same for a period of </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(1/3/6/12)</w:t>
      </w:r>
      <w:r>
        <w:rPr>
          <w:rFonts w:ascii="Arial" w:cs="Arial" w:eastAsia="Arial" w:hAnsi="Arial"/>
          <w:sz w:val="17"/>
          <w:szCs w:val="17"/>
          <w:color w:val="auto"/>
        </w:rPr>
        <w:t xml:space="preserve"> month(s), to be adjusted once a period, with interest accounted for in segments. The date for determining the interest rate for the second period shall be the date that corresponds to the withdrawal date at the end of the first period; should the given month not have the given date that corresponds to the withdrawal date, the corresponding date shall be the last day of the given month, and the same shall hold true for other periods. Should the Borrower make withdrawals in installments, the lending rate shall be adjusted according to method </w:t>
      </w:r>
      <w:r>
        <w:rPr>
          <w:rFonts w:ascii="Arial" w:cs="Arial" w:eastAsia="Arial" w:hAnsi="Arial"/>
          <w:sz w:val="17"/>
          <w:szCs w:val="17"/>
          <w:u w:val="single" w:color="auto"/>
          <w:color w:val="auto"/>
        </w:rPr>
        <w:t>/ (A/B)</w:t>
      </w:r>
      <w:r>
        <w:rPr>
          <w:rFonts w:ascii="Arial" w:cs="Arial" w:eastAsia="Arial" w:hAnsi="Arial"/>
          <w:sz w:val="17"/>
          <w:szCs w:val="17"/>
          <w:color w:val="auto"/>
        </w:rPr>
        <w:t xml:space="preserv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-584200</wp:posOffset>
            </wp:positionV>
            <wp:extent cx="882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88265" cy="8255"/>
                    </a:xfrm>
                    <a:prstGeom prst="rect">
                      <a:avLst/>
                    </a:prstGeom>
                    <a:noFill/>
                  </pic:spPr>
                </pic:pic>
              </a:graphicData>
            </a:graphic>
          </wp:anchor>
        </w:drawing>
      </w:r>
    </w:p>
    <w:p>
      <w:pPr>
        <w:spacing w:after="0" w:line="155" w:lineRule="exact"/>
        <w:rPr>
          <w:sz w:val="20"/>
          <w:szCs w:val="20"/>
          <w:color w:val="auto"/>
        </w:rPr>
      </w:pPr>
    </w:p>
    <w:p>
      <w:pPr>
        <w:ind w:right="520" w:firstLine="322"/>
        <w:spacing w:after="0" w:line="279"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Regardless of the number of withdrawals during a single period, the current lending rate determined on the date on which the interest rate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period shall be used, to be adjusted at the next period.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lending rate shall be determined and adjusted for each withdrawal.</w:t>
      </w:r>
    </w:p>
    <w:p>
      <w:pPr>
        <w:spacing w:after="0" w:line="223" w:lineRule="exact"/>
        <w:rPr>
          <w:sz w:val="20"/>
          <w:szCs w:val="20"/>
          <w:color w:val="auto"/>
        </w:rPr>
      </w:pPr>
    </w:p>
    <w:p>
      <w:pPr>
        <w:ind w:right="140" w:firstLine="310"/>
        <w:spacing w:after="0" w:line="256"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The lending rate for each withdrawal shall be determined based on the benchmark interest rate plus the floating range, wherein the benchmark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rate shall be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(annual/monthly) loan promotion rate (LPR) by the National Interbank Funding Center published on the business day prior to the </w:t>
      </w:r>
      <w:r>
        <w:rPr>
          <w:rFonts w:ascii="Arial" w:cs="Arial" w:eastAsia="Arial" w:hAnsi="Arial"/>
          <w:sz w:val="18"/>
          <w:szCs w:val="18"/>
          <w:u w:val="single" w:color="auto"/>
          <w:color w:val="auto"/>
        </w:rPr>
        <w:t>withdrawal date</w:t>
      </w:r>
      <w:r>
        <w:rPr>
          <w:rFonts w:ascii="Arial" w:cs="Arial" w:eastAsia="Arial" w:hAnsi="Arial"/>
          <w:sz w:val="18"/>
          <w:szCs w:val="18"/>
          <w:color w:val="auto"/>
        </w:rPr>
        <w:t xml:space="preserve"> (withdrawal date/effective date of the contract) for the current withdrawal, and the floating range shall be </w:t>
      </w:r>
      <w:r>
        <w:rPr>
          <w:rFonts w:ascii="Arial" w:cs="Arial" w:eastAsia="Arial" w:hAnsi="Arial"/>
          <w:sz w:val="18"/>
          <w:szCs w:val="18"/>
          <w:u w:val="single" w:color="auto"/>
          <w:color w:val="auto"/>
        </w:rPr>
        <w:t>/</w:t>
      </w:r>
      <w:r>
        <w:rPr>
          <w:rFonts w:ascii="Arial" w:cs="Arial" w:eastAsia="Arial" w:hAnsi="Arial"/>
          <w:sz w:val="18"/>
          <w:szCs w:val="18"/>
          <w:color w:val="auto"/>
        </w:rPr>
        <w:t xml:space="preserve"> (upward/downward/zero) / % or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(plus/less/zero) 67.75 base points (with one base point being 0.01%). The lending rate after each withdrawal shall be adjusted according to method </w:t>
      </w:r>
      <w:r>
        <w:rPr>
          <w:rFonts w:ascii="Arial" w:cs="Arial" w:eastAsia="Arial" w:hAnsi="Arial"/>
          <w:sz w:val="18"/>
          <w:szCs w:val="18"/>
          <w:u w:val="single" w:color="auto"/>
          <w:color w:val="auto"/>
        </w:rPr>
        <w:t>__(A/B)</w:t>
      </w:r>
      <w:r>
        <w:rPr>
          <w:rFonts w:ascii="Arial" w:cs="Arial" w:eastAsia="Arial" w:hAnsi="Arial"/>
          <w:sz w:val="18"/>
          <w:szCs w:val="18"/>
          <w:color w:val="auto"/>
        </w:rPr>
        <w:t xml:space="preserv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-304800</wp:posOffset>
            </wp:positionV>
            <wp:extent cx="882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-168910</wp:posOffset>
            </wp:positionV>
            <wp:extent cx="3124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312420" cy="8255"/>
                    </a:xfrm>
                    <a:prstGeom prst="rect">
                      <a:avLst/>
                    </a:prstGeom>
                    <a:noFill/>
                  </pic:spPr>
                </pic:pic>
              </a:graphicData>
            </a:graphic>
          </wp:anchor>
        </w:drawing>
      </w:r>
    </w:p>
    <w:p>
      <w:pPr>
        <w:spacing w:after="0" w:line="165" w:lineRule="exact"/>
        <w:rPr>
          <w:sz w:val="20"/>
          <w:szCs w:val="20"/>
          <w:color w:val="auto"/>
        </w:rPr>
      </w:pPr>
    </w:p>
    <w:p>
      <w:pPr>
        <w:ind w:right="160" w:firstLine="322"/>
        <w:spacing w:after="0" w:line="275"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7"/>
          <w:szCs w:val="17"/>
          <w:color w:val="auto"/>
        </w:rPr>
        <w:t>. For a period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(1/3/6/12) month(s), to be adjusted once a period, with interest accounted for in segments. The benchmark interest rate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the second period shall be the date that corresponds to the withdrawal date at the end of the first period; should the given month not have the given date that corresponds to the withdrawal date, the corresponding date shall be the last day of the given month. Should the National Interbank Funding Center not have published a loan benchmark interest rate for the corresponding term on the previous business day, the loan benchmark interest for the corresponding term published on the last business day shall prevail, and so on and so forth.</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The lending rate shall not be adjusted for the entire lending term.</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Other</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-8255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w:t>
      </w:r>
      <w:r>
        <w:rPr>
          <w:rFonts w:ascii="Arial" w:cs="Arial" w:eastAsia="Arial" w:hAnsi="Arial"/>
          <w:sz w:val="18"/>
          <w:szCs w:val="18"/>
          <w:b w:val="1"/>
          <w:bCs w:val="1"/>
          <w:color w:val="auto"/>
        </w:rPr>
        <w:t>Method for determining the foreign exchange lending rate]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The foreign exchange lending rate shall be determined according to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listed below:</w:t>
      </w:r>
    </w:p>
    <w:p>
      <w:pPr>
        <w:spacing w:after="0" w:line="223" w:lineRule="exact"/>
        <w:rPr>
          <w:sz w:val="20"/>
          <w:szCs w:val="20"/>
          <w:color w:val="auto"/>
        </w:rPr>
      </w:pPr>
    </w:p>
    <w:p>
      <w:pPr>
        <w:ind w:left="580" w:hanging="250"/>
        <w:spacing w:after="0"/>
        <w:tabs>
          <w:tab w:leader="none" w:pos="58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 xml:space="preserve">Fixed interest rate, at an annual interest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 with the interest rate remaining unchanged for the duration of the Contract.</w:t>
      </w:r>
    </w:p>
    <w:p>
      <w:pPr>
        <w:spacing w:after="0" w:line="222" w:lineRule="exact"/>
        <w:rPr>
          <w:rFonts w:ascii="Arial" w:cs="Arial" w:eastAsia="Arial" w:hAnsi="Arial"/>
          <w:sz w:val="18"/>
          <w:szCs w:val="18"/>
          <w:b w:val="1"/>
          <w:bCs w:val="1"/>
          <w:color w:val="auto"/>
        </w:rPr>
      </w:pPr>
    </w:p>
    <w:p>
      <w:pPr>
        <w:jc w:val="both"/>
        <w:ind w:firstLine="330"/>
        <w:spacing w:after="0" w:line="286" w:lineRule="auto"/>
        <w:tabs>
          <w:tab w:leader="none" w:pos="576" w:val="left"/>
        </w:tabs>
        <w:numPr>
          <w:ilvl w:val="1"/>
          <w:numId w:val="178"/>
        </w:numPr>
        <w:rPr>
          <w:rFonts w:ascii="Arial" w:cs="Arial" w:eastAsia="Arial" w:hAnsi="Arial"/>
          <w:sz w:val="16"/>
          <w:szCs w:val="16"/>
          <w:b w:val="1"/>
          <w:bCs w:val="1"/>
          <w:color w:val="auto"/>
        </w:rPr>
      </w:pPr>
      <w:r>
        <w:rPr>
          <w:rFonts w:ascii="Arial" w:cs="Arial" w:eastAsia="Arial" w:hAnsi="Arial"/>
          <w:sz w:val="16"/>
          <w:szCs w:val="16"/>
          <w:color w:val="auto"/>
        </w:rPr>
        <w:t xml:space="preserve">Floating interest rate, with the lending rate a floating interest rate composted of the spread of the </w:t>
      </w:r>
      <w:r>
        <w:rPr>
          <w:rFonts w:ascii="Arial" w:cs="Arial" w:eastAsia="Arial" w:hAnsi="Arial"/>
          <w:sz w:val="16"/>
          <w:szCs w:val="16"/>
          <w:u w:val="single" w:color="auto"/>
          <w:color w:val="auto"/>
        </w:rPr>
        <w:t>/</w:t>
      </w:r>
      <w:r>
        <w:rPr>
          <w:rFonts w:ascii="Arial" w:cs="Arial" w:eastAsia="Arial" w:hAnsi="Arial"/>
          <w:sz w:val="16"/>
          <w:szCs w:val="16"/>
          <w:color w:val="auto"/>
        </w:rPr>
        <w:t xml:space="preserve"> -month </w:t>
      </w:r>
      <w:r>
        <w:rPr>
          <w:rFonts w:ascii="Arial" w:cs="Arial" w:eastAsia="Arial" w:hAnsi="Arial"/>
          <w:sz w:val="16"/>
          <w:szCs w:val="16"/>
          <w:u w:val="single" w:color="auto"/>
          <w:color w:val="auto"/>
        </w:rPr>
        <w:t>/</w:t>
      </w:r>
      <w:r>
        <w:rPr>
          <w:rFonts w:ascii="Arial" w:cs="Arial" w:eastAsia="Arial" w:hAnsi="Arial"/>
          <w:sz w:val="16"/>
          <w:szCs w:val="16"/>
          <w:color w:val="auto"/>
        </w:rPr>
        <w:t xml:space="preserve"> (LIBOR/HIBOR) as the benchmark interest rate plus </w:t>
      </w:r>
      <w:r>
        <w:rPr>
          <w:rFonts w:ascii="Arial" w:cs="Arial" w:eastAsia="Arial" w:hAnsi="Arial"/>
          <w:sz w:val="16"/>
          <w:szCs w:val="16"/>
          <w:u w:val="single" w:color="auto"/>
          <w:color w:val="auto"/>
        </w:rPr>
        <w:t>/</w:t>
      </w:r>
      <w:r>
        <w:rPr>
          <w:rFonts w:ascii="Arial" w:cs="Arial" w:eastAsia="Arial" w:hAnsi="Arial"/>
          <w:sz w:val="16"/>
          <w:szCs w:val="16"/>
          <w:color w:val="auto"/>
        </w:rPr>
        <w:t xml:space="preserve"> base points (one base point is 0.01%). The spread will remain unchanged during the Contract term. Should withdrawals be made in installments, the interest rate shall be calculated for each withdrawal. After the Borrower makes a withdrawal, the benchmark interest rate shall be adjusted according to method</w:t>
      </w:r>
    </w:p>
    <w:p>
      <w:pPr>
        <w:spacing w:after="0" w:line="1" w:lineRule="exact"/>
        <w:rPr>
          <w:rFonts w:ascii="Arial" w:cs="Arial" w:eastAsia="Arial" w:hAnsi="Arial"/>
          <w:sz w:val="16"/>
          <w:szCs w:val="16"/>
          <w:b w:val="1"/>
          <w:bCs w:val="1"/>
          <w:color w:val="auto"/>
        </w:rPr>
      </w:pPr>
    </w:p>
    <w:p>
      <w:pPr>
        <w:ind w:left="100" w:hanging="93"/>
        <w:spacing w:after="0"/>
        <w:tabs>
          <w:tab w:leader="none" w:pos="100" w:val="left"/>
        </w:tabs>
        <w:numPr>
          <w:ilvl w:val="0"/>
          <w:numId w:val="178"/>
        </w:numPr>
        <w:rPr>
          <w:rFonts w:ascii="Arial" w:cs="Arial" w:eastAsia="Arial" w:hAnsi="Arial"/>
          <w:sz w:val="18"/>
          <w:szCs w:val="18"/>
          <w:u w:val="single" w:color="auto"/>
          <w:color w:val="auto"/>
        </w:rPr>
      </w:pPr>
      <w:r>
        <w:rPr>
          <w:rFonts w:ascii="Arial" w:cs="Arial" w:eastAsia="Arial" w:hAnsi="Arial"/>
          <w:sz w:val="18"/>
          <w:szCs w:val="18"/>
          <w:color w:val="auto"/>
        </w:rPr>
        <w:t>listed below, with interest accounted for in segments:</w:t>
      </w:r>
    </w:p>
    <w:p>
      <w:pPr>
        <w:spacing w:after="0" w:line="204" w:lineRule="exact"/>
        <w:rPr>
          <w:sz w:val="20"/>
          <w:szCs w:val="20"/>
          <w:color w:val="auto"/>
        </w:rPr>
      </w:pPr>
    </w:p>
    <w:p>
      <w:pPr>
        <w:jc w:val="both"/>
        <w:ind w:firstLine="322"/>
        <w:spacing w:after="0" w:line="28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For a period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(1/3/6/12) month(s), to be adjusted once a period. The benchmark interest rate adjustment date for the second period shall be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that corresponds to the withdrawal date at the end of the first period; should the given month not have the given date that corresponds to the withdrawal date, the corresponding date shall be the last day of the given month, and the same shall hold true for other periods.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3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66" w:name="page267"/>
    <w:bookmarkEnd w:id="266"/>
    <w:p>
      <w:pPr>
        <w:ind w:left="32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benchmark interest rate shall be adjusted on the first day of each interest-bearing period.</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Other: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t>
      </w:r>
    </w:p>
    <w:p>
      <w:pPr>
        <w:spacing w:after="0" w:line="223" w:lineRule="exact"/>
        <w:rPr>
          <w:sz w:val="20"/>
          <w:szCs w:val="20"/>
          <w:color w:val="auto"/>
        </w:rPr>
      </w:pPr>
    </w:p>
    <w:p>
      <w:pPr>
        <w:ind w:right="560" w:firstLine="354"/>
        <w:spacing w:after="0" w:line="310"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color w:val="auto"/>
        </w:rPr>
        <w:t>Interest shall be calculated on lending under the Contract on a daily basis from the withdrawal date and settled every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month</w:t>
      </w:r>
      <w:r>
        <w:rPr>
          <w:rFonts w:ascii="Arial" w:cs="Arial" w:eastAsia="Arial" w:hAnsi="Arial"/>
          <w:sz w:val="17"/>
          <w:szCs w:val="17"/>
          <w:b w:val="1"/>
          <w:bCs w:val="1"/>
          <w:color w:val="auto"/>
        </w:rPr>
        <w:t xml:space="preserve"> </w:t>
      </w:r>
      <w:r>
        <w:rPr>
          <w:rFonts w:ascii="Arial" w:cs="Arial" w:eastAsia="Arial" w:hAnsi="Arial"/>
          <w:sz w:val="17"/>
          <w:szCs w:val="17"/>
          <w:color w:val="auto"/>
        </w:rPr>
        <w:t>(month/quarter/six</w:t>
      </w:r>
      <w:r>
        <w:rPr>
          <w:rFonts w:ascii="Arial" w:cs="Arial" w:eastAsia="Arial" w:hAnsi="Arial"/>
          <w:sz w:val="17"/>
          <w:szCs w:val="17"/>
          <w:b w:val="1"/>
          <w:bCs w:val="1"/>
          <w:color w:val="auto"/>
        </w:rPr>
        <w:t xml:space="preserve"> </w:t>
      </w:r>
      <w:r>
        <w:rPr>
          <w:rFonts w:ascii="Arial" w:cs="Arial" w:eastAsia="Arial" w:hAnsi="Arial"/>
          <w:sz w:val="17"/>
          <w:szCs w:val="17"/>
          <w:color w:val="auto"/>
        </w:rPr>
        <w:t>months). Interest shall be settled with principal when loans are due, and the daily interest rate = annual interest rate/360.</w:t>
      </w:r>
    </w:p>
    <w:p>
      <w:pPr>
        <w:spacing w:after="0" w:line="140" w:lineRule="exact"/>
        <w:rPr>
          <w:sz w:val="20"/>
          <w:szCs w:val="20"/>
          <w:color w:val="auto"/>
        </w:rPr>
      </w:pPr>
    </w:p>
    <w:p>
      <w:pPr>
        <w:ind w:right="40" w:firstLine="322"/>
        <w:spacing w:after="0" w:line="279"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The penalty interest rate for overdue payments under the Contract shall be determined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30</w:t>
      </w:r>
      <w:r>
        <w:rPr>
          <w:rFonts w:ascii="Arial" w:cs="Arial" w:eastAsia="Arial" w:hAnsi="Arial"/>
          <w:sz w:val="18"/>
          <w:szCs w:val="18"/>
          <w:b w:val="1"/>
          <w:bCs w:val="1"/>
          <w:color w:val="auto"/>
        </w:rPr>
        <w:t xml:space="preserve"> </w:t>
      </w:r>
      <w:r>
        <w:rPr>
          <w:rFonts w:ascii="Arial" w:cs="Arial" w:eastAsia="Arial" w:hAnsi="Arial"/>
          <w:sz w:val="18"/>
          <w:szCs w:val="18"/>
          <w:color w:val="auto"/>
        </w:rPr>
        <w:t>% of the original lending rate, and the penalty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misuse of loans shall be determined at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 of the original lending rate.</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In addition to interest, the Borrower shall also pay a commitment fee to the Lender. The commitment fee shall be the difference between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lending stipulated in Article 2 and the Borrower’s withdrawals (the daily average balance during the billing period) and an annual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to be paid according to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below:</w:t>
      </w:r>
    </w:p>
    <w:p>
      <w:pPr>
        <w:spacing w:after="0" w:line="180" w:lineRule="exact"/>
        <w:rPr>
          <w:sz w:val="20"/>
          <w:szCs w:val="20"/>
          <w:color w:val="auto"/>
        </w:rPr>
      </w:pPr>
    </w:p>
    <w:p>
      <w:pPr>
        <w:ind w:left="580" w:hanging="250"/>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single payment shall be made to the Lender on the last day of the billing period.</w:t>
      </w:r>
    </w:p>
    <w:p>
      <w:pPr>
        <w:spacing w:after="0" w:line="222" w:lineRule="exact"/>
        <w:rPr>
          <w:rFonts w:ascii="Arial" w:cs="Arial" w:eastAsia="Arial" w:hAnsi="Arial"/>
          <w:sz w:val="18"/>
          <w:szCs w:val="18"/>
          <w:color w:val="auto"/>
        </w:rPr>
      </w:pPr>
    </w:p>
    <w:p>
      <w:pPr>
        <w:ind w:firstLine="330"/>
        <w:spacing w:after="0" w:line="275" w:lineRule="auto"/>
        <w:tabs>
          <w:tab w:leader="none" w:pos="5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After the Contract enters into force, payments shall be made in installments to the Lender on the 20th day of every </w:t>
      </w:r>
      <w:r>
        <w:rPr>
          <w:rFonts w:ascii="Arial" w:cs="Arial" w:eastAsia="Arial" w:hAnsi="Arial"/>
          <w:sz w:val="18"/>
          <w:szCs w:val="18"/>
          <w:u w:val="single" w:color="auto"/>
          <w:color w:val="auto"/>
        </w:rPr>
        <w:t>/</w:t>
      </w:r>
      <w:r>
        <w:rPr>
          <w:rFonts w:ascii="Arial" w:cs="Arial" w:eastAsia="Arial" w:hAnsi="Arial"/>
          <w:sz w:val="18"/>
          <w:szCs w:val="18"/>
          <w:color w:val="auto"/>
        </w:rPr>
        <w:t xml:space="preserve"> (month/quarter/six months) up until the last day of the billing period.</w:t>
      </w:r>
    </w:p>
    <w:p>
      <w:pPr>
        <w:spacing w:after="0" w:line="170" w:lineRule="exact"/>
        <w:rPr>
          <w:sz w:val="20"/>
          <w:szCs w:val="20"/>
          <w:color w:val="auto"/>
        </w:rPr>
      </w:pPr>
    </w:p>
    <w:p>
      <w:pPr>
        <w:jc w:val="both"/>
        <w:ind w:right="240" w:firstLine="322"/>
        <w:spacing w:after="0" w:line="262" w:lineRule="auto"/>
        <w:rPr>
          <w:sz w:val="20"/>
          <w:szCs w:val="20"/>
          <w:color w:val="auto"/>
        </w:rPr>
      </w:pPr>
      <w:r>
        <w:rPr>
          <w:rFonts w:ascii="Arial" w:cs="Arial" w:eastAsia="Arial" w:hAnsi="Arial"/>
          <w:sz w:val="18"/>
          <w:szCs w:val="18"/>
          <w:color w:val="auto"/>
        </w:rPr>
        <w:t>Should loans under the Contract be on a revolving basis, the billing period refers to the time limit on the use of credit for revolving loans; should loans under the Contract not be on a revolving basis, the billing period refers to the period between the signing date of the Contract and the withdrawal date of the last loan as stipulated in Article 4.</w:t>
      </w:r>
    </w:p>
    <w:p>
      <w:pPr>
        <w:spacing w:after="0" w:line="177"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The commitment fee is paid in installments; should the Borrower fail to pay the commitment fee on time, the Lender is entitled to the suspension of the issuance of loans or to cancel all amounts that the Borrower has not withdrawn.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4 Withdrawals</w:t>
      </w:r>
      <w:r>
        <w:rPr>
          <w:rFonts w:ascii="Arial" w:cs="Arial" w:eastAsia="Arial" w:hAnsi="Arial"/>
          <w:sz w:val="18"/>
          <w:szCs w:val="18"/>
          <w:color w:val="auto"/>
        </w:rPr>
        <w:t>(</w:t>
      </w:r>
      <w:r>
        <w:rPr>
          <w:rFonts w:ascii="Arial" w:cs="Arial" w:eastAsia="Arial" w:hAnsi="Arial"/>
          <w:sz w:val="18"/>
          <w:szCs w:val="18"/>
          <w:b w:val="1"/>
          <w:bCs w:val="1"/>
          <w:color w:val="auto"/>
        </w:rPr>
        <w:t>Revolving Loans are Not Applicable</w:t>
      </w:r>
      <w:r>
        <w:rPr>
          <w:rFonts w:ascii="Arial" w:cs="Arial" w:eastAsia="Arial" w:hAnsi="Arial"/>
          <w:sz w:val="18"/>
          <w:szCs w:val="18"/>
          <w:color w:val="auto"/>
        </w:rPr>
        <w: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4.1 The Borrower shall make withdrawals according to method </w:t>
      </w:r>
      <w:r>
        <w:rPr>
          <w:rFonts w:ascii="Arial" w:cs="Arial" w:eastAsia="Arial" w:hAnsi="Arial"/>
          <w:sz w:val="18"/>
          <w:szCs w:val="18"/>
          <w:b w:val="1"/>
          <w:bCs w:val="1"/>
          <w:u w:val="single" w:color="auto"/>
          <w:color w:val="auto"/>
        </w:rPr>
        <w:t>(1) (1/2/3)</w:t>
      </w:r>
      <w:r>
        <w:rPr>
          <w:rFonts w:ascii="Arial" w:cs="Arial" w:eastAsia="Arial" w:hAnsi="Arial"/>
          <w:sz w:val="18"/>
          <w:szCs w:val="18"/>
          <w:b w:val="1"/>
          <w:bCs w:val="1"/>
          <w:color w:val="auto"/>
        </w:rPr>
        <w:t>listed below according to actual funding needs:</w:t>
      </w:r>
    </w:p>
    <w:p>
      <w:pPr>
        <w:spacing w:after="0" w:line="223" w:lineRule="exact"/>
        <w:rPr>
          <w:sz w:val="20"/>
          <w:szCs w:val="20"/>
          <w:color w:val="auto"/>
        </w:rPr>
      </w:pPr>
    </w:p>
    <w:p>
      <w:pPr>
        <w:ind w:left="580" w:hanging="250"/>
        <w:spacing w:after="0"/>
        <w:tabs>
          <w:tab w:leader="none" w:pos="5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One-time loan request prior to 12</w:t>
      </w:r>
      <w:r>
        <w:rPr>
          <w:rFonts w:ascii="Arial" w:cs="Arial" w:eastAsia="Arial" w:hAnsi="Arial"/>
          <w:sz w:val="18"/>
          <w:szCs w:val="18"/>
          <w:b w:val="1"/>
          <w:bCs w:val="1"/>
          <w:u w:val="single" w:color="auto"/>
          <w:color w:val="auto"/>
        </w:rPr>
        <w:t>/14/2018</w:t>
      </w:r>
      <w:r>
        <w:rPr>
          <w:rFonts w:ascii="Arial" w:cs="Arial" w:eastAsia="Arial" w:hAnsi="Arial"/>
          <w:sz w:val="18"/>
          <w:szCs w:val="18"/>
          <w:b w:val="1"/>
          <w:bCs w:val="1"/>
          <w:color w:val="auto"/>
        </w:rPr>
        <w:t>;</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One or more loan requests after the Contract’s effective date and before </w:t>
      </w:r>
      <w:r>
        <w:rPr>
          <w:rFonts w:ascii="Arial" w:cs="Arial" w:eastAsia="Arial" w:hAnsi="Arial"/>
          <w:sz w:val="18"/>
          <w:szCs w:val="18"/>
          <w:u w:val="single" w:color="auto"/>
          <w:color w:val="auto"/>
        </w:rPr>
        <w:t>/ /</w:t>
      </w:r>
      <w:r>
        <w:rPr>
          <w:rFonts w:ascii="Arial" w:cs="Arial" w:eastAsia="Arial" w:hAnsi="Arial"/>
          <w:sz w:val="18"/>
          <w:szCs w:val="18"/>
          <w:b w:val="1"/>
          <w:bCs w:val="1"/>
          <w:color w:val="auto"/>
        </w:rPr>
        <w:t>;</w:t>
      </w:r>
    </w:p>
    <w:p>
      <w:pPr>
        <w:spacing w:after="0" w:line="222" w:lineRule="exact"/>
        <w:rPr>
          <w:rFonts w:ascii="Arial" w:cs="Arial" w:eastAsia="Arial" w:hAnsi="Arial"/>
          <w:sz w:val="18"/>
          <w:szCs w:val="18"/>
          <w:b w:val="1"/>
          <w:bCs w:val="1"/>
          <w:color w:val="auto"/>
        </w:rPr>
      </w:pPr>
    </w:p>
    <w:p>
      <w:pPr>
        <w:ind w:right="40" w:firstLine="330"/>
        <w:spacing w:after="0" w:line="279" w:lineRule="auto"/>
        <w:tabs>
          <w:tab w:leader="none" w:pos="576"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Withdrawals in installments on the dates below; the Borrower may, with the Lender’s consent, make changes to withdrawal dates or amounts based on funding needs, though the Borrower must make loan requests no later than </w:t>
      </w:r>
      <w:r>
        <w:rPr>
          <w:rFonts w:ascii="Arial" w:cs="Arial" w:eastAsia="Arial" w:hAnsi="Arial"/>
          <w:sz w:val="18"/>
          <w:szCs w:val="18"/>
          <w:u w:val="single" w:color="auto"/>
          <w:color w:val="auto"/>
        </w:rPr>
        <w:t>//</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72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Withdrawal Date</w:t>
            </w:r>
          </w:p>
        </w:tc>
        <w:tc>
          <w:tcPr>
            <w:tcW w:w="570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Withdrawal Amount</w:t>
            </w:r>
          </w:p>
        </w:tc>
      </w:tr>
      <w:tr>
        <w:trPr>
          <w:trHeight w:val="222"/>
        </w:trPr>
        <w:tc>
          <w:tcPr>
            <w:tcW w:w="57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r>
      <w:tr>
        <w:trPr>
          <w:trHeight w:val="222"/>
        </w:trPr>
        <w:tc>
          <w:tcPr>
            <w:tcW w:w="57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r>
      <w:tr>
        <w:trPr>
          <w:trHeight w:val="222"/>
        </w:trPr>
        <w:tc>
          <w:tcPr>
            <w:tcW w:w="57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7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r>
    </w:tbl>
    <w:p>
      <w:pPr>
        <w:spacing w:after="0" w:line="196"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4.2 Should the Borrower fail to make withdrawals as agreed, the Lender is entitled to cancel, in part or in full, lending that the Borrower has not yet withdrawn.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4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67" w:name="page268"/>
    <w:bookmarkEnd w:id="267"/>
    <w:p>
      <w:pPr>
        <w:ind w:left="320"/>
        <w:spacing w:after="0"/>
        <w:rPr>
          <w:sz w:val="20"/>
          <w:szCs w:val="20"/>
          <w:color w:val="auto"/>
        </w:rPr>
      </w:pPr>
      <w:r>
        <w:rPr>
          <w:rFonts w:ascii="Arial" w:cs="Arial" w:eastAsia="Arial" w:hAnsi="Arial"/>
          <w:sz w:val="18"/>
          <w:szCs w:val="18"/>
          <w:b w:val="1"/>
          <w:bCs w:val="1"/>
          <w:color w:val="auto"/>
        </w:rPr>
        <w:t>Article 5 Repayments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5.1</w:t>
      </w:r>
      <w:r>
        <w:rPr>
          <w:rFonts w:ascii="Arial" w:cs="Arial" w:eastAsia="Arial" w:hAnsi="Arial"/>
          <w:sz w:val="18"/>
          <w:szCs w:val="18"/>
          <w:color w:val="auto"/>
        </w:rPr>
        <w:t>5.1 The Borrower shall repay loans under the Contract according to method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(1/2) listed below:</w:t>
      </w:r>
    </w:p>
    <w:p>
      <w:pPr>
        <w:spacing w:after="0" w:line="227" w:lineRule="exact"/>
        <w:rPr>
          <w:sz w:val="20"/>
          <w:szCs w:val="20"/>
          <w:color w:val="auto"/>
        </w:rPr>
      </w:pPr>
    </w:p>
    <w:p>
      <w:pPr>
        <w:ind w:left="580" w:hanging="250"/>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One-time loan repayment upon expiration.</w:t>
      </w:r>
    </w:p>
    <w:p>
      <w:pPr>
        <w:spacing w:after="0" w:line="218" w:lineRule="exact"/>
        <w:rPr>
          <w:rFonts w:ascii="Arial" w:cs="Arial" w:eastAsia="Arial" w:hAnsi="Arial"/>
          <w:sz w:val="18"/>
          <w:szCs w:val="18"/>
          <w:b w:val="1"/>
          <w:bCs w:val="1"/>
          <w:color w:val="auto"/>
        </w:rPr>
      </w:pPr>
    </w:p>
    <w:p>
      <w:pPr>
        <w:ind w:left="580" w:hanging="250"/>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According to the following repayment plan (when there is additional content, additional pages can be attached)</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40" w:type="dxa"/>
            <w:vAlign w:val="bottom"/>
            <w:tcBorders>
              <w:top w:val="single" w:sz="8" w:color="auto"/>
              <w:left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Planned Repayment Date</w:t>
            </w:r>
          </w:p>
        </w:tc>
        <w:tc>
          <w:tcPr>
            <w:tcW w:w="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3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Planned Repayment Amount</w:t>
            </w:r>
          </w:p>
        </w:tc>
      </w:tr>
      <w:tr>
        <w:trPr>
          <w:trHeight w:val="175"/>
        </w:trPr>
        <w:tc>
          <w:tcPr>
            <w:tcW w:w="5740" w:type="dxa"/>
            <w:vAlign w:val="bottom"/>
            <w:tcBorders>
              <w:left w:val="single" w:sz="8" w:color="auto"/>
              <w:right w:val="single" w:sz="8" w:color="auto"/>
            </w:tcBorders>
            <w:gridSpan w:val="4"/>
          </w:tcPr>
          <w:p>
            <w:pPr>
              <w:jc w:val="right"/>
              <w:ind w:right="4671"/>
              <w:spacing w:after="0" w:line="175" w:lineRule="exact"/>
              <w:rPr>
                <w:sz w:val="20"/>
                <w:szCs w:val="20"/>
                <w:color w:val="auto"/>
              </w:rPr>
            </w:pPr>
            <w:r>
              <w:rPr>
                <w:rFonts w:ascii="Arial" w:cs="Arial" w:eastAsia="Arial" w:hAnsi="Arial"/>
                <w:sz w:val="18"/>
                <w:szCs w:val="18"/>
                <w:color w:val="auto"/>
              </w:rPr>
              <w:t>05-20-2019</w:t>
            </w: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16000.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175"/>
        </w:trPr>
        <w:tc>
          <w:tcPr>
            <w:tcW w:w="980" w:type="dxa"/>
            <w:vAlign w:val="bottom"/>
            <w:tcBorders>
              <w:left w:val="single" w:sz="8" w:color="auto"/>
            </w:tcBorders>
            <w:gridSpan w:val="3"/>
          </w:tcPr>
          <w:p>
            <w:pPr>
              <w:jc w:val="right"/>
              <w:spacing w:after="0" w:line="175" w:lineRule="exact"/>
              <w:rPr>
                <w:sz w:val="20"/>
                <w:szCs w:val="20"/>
                <w:color w:val="auto"/>
              </w:rPr>
            </w:pPr>
            <w:r>
              <w:rPr>
                <w:rFonts w:ascii="Arial" w:cs="Arial" w:eastAsia="Arial" w:hAnsi="Arial"/>
                <w:sz w:val="18"/>
                <w:szCs w:val="18"/>
                <w:color w:val="auto"/>
              </w:rPr>
              <w:t>11-20-2019</w:t>
            </w:r>
          </w:p>
        </w:tc>
        <w:tc>
          <w:tcPr>
            <w:tcW w:w="4760" w:type="dxa"/>
            <w:vAlign w:val="bottom"/>
            <w:tcBorders>
              <w:right w:val="single" w:sz="8" w:color="auto"/>
            </w:tcBorders>
          </w:tcPr>
          <w:p>
            <w:pPr>
              <w:spacing w:after="0"/>
              <w:rPr>
                <w:sz w:val="15"/>
                <w:szCs w:val="15"/>
                <w:color w:val="auto"/>
              </w:rPr>
            </w:pP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64000.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175"/>
        </w:trPr>
        <w:tc>
          <w:tcPr>
            <w:tcW w:w="5740" w:type="dxa"/>
            <w:vAlign w:val="bottom"/>
            <w:tcBorders>
              <w:left w:val="single" w:sz="8" w:color="auto"/>
              <w:right w:val="single" w:sz="8" w:color="auto"/>
            </w:tcBorders>
            <w:gridSpan w:val="4"/>
          </w:tcPr>
          <w:p>
            <w:pPr>
              <w:jc w:val="right"/>
              <w:ind w:right="4671"/>
              <w:spacing w:after="0" w:line="175" w:lineRule="exact"/>
              <w:rPr>
                <w:sz w:val="20"/>
                <w:szCs w:val="20"/>
                <w:color w:val="auto"/>
              </w:rPr>
            </w:pPr>
            <w:r>
              <w:rPr>
                <w:rFonts w:ascii="Arial" w:cs="Arial" w:eastAsia="Arial" w:hAnsi="Arial"/>
                <w:sz w:val="18"/>
                <w:szCs w:val="18"/>
                <w:color w:val="auto"/>
              </w:rPr>
              <w:t>05-20-2020</w:t>
            </w: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80000.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175"/>
        </w:trPr>
        <w:tc>
          <w:tcPr>
            <w:tcW w:w="980" w:type="dxa"/>
            <w:vAlign w:val="bottom"/>
            <w:tcBorders>
              <w:left w:val="single" w:sz="8" w:color="auto"/>
            </w:tcBorders>
            <w:gridSpan w:val="3"/>
          </w:tcPr>
          <w:p>
            <w:pPr>
              <w:jc w:val="right"/>
              <w:spacing w:after="0" w:line="175" w:lineRule="exact"/>
              <w:rPr>
                <w:sz w:val="20"/>
                <w:szCs w:val="20"/>
                <w:color w:val="auto"/>
              </w:rPr>
            </w:pPr>
            <w:r>
              <w:rPr>
                <w:rFonts w:ascii="Arial" w:cs="Arial" w:eastAsia="Arial" w:hAnsi="Arial"/>
                <w:sz w:val="18"/>
                <w:szCs w:val="18"/>
                <w:color w:val="auto"/>
              </w:rPr>
              <w:t>11-20-2020</w:t>
            </w:r>
          </w:p>
        </w:tc>
        <w:tc>
          <w:tcPr>
            <w:tcW w:w="4760" w:type="dxa"/>
            <w:vAlign w:val="bottom"/>
            <w:tcBorders>
              <w:right w:val="single" w:sz="8" w:color="auto"/>
            </w:tcBorders>
          </w:tcPr>
          <w:p>
            <w:pPr>
              <w:spacing w:after="0"/>
              <w:rPr>
                <w:sz w:val="15"/>
                <w:szCs w:val="15"/>
                <w:color w:val="auto"/>
              </w:rPr>
            </w:pP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160000.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175"/>
        </w:trPr>
        <w:tc>
          <w:tcPr>
            <w:tcW w:w="5740" w:type="dxa"/>
            <w:vAlign w:val="bottom"/>
            <w:tcBorders>
              <w:left w:val="single" w:sz="8" w:color="auto"/>
              <w:right w:val="single" w:sz="8" w:color="auto"/>
            </w:tcBorders>
            <w:gridSpan w:val="4"/>
          </w:tcPr>
          <w:p>
            <w:pPr>
              <w:jc w:val="right"/>
              <w:ind w:right="4671"/>
              <w:spacing w:after="0" w:line="175" w:lineRule="exact"/>
              <w:rPr>
                <w:sz w:val="20"/>
                <w:szCs w:val="20"/>
                <w:color w:val="auto"/>
              </w:rPr>
            </w:pPr>
            <w:r>
              <w:rPr>
                <w:rFonts w:ascii="Arial" w:cs="Arial" w:eastAsia="Arial" w:hAnsi="Arial"/>
                <w:sz w:val="18"/>
                <w:szCs w:val="18"/>
                <w:color w:val="auto"/>
              </w:rPr>
              <w:t>05-20-2021</w:t>
            </w: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160000.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175"/>
        </w:trPr>
        <w:tc>
          <w:tcPr>
            <w:tcW w:w="980" w:type="dxa"/>
            <w:vAlign w:val="bottom"/>
            <w:tcBorders>
              <w:left w:val="single" w:sz="8" w:color="auto"/>
            </w:tcBorders>
            <w:gridSpan w:val="3"/>
          </w:tcPr>
          <w:p>
            <w:pPr>
              <w:jc w:val="right"/>
              <w:spacing w:after="0" w:line="175" w:lineRule="exact"/>
              <w:rPr>
                <w:sz w:val="20"/>
                <w:szCs w:val="20"/>
                <w:color w:val="auto"/>
              </w:rPr>
            </w:pPr>
            <w:r>
              <w:rPr>
                <w:rFonts w:ascii="Arial" w:cs="Arial" w:eastAsia="Arial" w:hAnsi="Arial"/>
                <w:sz w:val="18"/>
                <w:szCs w:val="18"/>
                <w:color w:val="auto"/>
              </w:rPr>
              <w:t>11-05-2021</w:t>
            </w:r>
          </w:p>
        </w:tc>
        <w:tc>
          <w:tcPr>
            <w:tcW w:w="4760" w:type="dxa"/>
            <w:vAlign w:val="bottom"/>
            <w:tcBorders>
              <w:right w:val="single" w:sz="8" w:color="auto"/>
            </w:tcBorders>
          </w:tcPr>
          <w:p>
            <w:pPr>
              <w:spacing w:after="0"/>
              <w:rPr>
                <w:sz w:val="15"/>
                <w:szCs w:val="15"/>
                <w:color w:val="auto"/>
              </w:rPr>
            </w:pPr>
          </w:p>
        </w:tc>
        <w:tc>
          <w:tcPr>
            <w:tcW w:w="5680" w:type="dxa"/>
            <w:vAlign w:val="bottom"/>
            <w:tcBorders>
              <w:right w:val="single" w:sz="8" w:color="auto"/>
            </w:tcBorders>
            <w:gridSpan w:val="5"/>
          </w:tcPr>
          <w:p>
            <w:pPr>
              <w:ind w:left="100"/>
              <w:spacing w:after="0" w:line="175" w:lineRule="exact"/>
              <w:rPr>
                <w:sz w:val="20"/>
                <w:szCs w:val="20"/>
                <w:color w:val="auto"/>
              </w:rPr>
            </w:pPr>
            <w:r>
              <w:rPr>
                <w:rFonts w:ascii="Arial" w:cs="Arial" w:eastAsia="Arial" w:hAnsi="Arial"/>
                <w:sz w:val="18"/>
                <w:szCs w:val="18"/>
                <w:color w:val="auto"/>
              </w:rPr>
              <w:t>1120000.</w:t>
            </w:r>
            <w:r>
              <w:rPr>
                <w:rFonts w:ascii="Arial" w:cs="Arial" w:eastAsia="Arial" w:hAnsi="Arial"/>
                <w:sz w:val="18"/>
                <w:szCs w:val="18"/>
                <w:u w:val="single" w:color="auto"/>
                <w:color w:val="auto"/>
              </w:rPr>
              <w:t>00</w:t>
            </w:r>
            <w:r>
              <w:rPr>
                <w:rFonts w:ascii="Arial" w:cs="Arial" w:eastAsia="Arial" w:hAnsi="Arial"/>
                <w:sz w:val="18"/>
                <w:szCs w:val="18"/>
                <w:color w:val="auto"/>
              </w:rPr>
              <w:t xml:space="preserve"> yuan</w:t>
            </w:r>
          </w:p>
        </w:tc>
      </w:tr>
      <w:tr>
        <w:trPr>
          <w:trHeight w:val="27"/>
        </w:trPr>
        <w:tc>
          <w:tcPr>
            <w:tcW w:w="140" w:type="dxa"/>
            <w:vAlign w:val="bottom"/>
            <w:tcBorders>
              <w:left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p>
      <w:pPr>
        <w:jc w:val="both"/>
        <w:ind w:firstLine="322"/>
        <w:spacing w:after="0" w:line="310" w:lineRule="auto"/>
        <w:rPr>
          <w:sz w:val="20"/>
          <w:szCs w:val="20"/>
          <w:color w:val="auto"/>
        </w:rPr>
      </w:pPr>
      <w:r>
        <w:rPr>
          <w:rFonts w:ascii="Arial" w:cs="Arial" w:eastAsia="Arial" w:hAnsi="Arial"/>
          <w:sz w:val="17"/>
          <w:szCs w:val="17"/>
          <w:b w:val="1"/>
          <w:bCs w:val="1"/>
          <w:color w:val="auto"/>
        </w:rPr>
        <w:t>5.2 For lending under the Contract under the following circumstances, the Borrower shall not be required to pay the early repayment penalty in case the loan is returned immediately after the corresponding funds are in place, thus resulting in early repayment:</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9" w:lineRule="exact"/>
        <w:rPr>
          <w:sz w:val="20"/>
          <w:szCs w:val="20"/>
          <w:color w:val="auto"/>
        </w:rPr>
      </w:pPr>
    </w:p>
    <w:p>
      <w:pPr>
        <w:jc w:val="both"/>
        <w:ind w:firstLine="322"/>
        <w:spacing w:after="0" w:line="287" w:lineRule="auto"/>
        <w:rPr>
          <w:sz w:val="20"/>
          <w:szCs w:val="20"/>
          <w:color w:val="auto"/>
        </w:rPr>
      </w:pPr>
      <w:r>
        <w:rPr>
          <w:rFonts w:ascii="Arial" w:cs="Arial" w:eastAsia="Arial" w:hAnsi="Arial"/>
          <w:sz w:val="17"/>
          <w:szCs w:val="17"/>
          <w:b w:val="1"/>
          <w:bCs w:val="1"/>
          <w:color w:val="auto"/>
        </w:rPr>
        <w:t xml:space="preserve">5.3 Apart from the circumstances stipulated in Article 5.2, should loans be repaid early, the Borrower shall pay an early repayment penalty to the Lender, with the early repayment penalty calculated according to the following criteria: early repayment amount × remaining lending term (months) × </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 if the remaining lending term is less than one month, the period shall be calculated as one month.</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Article 6 Special Agreements on Revolving Loans </w:t>
      </w:r>
      <w:r>
        <w:rPr>
          <w:rFonts w:ascii="Arial" w:cs="Arial" w:eastAsia="Arial" w:hAnsi="Arial"/>
          <w:sz w:val="18"/>
          <w:szCs w:val="18"/>
          <w:color w:val="auto"/>
        </w:rPr>
        <w:t>(Optional clause; this Article □ is applicable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is not applicable</w:t>
      </w:r>
      <w:r>
        <w:rPr>
          <w:rFonts w:ascii="Arial" w:cs="Arial" w:eastAsia="Arial" w:hAnsi="Arial"/>
          <w:sz w:val="18"/>
          <w:szCs w:val="18"/>
          <w:color w:val="auto"/>
        </w:rPr>
        <w:t>)</w:t>
      </w:r>
    </w:p>
    <w:p>
      <w:pPr>
        <w:spacing w:after="0" w:line="223" w:lineRule="exact"/>
        <w:rPr>
          <w:sz w:val="20"/>
          <w:szCs w:val="20"/>
          <w:color w:val="auto"/>
        </w:rPr>
      </w:pPr>
    </w:p>
    <w:p>
      <w:pPr>
        <w:jc w:val="both"/>
        <w:ind w:firstLine="322"/>
        <w:spacing w:after="0" w:line="310"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Loans under the Contract may be used on a revolving basis, and the lending amount and lending periods in Article 2 above shall be the revolving loan</w:t>
      </w:r>
      <w:r>
        <w:rPr>
          <w:rFonts w:ascii="Arial" w:cs="Arial" w:eastAsia="Arial" w:hAnsi="Arial"/>
          <w:sz w:val="17"/>
          <w:szCs w:val="17"/>
          <w:b w:val="1"/>
          <w:bCs w:val="1"/>
          <w:color w:val="auto"/>
        </w:rPr>
        <w:t xml:space="preserve"> </w:t>
      </w:r>
      <w:r>
        <w:rPr>
          <w:rFonts w:ascii="Arial" w:cs="Arial" w:eastAsia="Arial" w:hAnsi="Arial"/>
          <w:sz w:val="17"/>
          <w:szCs w:val="17"/>
          <w:color w:val="auto"/>
        </w:rPr>
        <w:t>credit line and revolving loan credit term, wherein the revolving loan credit term is calculated from the effective date of the Contract.</w:t>
      </w:r>
    </w:p>
    <w:p>
      <w:pPr>
        <w:spacing w:after="0" w:line="140"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color w:val="auto"/>
        </w:rPr>
        <w:t>RMB revolving loans are determined using the benchmark lending rate published by the People’s Bank of China plus the floating range,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benchmark lending rate is determined based on the benchmark lending rate of the People’s Bank of China that corresponds to the grade of each lending term.</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Article 7 Guarantees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loan guarantee under the Contract is the maximum guarantee, and the corresponding maximum guarantee contract is as follows ____/____(1/2/3,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select as many as applicable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5"/>
          </w:tcPr>
          <w:p>
            <w:pPr>
              <w:ind w:left="320"/>
              <w:spacing w:after="0"/>
              <w:rPr>
                <w:sz w:val="20"/>
                <w:szCs w:val="20"/>
                <w:color w:val="auto"/>
              </w:rPr>
            </w:pPr>
            <w:r>
              <w:rPr>
                <w:rFonts w:ascii="Arial" w:cs="Arial" w:eastAsia="Arial" w:hAnsi="Arial"/>
                <w:sz w:val="18"/>
                <w:szCs w:val="18"/>
                <w:color w:val="auto"/>
                <w:w w:val="96"/>
              </w:rPr>
              <w:t>(1) Maximum Guarantee Contract Name: / (No.: / )</w:t>
            </w:r>
          </w:p>
        </w:tc>
        <w:tc>
          <w:tcPr>
            <w:tcW w:w="7200" w:type="dxa"/>
            <w:vAlign w:val="bottom"/>
          </w:tcPr>
          <w:p>
            <w:pPr>
              <w:spacing w:after="0"/>
              <w:rPr>
                <w:sz w:val="18"/>
                <w:szCs w:val="18"/>
                <w:color w:val="auto"/>
              </w:rPr>
            </w:pPr>
          </w:p>
        </w:tc>
      </w:tr>
      <w:tr>
        <w:trPr>
          <w:trHeight w:val="625"/>
        </w:trPr>
        <w:tc>
          <w:tcPr>
            <w:tcW w:w="3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Contract Main Body Page 5 of 17</w:t>
            </w:r>
          </w:p>
        </w:tc>
      </w:tr>
      <w:tr>
        <w:trPr>
          <w:trHeight w:val="415"/>
        </w:trPr>
        <w:tc>
          <w:tcPr>
            <w:tcW w:w="4220" w:type="dxa"/>
            <w:vAlign w:val="bottom"/>
            <w:gridSpan w:val="5"/>
          </w:tcPr>
          <w:p>
            <w:pPr>
              <w:spacing w:after="0"/>
              <w:rPr>
                <w:sz w:val="20"/>
                <w:szCs w:val="20"/>
                <w:color w:val="auto"/>
              </w:rPr>
            </w:pPr>
            <w:r>
              <w:rPr>
                <w:rFonts w:ascii="Arial" w:cs="Arial" w:eastAsia="Arial" w:hAnsi="Arial"/>
                <w:sz w:val="18"/>
                <w:szCs w:val="18"/>
                <w:color w:val="auto"/>
              </w:rPr>
              <w:t>Contract Serial #201811220410001245216760</w:t>
            </w:r>
          </w:p>
        </w:tc>
        <w:tc>
          <w:tcPr>
            <w:tcW w:w="7200" w:type="dxa"/>
            <w:vAlign w:val="bottom"/>
          </w:tcPr>
          <w:p>
            <w:pPr>
              <w:ind w:left="24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4220" w:type="dxa"/>
            <w:vAlign w:val="bottom"/>
            <w:gridSpan w:val="5"/>
          </w:tcPr>
          <w:p>
            <w:pPr>
              <w:spacing w:after="0"/>
              <w:rPr>
                <w:sz w:val="20"/>
                <w:szCs w:val="20"/>
                <w:color w:val="auto"/>
              </w:rPr>
            </w:pPr>
            <w:r>
              <w:rPr>
                <w:rFonts w:ascii="Arial" w:cs="Arial" w:eastAsia="Arial" w:hAnsi="Arial"/>
                <w:sz w:val="18"/>
                <w:szCs w:val="18"/>
                <w:color w:val="auto"/>
              </w:rPr>
              <w:t>Document 1 of 2</w:t>
            </w:r>
          </w:p>
        </w:tc>
        <w:tc>
          <w:tcPr>
            <w:tcW w:w="7200" w:type="dxa"/>
            <w:vAlign w:val="bottom"/>
          </w:tcPr>
          <w:p>
            <w:pPr>
              <w:ind w:left="2440"/>
              <w:spacing w:after="0"/>
              <w:rPr>
                <w:sz w:val="20"/>
                <w:szCs w:val="20"/>
                <w:color w:val="auto"/>
              </w:rPr>
            </w:pPr>
            <w:r>
              <w:rPr>
                <w:rFonts w:ascii="Arial" w:cs="Arial" w:eastAsia="Arial" w:hAnsi="Arial"/>
                <w:sz w:val="18"/>
                <w:szCs w:val="18"/>
                <w:color w:val="auto"/>
              </w:rPr>
              <w:t>contract contents [QR Code]</w:t>
            </w:r>
          </w:p>
        </w:tc>
      </w:tr>
      <w:tr>
        <w:trPr>
          <w:trHeight w:val="60"/>
        </w:trPr>
        <w:tc>
          <w:tcPr>
            <w:tcW w:w="3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2" w:right="239" w:bottom="1440" w:gutter="0" w:footer="0" w:header="0"/>
        </w:sectPr>
      </w:pPr>
    </w:p>
    <w:bookmarkStart w:id="268" w:name="page269"/>
    <w:bookmarkEnd w:id="268"/>
    <w:p>
      <w:pPr>
        <w:ind w:left="320"/>
        <w:spacing w:after="0"/>
        <w:rPr>
          <w:sz w:val="20"/>
          <w:szCs w:val="20"/>
          <w:color w:val="auto"/>
        </w:rPr>
      </w:pPr>
      <w:r>
        <w:rPr>
          <w:rFonts w:ascii="Arial" w:cs="Arial" w:eastAsia="Arial" w:hAnsi="Arial"/>
          <w:sz w:val="18"/>
          <w:szCs w:val="18"/>
          <w:color w:val="auto"/>
        </w:rPr>
        <w:t>Guarantor: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701675</wp:posOffset>
            </wp:positionH>
            <wp:positionV relativeFrom="paragraph">
              <wp:posOffset>-10795</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ind w:left="320" w:right="7460" w:firstLine="10"/>
        <w:spacing w:after="0" w:line="498" w:lineRule="auto"/>
        <w:tabs>
          <w:tab w:leader="none" w:pos="57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Maximum Mortgage Contract Name: / (No.: / ) Mortgager: /</w:t>
      </w:r>
    </w:p>
    <w:p>
      <w:pPr>
        <w:ind w:left="320" w:right="7660" w:firstLine="10"/>
        <w:spacing w:after="0" w:line="511" w:lineRule="auto"/>
        <w:tabs>
          <w:tab w:leader="none" w:pos="57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Maximum Pledge Contract Name: / (No.: / ) Pledger: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-984885</wp:posOffset>
            </wp:positionV>
            <wp:extent cx="882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-984885</wp:posOffset>
            </wp:positionV>
            <wp:extent cx="882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-711835</wp:posOffset>
            </wp:positionV>
            <wp:extent cx="596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-439420</wp:posOffset>
            </wp:positionV>
            <wp:extent cx="882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-439420</wp:posOffset>
            </wp:positionV>
            <wp:extent cx="882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-166370</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b w:val="1"/>
          <w:bCs w:val="1"/>
          <w:color w:val="auto"/>
        </w:rPr>
        <w:t xml:space="preserve">Article 8 Financial Agreement </w:t>
      </w:r>
      <w:r>
        <w:rPr>
          <w:rFonts w:ascii="Arial" w:cs="Arial" w:eastAsia="Arial" w:hAnsi="Arial"/>
          <w:sz w:val="18"/>
          <w:szCs w:val="18"/>
          <w:color w:val="auto"/>
        </w:rPr>
        <w:t>(Optional clause; this Article □ is applicable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is not applicable</w:t>
      </w:r>
      <w:r>
        <w:rPr>
          <w:rFonts w:ascii="Arial" w:cs="Arial" w:eastAsia="Arial" w:hAnsi="Arial"/>
          <w:sz w:val="18"/>
          <w:szCs w:val="18"/>
          <w:color w:val="auto"/>
        </w:rPr>
        <w:t>)</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duration of the Contract, the Borrower shall be subject to the following financial metrics: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596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9 Dispute Resolution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The dispute resolution method under the Contract is </w:t>
      </w:r>
      <w:r>
        <w:rPr>
          <w:rFonts w:ascii="Arial" w:cs="Arial" w:eastAsia="Arial" w:hAnsi="Arial"/>
          <w:sz w:val="18"/>
          <w:szCs w:val="18"/>
          <w:b w:val="1"/>
          <w:bCs w:val="1"/>
          <w:u w:val="single" w:color="auto"/>
          <w:color w:val="auto"/>
        </w:rPr>
        <w:t>(1)</w:t>
      </w:r>
      <w:r>
        <w:rPr>
          <w:rFonts w:ascii="Arial" w:cs="Arial" w:eastAsia="Arial" w:hAnsi="Arial"/>
          <w:sz w:val="18"/>
          <w:szCs w:val="18"/>
          <w:b w:val="1"/>
          <w:bCs w:val="1"/>
          <w:color w:val="auto"/>
        </w:rPr>
        <w:t xml:space="preserve">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-8255</wp:posOffset>
            </wp:positionV>
            <wp:extent cx="285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3" w:lineRule="exact"/>
        <w:rPr>
          <w:sz w:val="20"/>
          <w:szCs w:val="20"/>
          <w:color w:val="auto"/>
        </w:rPr>
      </w:pPr>
    </w:p>
    <w:p>
      <w:pPr>
        <w:ind w:firstLine="330"/>
        <w:spacing w:after="0" w:line="310" w:lineRule="auto"/>
        <w:tabs>
          <w:tab w:leader="none" w:pos="599"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dispute shall be submitted to the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Arbitration Commission, subject to the arbitration rules effective at the time in which the application for arbitration is submitted for arbitration in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(arbitral place). The arbitral award is final and binding upon the parties.</w:t>
      </w:r>
    </w:p>
    <w:p>
      <w:pPr>
        <w:spacing w:after="0" w:line="139" w:lineRule="exact"/>
        <w:rPr>
          <w:rFonts w:ascii="Arial" w:cs="Arial" w:eastAsia="Arial" w:hAnsi="Arial"/>
          <w:sz w:val="17"/>
          <w:szCs w:val="17"/>
          <w:b w:val="1"/>
          <w:bCs w:val="1"/>
          <w:color w:val="auto"/>
        </w:rPr>
      </w:pPr>
    </w:p>
    <w:p>
      <w:pPr>
        <w:ind w:left="580" w:hanging="250"/>
        <w:spacing w:after="0"/>
        <w:tabs>
          <w:tab w:leader="none" w:pos="5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The dispute shall be resolved through litigation in the court of the Lender’s location.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10 Miscellaneous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Contract is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duplicates</w:t>
      </w:r>
      <w:r>
        <w:rPr>
          <w:rFonts w:ascii="Arial" w:cs="Arial" w:eastAsia="Arial" w:hAnsi="Arial"/>
          <w:sz w:val="18"/>
          <w:szCs w:val="18"/>
          <w:color w:val="auto"/>
        </w:rPr>
        <w:t>, with the Borrower, Lender, and , / , each holding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one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each of equal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-8255</wp:posOffset>
            </wp:positionV>
            <wp:extent cx="882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88265" cy="8255"/>
                    </a:xfrm>
                    <a:prstGeom prst="rect">
                      <a:avLst/>
                    </a:prstGeom>
                    <a:noFill/>
                  </pic:spPr>
                </pic:pic>
              </a:graphicData>
            </a:graphic>
          </wp:anchor>
        </w:drawing>
      </w:r>
    </w:p>
    <w:p>
      <w:pPr>
        <w:spacing w:after="0" w:line="20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following attachments and other attachments mutually agreed upon by the parties shall constitute an integral part of the Contract and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legal effect as the Contract: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1: Withdrawal Notice (Format)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2: Entrusted Payment Agreement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Attachment 3: </w:t>
      </w:r>
      <w:r>
        <w:rPr>
          <w:rFonts w:ascii="Arial" w:cs="Arial" w:eastAsia="Arial" w:hAnsi="Arial"/>
          <w:sz w:val="18"/>
          <w:szCs w:val="18"/>
          <w:u w:val="single" w:color="auto"/>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Other Matters of Agreement</w:t>
      </w:r>
    </w:p>
    <w:p>
      <w:pPr>
        <w:spacing w:after="0" w:line="227" w:lineRule="exact"/>
        <w:rPr>
          <w:sz w:val="20"/>
          <w:szCs w:val="20"/>
          <w:color w:val="auto"/>
        </w:rPr>
      </w:pPr>
    </w:p>
    <w:p>
      <w:pPr>
        <w:jc w:val="both"/>
        <w:ind w:firstLine="322"/>
        <w:spacing w:after="0" w:line="262" w:lineRule="auto"/>
        <w:rPr>
          <w:sz w:val="20"/>
          <w:szCs w:val="20"/>
          <w:color w:val="auto"/>
        </w:rPr>
      </w:pPr>
      <w:r>
        <w:rPr>
          <w:rFonts w:ascii="Arial" w:cs="Arial" w:eastAsia="Arial" w:hAnsi="Arial"/>
          <w:sz w:val="18"/>
          <w:szCs w:val="18"/>
          <w:u w:val="single" w:color="auto"/>
          <w:color w:val="auto"/>
        </w:rPr>
        <w:t>11.1 The arbitral ruling is final and binding on both parties. The parties agree that the arbitration shall be conducted after the arbitration has been filed; the relevant legal documents (including the arbitration documents) shall be deemed to have been served on the day following mailing to the mailing addresses of the parties as recorded in the Contract.</w:t>
      </w:r>
    </w:p>
    <w:p>
      <w:pPr>
        <w:spacing w:after="0" w:line="181" w:lineRule="exact"/>
        <w:rPr>
          <w:sz w:val="20"/>
          <w:szCs w:val="20"/>
          <w:color w:val="auto"/>
        </w:rPr>
      </w:pPr>
    </w:p>
    <w:p>
      <w:pPr>
        <w:jc w:val="both"/>
        <w:ind w:firstLine="322"/>
        <w:spacing w:after="0" w:line="309" w:lineRule="auto"/>
        <w:rPr>
          <w:sz w:val="20"/>
          <w:szCs w:val="20"/>
          <w:color w:val="auto"/>
        </w:rPr>
      </w:pPr>
      <w:r>
        <w:rPr>
          <w:rFonts w:ascii="Arial" w:cs="Arial" w:eastAsia="Arial" w:hAnsi="Arial"/>
          <w:sz w:val="16"/>
          <w:szCs w:val="16"/>
          <w:u w:val="single" w:color="auto"/>
          <w:color w:val="auto"/>
        </w:rPr>
        <w:t>11.2 The Borrower shall disclose related party relationships and related party transactions to the Lender in a timely, comprehensive, and accurate manner; the total amount of financing that the Borrower applies to the Lender for shall not exceed the actual funding needs of Party B. Should the Borrower violate any of the stipulations in the two foregoing paragraphs, the Lender is entitled to take the breach of contract remedy measures as stipulated in this agreement.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6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69" w:name="page270"/>
    <w:bookmarkEnd w:id="269"/>
    <w:p>
      <w:pPr>
        <w:jc w:val="both"/>
        <w:ind w:firstLine="322"/>
        <w:spacing w:after="0" w:line="275" w:lineRule="auto"/>
        <w:rPr>
          <w:sz w:val="20"/>
          <w:szCs w:val="20"/>
          <w:color w:val="auto"/>
        </w:rPr>
      </w:pPr>
      <w:r>
        <w:rPr>
          <w:rFonts w:ascii="Arial" w:cs="Arial" w:eastAsia="Arial" w:hAnsi="Arial"/>
          <w:sz w:val="18"/>
          <w:szCs w:val="18"/>
          <w:u w:val="single" w:color="auto"/>
          <w:color w:val="auto"/>
        </w:rPr>
        <w:t>11.3 Without the consent of the Lender, the Borrower shall not provide any guarantees or warranties to others or be deemed as in breach of contract, wherein the Lender is entitled to withdraw financing in advance.</w:t>
      </w:r>
    </w:p>
    <w:p>
      <w:pPr>
        <w:spacing w:after="0" w:line="170"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8"/>
          <w:szCs w:val="18"/>
          <w:u w:val="single" w:color="auto"/>
          <w:color w:val="auto"/>
        </w:rPr>
        <w:t>11.4 Without the written consent of the Lender, the Borrower shall not set up mortgages (pledges) on or provide guarantees or warranties for assets that it effectively operates.</w:t>
      </w:r>
    </w:p>
    <w:p>
      <w:pPr>
        <w:spacing w:after="0" w:line="170"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8"/>
          <w:szCs w:val="18"/>
          <w:u w:val="single" w:color="auto"/>
          <w:color w:val="auto"/>
        </w:rPr>
        <w:t>11.5 The Borrower shall regularly submit reports to the Lender on external guarantees and promise that such information on external guarantee amounts is complete, true, and accurate.</w:t>
      </w:r>
    </w:p>
    <w:p>
      <w:pPr>
        <w:spacing w:after="0" w:line="170" w:lineRule="exact"/>
        <w:rPr>
          <w:sz w:val="20"/>
          <w:szCs w:val="20"/>
          <w:color w:val="auto"/>
        </w:rPr>
      </w:pPr>
    </w:p>
    <w:p>
      <w:pPr>
        <w:jc w:val="both"/>
        <w:ind w:firstLine="322"/>
        <w:spacing w:after="0" w:line="262" w:lineRule="auto"/>
        <w:rPr>
          <w:sz w:val="20"/>
          <w:szCs w:val="20"/>
          <w:color w:val="auto"/>
        </w:rPr>
      </w:pPr>
      <w:r>
        <w:rPr>
          <w:rFonts w:ascii="Arial" w:cs="Arial" w:eastAsia="Arial" w:hAnsi="Arial"/>
          <w:sz w:val="18"/>
          <w:szCs w:val="18"/>
          <w:u w:val="single" w:color="auto"/>
          <w:color w:val="auto"/>
        </w:rPr>
        <w:t>11.6 When the Borrower’s financial metrics during the existence of lending are inferior to those previously agreed to by the Lender (if any), the Lender is entitled to declare that the loan expire in advance, to suspend the issuance of unissued funds, to require that the Borrower repay some or all of the loans already issued, or to require that the Borrower provide a legal and valid guarantee as recognized by the Lender.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Specific Stipulations</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Article 1 Interest Rate and Interest</w:t>
      </w:r>
    </w:p>
    <w:p>
      <w:pPr>
        <w:spacing w:after="0" w:line="223" w:lineRule="exact"/>
        <w:rPr>
          <w:sz w:val="20"/>
          <w:szCs w:val="20"/>
          <w:color w:val="auto"/>
        </w:rPr>
      </w:pPr>
    </w:p>
    <w:p>
      <w:pPr>
        <w:ind w:right="260" w:firstLine="322"/>
        <w:spacing w:after="0" w:line="301"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For foreign currency borrowing, LIBOR is the interbank interest rate for the lending currency under the Contract displayed on the Reuters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terminal “LIBO=“ page two banking days (11: 00 am London time) prior to the withdrawal date or benchmark interest rate adjustment date; HIBOR is the interbank interest rate for the lending currency under the Contract displayed on the Reuters financial telecommunications terminal “HIBO=“ page two banking days (11: 15 am Hong Kong time) prior to the withdrawal date or benchmark interest rate adjustment date.</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Should a floating interest rate be used for loans under the Contract, the original interest rate shall still be used for interest on overdue loans.</w:t>
      </w:r>
    </w:p>
    <w:p>
      <w:pPr>
        <w:spacing w:after="0" w:line="234"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Should loan interest be settled on a monthly basis, the settlement date shall be the 20th of each month; should interest be settled quarterly, the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date shall be the 20th day of the last month of each quarter; should interest be settled semi-annually, the settlement date shall be June 20 or December 20 of each year.</w:t>
      </w:r>
    </w:p>
    <w:p>
      <w:pPr>
        <w:spacing w:after="0" w:line="176"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The first interest-bearing period shall be from the actual date of withdrawal to the first settlement date; the last interest-bearing period shall be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after the end of the previous interest-bearing period to the final payment date; all other interest-bearing periods shall be from the date after the end of the previous interest-bearing period to the next settlement date.</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1.5 Loan Interest = Loan Principal × Daily Interest Rate × Actual Days of Use. Should the equal principal and interest repayment method be adopted, the formula for calculating the principal and interest shall be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Total Principal and Interest Per Period =</w:t>
            </w:r>
          </w:p>
        </w:tc>
        <w:tc>
          <w:tcPr>
            <w:tcW w:w="3700" w:type="dxa"/>
            <w:vAlign w:val="bottom"/>
            <w:vMerge w:val="restart"/>
          </w:tcPr>
          <w:p>
            <w:pPr>
              <w:spacing w:after="0"/>
              <w:rPr>
                <w:sz w:val="20"/>
                <w:szCs w:val="20"/>
                <w:color w:val="auto"/>
              </w:rPr>
            </w:pPr>
            <w:r>
              <w:rPr>
                <w:rFonts w:ascii="Arial" w:cs="Arial" w:eastAsia="Arial" w:hAnsi="Arial"/>
                <w:sz w:val="18"/>
                <w:szCs w:val="18"/>
                <w:color w:val="auto"/>
                <w:w w:val="93"/>
              </w:rPr>
              <w:t>Loan Principle x Period Profit x (1 + Period Profit)</w:t>
            </w:r>
          </w:p>
        </w:tc>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Number of Repayment Installments</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00" w:type="dxa"/>
            <w:vAlign w:val="bottom"/>
            <w:vMerge w:val="continue"/>
          </w:tcPr>
          <w:p>
            <w:pPr>
              <w:spacing w:after="0" w:line="20" w:lineRule="exact"/>
              <w:rPr>
                <w:sz w:val="1"/>
                <w:szCs w:val="1"/>
                <w:color w:val="auto"/>
              </w:rPr>
            </w:pPr>
          </w:p>
        </w:tc>
        <w:tc>
          <w:tcPr>
            <w:tcW w:w="3700" w:type="dxa"/>
            <w:vAlign w:val="bottom"/>
            <w:tcBorders>
              <w:bottom w:val="single" w:sz="8" w:color="auto"/>
            </w:tcBorders>
            <w:vMerge w:val="continu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000" w:type="dxa"/>
            <w:vAlign w:val="bottom"/>
            <w:vMerge w:val="continue"/>
          </w:tcPr>
          <w:p>
            <w:pPr>
              <w:spacing w:after="0"/>
              <w:rPr>
                <w:sz w:val="11"/>
                <w:szCs w:val="11"/>
                <w:color w:val="auto"/>
              </w:rPr>
            </w:pPr>
          </w:p>
        </w:tc>
        <w:tc>
          <w:tcPr>
            <w:tcW w:w="5860" w:type="dxa"/>
            <w:vAlign w:val="bottom"/>
            <w:gridSpan w:val="3"/>
            <w:vMerge w:val="restart"/>
          </w:tcPr>
          <w:p>
            <w:pPr>
              <w:ind w:left="60"/>
              <w:spacing w:after="0"/>
              <w:rPr>
                <w:sz w:val="20"/>
                <w:szCs w:val="20"/>
                <w:color w:val="auto"/>
              </w:rPr>
            </w:pPr>
            <w:r>
              <w:rPr>
                <w:rFonts w:ascii="Arial" w:cs="Arial" w:eastAsia="Arial" w:hAnsi="Arial"/>
                <w:sz w:val="35"/>
                <w:szCs w:val="35"/>
                <w:color w:val="auto"/>
                <w:vertAlign w:val="subscript"/>
              </w:rPr>
              <w:t>(1 + Period Profit)</w:t>
            </w:r>
            <w:r>
              <w:rPr>
                <w:rFonts w:ascii="Arial" w:cs="Arial" w:eastAsia="Arial" w:hAnsi="Arial"/>
                <w:sz w:val="15"/>
                <w:szCs w:val="15"/>
                <w:color w:val="auto"/>
              </w:rPr>
              <w:t xml:space="preserve"> Number of Repayment Installments </w:t>
            </w:r>
            <w:r>
              <w:rPr>
                <w:rFonts w:ascii="Arial" w:cs="Arial" w:eastAsia="Arial" w:hAnsi="Arial"/>
                <w:sz w:val="35"/>
                <w:szCs w:val="35"/>
                <w:color w:val="auto"/>
                <w:vertAlign w:val="subscript"/>
              </w:rPr>
              <w:t>- 1</w:t>
            </w:r>
          </w:p>
        </w:tc>
        <w:tc>
          <w:tcPr>
            <w:tcW w:w="0" w:type="dxa"/>
            <w:vAlign w:val="bottom"/>
          </w:tcPr>
          <w:p>
            <w:pPr>
              <w:spacing w:after="0"/>
              <w:rPr>
                <w:sz w:val="1"/>
                <w:szCs w:val="1"/>
                <w:color w:val="auto"/>
              </w:rPr>
            </w:pPr>
          </w:p>
        </w:tc>
      </w:tr>
      <w:tr>
        <w:trPr>
          <w:trHeight w:val="334"/>
        </w:trPr>
        <w:tc>
          <w:tcPr>
            <w:tcW w:w="4000" w:type="dxa"/>
            <w:vAlign w:val="bottom"/>
          </w:tcPr>
          <w:p>
            <w:pPr>
              <w:spacing w:after="0"/>
              <w:rPr>
                <w:sz w:val="24"/>
                <w:szCs w:val="24"/>
                <w:color w:val="auto"/>
              </w:rPr>
            </w:pPr>
          </w:p>
        </w:tc>
        <w:tc>
          <w:tcPr>
            <w:tcW w:w="58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520" w:firstLine="322"/>
        <w:spacing w:after="0" w:line="340" w:lineRule="auto"/>
        <w:rPr>
          <w:sz w:val="20"/>
          <w:szCs w:val="20"/>
          <w:color w:val="auto"/>
        </w:rPr>
      </w:pPr>
      <w:r>
        <w:rPr>
          <w:rFonts w:ascii="Arial" w:cs="Arial" w:eastAsia="Arial" w:hAnsi="Arial"/>
          <w:sz w:val="16"/>
          <w:szCs w:val="16"/>
          <w:b w:val="1"/>
          <w:bCs w:val="1"/>
          <w:color w:val="auto"/>
        </w:rPr>
        <w:t>1.6 Should the People’s Bank of China adjust its measures for determining loan interest rates applicable to lending under the Contract, the relevant rules of the People’s Bank of China shall be adopted, and the Lender shall not provide separate notice thereof to the Borrower.</w:t>
      </w:r>
    </w:p>
    <w:p>
      <w:pPr>
        <w:spacing w:after="0" w:line="120" w:lineRule="exact"/>
        <w:rPr>
          <w:sz w:val="20"/>
          <w:szCs w:val="20"/>
          <w:color w:val="auto"/>
        </w:rPr>
      </w:pPr>
    </w:p>
    <w:p>
      <w:pPr>
        <w:ind w:firstLine="322"/>
        <w:spacing w:after="0" w:line="256" w:lineRule="auto"/>
        <w:rPr>
          <w:sz w:val="20"/>
          <w:szCs w:val="20"/>
          <w:color w:val="auto"/>
        </w:rPr>
      </w:pPr>
      <w:r>
        <w:rPr>
          <w:rFonts w:ascii="Arial" w:cs="Arial" w:eastAsia="Arial" w:hAnsi="Arial"/>
          <w:sz w:val="18"/>
          <w:szCs w:val="18"/>
          <w:b w:val="1"/>
          <w:bCs w:val="1"/>
          <w:color w:val="auto"/>
        </w:rPr>
        <w:t>1.7 The lending rate determined at the signing of the Contract may float downward to a certain degree from the relevant loan benchmark interest rate published by the People’s Bank of China or the loan prime rate (LPR) published by the National Interbank Funding Center. The Lender is entitled to re-evaluate the Borrower’s interest rate concessions each year and determine whether to cancel, in part or in full, the interest rate concessions granted to the Borrower, based on national policies, the Borrower’s credit standing, lending guarantee changes, and other such circumstances, and promptly notify the Borrower of such a cancellation.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7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70" w:name="page271"/>
    <w:bookmarkEnd w:id="270"/>
    <w:p>
      <w:pPr>
        <w:ind w:left="320"/>
        <w:spacing w:after="0"/>
        <w:rPr>
          <w:sz w:val="20"/>
          <w:szCs w:val="20"/>
          <w:color w:val="auto"/>
        </w:rPr>
      </w:pPr>
      <w:r>
        <w:rPr>
          <w:rFonts w:ascii="Arial" w:cs="Arial" w:eastAsia="Arial" w:hAnsi="Arial"/>
          <w:sz w:val="18"/>
          <w:szCs w:val="18"/>
          <w:b w:val="1"/>
          <w:bCs w:val="1"/>
          <w:color w:val="auto"/>
        </w:rPr>
        <w:t>Article 2 Loan Issuances and Payments</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Borrower must meet the following withdrawal preconditions in order to withdraw loans, otherwise the Lender is not obligated to issue any funds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Borrower, unless the Lender has agreed to such an issuance in advance:</w:t>
      </w:r>
    </w:p>
    <w:p>
      <w:pPr>
        <w:spacing w:after="0" w:line="167" w:lineRule="exact"/>
        <w:rPr>
          <w:sz w:val="20"/>
          <w:szCs w:val="20"/>
          <w:color w:val="auto"/>
        </w:rPr>
      </w:pPr>
    </w:p>
    <w:p>
      <w:pPr>
        <w:ind w:right="20" w:firstLine="330"/>
        <w:spacing w:after="0" w:line="275" w:lineRule="auto"/>
        <w:tabs>
          <w:tab w:leader="none" w:pos="60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Apart from credit loans, the Borrower has provided corresponding guarantees as required by the Lender and has completed relevant guarantee procedures;</w:t>
      </w:r>
    </w:p>
    <w:p>
      <w:pPr>
        <w:spacing w:after="0" w:line="170" w:lineRule="exact"/>
        <w:rPr>
          <w:rFonts w:ascii="Arial" w:cs="Arial" w:eastAsia="Arial" w:hAnsi="Arial"/>
          <w:sz w:val="18"/>
          <w:szCs w:val="18"/>
          <w:b w:val="1"/>
          <w:bCs w:val="1"/>
          <w:color w:val="auto"/>
        </w:rPr>
      </w:pPr>
    </w:p>
    <w:p>
      <w:pPr>
        <w:ind w:left="580" w:hanging="250"/>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There has been no breach of contract under the Contract or other contracts with the Lender;</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The proof of loan usage provided is consistent with the intended use.</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Other materials are submitted as required by the Lender.</w:t>
      </w:r>
    </w:p>
    <w:p>
      <w:pPr>
        <w:spacing w:after="0" w:line="219"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Written documents provided to the Lender by the Borrower at the time of withdrawal must be originals; if originals cannot be provided,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consent, photocopies affixed with the Borrower’s corporate seal may be provided.</w:t>
      </w:r>
    </w:p>
    <w:p>
      <w:pPr>
        <w:spacing w:after="0" w:line="16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The Borrower must provide the Lender with a withdrawal notice at least five banking days in advance of a withdrawal. Once the withdrawal notice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submitted, it cannot be revoked without the written consent of the Lender.</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Once the Borrower has met the withdrawal preconditions or the Lender has agreed to issuance in advance, the Lender shall transfer the loan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designated account, meaning that the Lender has issued the loan to the Borrower as stipulated under the Contract.</w:t>
      </w:r>
    </w:p>
    <w:p>
      <w:pPr>
        <w:spacing w:after="0" w:line="163" w:lineRule="exact"/>
        <w:rPr>
          <w:sz w:val="20"/>
          <w:szCs w:val="20"/>
          <w:color w:val="auto"/>
        </w:rPr>
      </w:pPr>
    </w:p>
    <w:p>
      <w:pPr>
        <w:jc w:val="both"/>
        <w:ind w:firstLine="322"/>
        <w:spacing w:after="0" w:line="301"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color w:val="auto"/>
        </w:rPr>
        <w:t>Pursuant to relevant regulatory requirements and the Lender’s administrative requirements, lending exceeding a certain amount or meeting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shall be made with a Lender’s entrusted payment, whereby the Lender pays the loan amount to payment objects that comply with the usage stipulated under the Contract based on the Borrower’s withdrawal application and payment entrustment. To this end, the Borrower shall enter into a separate entrusted payment agreement with the Lender as an attachment to the Contract and open or designate an account at the Lender for entrusted payments.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3 Repayments</w:t>
      </w:r>
    </w:p>
    <w:p>
      <w:pPr>
        <w:spacing w:after="0" w:line="223"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Borrower shall repay the principal, interest and other payables in full and on time as stipulated under the Contract. One banking day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date and each settlement date, the Borrower shall deposit enough in its repayment account opened at the Lender for the current interest, principal, and other payables, and the Lender is entitled to actively collect payment there from on the repayment date or settlement date, or ask that the Borrower comply with relevant transfer procedures. Should the amount in the repayment account be insufficient to pay all payables due, the Lender has the right to determine the order of payment.</w:t>
      </w:r>
    </w:p>
    <w:p>
      <w:pPr>
        <w:spacing w:after="0" w:line="185" w:lineRule="exact"/>
        <w:rPr>
          <w:sz w:val="20"/>
          <w:szCs w:val="20"/>
          <w:color w:val="auto"/>
        </w:rPr>
      </w:pPr>
    </w:p>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Should the Borrower apply to repay loans early, in part or in full, the Borrower shall submit a written application to the Lender 10 banking days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and pay the early repayment penalty to the Lender according to the standards stipulated under the Contract.</w:t>
      </w:r>
    </w:p>
    <w:p>
      <w:pPr>
        <w:spacing w:after="0" w:line="163"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Should the Lender agree to an early repayment, on the early repayment date, the Borrower shall also settle loan principal, interest, and other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due as of the early repayment date, as stipulated under the Contract.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3.4 The Lender is entitled to withdraw lending in advance based on the Borrower’s capital returns.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8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1" w:name="page272"/>
    <w:bookmarkEnd w:id="271"/>
    <w:p>
      <w:pPr>
        <w:ind w:right="100" w:firstLine="322"/>
        <w:spacing w:after="0" w:line="344" w:lineRule="auto"/>
        <w:rPr>
          <w:sz w:val="20"/>
          <w:szCs w:val="20"/>
          <w:color w:val="auto"/>
        </w:rPr>
      </w:pPr>
      <w:r>
        <w:rPr>
          <w:rFonts w:ascii="Arial" w:cs="Arial" w:eastAsia="Arial" w:hAnsi="Arial"/>
          <w:sz w:val="16"/>
          <w:szCs w:val="16"/>
          <w:b w:val="1"/>
          <w:bCs w:val="1"/>
          <w:color w:val="auto"/>
        </w:rPr>
        <w:t>3.5 Should the actual loan period be shortened because of the Borrower’s early repayment or because the Lender withdraws the loan in advance as stipulated under the Contract, the corresponding interest rate grade shall not be adjusted, and the original lending rate shall still be used.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4 Revolving Loans</w:t>
      </w:r>
    </w:p>
    <w:p>
      <w:pPr>
        <w:spacing w:after="0" w:line="223" w:lineRule="exact"/>
        <w:rPr>
          <w:sz w:val="20"/>
          <w:szCs w:val="20"/>
          <w:color w:val="auto"/>
        </w:rPr>
      </w:pPr>
    </w:p>
    <w:p>
      <w:pPr>
        <w:ind w:right="320" w:firstLine="322"/>
        <w:spacing w:after="0" w:line="312"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Should loans under the Contract be used on a revolving basis, during the revolving credit term, the sum of the Borrower’s loan balance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should not exceed the revolving line of credit; the lending term for each of the Borrower’s withdrawals shall be from the actual withdrawal date to the stipulated repayment date, as recorded on the lending receipt. The repayment date of any single withdrawal shall not exceed the revolving credit term.</w:t>
      </w:r>
    </w:p>
    <w:p>
      <w:pPr>
        <w:spacing w:after="0" w:line="142" w:lineRule="exact"/>
        <w:rPr>
          <w:sz w:val="20"/>
          <w:szCs w:val="20"/>
          <w:color w:val="auto"/>
        </w:rPr>
      </w:pPr>
    </w:p>
    <w:p>
      <w:pPr>
        <w:ind w:right="320" w:firstLine="322"/>
        <w:spacing w:after="0" w:line="279"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Should loans under the Contract be used on a revolving basis, from the signing date of the Contract, should the Borrower make no withdrawals for</w:t>
      </w:r>
      <w:r>
        <w:rPr>
          <w:rFonts w:ascii="Arial" w:cs="Arial" w:eastAsia="Arial" w:hAnsi="Arial"/>
          <w:sz w:val="18"/>
          <w:szCs w:val="18"/>
          <w:b w:val="1"/>
          <w:bCs w:val="1"/>
          <w:color w:val="auto"/>
        </w:rPr>
        <w:t xml:space="preserve"> </w:t>
      </w:r>
      <w:r>
        <w:rPr>
          <w:rFonts w:ascii="Arial" w:cs="Arial" w:eastAsia="Arial" w:hAnsi="Arial"/>
          <w:sz w:val="18"/>
          <w:szCs w:val="18"/>
          <w:color w:val="auto"/>
        </w:rPr>
        <w:t>three consecutive months, the Lender has the right to cancel the revolving line of credit.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5 Guarantees</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Apart from credit loans, the Borrower shall provide legal and valid guarantees recognized by the Lender for its performance of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A guarantee contract shall be separately signed.</w:t>
      </w:r>
    </w:p>
    <w:p>
      <w:pPr>
        <w:spacing w:after="0" w:line="163" w:lineRule="exact"/>
        <w:rPr>
          <w:sz w:val="20"/>
          <w:szCs w:val="20"/>
          <w:color w:val="auto"/>
        </w:rPr>
      </w:pPr>
    </w:p>
    <w:p>
      <w:pPr>
        <w:jc w:val="both"/>
        <w:ind w:firstLine="322"/>
        <w:spacing w:after="0" w:line="287"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color w:val="auto"/>
        </w:rPr>
        <w:t>Should the collateral under the Contract be damaged, devalued, subject to an ownership dispute, seized or withheld, or should the mortgager dispose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collateral without authorization, or should the financial situation of the guarantor adversely change or change in a way that is not conducive to the Lender’s claims, the Borrower shall promptly notify the Lender and provide additional guarantees as recognized by the Lender.</w:t>
      </w:r>
    </w:p>
    <w:p>
      <w:pPr>
        <w:spacing w:after="0" w:line="158" w:lineRule="exact"/>
        <w:rPr>
          <w:sz w:val="20"/>
          <w:szCs w:val="20"/>
          <w:color w:val="auto"/>
        </w:rPr>
      </w:pPr>
    </w:p>
    <w:p>
      <w:pPr>
        <w:jc w:val="both"/>
        <w:ind w:firstLine="322"/>
        <w:spacing w:after="0" w:line="312" w:lineRule="auto"/>
        <w:rPr>
          <w:sz w:val="20"/>
          <w:szCs w:val="20"/>
          <w:color w:val="auto"/>
        </w:rPr>
      </w:pPr>
      <w:r>
        <w:rPr>
          <w:rFonts w:ascii="Arial" w:cs="Arial" w:eastAsia="Arial" w:hAnsi="Arial"/>
          <w:sz w:val="16"/>
          <w:szCs w:val="16"/>
          <w:b w:val="1"/>
          <w:bCs w:val="1"/>
          <w:color w:val="auto"/>
        </w:rPr>
        <w:t>5.3 The Lender is entitled to periodically or irregularly reassess the value of the collateral and the guarantor’s ability to guarantee. Should the assessment hold that the value of the collateral has declined or that the guarantor’s ability to guarantee has declined, the Borrower shall provide additional guarantees equal to the reduced value or the reduced ability to guarantee and may provide other guarantees as recognized by the Lender.</w:t>
      </w:r>
    </w:p>
    <w:p>
      <w:pPr>
        <w:spacing w:after="0" w:line="142"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Should pledge guarantees for receivables be provided for loans under the Contract, for the duration of the Contract, in any one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Lender has the right to declare the early expiration of lending, require that the Borrower immediately repay loan principal and interest, in part or in full, or add additional legal, valid, and sufficient guarantees recognized by the Lender:</w:t>
      </w:r>
    </w:p>
    <w:p>
      <w:pPr>
        <w:spacing w:after="0" w:line="180" w:lineRule="exact"/>
        <w:rPr>
          <w:sz w:val="20"/>
          <w:szCs w:val="20"/>
          <w:color w:val="auto"/>
        </w:rPr>
      </w:pPr>
    </w:p>
    <w:p>
      <w:pPr>
        <w:ind w:left="580" w:hanging="250"/>
        <w:spacing w:after="0"/>
        <w:tabs>
          <w:tab w:leader="none" w:pos="58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pledger’s bad debt rate on the payer’s accounts receivable has increased for two consecutive months;</w:t>
      </w:r>
    </w:p>
    <w:p>
      <w:pPr>
        <w:spacing w:after="0" w:line="222"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pledger’s accounts receivable for the payer that are overdue and have yet to be received account for over 5% of the payer’s balance of accounts receivable;</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 has entered into a trade dispute (including but not limited to quality, technology, or service disputes) or claims dispute with the payer or another third party, such that the accounts receivable may not be payable on time.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6 Account Management</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Borrower shall use a special designated capital returns account with the Lender to collect corresponding sales income or planned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Should corresponding sales income be settled in a non-cash manner, the Borrower shall ensure that the funds are returned to the account promptly after payment is received.</w:t>
      </w:r>
    </w:p>
    <w:p>
      <w:pPr>
        <w:spacing w:after="0" w:line="176" w:lineRule="exact"/>
        <w:rPr>
          <w:sz w:val="20"/>
          <w:szCs w:val="20"/>
          <w:color w:val="auto"/>
        </w:rPr>
      </w:pPr>
    </w:p>
    <w:p>
      <w:pPr>
        <w:ind w:right="220" w:firstLine="322"/>
        <w:spacing w:after="0" w:line="264"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The Lender is entitled to the supervision of the capital returns account, including but not limited to inquiries and supervision of the account’s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debits and credits, and the Borrower shall cooperate. If required by the Lender, the Borrower shall sign a special account supervision agreement with the Lender.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7520" w:type="dxa"/>
            <w:vAlign w:val="bottom"/>
          </w:tcPr>
          <w:p>
            <w:pPr>
              <w:ind w:left="540"/>
              <w:spacing w:after="0"/>
              <w:rPr>
                <w:sz w:val="20"/>
                <w:szCs w:val="20"/>
                <w:color w:val="auto"/>
              </w:rPr>
            </w:pPr>
            <w:r>
              <w:rPr>
                <w:rFonts w:ascii="Arial" w:cs="Arial" w:eastAsia="Arial" w:hAnsi="Arial"/>
                <w:sz w:val="18"/>
                <w:szCs w:val="18"/>
                <w:color w:val="auto"/>
              </w:rPr>
              <w:t>Contract Main Body Page 9 of 17</w:t>
            </w: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20" w:type="dxa"/>
            <w:vAlign w:val="bottom"/>
          </w:tcPr>
          <w:p>
            <w:pPr>
              <w:ind w:left="27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Document 1 of 2</w:t>
            </w:r>
          </w:p>
        </w:tc>
        <w:tc>
          <w:tcPr>
            <w:tcW w:w="7520" w:type="dxa"/>
            <w:vAlign w:val="bottom"/>
          </w:tcPr>
          <w:p>
            <w:pPr>
              <w:ind w:left="2760"/>
              <w:spacing w:after="0"/>
              <w:rPr>
                <w:sz w:val="20"/>
                <w:szCs w:val="20"/>
                <w:color w:val="auto"/>
              </w:rPr>
            </w:pPr>
            <w:r>
              <w:rPr>
                <w:rFonts w:ascii="Arial" w:cs="Arial" w:eastAsia="Arial" w:hAnsi="Arial"/>
                <w:sz w:val="18"/>
                <w:szCs w:val="18"/>
                <w:color w:val="auto"/>
              </w:rPr>
              <w:t>contract contents [QR Code]</w:t>
            </w:r>
          </w:p>
        </w:tc>
      </w:tr>
      <w:tr>
        <w:trPr>
          <w:trHeight w:val="60"/>
        </w:trPr>
        <w:tc>
          <w:tcPr>
            <w:tcW w:w="390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2" w:name="page273"/>
    <w:bookmarkEnd w:id="272"/>
    <w:p>
      <w:pPr>
        <w:ind w:left="320"/>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Borrower makes the following representations and warranties to the Lender, which shall be valid for the duration of the Contract:</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Borrower has the qualifications for borrowing and the qualifications and ability to sign and perform the Contract.</w:t>
      </w:r>
    </w:p>
    <w:p>
      <w:pPr>
        <w:spacing w:after="0" w:line="223" w:lineRule="exact"/>
        <w:rPr>
          <w:sz w:val="20"/>
          <w:szCs w:val="20"/>
          <w:color w:val="auto"/>
        </w:rPr>
      </w:pPr>
    </w:p>
    <w:p>
      <w:pPr>
        <w:ind w:right="180" w:firstLine="322"/>
        <w:spacing w:after="0" w:line="344"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All necessary authorizations or approvals have been obtained for signing the contract, and the signing and performance of the contract do not violate</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company’s articles of incorporation or relevant laws and regulations and do not conflict with obligations under other contracts.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Other debts payable have been paid on time, with no malicious defaults on bank loans or interest.</w:t>
      </w:r>
    </w:p>
    <w:p>
      <w:pPr>
        <w:spacing w:after="0" w:line="223" w:lineRule="exact"/>
        <w:rPr>
          <w:sz w:val="20"/>
          <w:szCs w:val="20"/>
          <w:color w:val="auto"/>
        </w:rPr>
      </w:pPr>
    </w:p>
    <w:p>
      <w:pPr>
        <w:ind w:right="300" w:firstLine="322"/>
        <w:spacing w:after="0" w:line="279"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There are sound organizations and financial management systems in place. In the past one year, there have been no major disciplinary violations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conduct, and current senior management have no significantly negative records.</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All documents and materials provided to the Lender are true, accurate, complete, and valid, and they are free of false records, material omissions,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misleading statements.</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Financial accounting reports provided to the Lender have been prepared in accordance with PRC accounting standards, reflecting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conditions and liabilities in a true, fair, and complete manner. Since the latest financial accounting report, the Borrower’s financial position has not experienced any significantly adverse changes.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No litigation, arbitration, or claims have been concealed from the Lender.</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8 Borrower Commitments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8.1 To withdraw and use loans according to the terms and purposes stipulated under the Contract and to not use the borrowings for fixed assets, equity, and other investments and to ensure that borrowings, in any form, do not flow into the securities market, futures market, or other uses prohibited or restricted by relevant laws and regulations.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To settle loan principal, interest, and other payables as stipulated under the Contract.</w:t>
      </w:r>
    </w:p>
    <w:p>
      <w:pPr>
        <w:spacing w:after="0" w:line="223"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To accept and actively cooperate with the Lender’s accounts analysis inspection and supervision of the use of loan funds, including by means of account analysis, document inspection, and on-site investigations, and to regularly report the use of loan funds as required by the Lender.</w:t>
      </w:r>
    </w:p>
    <w:p>
      <w:pPr>
        <w:spacing w:after="0" w:line="117" w:lineRule="exact"/>
        <w:rPr>
          <w:sz w:val="20"/>
          <w:szCs w:val="20"/>
          <w:color w:val="auto"/>
        </w:rPr>
      </w:pPr>
    </w:p>
    <w:p>
      <w:pPr>
        <w:ind w:right="40" w:firstLine="322"/>
        <w:spacing w:after="0" w:line="264"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To accept the Lender’s credit checks, to provide financial accounting materials, such as balance sheets and income and loss statements,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reflecting the Borrower’s solvency, as required by the Lender, and to assist and cooperate with the Lender’s investigations, inquiries, and supervision of its productions, operations, and financial standing.</w:t>
      </w:r>
    </w:p>
    <w:p>
      <w:pPr>
        <w:spacing w:after="0" w:line="176" w:lineRule="exact"/>
        <w:rPr>
          <w:sz w:val="20"/>
          <w:szCs w:val="20"/>
          <w:color w:val="auto"/>
        </w:rPr>
      </w:pPr>
    </w:p>
    <w:p>
      <w:pPr>
        <w:ind w:right="20" w:firstLine="322"/>
        <w:spacing w:after="0" w:line="279" w:lineRule="auto"/>
        <w:rPr>
          <w:sz w:val="20"/>
          <w:szCs w:val="20"/>
          <w:color w:val="auto"/>
        </w:rPr>
      </w:pPr>
      <w:r>
        <w:rPr>
          <w:rFonts w:ascii="Arial" w:cs="Arial" w:eastAsia="Arial" w:hAnsi="Arial"/>
          <w:sz w:val="18"/>
          <w:szCs w:val="18"/>
          <w:b w:val="1"/>
          <w:bCs w:val="1"/>
          <w:color w:val="auto"/>
        </w:rPr>
        <w:t>8.5 To not distribute dividends or bonuses, in any form, when there are outstanding loan principal, interest, or other payables (including amounts that are announced as due immediately) under the Contract.</w:t>
      </w:r>
    </w:p>
    <w:p>
      <w:pPr>
        <w:spacing w:after="0" w:line="163" w:lineRule="exact"/>
        <w:rPr>
          <w:sz w:val="20"/>
          <w:szCs w:val="20"/>
          <w:color w:val="auto"/>
        </w:rPr>
      </w:pPr>
    </w:p>
    <w:p>
      <w:pPr>
        <w:ind w:right="180" w:firstLine="322"/>
        <w:spacing w:after="0" w:line="264" w:lineRule="auto"/>
        <w:rPr>
          <w:sz w:val="20"/>
          <w:szCs w:val="20"/>
          <w:color w:val="auto"/>
        </w:rPr>
      </w:pPr>
      <w:r>
        <w:rPr>
          <w:rFonts w:ascii="Arial" w:cs="Arial" w:eastAsia="Arial" w:hAnsi="Arial"/>
          <w:sz w:val="18"/>
          <w:szCs w:val="18"/>
          <w:b w:val="1"/>
          <w:bCs w:val="1"/>
          <w:color w:val="auto"/>
        </w:rPr>
        <w:t>8.6 To first obtain the Lender’s written consent or to make arrangements that satisfy the Lender prior to Mergers, divisions, capital reductions, equity changes, equity pledges, transfers of major assets and claims, major foreign investments, substantial increases in debt financing, and other actions that may adversely affect the Lender’s equity.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color w:val="auto"/>
        </w:rPr>
        <w:t>In any one of the following events, to promptly notify the Lender: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10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3" w:name="page274"/>
    <w:bookmarkEnd w:id="273"/>
    <w:p>
      <w:pPr>
        <w:ind w:left="580" w:hanging="250"/>
        <w:spacing w:after="0"/>
        <w:tabs>
          <w:tab w:leader="none" w:pos="58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changes to the company’s articles of incorporation, business scope, registered capital, or legal representative;</w:t>
      </w:r>
    </w:p>
    <w:p>
      <w:pPr>
        <w:spacing w:after="0" w:line="222"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closure, dissolution, liquidation, suspension of business, business license suspended or revoked for rectification, or the company applies (is subject to) bankruptcy;</w:t>
      </w:r>
    </w:p>
    <w:p>
      <w:pPr>
        <w:spacing w:after="0" w:line="170" w:lineRule="exact"/>
        <w:rPr>
          <w:rFonts w:ascii="Arial" w:cs="Arial" w:eastAsia="Arial" w:hAnsi="Arial"/>
          <w:sz w:val="18"/>
          <w:szCs w:val="18"/>
          <w:b w:val="1"/>
          <w:bCs w:val="1"/>
          <w:color w:val="auto"/>
        </w:rPr>
      </w:pPr>
    </w:p>
    <w:p>
      <w:pPr>
        <w:ind w:left="580" w:hanging="250"/>
        <w:spacing w:after="0"/>
        <w:tabs>
          <w:tab w:leader="none" w:pos="580" w:val="left"/>
        </w:tabs>
        <w:numPr>
          <w:ilvl w:val="0"/>
          <w:numId w:val="186"/>
        </w:numPr>
        <w:rPr>
          <w:rFonts w:ascii="Arial" w:cs="Arial" w:eastAsia="Arial" w:hAnsi="Arial"/>
          <w:sz w:val="16"/>
          <w:szCs w:val="16"/>
          <w:b w:val="1"/>
          <w:bCs w:val="1"/>
          <w:color w:val="auto"/>
        </w:rPr>
      </w:pPr>
      <w:r>
        <w:rPr>
          <w:rFonts w:ascii="Arial" w:cs="Arial" w:eastAsia="Arial" w:hAnsi="Arial"/>
          <w:sz w:val="16"/>
          <w:szCs w:val="16"/>
          <w:color w:val="auto"/>
        </w:rPr>
        <w:t>involvement or possible involvement in major economic disputes, litigation, or arbitration, or property is seized, detained or under supervision by law;</w:t>
      </w:r>
    </w:p>
    <w:p>
      <w:pPr>
        <w:spacing w:after="0" w:line="245" w:lineRule="exact"/>
        <w:rPr>
          <w:rFonts w:ascii="Arial" w:cs="Arial" w:eastAsia="Arial" w:hAnsi="Arial"/>
          <w:sz w:val="16"/>
          <w:szCs w:val="16"/>
          <w:b w:val="1"/>
          <w:bCs w:val="1"/>
          <w:color w:val="auto"/>
        </w:rPr>
      </w:pPr>
    </w:p>
    <w:p>
      <w:pPr>
        <w:ind w:left="580" w:hanging="250"/>
        <w:spacing w:after="0"/>
        <w:tabs>
          <w:tab w:leader="none" w:pos="58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shareholder(s), director(s), and current senior management are suspect of major cases or economic disputes.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To promptly, comprehensively, and accurately disclose of related party relationships and related party transactions to the Lender.</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To mail or otherwise send to the Lender and promptly receive various notices.</w:t>
      </w:r>
    </w:p>
    <w:p>
      <w:pPr>
        <w:spacing w:after="0" w:line="223" w:lineRule="exact"/>
        <w:rPr>
          <w:sz w:val="20"/>
          <w:szCs w:val="20"/>
          <w:color w:val="auto"/>
        </w:rPr>
      </w:pPr>
    </w:p>
    <w:p>
      <w:pPr>
        <w:ind w:right="500" w:firstLine="322"/>
        <w:spacing w:after="0" w:line="279"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color w:val="auto"/>
        </w:rPr>
        <w:t>To not dispose of its own assets in a manner that reduces solvency; to not use assets formed under the Contract, without obtaining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provide guarantees to third parties.</w:t>
      </w:r>
    </w:p>
    <w:p>
      <w:pPr>
        <w:spacing w:after="0" w:line="163"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If borrowing under the Contract is issued as credit, to completely, truthfully, and accurately report routinely to the Lender on external guarantees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by the Lender, sign an account supervision agreement; when external guarantees may affect performance of obligations under the contract, the Lender’s written consent must be obtained.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8.12 To bear expenses generated by the Lender to realize claims under the Contract, including but not limited to attorneys’ fees and auction fees.</w:t>
      </w:r>
    </w:p>
    <w:p>
      <w:pPr>
        <w:spacing w:after="0" w:line="246" w:lineRule="exact"/>
        <w:rPr>
          <w:sz w:val="20"/>
          <w:szCs w:val="20"/>
          <w:color w:val="auto"/>
        </w:rPr>
      </w:pPr>
    </w:p>
    <w:p>
      <w:pPr>
        <w:ind w:right="60" w:firstLine="322"/>
        <w:spacing w:after="0" w:line="279"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To give priority to the Borrower’s debts to its shareholders in terms of the priority for settling debts under the Contract and to at least give such debts</w:t>
      </w:r>
      <w:r>
        <w:rPr>
          <w:rFonts w:ascii="Arial" w:cs="Arial" w:eastAsia="Arial" w:hAnsi="Arial"/>
          <w:sz w:val="18"/>
          <w:szCs w:val="18"/>
          <w:b w:val="1"/>
          <w:bCs w:val="1"/>
          <w:color w:val="auto"/>
        </w:rPr>
        <w:t xml:space="preserve"> </w:t>
      </w:r>
      <w:r>
        <w:rPr>
          <w:rFonts w:ascii="Arial" w:cs="Arial" w:eastAsia="Arial" w:hAnsi="Arial"/>
          <w:sz w:val="18"/>
          <w:szCs w:val="18"/>
          <w:color w:val="auto"/>
        </w:rPr>
        <w:t>an equal footing as other similar debts of the Borrower’s other creditors.</w:t>
      </w:r>
    </w:p>
    <w:p>
      <w:pPr>
        <w:spacing w:after="0" w:line="163" w:lineRule="exact"/>
        <w:rPr>
          <w:sz w:val="20"/>
          <w:szCs w:val="20"/>
          <w:color w:val="auto"/>
        </w:rPr>
      </w:pPr>
    </w:p>
    <w:p>
      <w:pPr>
        <w:ind w:right="100" w:firstLine="322"/>
        <w:spacing w:after="0" w:line="279" w:lineRule="auto"/>
        <w:rPr>
          <w:sz w:val="20"/>
          <w:szCs w:val="20"/>
          <w:color w:val="auto"/>
        </w:rPr>
      </w:pPr>
      <w:r>
        <w:rPr>
          <w:rFonts w:ascii="Arial" w:cs="Arial" w:eastAsia="Arial" w:hAnsi="Arial"/>
          <w:sz w:val="18"/>
          <w:szCs w:val="18"/>
          <w:b w:val="1"/>
          <w:bCs w:val="1"/>
          <w:color w:val="auto"/>
        </w:rPr>
        <w:t>8.14 To strengthen environmental and social risk management and accept the Lender’s supervision and inspections in this regard. If required by the Lender, to submit environmental and social risk reports to the Lender.</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9 Lender Commitments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To issue loans to the Borrower as stipulated under the Contract.</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To keep confidential non-public materials and information provided by the Borrower, unless laws and regulations require otherwise or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stipulates otherwise.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10 Breach of Contract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Any one of the following events shall constitute breach of contract by the Borrower:</w:t>
      </w:r>
    </w:p>
    <w:p>
      <w:pPr>
        <w:spacing w:after="0" w:line="227" w:lineRule="exact"/>
        <w:rPr>
          <w:sz w:val="20"/>
          <w:szCs w:val="20"/>
          <w:color w:val="auto"/>
        </w:rPr>
      </w:pPr>
    </w:p>
    <w:p>
      <w:pPr>
        <w:ind w:right="20" w:firstLine="330"/>
        <w:spacing w:after="0" w:line="275" w:lineRule="auto"/>
        <w:tabs>
          <w:tab w:leader="none" w:pos="57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Borrower fails to repay loan principal, interest, or other payables under the Contract according to stipulations under the Contract or acts contrary to representations, warranties, or commitments under the Contract;</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8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changes occur to guarantees under the Contract that are not conducive to the Lender’s claims, and the Borrower fails to provide other guarantees recognized by the Lender;</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602"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Borrower is unable to settle any other debts due (including debts declared due early) or fails to perform or violates obligations under other agreements, such that it has affected or may affect its performance of obligations under the Contract;</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Borrower’s financial metrics, such as profitability, solvency, operating capacity, and cash flow, fail to meet agreed standards, or the deterioration thereof has affected or may affect the performance of its obligations under the Contract;</w:t>
      </w:r>
    </w:p>
    <w:p>
      <w:pPr>
        <w:spacing w:after="0" w:line="170" w:lineRule="exact"/>
        <w:rPr>
          <w:rFonts w:ascii="Arial" w:cs="Arial" w:eastAsia="Arial" w:hAnsi="Arial"/>
          <w:sz w:val="18"/>
          <w:szCs w:val="18"/>
          <w:b w:val="1"/>
          <w:bCs w:val="1"/>
          <w:color w:val="auto"/>
        </w:rPr>
      </w:pPr>
    </w:p>
    <w:p>
      <w:pPr>
        <w:ind w:right="20" w:firstLine="330"/>
        <w:spacing w:after="0" w:line="275" w:lineRule="auto"/>
        <w:tabs>
          <w:tab w:leader="none" w:pos="589"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the Borrower’s equity structure, production, operations, and foreign investments have undergone significantly adverse changes that have affected or may affect the performance of its obligations under the Contract;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11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74" w:name="page275"/>
    <w:bookmarkEnd w:id="274"/>
    <w:p>
      <w:pPr>
        <w:jc w:val="both"/>
        <w:ind w:firstLine="330"/>
        <w:spacing w:after="0" w:line="257" w:lineRule="auto"/>
        <w:tabs>
          <w:tab w:leader="none" w:pos="579"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Borrower is involved in or may be involved in major economic disputes, litigation, arbitration, or assets have been seized, detained or enforced, or is being investigated or dealt with by judicial or administrative organs in accordance with the law or subject to penalties in accordance with the law, or is exposed by the media for violating relevant state regulations or policies, such that it has affected or may affect the performance of its obligations under the Contract;</w:t>
      </w:r>
    </w:p>
    <w:p>
      <w:pPr>
        <w:spacing w:after="0" w:line="187" w:lineRule="exact"/>
        <w:rPr>
          <w:rFonts w:ascii="Arial" w:cs="Arial" w:eastAsia="Arial" w:hAnsi="Arial"/>
          <w:sz w:val="18"/>
          <w:szCs w:val="18"/>
          <w:b w:val="1"/>
          <w:bCs w:val="1"/>
          <w:color w:val="auto"/>
        </w:rPr>
      </w:pPr>
    </w:p>
    <w:p>
      <w:pPr>
        <w:ind w:firstLine="330"/>
        <w:spacing w:after="0" w:line="275" w:lineRule="auto"/>
        <w:tabs>
          <w:tab w:leader="none" w:pos="602"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Borrower’s main investors and key management personnel make abnormal changes, go missing, or are investigated or restricted by judicial authorities in accordance with the law, such that it has affected or may affect the performance of its obligations under the Contract;</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89"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Borrower utilizes false contracts with related parties, utilizes transactions without actual trading to obtain funding or credit from the Lender, or intentionally evades the Lender’s claims through related transactions;</w:t>
      </w:r>
    </w:p>
    <w:p>
      <w:pPr>
        <w:spacing w:after="0" w:line="170" w:lineRule="exact"/>
        <w:rPr>
          <w:rFonts w:ascii="Arial" w:cs="Arial" w:eastAsia="Arial" w:hAnsi="Arial"/>
          <w:sz w:val="18"/>
          <w:szCs w:val="18"/>
          <w:b w:val="1"/>
          <w:bCs w:val="1"/>
          <w:color w:val="auto"/>
        </w:rPr>
      </w:pPr>
    </w:p>
    <w:p>
      <w:pPr>
        <w:ind w:right="20" w:firstLine="330"/>
        <w:spacing w:after="0" w:line="275" w:lineRule="auto"/>
        <w:tabs>
          <w:tab w:leader="none" w:pos="584"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Borrower has or may be closed, dissolved, liquidated, have its business suspended, have its business license rectified or revoked, or apply for (or be subject to) bankruptcy;</w:t>
      </w:r>
    </w:p>
    <w:p>
      <w:pPr>
        <w:spacing w:after="0" w:line="170" w:lineRule="exact"/>
        <w:rPr>
          <w:rFonts w:ascii="Arial" w:cs="Arial" w:eastAsia="Arial" w:hAnsi="Arial"/>
          <w:sz w:val="18"/>
          <w:szCs w:val="18"/>
          <w:b w:val="1"/>
          <w:bCs w:val="1"/>
          <w:color w:val="auto"/>
        </w:rPr>
      </w:pPr>
    </w:p>
    <w:p>
      <w:pPr>
        <w:jc w:val="both"/>
        <w:ind w:firstLine="330"/>
        <w:spacing w:after="0" w:line="262" w:lineRule="auto"/>
        <w:tabs>
          <w:tab w:leader="none" w:pos="665"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the Borrower has a liability incident or a major environmental or social risk incident for food safety, safety production, or environmental protection violations or violation other environmental or social risk management laws, regulations, or industry standards, such that it has affected or may affect the performance of its obligations under the Contract;</w:t>
      </w:r>
    </w:p>
    <w:p>
      <w:pPr>
        <w:spacing w:after="0" w:line="181" w:lineRule="exact"/>
        <w:rPr>
          <w:rFonts w:ascii="Arial" w:cs="Arial" w:eastAsia="Arial" w:hAnsi="Arial"/>
          <w:sz w:val="18"/>
          <w:szCs w:val="18"/>
          <w:b w:val="1"/>
          <w:bCs w:val="1"/>
          <w:color w:val="auto"/>
        </w:rPr>
      </w:pPr>
    </w:p>
    <w:p>
      <w:pPr>
        <w:jc w:val="both"/>
        <w:ind w:firstLine="330"/>
        <w:spacing w:after="0" w:line="257" w:lineRule="auto"/>
        <w:tabs>
          <w:tab w:leader="none" w:pos="655"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if borrowing under the Contract is issued as credit, the Borrower’s credit rating, profitability, asset-liability ratio, cash flow from operating activities, or other metrics do not meet the Lender’s conditions for credit lending; or the Borrow sets up pledge/mortgage guarantees for others or provides guarantees using its validly operated assets without the written consent of the Lender, such that it has affected or may affect the performance of its obligations under the Contract;</w:t>
      </w:r>
    </w:p>
    <w:p>
      <w:pPr>
        <w:spacing w:after="0" w:line="187" w:lineRule="exact"/>
        <w:rPr>
          <w:rFonts w:ascii="Arial" w:cs="Arial" w:eastAsia="Arial" w:hAnsi="Arial"/>
          <w:sz w:val="18"/>
          <w:szCs w:val="18"/>
          <w:b w:val="1"/>
          <w:bCs w:val="1"/>
          <w:color w:val="auto"/>
        </w:rPr>
      </w:pPr>
    </w:p>
    <w:p>
      <w:pPr>
        <w:ind w:left="680" w:hanging="350"/>
        <w:spacing w:after="0"/>
        <w:tabs>
          <w:tab w:leader="none" w:pos="680"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Other circumstances that may adversely affect the Lender’s realization of claims under the Contract.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10.2 Should the Borrower breach the Contract, the Lender is entitled to take one or more of the following remedies:</w:t>
      </w:r>
    </w:p>
    <w:p>
      <w:pPr>
        <w:spacing w:after="0" w:line="223" w:lineRule="exact"/>
        <w:rPr>
          <w:sz w:val="20"/>
          <w:szCs w:val="20"/>
          <w:color w:val="auto"/>
        </w:rPr>
      </w:pPr>
    </w:p>
    <w:p>
      <w:pPr>
        <w:ind w:left="580" w:hanging="250"/>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rectify the breach of contract within a period of time;</w:t>
      </w:r>
    </w:p>
    <w:p>
      <w:pPr>
        <w:spacing w:after="0" w:line="222" w:lineRule="exact"/>
        <w:rPr>
          <w:rFonts w:ascii="Arial" w:cs="Arial" w:eastAsia="Arial" w:hAnsi="Arial"/>
          <w:sz w:val="18"/>
          <w:szCs w:val="18"/>
          <w:b w:val="1"/>
          <w:bCs w:val="1"/>
          <w:color w:val="auto"/>
        </w:rPr>
      </w:pPr>
    </w:p>
    <w:p>
      <w:pPr>
        <w:ind w:firstLine="330"/>
        <w:spacing w:after="0" w:line="279" w:lineRule="auto"/>
        <w:tabs>
          <w:tab w:leader="none" w:pos="59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to suspend the issuance of loans or other financing to the Borrower based on the Contract or other contracts between the Lender and the Borrower and cancel, in part or in full, loans or other financing that the Borrower has yet to withdraw;</w:t>
      </w:r>
    </w:p>
    <w:p>
      <w:pPr>
        <w:spacing w:after="0" w:line="163" w:lineRule="exact"/>
        <w:rPr>
          <w:rFonts w:ascii="Arial" w:cs="Arial" w:eastAsia="Arial" w:hAnsi="Arial"/>
          <w:sz w:val="18"/>
          <w:szCs w:val="18"/>
          <w:b w:val="1"/>
          <w:bCs w:val="1"/>
          <w:color w:val="auto"/>
        </w:rPr>
      </w:pPr>
    </w:p>
    <w:p>
      <w:pPr>
        <w:ind w:firstLine="330"/>
        <w:spacing w:after="0" w:line="279" w:lineRule="auto"/>
        <w:tabs>
          <w:tab w:leader="none" w:pos="61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to announce immediate expiration of lending or other financing under the Contract and other contracts between the Lender and the Borrower and to immediately recover unpaid amounts;</w:t>
      </w:r>
    </w:p>
    <w:p>
      <w:pPr>
        <w:spacing w:after="0" w:line="163" w:lineRule="exact"/>
        <w:rPr>
          <w:rFonts w:ascii="Arial" w:cs="Arial" w:eastAsia="Arial" w:hAnsi="Arial"/>
          <w:sz w:val="18"/>
          <w:szCs w:val="18"/>
          <w:b w:val="1"/>
          <w:bCs w:val="1"/>
          <w:color w:val="auto"/>
        </w:rPr>
      </w:pPr>
    </w:p>
    <w:p>
      <w:pPr>
        <w:ind w:left="580" w:hanging="250"/>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compensate for losses suffered by the Lender from the breach of contract;</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other remedies provided by laws or regulations, as stipulated under the Contract, or as deemed necessary by the Lender.</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color w:val="auto"/>
        </w:rPr>
        <w:t>For loans due yet unpaid by the Borrower as agreed (including debts that are announced as due immediately), the Lender is entitled to charge penalty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from the date at the overdue penalty interest rate stipulated under the Contract from the date on which the amount was overdue. For interest that the Borrower fails to pay on time (including penalty interest), compound interest shall be charged based on the overdue penalty interest rate. Penalty interest / compound interest shall be settled according to the interest settlement rules stipulated under the Contract.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12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75" w:name="page276"/>
    <w:bookmarkEnd w:id="275"/>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Should the Borrower fail to use loans according to the usage stipulated under the Contract, the Lender is entitled to charge penalty interest for misuse</w:t>
      </w:r>
      <w:r>
        <w:rPr>
          <w:rFonts w:ascii="Arial" w:cs="Arial" w:eastAsia="Arial" w:hAnsi="Arial"/>
          <w:sz w:val="18"/>
          <w:szCs w:val="18"/>
          <w:b w:val="1"/>
          <w:bCs w:val="1"/>
          <w:color w:val="auto"/>
        </w:rPr>
        <w:t xml:space="preserve"> </w:t>
      </w:r>
      <w:r>
        <w:rPr>
          <w:rFonts w:ascii="Arial" w:cs="Arial" w:eastAsia="Arial" w:hAnsi="Arial"/>
          <w:sz w:val="18"/>
          <w:szCs w:val="18"/>
          <w:color w:val="auto"/>
        </w:rPr>
        <w:t>of funds according to the penalty interest rate stipulated in the Contract from the date in which funds are misused, and compound interest shall be charged according to the penalty interest rate for misuse of funds for interest (including penalty interest) not paid on time during the misuse of funds. Penalty interest / compound interest shall be settled according to the interest settlement rules stipulated under the Contract. Penalty interest / compound interest shall be settled according to the interest settlement rules stipulated under the Contract.</w:t>
      </w:r>
    </w:p>
    <w:p>
      <w:pPr>
        <w:spacing w:after="0" w:line="185"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Should the Borrower simultaneously encounter the circumstances of</w:t>
      </w:r>
      <w:r>
        <w:rPr>
          <w:rFonts w:ascii="Arial" w:cs="Arial" w:eastAsia="Arial" w:hAnsi="Arial"/>
          <w:sz w:val="18"/>
          <w:szCs w:val="18"/>
          <w:b w:val="1"/>
          <w:bCs w:val="1"/>
          <w:color w:val="auto"/>
        </w:rPr>
        <w:t xml:space="preserve"> Article 10.3 and Article 10.4</w:t>
      </w:r>
      <w:r>
        <w:rPr>
          <w:rFonts w:ascii="Arial" w:cs="Arial" w:eastAsia="Arial" w:hAnsi="Arial"/>
          <w:sz w:val="18"/>
          <w:szCs w:val="18"/>
          <w:color w:val="auto"/>
        </w:rPr>
        <w:t>, the greater penalty interest rate shall be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and cannot be combined.</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10.6 Should the Borrower fail to repay loan principal, interest (including penalty interest and compound interest), or other payables on time, the Lender is entitled to make an announcement through the media.</w:t>
      </w:r>
    </w:p>
    <w:p>
      <w:pPr>
        <w:spacing w:after="0" w:line="163" w:lineRule="exact"/>
        <w:rPr>
          <w:sz w:val="20"/>
          <w:szCs w:val="20"/>
          <w:color w:val="auto"/>
        </w:rPr>
      </w:pPr>
    </w:p>
    <w:p>
      <w:pPr>
        <w:ind w:right="80" w:firstLine="322"/>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Should the Borrower’s related parties’ controlling relationship with the Borrower change or should the Borrower’s related party encounter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circumstances in Article </w:t>
      </w:r>
      <w:r>
        <w:rPr>
          <w:rFonts w:ascii="Arial" w:cs="Arial" w:eastAsia="Arial" w:hAnsi="Arial"/>
          <w:sz w:val="18"/>
          <w:szCs w:val="18"/>
          <w:b w:val="1"/>
          <w:bCs w:val="1"/>
          <w:color w:val="auto"/>
        </w:rPr>
        <w:t>10.1</w:t>
      </w:r>
      <w:r>
        <w:rPr>
          <w:rFonts w:ascii="Arial" w:cs="Arial" w:eastAsia="Arial" w:hAnsi="Arial"/>
          <w:sz w:val="18"/>
          <w:szCs w:val="18"/>
          <w:color w:val="auto"/>
        </w:rPr>
        <w:t xml:space="preserve"> above, other than items </w:t>
      </w:r>
      <w:r>
        <w:rPr>
          <w:rFonts w:ascii="Arial" w:cs="Arial" w:eastAsia="Arial" w:hAnsi="Arial"/>
          <w:sz w:val="18"/>
          <w:szCs w:val="18"/>
          <w:b w:val="1"/>
          <w:bCs w:val="1"/>
          <w:color w:val="auto"/>
        </w:rPr>
        <w:t>(1) or (2)</w:t>
      </w:r>
      <w:r>
        <w:rPr>
          <w:rFonts w:ascii="Arial" w:cs="Arial" w:eastAsia="Arial" w:hAnsi="Arial"/>
          <w:sz w:val="18"/>
          <w:szCs w:val="18"/>
          <w:color w:val="auto"/>
        </w:rPr>
        <w:t>, such that it has affected or may affect the Borrower’s performance of its obligations under the Contract, the Lender is entitled to take various measures as stipulated under the Contract.</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11 Auto-termination of Lender Commitment</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11.1 Should the credit status of the Borrower worsen, the Lender may cancel all loan commitments not yet withdrawn by the Borrower without prior notice.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11.2 In the event as described in 10.1 and 10.7, it constitutes the worsening of Borrower credit status.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12 Withholding</w:t>
      </w:r>
    </w:p>
    <w:p>
      <w:pPr>
        <w:spacing w:after="0" w:line="223"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12.1 Should the Borrower fail to repay debts due under the Contract as agreed (including debts announced as due immediately), the Borrower agrees that the Lender may withhold corresponding amounts from all foreign exchange and RMB accounts that the Borrower has opened at ICBC to settle debts owed, until the Borrower’s debts under the Contract have been settled in full.</w:t>
      </w:r>
    </w:p>
    <w:p>
      <w:pPr>
        <w:spacing w:after="0" w:line="176" w:lineRule="exact"/>
        <w:rPr>
          <w:sz w:val="20"/>
          <w:szCs w:val="20"/>
          <w:color w:val="auto"/>
        </w:rPr>
      </w:pPr>
    </w:p>
    <w:p>
      <w:pPr>
        <w:ind w:right="320" w:firstLine="322"/>
        <w:spacing w:after="0" w:line="301" w:lineRule="auto"/>
        <w:rPr>
          <w:sz w:val="20"/>
          <w:szCs w:val="20"/>
          <w:color w:val="auto"/>
        </w:rPr>
      </w:pPr>
      <w:r>
        <w:rPr>
          <w:rFonts w:ascii="Arial" w:cs="Arial" w:eastAsia="Arial" w:hAnsi="Arial"/>
          <w:sz w:val="16"/>
          <w:szCs w:val="16"/>
          <w:b w:val="1"/>
          <w:bCs w:val="1"/>
          <w:color w:val="auto"/>
        </w:rPr>
        <w:t>12.2 Should the withheld amount be in a currency other than that of the Contract, the currency shall be exchanged at the Lender’s applicable exchange rate on the withholding date. The Borrower shall bear interest and other expenses incurred from the withholding date to the settlement date (the date on which the Lender converts the withheld amount into the currency of the Contract according to national foreign exchange management policies and actually pays of the debts under the Contract), as well as differences from exchange rate volatility during this period.</w:t>
      </w:r>
    </w:p>
    <w:p>
      <w:pPr>
        <w:spacing w:after="0" w:line="151" w:lineRule="exact"/>
        <w:rPr>
          <w:sz w:val="20"/>
          <w:szCs w:val="20"/>
          <w:color w:val="auto"/>
        </w:rPr>
      </w:pPr>
    </w:p>
    <w:p>
      <w:pPr>
        <w:ind w:right="100" w:firstLine="322"/>
        <w:spacing w:after="0" w:line="279" w:lineRule="auto"/>
        <w:rPr>
          <w:sz w:val="20"/>
          <w:szCs w:val="20"/>
          <w:color w:val="auto"/>
        </w:rPr>
      </w:pPr>
      <w:r>
        <w:rPr>
          <w:rFonts w:ascii="Arial" w:cs="Arial" w:eastAsia="Arial" w:hAnsi="Arial"/>
          <w:sz w:val="18"/>
          <w:szCs w:val="18"/>
          <w:b w:val="1"/>
          <w:bCs w:val="1"/>
          <w:color w:val="auto"/>
        </w:rPr>
        <w:t>12.3 Should the amount withheld by the Lender be insufficient to settle all debts owed by the Borrower, the Lender has the right to decide on the order of settlement.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13 Transfer of Rights and Obligations</w:t>
      </w:r>
    </w:p>
    <w:p>
      <w:pPr>
        <w:spacing w:after="0" w:line="223"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The Lender is entitled to transfer its rights under the Contract, in part or in full, to a third party, and the Lender’s transfer thereof does not require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consent. Without the written consent of the Lender, the Borrower shall not transfer any of its rights or obligations under the Contract.</w:t>
      </w:r>
    </w:p>
    <w:p>
      <w:pPr>
        <w:spacing w:after="0" w:line="117"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The Lender or Industrial and Commercial Bank of China Limited (“ICBC”) may, based on its business management needs, authorize or entrust other</w:t>
      </w:r>
      <w:r>
        <w:rPr>
          <w:rFonts w:ascii="Arial" w:cs="Arial" w:eastAsia="Arial" w:hAnsi="Arial"/>
          <w:sz w:val="18"/>
          <w:szCs w:val="18"/>
          <w:b w:val="1"/>
          <w:bCs w:val="1"/>
          <w:color w:val="auto"/>
        </w:rPr>
        <w:t xml:space="preserve"> </w:t>
      </w:r>
      <w:r>
        <w:rPr>
          <w:rFonts w:ascii="Arial" w:cs="Arial" w:eastAsia="Arial" w:hAnsi="Arial"/>
          <w:sz w:val="18"/>
          <w:szCs w:val="18"/>
          <w:color w:val="auto"/>
        </w:rPr>
        <w:t>ICBC branch agencies to perform rights and obligations under the Contract, or place loan claims under the Contract under the management of other ICBC branch agencies. The Borrower agrees that such actions shall no longer require the consent of the Borrower. Other ICBC branch agencies that undertake the rights and obligations of the Lender are entitled to exercise all rights under the Contract and are entitled to file lawsuits, submit for arbitration, or apply for enforcement in the name of the given agency.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13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Article 14 Entry into Force, Changes, and Release of Contract</w:t>
      </w:r>
    </w:p>
    <w:p>
      <w:pPr>
        <w:spacing w:after="0" w:line="22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The Contract enters into force on the signing date and shall be terminated on the date on which the Borrower fully performs all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Any changes to the Contract shall be agreed to the parties and made in writing. Changed clauses or agreements constitute a part of the Contract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same legal effect of the Contract. Apart from the changed sections, other parts of the Contract shall remain in effect, and the original terms shall remain in effect until the change is effective.</w:t>
      </w:r>
    </w:p>
    <w:p>
      <w:pPr>
        <w:spacing w:after="0" w:line="176" w:lineRule="exact"/>
        <w:rPr>
          <w:sz w:val="20"/>
          <w:szCs w:val="20"/>
          <w:color w:val="auto"/>
        </w:rPr>
      </w:pPr>
    </w:p>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Changes to and release of the Contract shall not affect the rights of the contracting parties to claim damages. The release of the Contract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of the dispute resolution clause.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15 Applicable Law and Dispute Resolution</w:t>
      </w:r>
    </w:p>
    <w:p>
      <w:pPr>
        <w:spacing w:after="0" w:line="227" w:lineRule="exact"/>
        <w:rPr>
          <w:sz w:val="20"/>
          <w:szCs w:val="20"/>
          <w:color w:val="auto"/>
        </w:rPr>
      </w:pPr>
    </w:p>
    <w:p>
      <w:pPr>
        <w:jc w:val="both"/>
        <w:ind w:firstLine="322"/>
        <w:spacing w:after="0" w:line="262" w:lineRule="auto"/>
        <w:rPr>
          <w:sz w:val="20"/>
          <w:szCs w:val="20"/>
          <w:color w:val="auto"/>
        </w:rPr>
      </w:pPr>
      <w:r>
        <w:rPr>
          <w:rFonts w:ascii="Arial" w:cs="Arial" w:eastAsia="Arial" w:hAnsi="Arial"/>
          <w:sz w:val="18"/>
          <w:szCs w:val="18"/>
          <w:color w:val="auto"/>
        </w:rPr>
        <w:t>The conclusion, validity, interpretation, performance of the Contract and settlement of disputes under the Contract shall be governed by the laws of the People’s Republic of China. Any disputes or issues arising from or related to the Contract shall be settled through negotiations by the borrower and the lender; where negotiations fail, disputes shall be resolved through methods as stipulated under the Contract.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16 Address Confirmation for Serving Litigation/Arbitration Instruments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The Borrower confirms that the address listed on the first page of the Contract is the address for serving litigation/arbitration instruments for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Contract. Litigation/arbitration instruments include but are not limited to subpoenas, notices of hearings, judgments, rulings, mediations, and time-limit notices.</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16.2 The Borrower agrees that arbitration institutions or the courts may use the fax or email address listed on the first page of the Contract to serve arbitration/litigation instruments, except for judgments, rulings, and mediations.</w:t>
      </w:r>
    </w:p>
    <w:p>
      <w:pPr>
        <w:spacing w:after="0" w:line="163" w:lineRule="exact"/>
        <w:rPr>
          <w:sz w:val="20"/>
          <w:szCs w:val="20"/>
          <w:color w:val="auto"/>
        </w:rPr>
      </w:pPr>
    </w:p>
    <w:p>
      <w:pPr>
        <w:jc w:val="both"/>
        <w:ind w:firstLine="322"/>
        <w:spacing w:after="0" w:line="310"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color w:val="auto"/>
        </w:rPr>
        <w:t>The abovementioned stipulations on service are applicable to first hearings, second hearings, retrials, and enforcement under arbitration and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As for service to the above address, arbitration institutions or the courts may serve instruments directly by mail.</w:t>
      </w:r>
    </w:p>
    <w:p>
      <w:pPr>
        <w:spacing w:after="0" w:line="140"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16.4 The Borrower shall ensure the truthfulness and validity of the address, contact, fax, email address, and other information listed in the Contract, and if related information changes, the Borrower shall promptly notify the Lender in writing; otherwise, service to the original mailing address shall still be valid, and the Borrower shall bear all resulting legal consequences.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17 Complete Contract</w:t>
      </w:r>
    </w:p>
    <w:p>
      <w:pPr>
        <w:spacing w:after="0" w:line="227" w:lineRule="exact"/>
        <w:rPr>
          <w:sz w:val="20"/>
          <w:szCs w:val="20"/>
          <w:color w:val="auto"/>
        </w:rPr>
      </w:pPr>
    </w:p>
    <w:p>
      <w:pPr>
        <w:jc w:val="both"/>
        <w:ind w:firstLine="322"/>
        <w:spacing w:after="0" w:line="305" w:lineRule="auto"/>
        <w:rPr>
          <w:sz w:val="20"/>
          <w:szCs w:val="20"/>
          <w:color w:val="auto"/>
        </w:rPr>
      </w:pPr>
      <w:r>
        <w:rPr>
          <w:rFonts w:ascii="Arial" w:cs="Arial" w:eastAsia="Arial" w:hAnsi="Arial"/>
          <w:sz w:val="17"/>
          <w:szCs w:val="17"/>
          <w:color w:val="auto"/>
        </w:rPr>
        <w:t>Section 1: Basic Stipulations and Section 2: Specific Stipulations of the Contract together constitute a single complete working capital loan contract, and the same terms in the two sections shall have the same meanings. The Borrower’s borrowing is subject to the above two sections.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14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7" w:name="page278"/>
    <w:bookmarkEnd w:id="277"/>
    <w:p>
      <w:pPr>
        <w:ind w:left="320"/>
        <w:spacing w:after="0"/>
        <w:rPr>
          <w:sz w:val="20"/>
          <w:szCs w:val="20"/>
          <w:color w:val="auto"/>
        </w:rPr>
      </w:pPr>
      <w:r>
        <w:rPr>
          <w:rFonts w:ascii="Arial" w:cs="Arial" w:eastAsia="Arial" w:hAnsi="Arial"/>
          <w:sz w:val="18"/>
          <w:szCs w:val="18"/>
          <w:b w:val="1"/>
          <w:bCs w:val="1"/>
          <w:color w:val="auto"/>
        </w:rPr>
        <w:t>Article 18 Notifications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All notices from the parties to the Contract shall be sent in writing. Unless stipulated otherwise, the parties designate the domiciles listed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as their mailing address and contact address. Should either party’s mailing address or other contact information change, the other party shall be promptly notified in writing.</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Should either party to the Contract refuse to accept mail or should otherwise be unable to served, the notifying party may serve mail by notarization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an announcement.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19 Special Value-Added Tax Stipulations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Interest and expenses under the Contract paid by the Borrower to the Lender shall all include taxes.</w:t>
      </w:r>
    </w:p>
    <w:p>
      <w:pPr>
        <w:spacing w:after="0" w:line="223" w:lineRule="exact"/>
        <w:rPr>
          <w:sz w:val="20"/>
          <w:szCs w:val="20"/>
          <w:color w:val="auto"/>
        </w:rPr>
      </w:pPr>
    </w:p>
    <w:p>
      <w:pPr>
        <w:ind w:right="100" w:firstLine="322"/>
        <w:spacing w:after="0" w:line="279"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Should the Borrower request that the Lender issue a value-added tax receipt, relevant information shall first be registered with the Lender.</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for registration includes the Borrower’s full name, the taxpayer’s identification number or social credit code, address, telephone, bank of account, and account number. The Borrower shall ensure that relevant information provided to the Lender is true, accurate, and complete and shall provide relevant proof as required by the Lender; for specific requirements, the Lender may send online notices or make online announcements.</w:t>
      </w:r>
    </w:p>
    <w:p>
      <w:pPr>
        <w:spacing w:after="0" w:line="165" w:lineRule="exact"/>
        <w:rPr>
          <w:sz w:val="20"/>
          <w:szCs w:val="20"/>
          <w:color w:val="auto"/>
        </w:rPr>
      </w:pPr>
    </w:p>
    <w:p>
      <w:pPr>
        <w:ind w:right="60" w:firstLine="322"/>
        <w:spacing w:after="0" w:line="275" w:lineRule="auto"/>
        <w:rPr>
          <w:sz w:val="20"/>
          <w:szCs w:val="20"/>
          <w:color w:val="auto"/>
        </w:rPr>
      </w:pPr>
      <w:r>
        <w:rPr>
          <w:rFonts w:ascii="Arial" w:cs="Arial" w:eastAsia="Arial" w:hAnsi="Arial"/>
          <w:sz w:val="17"/>
          <w:szCs w:val="17"/>
          <w:b w:val="1"/>
          <w:bCs w:val="1"/>
          <w:color w:val="auto"/>
        </w:rPr>
        <w:t xml:space="preserve">19.3 </w:t>
      </w:r>
      <w:r>
        <w:rPr>
          <w:rFonts w:ascii="Arial" w:cs="Arial" w:eastAsia="Arial" w:hAnsi="Arial"/>
          <w:sz w:val="17"/>
          <w:szCs w:val="17"/>
          <w:color w:val="auto"/>
        </w:rPr>
        <w:t>Should the Borrower collect its own value-added tax invoices, it shall provide the Lender with a stamped power of attorney, designating the collector</w:t>
      </w:r>
      <w:r>
        <w:rPr>
          <w:rFonts w:ascii="Arial" w:cs="Arial" w:eastAsia="Arial" w:hAnsi="Arial"/>
          <w:sz w:val="17"/>
          <w:szCs w:val="17"/>
          <w:b w:val="1"/>
          <w:bCs w:val="1"/>
          <w:color w:val="auto"/>
        </w:rPr>
        <w:t xml:space="preserve"> </w:t>
      </w:r>
      <w:r>
        <w:rPr>
          <w:rFonts w:ascii="Arial" w:cs="Arial" w:eastAsia="Arial" w:hAnsi="Arial"/>
          <w:sz w:val="17"/>
          <w:szCs w:val="17"/>
          <w:color w:val="auto"/>
        </w:rPr>
        <w:t>and specifying such information as the collector’s identification number; thereafter, the collector shall present the original of his or her identification card to collect value-added tax invoices. If the designated collector changes, the Borrower shall need to issue to the Lender a new stamped power of attorney. Should the Borrower choose to receive value-added tax invoices by mail, the Borrower shall still provide accurate, error-free, and servable mailing information; if the mailing information changes, the Lender shall be promptly notified in writing.</w:t>
      </w:r>
    </w:p>
    <w:p>
      <w:pPr>
        <w:spacing w:after="0" w:line="169" w:lineRule="exact"/>
        <w:rPr>
          <w:sz w:val="20"/>
          <w:szCs w:val="20"/>
          <w:color w:val="auto"/>
        </w:rPr>
      </w:pPr>
    </w:p>
    <w:p>
      <w:pPr>
        <w:ind w:right="340" w:firstLine="322"/>
        <w:spacing w:after="0" w:line="344" w:lineRule="auto"/>
        <w:rPr>
          <w:sz w:val="20"/>
          <w:szCs w:val="20"/>
          <w:color w:val="auto"/>
        </w:rPr>
      </w:pPr>
      <w:r>
        <w:rPr>
          <w:rFonts w:ascii="Arial" w:cs="Arial" w:eastAsia="Arial" w:hAnsi="Arial"/>
          <w:sz w:val="16"/>
          <w:szCs w:val="16"/>
          <w:b w:val="1"/>
          <w:bCs w:val="1"/>
          <w:color w:val="auto"/>
        </w:rPr>
        <w:t xml:space="preserve">19.4 </w:t>
      </w:r>
      <w:r>
        <w:rPr>
          <w:rFonts w:ascii="Arial" w:cs="Arial" w:eastAsia="Arial" w:hAnsi="Arial"/>
          <w:sz w:val="16"/>
          <w:szCs w:val="16"/>
          <w:color w:val="auto"/>
        </w:rPr>
        <w:t>Should the Lender be unable to promptly issue value-added tax invoices due to natural disasters, government actions, social anomalies,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of force majeure or because of tax authorities, the Lender is entitled to delay invoicing and shall not assume any responsibility.</w:t>
      </w:r>
    </w:p>
    <w:p>
      <w:pPr>
        <w:spacing w:after="0" w:line="117" w:lineRule="exact"/>
        <w:rPr>
          <w:sz w:val="20"/>
          <w:szCs w:val="20"/>
          <w:color w:val="auto"/>
        </w:rPr>
      </w:pPr>
    </w:p>
    <w:p>
      <w:pPr>
        <w:ind w:right="300" w:firstLine="322"/>
        <w:spacing w:after="0" w:line="287" w:lineRule="auto"/>
        <w:rPr>
          <w:sz w:val="20"/>
          <w:szCs w:val="20"/>
          <w:color w:val="auto"/>
        </w:rPr>
      </w:pPr>
      <w:r>
        <w:rPr>
          <w:rFonts w:ascii="Arial" w:cs="Arial" w:eastAsia="Arial" w:hAnsi="Arial"/>
          <w:sz w:val="17"/>
          <w:szCs w:val="17"/>
          <w:b w:val="1"/>
          <w:bCs w:val="1"/>
          <w:color w:val="auto"/>
        </w:rPr>
        <w:t>19.5 Should a value-added tax invoice be lost, damaged, or overdue after it is collected by the Borrower or delivery by the Lender to a third party, or for other reasons unrelated to the Lender, such that the Borrower cannot receive the value-added tax invoice or cannot deduct the tax on time, the Lender shall not be liable for compensating the Borrower for related economic losses.</w:t>
      </w:r>
    </w:p>
    <w:p>
      <w:pPr>
        <w:spacing w:after="0" w:line="158" w:lineRule="exact"/>
        <w:rPr>
          <w:sz w:val="20"/>
          <w:szCs w:val="20"/>
          <w:color w:val="auto"/>
        </w:rPr>
      </w:pPr>
    </w:p>
    <w:p>
      <w:pPr>
        <w:ind w:right="40" w:firstLine="322"/>
        <w:spacing w:after="0" w:line="301" w:lineRule="auto"/>
        <w:rPr>
          <w:sz w:val="20"/>
          <w:szCs w:val="20"/>
          <w:color w:val="auto"/>
        </w:rPr>
      </w:pPr>
      <w:r>
        <w:rPr>
          <w:rFonts w:ascii="Arial" w:cs="Arial" w:eastAsia="Arial" w:hAnsi="Arial"/>
          <w:sz w:val="16"/>
          <w:szCs w:val="16"/>
          <w:b w:val="1"/>
          <w:bCs w:val="1"/>
          <w:color w:val="auto"/>
        </w:rPr>
        <w:t xml:space="preserve">19.6 </w:t>
      </w:r>
      <w:r>
        <w:rPr>
          <w:rFonts w:ascii="Arial" w:cs="Arial" w:eastAsia="Arial" w:hAnsi="Arial"/>
          <w:sz w:val="16"/>
          <w:szCs w:val="16"/>
          <w:color w:val="auto"/>
        </w:rPr>
        <w:t>Should the Borrower need to have a special red-text value-added tax invoice issued because of sales returns, the suspension of taxable services, or</w:t>
      </w:r>
      <w:r>
        <w:rPr>
          <w:rFonts w:ascii="Arial" w:cs="Arial" w:eastAsia="Arial" w:hAnsi="Arial"/>
          <w:sz w:val="16"/>
          <w:szCs w:val="16"/>
          <w:b w:val="1"/>
          <w:bCs w:val="1"/>
          <w:color w:val="auto"/>
        </w:rPr>
        <w:t xml:space="preserve"> </w:t>
      </w:r>
      <w:r>
        <w:rPr>
          <w:rFonts w:ascii="Arial" w:cs="Arial" w:eastAsia="Arial" w:hAnsi="Arial"/>
          <w:sz w:val="16"/>
          <w:szCs w:val="16"/>
          <w:color w:val="auto"/>
        </w:rPr>
        <w:t>invoicing errors, deductions, or the inability to certify invoices and the Borrower is required, under relevant laws, regulations, and policy documents, to submit a Special Red-Text Value-Added Tax Invoice Issuance Information Form, the Borrower shall submit a Special Red-Text Value-Added Tax Invoice Issuance Information Form to tax authorities; once approved by tax authorities and once notified, the Lender shall issue a special red-text value-added tax invoice.</w:t>
      </w:r>
    </w:p>
    <w:p>
      <w:pPr>
        <w:spacing w:after="0" w:line="151" w:lineRule="exact"/>
        <w:rPr>
          <w:sz w:val="20"/>
          <w:szCs w:val="20"/>
          <w:color w:val="auto"/>
        </w:rPr>
      </w:pPr>
    </w:p>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During the performance of the Contract, should national tax rates be adjusted, the Lender is entitled to adjust pricing under the Contract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and adjustments to national tax rates.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15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Article 20 Miscellaneous</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Lender’s failure to exercise or partially exercise or delay the exercise of any right under the Contract does not constitute a waiver or change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other rights, nor does it affect its further exercise of that right or other rights.</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Should any term of the Contract be invalid or unenforceable, it shall not affect the validity and enforceability of other terms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entire contract.</w:t>
      </w:r>
    </w:p>
    <w:p>
      <w:pPr>
        <w:spacing w:after="0" w:line="163"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The Lender is entitled to, pursuant to relevant legal and regulatory provisions and the requirements of financial regulators, to provide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Contract or the Borrower’s other information to the People’s Bank of China Credit System and other lawfully established credit information databases to be queried and used by qualified institutions or individuals. The Lender is also entitled, for the purposes of entering into and performing the Contract, to query the Borrower’s related information on the People’s Bank of China Credit System and other lawfully established credit information databases.</w:t>
      </w:r>
    </w:p>
    <w:p>
      <w:pPr>
        <w:spacing w:after="0" w:line="185"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The terms “related party,” “related party relationships,” “related party transactions,” “main investors,” “key management personnel,” and other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shall have the same meanings as the same terms in the Accounting Standards for Business Enterprises No. 36 - Related Party Disclosures (C.H. [2006] 3) issued by the Ministry of Finance, as well as subsequent amendments to the Standards.</w:t>
      </w:r>
    </w:p>
    <w:p>
      <w:pPr>
        <w:spacing w:after="0" w:line="176"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color w:val="auto"/>
        </w:rPr>
        <w:t>The environmental and social risks mentioned in the Contract refer to the environmental and social hazards and risks associated with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important related parties in construction, production, and operation activities, including environmental and social issues related to energy consumption, pollution, land, health, safety, resettlement, ecological protection, and climate change.</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20.6 The documents and vouchers for loans under the Contract prepared and retained by the Lender according to its business rules constitute valid evidence for the credit relationship between the Borrower and the Lender and are binding on the Borrower.</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color w:val="auto"/>
        </w:rPr>
        <w:t>In the Contract, (1) all mention of the Contract shall include revisions to or supplementation of the Contract; (2) article titles are for reference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constitute any interpretation of the Contract, nor do they impose any restrictions on the content of the titles or their scope; and (3) should withdrawal dates or repayment dates fall on non-banking days, they shall be postponed to the next banking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724725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22"/>
        <w:spacing w:after="0" w:line="296" w:lineRule="auto"/>
        <w:rPr>
          <w:sz w:val="20"/>
          <w:szCs w:val="20"/>
          <w:color w:val="auto"/>
        </w:rPr>
      </w:pPr>
      <w:r>
        <w:rPr>
          <w:rFonts w:ascii="Arial" w:cs="Arial" w:eastAsia="Arial" w:hAnsi="Arial"/>
          <w:sz w:val="16"/>
          <w:szCs w:val="16"/>
          <w:b w:val="1"/>
          <w:bCs w:val="1"/>
          <w:color w:val="auto"/>
        </w:rPr>
        <w:t>The parties acknowledge that: both the Borrower and the Lender have fully negotiated on all of the terms of the Contract. Lender has drawn the Borrower’s attention to all terms related to the parties’ rights and obligations, so that the Borrower full and accurately understands them, and at the request of the Borrower, the Lender has provided explanations for relevant provisions. The Borrower has carefully read and fully understands all terms of the Contract (including Section 1: General Stipulations and Section 2: Specific Stipulations), and both the Borrower and the Lender have reached full consensus on the understanding of the terms of the Contract with no objections to the contractual contents.</w:t>
      </w:r>
    </w:p>
    <w:p>
      <w:pPr>
        <w:spacing w:after="0" w:line="181"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 xml:space="preserve">Borrower (Seal): </w:t>
      </w:r>
      <w:r>
        <w:rPr>
          <w:rFonts w:ascii="Arial" w:cs="Arial" w:eastAsia="Arial" w:hAnsi="Arial"/>
          <w:sz w:val="16"/>
          <w:szCs w:val="16"/>
          <w:b w:val="1"/>
          <w:bCs w:val="1"/>
          <w:u w:val="single" w:color="auto"/>
          <w:color w:val="auto"/>
        </w:rPr>
        <w:t>Photronics DNP Mask Corporation Xiamen [seal]</w:t>
      </w:r>
    </w:p>
    <w:p>
      <w:pPr>
        <w:spacing w:after="0" w:line="58"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auto"/>
        </w:rPr>
        <w:t>Date:____________</w:t>
      </w:r>
    </w:p>
    <w:p>
      <w:pPr>
        <w:spacing w:after="0" w:line="273" w:lineRule="exact"/>
        <w:rPr>
          <w:sz w:val="20"/>
          <w:szCs w:val="20"/>
          <w:color w:val="auto"/>
        </w:rPr>
      </w:pPr>
    </w:p>
    <w:p>
      <w:pPr>
        <w:jc w:val="both"/>
        <w:ind w:left="80" w:right="20" w:hanging="54"/>
        <w:spacing w:after="0" w:line="344" w:lineRule="auto"/>
        <w:rPr>
          <w:sz w:val="20"/>
          <w:szCs w:val="20"/>
          <w:color w:val="auto"/>
        </w:rPr>
      </w:pPr>
      <w:r>
        <w:rPr>
          <w:rFonts w:ascii="Arial" w:cs="Arial" w:eastAsia="Arial" w:hAnsi="Arial"/>
          <w:sz w:val="16"/>
          <w:szCs w:val="16"/>
          <w:b w:val="1"/>
          <w:bCs w:val="1"/>
          <w:u w:val="single" w:color="auto"/>
          <w:color w:val="auto"/>
        </w:rPr>
        <w:t>As the legal representative/authorized representative of the Borrower, I certify that the Borrower borrows from the Lender as per the contract terms, the fact that the seals used in this contract are authentic and valid, as well as that the Borrower has completed each required procedure for the loan.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16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t>Borrower Legal Representative / Authorized Representative (Signature):____[seal:] Peter Scott Kirlin_____________</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Contract Main Body Page 17 of 17</w:t>
            </w: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540" w:type="dxa"/>
            <w:vAlign w:val="bottom"/>
          </w:tcPr>
          <w:p>
            <w:pPr>
              <w:ind w:left="278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Document 1 of 2</w:t>
            </w:r>
          </w:p>
        </w:tc>
        <w:tc>
          <w:tcPr>
            <w:tcW w:w="7540" w:type="dxa"/>
            <w:vAlign w:val="bottom"/>
          </w:tcPr>
          <w:p>
            <w:pPr>
              <w:ind w:left="2780"/>
              <w:spacing w:after="0"/>
              <w:rPr>
                <w:sz w:val="20"/>
                <w:szCs w:val="20"/>
                <w:color w:val="auto"/>
              </w:rPr>
            </w:pPr>
            <w:r>
              <w:rPr>
                <w:rFonts w:ascii="Arial" w:cs="Arial" w:eastAsia="Arial" w:hAnsi="Arial"/>
                <w:sz w:val="18"/>
                <w:szCs w:val="18"/>
                <w:color w:val="auto"/>
              </w:rPr>
              <w:t>contract contents [QR Code]</w:t>
            </w:r>
          </w:p>
        </w:tc>
      </w:tr>
      <w:tr>
        <w:trPr>
          <w:trHeight w:val="60"/>
        </w:trPr>
        <w:tc>
          <w:tcPr>
            <w:tcW w:w="3880" w:type="dxa"/>
            <w:vAlign w:val="bottom"/>
            <w:tcBorders>
              <w:bottom w:val="single" w:sz="8" w:color="auto"/>
            </w:tcBorders>
          </w:tcPr>
          <w:p>
            <w:pPr>
              <w:spacing w:after="0"/>
              <w:rPr>
                <w:sz w:val="5"/>
                <w:szCs w:val="5"/>
                <w:color w:val="auto"/>
              </w:rPr>
            </w:pPr>
          </w:p>
        </w:tc>
        <w:tc>
          <w:tcPr>
            <w:tcW w:w="75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80" w:name="page281"/>
    <w:bookmarkEnd w:id="280"/>
    <w:p>
      <w:pPr>
        <w:ind w:right="220"/>
        <w:spacing w:after="0" w:line="279" w:lineRule="auto"/>
        <w:rPr>
          <w:sz w:val="20"/>
          <w:szCs w:val="20"/>
          <w:color w:val="auto"/>
        </w:rPr>
      </w:pPr>
      <w:r>
        <w:rPr>
          <w:rFonts w:ascii="Arial" w:cs="Arial" w:eastAsia="Arial" w:hAnsi="Arial"/>
          <w:sz w:val="18"/>
          <w:szCs w:val="18"/>
          <w:b w:val="1"/>
          <w:bCs w:val="1"/>
          <w:color w:val="auto"/>
        </w:rPr>
        <w:t xml:space="preserve">This page is the Lender signature page of the Working Capital Loan Contract (Contract #: 0410000286-2018 (Xiang’an) No. 00287) entered into by </w:t>
      </w:r>
      <w:r>
        <w:rPr>
          <w:rFonts w:ascii="Arial" w:cs="Arial" w:eastAsia="Arial" w:hAnsi="Arial"/>
          <w:sz w:val="18"/>
          <w:szCs w:val="18"/>
          <w:b w:val="1"/>
          <w:bCs w:val="1"/>
          <w:u w:val="single" w:color="auto"/>
          <w:color w:val="auto"/>
        </w:rPr>
        <w:t>Photronics DNP Mask Corporation Xiamen</w:t>
      </w:r>
      <w:r>
        <w:rPr>
          <w:rFonts w:ascii="Arial" w:cs="Arial" w:eastAsia="Arial" w:hAnsi="Arial"/>
          <w:sz w:val="18"/>
          <w:szCs w:val="18"/>
          <w:b w:val="1"/>
          <w:bCs w:val="1"/>
          <w:color w:val="auto"/>
        </w:rPr>
        <w:t xml:space="preserve"> and ICBC </w:t>
      </w:r>
      <w:r>
        <w:rPr>
          <w:rFonts w:ascii="Arial" w:cs="Arial" w:eastAsia="Arial" w:hAnsi="Arial"/>
          <w:sz w:val="18"/>
          <w:szCs w:val="18"/>
          <w:b w:val="1"/>
          <w:bCs w:val="1"/>
          <w:u w:val="single" w:color="auto"/>
          <w:color w:val="auto"/>
        </w:rPr>
        <w:t>Xiang’an Branch</w:t>
      </w:r>
      <w:r>
        <w:rPr>
          <w:rFonts w:ascii="Arial" w:cs="Arial" w:eastAsia="Arial" w:hAnsi="Arial"/>
          <w:sz w:val="18"/>
          <w:szCs w:val="18"/>
          <w:b w:val="1"/>
          <w:b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agree to proceed with the working capital loan with the business information below:</w:t>
      </w:r>
    </w:p>
    <w:p>
      <w:pPr>
        <w:spacing w:after="0" w:line="223" w:lineRule="exact"/>
        <w:rPr>
          <w:sz w:val="20"/>
          <w:szCs w:val="20"/>
          <w:color w:val="auto"/>
        </w:rPr>
      </w:pPr>
    </w:p>
    <w:p>
      <w:pPr>
        <w:ind w:left="180" w:hanging="173"/>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Borrower: </w:t>
      </w:r>
      <w:r>
        <w:rPr>
          <w:rFonts w:ascii="Arial" w:cs="Arial" w:eastAsia="Arial" w:hAnsi="Arial"/>
          <w:sz w:val="18"/>
          <w:szCs w:val="18"/>
          <w:u w:val="single" w:color="auto"/>
          <w:color w:val="auto"/>
        </w:rPr>
        <w:t>Photronics DNP Mask Corporation Xiamen</w:t>
      </w:r>
    </w:p>
    <w:p>
      <w:pPr>
        <w:spacing w:after="0" w:line="222" w:lineRule="exact"/>
        <w:rPr>
          <w:rFonts w:ascii="Arial" w:cs="Arial" w:eastAsia="Arial" w:hAnsi="Arial"/>
          <w:sz w:val="18"/>
          <w:szCs w:val="18"/>
          <w:color w:val="auto"/>
        </w:rPr>
      </w:pPr>
    </w:p>
    <w:p>
      <w:pPr>
        <w:ind w:right="200" w:firstLine="7"/>
        <w:spacing w:after="0" w:line="275" w:lineRule="auto"/>
        <w:tabs>
          <w:tab w:leader="none" w:pos="17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Loans under the Contract shall be used for the following purpose; without the written consent of the Lender, the Borrower shall not misuse any loans. The Lender is entitled to supervision of the use of funds. Purpose: </w:t>
      </w:r>
      <w:r>
        <w:rPr>
          <w:rFonts w:ascii="Arial" w:cs="Arial" w:eastAsia="Arial" w:hAnsi="Arial"/>
          <w:sz w:val="18"/>
          <w:szCs w:val="18"/>
          <w:u w:val="single" w:color="auto"/>
          <w:color w:val="auto"/>
        </w:rPr>
        <w:t>VAT Payment</w:t>
      </w:r>
    </w:p>
    <w:p>
      <w:pPr>
        <w:spacing w:after="0" w:line="170" w:lineRule="exact"/>
        <w:rPr>
          <w:rFonts w:ascii="Arial" w:cs="Arial" w:eastAsia="Arial" w:hAnsi="Arial"/>
          <w:sz w:val="18"/>
          <w:szCs w:val="18"/>
          <w:color w:val="auto"/>
        </w:rPr>
      </w:pPr>
    </w:p>
    <w:p>
      <w:pPr>
        <w:ind w:right="40" w:firstLine="7"/>
        <w:spacing w:after="0" w:line="305" w:lineRule="auto"/>
        <w:tabs>
          <w:tab w:leader="none" w:pos="17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accordance to Article 2.1 in the main body of this Contract, the currency of the loan in this Contract is </w:t>
      </w:r>
      <w:r>
        <w:rPr>
          <w:rFonts w:ascii="Arial" w:cs="Arial" w:eastAsia="Arial" w:hAnsi="Arial"/>
          <w:sz w:val="17"/>
          <w:szCs w:val="17"/>
          <w:u w:val="single" w:color="auto"/>
          <w:color w:val="auto"/>
        </w:rPr>
        <w:t>RMB</w:t>
      </w:r>
      <w:r>
        <w:rPr>
          <w:rFonts w:ascii="Arial" w:cs="Arial" w:eastAsia="Arial" w:hAnsi="Arial"/>
          <w:sz w:val="17"/>
          <w:szCs w:val="17"/>
          <w:color w:val="auto"/>
        </w:rPr>
        <w:t xml:space="preserve">, and the amount is </w:t>
      </w:r>
      <w:r>
        <w:rPr>
          <w:rFonts w:ascii="Arial" w:cs="Arial" w:eastAsia="Arial" w:hAnsi="Arial"/>
          <w:sz w:val="17"/>
          <w:szCs w:val="17"/>
          <w:u w:val="single" w:color="auto"/>
          <w:color w:val="auto"/>
        </w:rPr>
        <w:t>1600000.00</w:t>
      </w:r>
      <w:r>
        <w:rPr>
          <w:rFonts w:ascii="Arial" w:cs="Arial" w:eastAsia="Arial" w:hAnsi="Arial"/>
          <w:sz w:val="17"/>
          <w:szCs w:val="17"/>
          <w:color w:val="auto"/>
        </w:rPr>
        <w:t xml:space="preserve"> (In WORDS: </w:t>
      </w:r>
      <w:r>
        <w:rPr>
          <w:rFonts w:ascii="Arial" w:cs="Arial" w:eastAsia="Arial" w:hAnsi="Arial"/>
          <w:sz w:val="17"/>
          <w:szCs w:val="17"/>
          <w:u w:val="single" w:color="auto"/>
          <w:color w:val="auto"/>
        </w:rPr>
        <w:t>One million and six hundred thousand</w:t>
      </w:r>
      <w:r>
        <w:rPr>
          <w:rFonts w:ascii="Arial" w:cs="Arial" w:eastAsia="Arial" w:hAnsi="Arial"/>
          <w:sz w:val="17"/>
          <w:szCs w:val="17"/>
          <w:color w:val="auto"/>
        </w:rPr>
        <w:t>) yuan (In case of inconsistency amounts in numbers and words, the amount in words shall prevail)</w:t>
      </w:r>
    </w:p>
    <w:p>
      <w:pPr>
        <w:spacing w:after="0" w:line="147" w:lineRule="exact"/>
        <w:rPr>
          <w:rFonts w:ascii="Arial" w:cs="Arial" w:eastAsia="Arial" w:hAnsi="Arial"/>
          <w:sz w:val="17"/>
          <w:szCs w:val="17"/>
          <w:color w:val="auto"/>
        </w:rPr>
      </w:pPr>
    </w:p>
    <w:p>
      <w:pPr>
        <w:ind w:right="520" w:firstLine="7"/>
        <w:spacing w:after="0" w:line="339" w:lineRule="auto"/>
        <w:tabs>
          <w:tab w:leader="none" w:pos="17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In accordance to Article 2.2 in the main body of this Contract, the term of the loan in this contract is </w:t>
      </w:r>
      <w:r>
        <w:rPr>
          <w:rFonts w:ascii="Arial" w:cs="Arial" w:eastAsia="Arial" w:hAnsi="Arial"/>
          <w:sz w:val="16"/>
          <w:szCs w:val="16"/>
          <w:u w:val="single" w:color="auto"/>
          <w:color w:val="auto"/>
        </w:rPr>
        <w:t>36 months</w:t>
      </w:r>
      <w:r>
        <w:rPr>
          <w:rFonts w:ascii="Arial" w:cs="Arial" w:eastAsia="Arial" w:hAnsi="Arial"/>
          <w:sz w:val="16"/>
          <w:szCs w:val="16"/>
          <w:color w:val="auto"/>
        </w:rPr>
        <w:t xml:space="preserve"> with the starting date from the date of withdrawal (for multiple withdrawals, starting date is the day of the first withdrawal), and the loan document determines the actual withdrawal date.</w:t>
      </w:r>
    </w:p>
    <w:p>
      <w:pPr>
        <w:spacing w:after="0" w:line="124" w:lineRule="exact"/>
        <w:rPr>
          <w:rFonts w:ascii="Arial" w:cs="Arial" w:eastAsia="Arial" w:hAnsi="Arial"/>
          <w:sz w:val="16"/>
          <w:szCs w:val="16"/>
          <w:color w:val="auto"/>
        </w:rPr>
      </w:pPr>
    </w:p>
    <w:p>
      <w:pPr>
        <w:ind w:left="180" w:hanging="173"/>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interest rate of RMB loan is determined by the method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Article 3.1 in the main body of this Contract.</w:t>
      </w:r>
    </w:p>
    <w:p>
      <w:pPr>
        <w:spacing w:after="0" w:line="222" w:lineRule="exact"/>
        <w:rPr>
          <w:rFonts w:ascii="Arial" w:cs="Arial" w:eastAsia="Arial" w:hAnsi="Arial"/>
          <w:sz w:val="18"/>
          <w:szCs w:val="18"/>
          <w:color w:val="auto"/>
        </w:rPr>
      </w:pPr>
    </w:p>
    <w:p>
      <w:pPr>
        <w:ind w:left="180" w:hanging="173"/>
        <w:spacing w:after="0"/>
        <w:tabs>
          <w:tab w:leader="none" w:pos="1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interest rate of foreign currency loan is determined by the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Article 3.2 in the main body of this Contract.</w:t>
      </w:r>
    </w:p>
    <w:p>
      <w:pPr>
        <w:spacing w:after="0" w:line="222" w:lineRule="exact"/>
        <w:rPr>
          <w:rFonts w:ascii="Arial" w:cs="Arial" w:eastAsia="Arial" w:hAnsi="Arial"/>
          <w:sz w:val="18"/>
          <w:szCs w:val="18"/>
          <w:color w:val="auto"/>
        </w:rPr>
      </w:pPr>
    </w:p>
    <w:p>
      <w:pPr>
        <w:ind w:right="340" w:firstLine="7"/>
        <w:spacing w:after="0" w:line="305" w:lineRule="auto"/>
        <w:tabs>
          <w:tab w:leader="none" w:pos="179"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Interest shall be calculated on lending under the Contract on a daily basis from the withdrawal date and settled every </w:t>
      </w:r>
      <w:r>
        <w:rPr>
          <w:rFonts w:ascii="Arial" w:cs="Arial" w:eastAsia="Arial" w:hAnsi="Arial"/>
          <w:sz w:val="17"/>
          <w:szCs w:val="17"/>
          <w:u w:val="single" w:color="auto"/>
          <w:color w:val="auto"/>
        </w:rPr>
        <w:t>month</w:t>
      </w:r>
      <w:r>
        <w:rPr>
          <w:rFonts w:ascii="Arial" w:cs="Arial" w:eastAsia="Arial" w:hAnsi="Arial"/>
          <w:sz w:val="17"/>
          <w:szCs w:val="17"/>
          <w:color w:val="auto"/>
        </w:rPr>
        <w:t xml:space="preserve"> (month/quarter/six months). Interest shall be settled with principal when loans are due, and the daily interest rate = annual interest rate/360.</w:t>
      </w:r>
    </w:p>
    <w:p>
      <w:pPr>
        <w:spacing w:after="0" w:line="147" w:lineRule="exact"/>
        <w:rPr>
          <w:rFonts w:ascii="Arial" w:cs="Arial" w:eastAsia="Arial" w:hAnsi="Arial"/>
          <w:sz w:val="17"/>
          <w:szCs w:val="17"/>
          <w:color w:val="auto"/>
        </w:rPr>
      </w:pPr>
    </w:p>
    <w:p>
      <w:pPr>
        <w:ind w:right="200" w:firstLine="7"/>
        <w:spacing w:after="0" w:line="275" w:lineRule="auto"/>
        <w:tabs>
          <w:tab w:leader="none" w:pos="17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penalty interest rate for overdue payments under the Contract shall be determined at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 of the original lending rate, and the penalty interest rate for misuse of loans shall be determined at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 of the original lending rate.</w:t>
      </w:r>
    </w:p>
    <w:p>
      <w:pPr>
        <w:spacing w:after="0" w:line="170" w:lineRule="exact"/>
        <w:rPr>
          <w:rFonts w:ascii="Arial" w:cs="Arial" w:eastAsia="Arial" w:hAnsi="Arial"/>
          <w:sz w:val="18"/>
          <w:szCs w:val="18"/>
          <w:color w:val="auto"/>
        </w:rPr>
      </w:pPr>
    </w:p>
    <w:p>
      <w:pPr>
        <w:ind w:left="180" w:hanging="173"/>
        <w:spacing w:after="0"/>
        <w:tabs>
          <w:tab w:leader="none" w:pos="1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In accordance to Article 5.1 of the main body of this Contract, the Borrower shall repay the loan under this Contract according to method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(1/2).</w:t>
      </w:r>
    </w:p>
    <w:p>
      <w:pPr>
        <w:spacing w:after="0" w:line="234" w:lineRule="exact"/>
        <w:rPr>
          <w:rFonts w:ascii="Arial" w:cs="Arial" w:eastAsia="Arial" w:hAnsi="Arial"/>
          <w:sz w:val="17"/>
          <w:szCs w:val="17"/>
          <w:color w:val="auto"/>
        </w:rPr>
      </w:pPr>
    </w:p>
    <w:p>
      <w:pPr>
        <w:ind w:left="900" w:hanging="248"/>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One-time loan repayment upon expiration.</w:t>
      </w:r>
    </w:p>
    <w:p>
      <w:pPr>
        <w:spacing w:after="0" w:line="222" w:lineRule="exact"/>
        <w:rPr>
          <w:rFonts w:ascii="Arial" w:cs="Arial" w:eastAsia="Arial" w:hAnsi="Arial"/>
          <w:sz w:val="18"/>
          <w:szCs w:val="18"/>
          <w:color w:val="auto"/>
        </w:rPr>
      </w:pPr>
    </w:p>
    <w:p>
      <w:pPr>
        <w:ind w:left="900" w:hanging="248"/>
        <w:spacing w:after="0"/>
        <w:tabs>
          <w:tab w:leader="none" w:pos="9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According to the following repayment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Lender: ICBC </w:t>
      </w:r>
      <w:r>
        <w:rPr>
          <w:rFonts w:ascii="Arial" w:cs="Arial" w:eastAsia="Arial" w:hAnsi="Arial"/>
          <w:sz w:val="18"/>
          <w:szCs w:val="18"/>
          <w:b w:val="1"/>
          <w:bCs w:val="1"/>
          <w:u w:val="single" w:color="auto"/>
          <w:color w:val="auto"/>
        </w:rPr>
        <w:t>Xiang’an Branch</w:t>
      </w:r>
      <w:r>
        <w:rPr>
          <w:rFonts w:ascii="Arial" w:cs="Arial" w:eastAsia="Arial" w:hAnsi="Arial"/>
          <w:sz w:val="18"/>
          <w:szCs w:val="18"/>
          <w:color w:val="auto"/>
        </w:rPr>
        <w:t xml:space="preserve"> [seal]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22, 2018</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7160" w:type="dxa"/>
            <w:vAlign w:val="bottom"/>
          </w:tcPr>
          <w:p>
            <w:pPr>
              <w:ind w:left="920"/>
              <w:spacing w:after="0"/>
              <w:rPr>
                <w:sz w:val="20"/>
                <w:szCs w:val="20"/>
                <w:color w:val="auto"/>
              </w:rPr>
            </w:pPr>
            <w:r>
              <w:rPr>
                <w:rFonts w:ascii="Arial" w:cs="Arial" w:eastAsia="Arial" w:hAnsi="Arial"/>
                <w:sz w:val="18"/>
                <w:szCs w:val="18"/>
                <w:color w:val="auto"/>
              </w:rPr>
              <w:t>Signature Page</w:t>
            </w:r>
          </w:p>
        </w:tc>
      </w:tr>
      <w:tr>
        <w:trPr>
          <w:trHeight w:val="415"/>
        </w:trPr>
        <w:tc>
          <w:tcPr>
            <w:tcW w:w="4260" w:type="dxa"/>
            <w:vAlign w:val="bottom"/>
          </w:tcPr>
          <w:p>
            <w:pPr>
              <w:spacing w:after="0"/>
              <w:rPr>
                <w:sz w:val="20"/>
                <w:szCs w:val="20"/>
                <w:color w:val="auto"/>
              </w:rPr>
            </w:pPr>
            <w:r>
              <w:rPr>
                <w:rFonts w:ascii="Arial" w:cs="Arial" w:eastAsia="Arial" w:hAnsi="Arial"/>
                <w:sz w:val="18"/>
                <w:szCs w:val="18"/>
                <w:color w:val="auto"/>
              </w:rPr>
              <w:t>Contract Serial #201811220410001245216760</w:t>
            </w:r>
          </w:p>
        </w:tc>
        <w:tc>
          <w:tcPr>
            <w:tcW w:w="7160" w:type="dxa"/>
            <w:vAlign w:val="bottom"/>
          </w:tcPr>
          <w:p>
            <w:pPr>
              <w:ind w:left="236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Document 1 of 2</w:t>
            </w:r>
          </w:p>
        </w:tc>
        <w:tc>
          <w:tcPr>
            <w:tcW w:w="7160" w:type="dxa"/>
            <w:vAlign w:val="bottom"/>
          </w:tcPr>
          <w:p>
            <w:pPr>
              <w:ind w:left="2360"/>
              <w:spacing w:after="0"/>
              <w:rPr>
                <w:sz w:val="20"/>
                <w:szCs w:val="20"/>
                <w:color w:val="auto"/>
              </w:rPr>
            </w:pPr>
            <w:r>
              <w:rPr>
                <w:rFonts w:ascii="Arial" w:cs="Arial" w:eastAsia="Arial" w:hAnsi="Arial"/>
                <w:sz w:val="18"/>
                <w:szCs w:val="18"/>
                <w:color w:val="auto"/>
              </w:rPr>
              <w:t>contract contents [QR Code]</w:t>
            </w:r>
          </w:p>
        </w:tc>
      </w:tr>
      <w:tr>
        <w:trPr>
          <w:trHeight w:val="114"/>
        </w:trPr>
        <w:tc>
          <w:tcPr>
            <w:tcW w:w="4260" w:type="dxa"/>
            <w:vAlign w:val="bottom"/>
            <w:tcBorders>
              <w:bottom w:val="single" w:sz="8" w:color="auto"/>
            </w:tcBorders>
          </w:tcPr>
          <w:p>
            <w:pPr>
              <w:spacing w:after="0"/>
              <w:rPr>
                <w:sz w:val="9"/>
                <w:szCs w:val="9"/>
                <w:color w:val="auto"/>
              </w:rPr>
            </w:pPr>
          </w:p>
        </w:tc>
        <w:tc>
          <w:tcPr>
            <w:tcW w:w="7160" w:type="dxa"/>
            <w:vAlign w:val="bottom"/>
            <w:tcBorders>
              <w:bottom w:val="single" w:sz="8" w:color="auto"/>
            </w:tcBorders>
          </w:tcPr>
          <w:p>
            <w:pPr>
              <w:spacing w:after="0"/>
              <w:rPr>
                <w:sz w:val="9"/>
                <w:szCs w:val="9"/>
                <w:color w:val="auto"/>
              </w:rPr>
            </w:pPr>
          </w:p>
        </w:tc>
      </w:tr>
      <w:tr>
        <w:trPr>
          <w:trHeight w:val="181"/>
        </w:trPr>
        <w:tc>
          <w:tcPr>
            <w:tcW w:w="4260" w:type="dxa"/>
            <w:vAlign w:val="bottom"/>
            <w:tcBorders>
              <w:bottom w:val="single" w:sz="8" w:color="auto"/>
            </w:tcBorders>
          </w:tcPr>
          <w:p>
            <w:pPr>
              <w:spacing w:after="0"/>
              <w:rPr>
                <w:sz w:val="15"/>
                <w:szCs w:val="15"/>
                <w:color w:val="auto"/>
              </w:rPr>
            </w:pPr>
          </w:p>
        </w:tc>
        <w:tc>
          <w:tcPr>
            <w:tcW w:w="71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1" w:right="239" w:bottom="1440" w:gutter="0" w:footer="0" w:header="0"/>
        </w:sectPr>
      </w:pPr>
    </w:p>
    <w:bookmarkStart w:id="281" w:name="page282"/>
    <w:bookmarkEnd w:id="281"/>
    <w:p>
      <w:pPr>
        <w:ind w:left="3300"/>
        <w:spacing w:after="0"/>
        <w:rPr>
          <w:sz w:val="20"/>
          <w:szCs w:val="20"/>
          <w:color w:val="auto"/>
        </w:rPr>
      </w:pPr>
      <w:r>
        <w:rPr>
          <w:rFonts w:ascii="Arial" w:cs="Arial" w:eastAsia="Arial" w:hAnsi="Arial"/>
          <w:sz w:val="18"/>
          <w:szCs w:val="18"/>
          <w:b w:val="1"/>
          <w:bCs w:val="1"/>
          <w:color w:val="auto"/>
        </w:rPr>
        <w:t>No.:0410000286-2018 (Xiang'an) No. 00275_________________</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Working Capital Loan Contract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Edition)</w:t>
      </w:r>
    </w:p>
    <w:p>
      <w:pPr>
        <w:spacing w:after="0" w:line="231"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Special Note: The Contract is negotiated by the lender and the borrower on an equal and voluntary basis. All contract terms are true representations of the parties’ intentions. To protect the legitimate rights and interests of the Borrower, the Lender specifically invites the Borrower to take full notice of the full terms and conditions of the parties, in particular, the contents in bold.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1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t xml:space="preserve">Lender: Industrial and Commercial Bank of China Limited </w:t>
      </w:r>
      <w:r>
        <w:rPr>
          <w:rFonts w:ascii="Arial" w:cs="Arial" w:eastAsia="Arial" w:hAnsi="Arial"/>
          <w:sz w:val="18"/>
          <w:szCs w:val="18"/>
          <w:b w:val="1"/>
          <w:bCs w:val="1"/>
          <w:u w:val="single" w:color="auto"/>
          <w:color w:val="auto"/>
        </w:rPr>
        <w:t>Xiamen Xiang'an Branch</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w w:val="92"/>
              </w:rPr>
              <w:t>Principal:</w:t>
            </w:r>
          </w:p>
        </w:tc>
        <w:tc>
          <w:tcPr>
            <w:tcW w:w="1380" w:type="dxa"/>
            <w:vAlign w:val="bottom"/>
            <w:tcBorders>
              <w:bottom w:val="single" w:sz="8" w:color="auto"/>
            </w:tcBorders>
            <w:gridSpan w:val="4"/>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10"/>
        </w:trPr>
        <w:tc>
          <w:tcPr>
            <w:tcW w:w="2160" w:type="dxa"/>
            <w:vAlign w:val="bottom"/>
            <w:gridSpan w:val="5"/>
          </w:tcPr>
          <w:p>
            <w:pPr>
              <w:spacing w:after="0"/>
              <w:rPr>
                <w:sz w:val="20"/>
                <w:szCs w:val="20"/>
                <w:color w:val="auto"/>
              </w:rPr>
            </w:pPr>
            <w:r>
              <w:rPr>
                <w:rFonts w:ascii="Arial" w:cs="Arial" w:eastAsia="Arial" w:hAnsi="Arial"/>
                <w:sz w:val="18"/>
                <w:szCs w:val="18"/>
                <w:b w:val="1"/>
                <w:bCs w:val="1"/>
                <w:color w:val="auto"/>
              </w:rPr>
              <w:t>Domicile (Address):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gridSpan w:val="10"/>
          </w:tcPr>
          <w:p>
            <w:pPr>
              <w:ind w:left="440"/>
              <w:spacing w:after="0"/>
              <w:rPr>
                <w:sz w:val="20"/>
                <w:szCs w:val="20"/>
                <w:color w:val="auto"/>
              </w:rPr>
            </w:pPr>
            <w:r>
              <w:rPr>
                <w:rFonts w:ascii="Arial" w:cs="Arial" w:eastAsia="Arial" w:hAnsi="Arial"/>
                <w:sz w:val="18"/>
                <w:szCs w:val="18"/>
                <w:b w:val="1"/>
                <w:bCs w:val="1"/>
                <w:color w:val="auto"/>
              </w:rPr>
              <w:t>Postal Code:</w:t>
            </w:r>
          </w:p>
        </w:tc>
      </w:tr>
      <w:tr>
        <w:trPr>
          <w:trHeight w:val="437"/>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Borrower:</w:t>
            </w:r>
          </w:p>
        </w:tc>
        <w:tc>
          <w:tcPr>
            <w:tcW w:w="640" w:type="dxa"/>
            <w:vAlign w:val="bottom"/>
            <w:tcBorders>
              <w:top w:val="single" w:sz="8" w:color="auto"/>
            </w:tcBorders>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840" w:type="dxa"/>
            <w:vAlign w:val="bottom"/>
            <w:tcBorders>
              <w:right w:val="single" w:sz="8" w:color="auto"/>
            </w:tcBorders>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0"/>
        </w:trPr>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88"/>
              </w:rPr>
              <w:t>Legal Representative:</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8"/>
                <w:szCs w:val="18"/>
                <w:b w:val="1"/>
                <w:bCs w:val="1"/>
                <w:color w:val="auto"/>
                <w:w w:val="87"/>
              </w:rPr>
              <w:t>Contact:</w:t>
            </w:r>
          </w:p>
        </w:tc>
        <w:tc>
          <w:tcPr>
            <w:tcW w:w="8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gridSpan w:val="8"/>
          </w:tcPr>
          <w:p>
            <w:pPr>
              <w:ind w:left="80"/>
              <w:spacing w:after="0"/>
              <w:rPr>
                <w:sz w:val="20"/>
                <w:szCs w:val="20"/>
                <w:color w:val="auto"/>
              </w:rPr>
            </w:pPr>
            <w:r>
              <w:rPr>
                <w:rFonts w:ascii="Arial" w:cs="Arial" w:eastAsia="Arial" w:hAnsi="Arial"/>
                <w:sz w:val="18"/>
                <w:szCs w:val="18"/>
                <w:b w:val="1"/>
                <w:bCs w:val="1"/>
                <w:color w:val="auto"/>
              </w:rPr>
              <w:t>Mobile No.: 17859729311</w:t>
            </w:r>
          </w:p>
        </w:tc>
      </w:tr>
      <w:tr>
        <w:trPr>
          <w:trHeight w:val="410"/>
        </w:trPr>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97"/>
              </w:rPr>
              <w:t>Domicile (Address):</w:t>
            </w: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Postal Code:</w:t>
            </w:r>
          </w:p>
        </w:tc>
        <w:tc>
          <w:tcPr>
            <w:tcW w:w="960" w:type="dxa"/>
            <w:vAlign w:val="bottom"/>
          </w:tcPr>
          <w:p>
            <w:pPr>
              <w:spacing w:after="0"/>
              <w:rPr>
                <w:sz w:val="24"/>
                <w:szCs w:val="24"/>
                <w:color w:val="auto"/>
              </w:rPr>
            </w:pPr>
          </w:p>
        </w:tc>
      </w:tr>
      <w:tr>
        <w:trPr>
          <w:trHeight w:val="410"/>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Telephone:</w:t>
            </w:r>
          </w:p>
        </w:tc>
        <w:tc>
          <w:tcPr>
            <w:tcW w:w="640" w:type="dxa"/>
            <w:vAlign w:val="bottom"/>
            <w:tcBorders>
              <w:top w:val="single" w:sz="8" w:color="auto"/>
            </w:tcBorders>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Fax:</w:t>
            </w: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Email:</w:t>
            </w: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u w:val="single" w:color="auto"/>
          <w:color w:val="auto"/>
        </w:rPr>
        <w:t>[Please ensure that the Borrower fills in the above information accurately and completely to ensure the timely delivery of relevant notices and legal documents.]</w:t>
      </w:r>
    </w:p>
    <w:p>
      <w:pPr>
        <w:spacing w:after="0" w:line="194" w:lineRule="exact"/>
        <w:rPr>
          <w:sz w:val="20"/>
          <w:szCs w:val="20"/>
          <w:color w:val="auto"/>
        </w:rPr>
      </w:pPr>
    </w:p>
    <w:p>
      <w:pPr>
        <w:ind w:right="60" w:firstLine="322"/>
        <w:spacing w:after="0" w:line="275" w:lineRule="auto"/>
        <w:rPr>
          <w:sz w:val="20"/>
          <w:szCs w:val="20"/>
          <w:color w:val="auto"/>
        </w:rPr>
      </w:pPr>
      <w:r>
        <w:rPr>
          <w:rFonts w:ascii="Arial" w:cs="Arial" w:eastAsia="Arial" w:hAnsi="Arial"/>
          <w:sz w:val="18"/>
          <w:szCs w:val="18"/>
          <w:color w:val="auto"/>
        </w:rPr>
        <w:t>Through equal negotiations, a consensus has been reached and the Contract has been entered into on the matters of the Lender’s issuance of lending to the Borrower.</w:t>
      </w:r>
    </w:p>
    <w:p>
      <w:pPr>
        <w:spacing w:after="0" w:line="193"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General Stipulations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 Loan Purpose</w:t>
      </w:r>
    </w:p>
    <w:p>
      <w:pPr>
        <w:spacing w:after="0" w:line="227" w:lineRule="exact"/>
        <w:rPr>
          <w:sz w:val="20"/>
          <w:szCs w:val="20"/>
          <w:color w:val="auto"/>
        </w:rPr>
      </w:pPr>
    </w:p>
    <w:p>
      <w:pPr>
        <w:ind w:firstLine="322"/>
        <w:spacing w:after="0" w:line="275" w:lineRule="auto"/>
        <w:rPr>
          <w:sz w:val="20"/>
          <w:szCs w:val="20"/>
          <w:color w:val="auto"/>
        </w:rPr>
      </w:pPr>
      <w:r>
        <w:rPr>
          <w:rFonts w:ascii="Arial" w:cs="Arial" w:eastAsia="Arial" w:hAnsi="Arial"/>
          <w:sz w:val="18"/>
          <w:szCs w:val="18"/>
          <w:color w:val="auto"/>
        </w:rPr>
        <w:t>Loans under the Contract shall be used for the following purpose; without the written consent of the Lender, the Borrower shall not misuse any loans. The Lender is entitled to supervision of the use of funds.</w:t>
      </w:r>
    </w:p>
    <w:p>
      <w:pPr>
        <w:spacing w:after="0" w:line="170" w:lineRule="exact"/>
        <w:rPr>
          <w:sz w:val="20"/>
          <w:szCs w:val="20"/>
          <w:color w:val="auto"/>
        </w:rPr>
      </w:pPr>
    </w:p>
    <w:p>
      <w:pPr>
        <w:ind w:left="320"/>
        <w:spacing w:after="0"/>
        <w:tabs>
          <w:tab w:leader="none" w:pos="1660" w:val="left"/>
        </w:tabs>
        <w:rPr>
          <w:sz w:val="20"/>
          <w:szCs w:val="20"/>
          <w:color w:val="auto"/>
        </w:rPr>
      </w:pPr>
      <w:r>
        <w:rPr>
          <w:rFonts w:ascii="Arial" w:cs="Arial" w:eastAsia="Arial" w:hAnsi="Arial"/>
          <w:sz w:val="18"/>
          <w:szCs w:val="18"/>
          <w:color w:val="auto"/>
        </w:rPr>
        <w:t>Loan Purpose:</w:t>
      </w:r>
      <w:r>
        <w:rPr>
          <w:sz w:val="20"/>
          <w:szCs w:val="20"/>
          <w:color w:val="auto"/>
        </w:rPr>
        <w:tab/>
      </w:r>
      <w:r>
        <w:rPr>
          <w:rFonts w:ascii="Arial" w:cs="Arial" w:eastAsia="Arial" w:hAnsi="Arial"/>
          <w:sz w:val="16"/>
          <w:szCs w:val="16"/>
          <w:color w:val="auto"/>
        </w:rPr>
        <w:t>VAT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-10795</wp:posOffset>
            </wp:positionV>
            <wp:extent cx="8312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2 Lending Amount and Term</w:t>
      </w:r>
    </w:p>
    <w:p>
      <w:pPr>
        <w:spacing w:after="0" w:line="223" w:lineRule="exact"/>
        <w:rPr>
          <w:sz w:val="20"/>
          <w:szCs w:val="20"/>
          <w:color w:val="auto"/>
        </w:rPr>
      </w:pPr>
    </w:p>
    <w:p>
      <w:pPr>
        <w:ind w:right="220" w:firstLine="322"/>
        <w:spacing w:after="0" w:line="279"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currency of the contract is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RMB</w:t>
      </w:r>
      <w:r>
        <w:rPr>
          <w:rFonts w:ascii="Arial" w:cs="Arial" w:eastAsia="Arial" w:hAnsi="Arial"/>
          <w:sz w:val="18"/>
          <w:szCs w:val="18"/>
          <w:b w:val="1"/>
          <w:bCs w:val="1"/>
          <w:color w:val="auto"/>
        </w:rPr>
        <w:t xml:space="preserve"> </w:t>
      </w:r>
      <w:r>
        <w:rPr>
          <w:rFonts w:ascii="Arial" w:cs="Arial" w:eastAsia="Arial" w:hAnsi="Arial"/>
          <w:sz w:val="18"/>
          <w:szCs w:val="18"/>
          <w:color w:val="auto"/>
        </w:rPr>
        <w:t>, and the amount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13,500,000.00</w:t>
      </w:r>
      <w:r>
        <w:rPr>
          <w:rFonts w:ascii="Arial" w:cs="Arial" w:eastAsia="Arial" w:hAnsi="Arial"/>
          <w:sz w:val="18"/>
          <w:szCs w:val="18"/>
          <w:b w:val="1"/>
          <w:bCs w:val="1"/>
          <w:color w:val="auto"/>
        </w:rPr>
        <w:t xml:space="preserve"> </w:t>
      </w:r>
      <w:r>
        <w:rPr>
          <w:rFonts w:ascii="Arial" w:cs="Arial" w:eastAsia="Arial" w:hAnsi="Arial"/>
          <w:sz w:val="18"/>
          <w:szCs w:val="18"/>
          <w:color w:val="auto"/>
        </w:rPr>
        <w:t>(in words: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Thirteen million and five hundred thousand yuan</w:t>
      </w:r>
      <w:r>
        <w:rPr>
          <w:rFonts w:ascii="Arial" w:cs="Arial" w:eastAsia="Arial" w:hAnsi="Arial"/>
          <w:sz w:val="18"/>
          <w:szCs w:val="18"/>
          <w:color w:val="auto"/>
        </w:rPr>
        <w:t>) (where the</w:t>
      </w:r>
      <w:r>
        <w:rPr>
          <w:rFonts w:ascii="Arial" w:cs="Arial" w:eastAsia="Arial" w:hAnsi="Arial"/>
          <w:sz w:val="18"/>
          <w:szCs w:val="18"/>
          <w:b w:val="1"/>
          <w:bCs w:val="1"/>
          <w:color w:val="auto"/>
        </w:rPr>
        <w:t xml:space="preserve"> </w:t>
      </w:r>
      <w:r>
        <w:rPr>
          <w:rFonts w:ascii="Arial" w:cs="Arial" w:eastAsia="Arial" w:hAnsi="Arial"/>
          <w:sz w:val="18"/>
          <w:szCs w:val="18"/>
          <w:color w:val="auto"/>
        </w:rPr>
        <w:t>figure and the amount in words is not the same, the amount in words shall prevail).</w:t>
      </w:r>
    </w:p>
    <w:p>
      <w:pPr>
        <w:spacing w:after="0" w:line="163" w:lineRule="exact"/>
        <w:rPr>
          <w:sz w:val="20"/>
          <w:szCs w:val="20"/>
          <w:color w:val="auto"/>
        </w:rPr>
      </w:pPr>
    </w:p>
    <w:p>
      <w:pPr>
        <w:ind w:right="380" w:firstLine="322"/>
        <w:spacing w:after="0" w:line="279"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The lending term under the Contract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from the actual withdrawal date (for multiple withdrawals, from the first withdrawal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actual withdrawal date shall be based on the loan receipt.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3 Interest Rates, Interest, and Fees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 [Method for determining the RMB lending rate]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RMB lending rate is determined according to the following method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below:</w:t>
      </w:r>
    </w:p>
    <w:p>
      <w:pPr>
        <w:spacing w:after="0" w:line="223" w:lineRule="exact"/>
        <w:rPr>
          <w:sz w:val="20"/>
          <w:szCs w:val="20"/>
          <w:color w:val="auto"/>
        </w:rPr>
      </w:pPr>
    </w:p>
    <w:p>
      <w:pPr>
        <w:ind w:left="580" w:hanging="250"/>
        <w:spacing w:after="0"/>
        <w:tabs>
          <w:tab w:leader="none" w:pos="58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 xml:space="preserve">Fixed interest rate, at an annual interest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 with the interest rate remaining unchanged for the duration of the Contract.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2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83" w:name="page284"/>
    <w:bookmarkEnd w:id="283"/>
    <w:p>
      <w:pPr>
        <w:ind w:right="80" w:firstLine="330"/>
        <w:spacing w:after="0" w:line="270" w:lineRule="auto"/>
        <w:tabs>
          <w:tab w:leader="none" w:pos="576"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 xml:space="preserve">The lending rate is determined by the benchmark interest rate plus a floating range, wherein the benchmark interest rate is the benchmark lending rate of the People’s Bank of China on </w:t>
      </w:r>
      <w:r>
        <w:rPr>
          <w:rFonts w:ascii="Arial" w:cs="Arial" w:eastAsia="Arial" w:hAnsi="Arial"/>
          <w:sz w:val="17"/>
          <w:szCs w:val="17"/>
          <w:u w:val="single" w:color="auto"/>
          <w:color w:val="auto"/>
        </w:rPr>
        <w:t>/</w:t>
      </w:r>
      <w:r>
        <w:rPr>
          <w:rFonts w:ascii="Arial" w:cs="Arial" w:eastAsia="Arial" w:hAnsi="Arial"/>
          <w:sz w:val="17"/>
          <w:szCs w:val="17"/>
          <w:color w:val="auto"/>
        </w:rPr>
        <w:t xml:space="preserve"> (withdrawal date/ effective date of the Contract) that corresponds to the lending term stipulated in Article </w:t>
      </w:r>
      <w:r>
        <w:rPr>
          <w:rFonts w:ascii="Arial" w:cs="Arial" w:eastAsia="Arial" w:hAnsi="Arial"/>
          <w:sz w:val="17"/>
          <w:szCs w:val="17"/>
          <w:b w:val="1"/>
          <w:bCs w:val="1"/>
          <w:color w:val="auto"/>
        </w:rPr>
        <w:t>2.2</w:t>
      </w:r>
      <w:r>
        <w:rPr>
          <w:rFonts w:ascii="Arial" w:cs="Arial" w:eastAsia="Arial" w:hAnsi="Arial"/>
          <w:sz w:val="17"/>
          <w:szCs w:val="17"/>
          <w:color w:val="auto"/>
        </w:rPr>
        <w:t xml:space="preserve">, and the floating range is </w:t>
      </w:r>
      <w:r>
        <w:rPr>
          <w:rFonts w:ascii="Arial" w:cs="Arial" w:eastAsia="Arial" w:hAnsi="Arial"/>
          <w:sz w:val="17"/>
          <w:szCs w:val="17"/>
          <w:u w:val="single" w:color="auto"/>
          <w:color w:val="auto"/>
        </w:rPr>
        <w:t>/</w:t>
      </w:r>
      <w:r>
        <w:rPr>
          <w:rFonts w:ascii="Arial" w:cs="Arial" w:eastAsia="Arial" w:hAnsi="Arial"/>
          <w:sz w:val="17"/>
          <w:szCs w:val="17"/>
          <w:color w:val="auto"/>
        </w:rPr>
        <w:t>(</w:t>
      </w:r>
      <w:r>
        <w:rPr>
          <w:rFonts w:ascii="Arial" w:cs="Arial" w:eastAsia="Arial" w:hAnsi="Arial"/>
          <w:sz w:val="17"/>
          <w:szCs w:val="17"/>
          <w:b w:val="1"/>
          <w:bCs w:val="1"/>
          <w:color w:val="auto"/>
        </w:rPr>
        <w:t>upward/downward/zero</w:t>
      </w:r>
      <w:r>
        <w:rPr>
          <w:rFonts w:ascii="Arial" w:cs="Arial" w:eastAsia="Arial" w:hAnsi="Arial"/>
          <w:sz w:val="17"/>
          <w:szCs w:val="17"/>
          <w:color w:val="auto"/>
        </w:rPr>
        <w:t xml:space="preserve">) / %. After the Borrower makes a withdrawal, the lending rate will remain the same for a period of </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(1/3/6/12)</w:t>
      </w:r>
      <w:r>
        <w:rPr>
          <w:rFonts w:ascii="Arial" w:cs="Arial" w:eastAsia="Arial" w:hAnsi="Arial"/>
          <w:sz w:val="17"/>
          <w:szCs w:val="17"/>
          <w:color w:val="auto"/>
        </w:rPr>
        <w:t xml:space="preserve"> month(s), to be adjusted once a period, with interest accounted for in segments. The date for determining the interest rate for the second period shall be the date that corresponds to the withdrawal date at the end of the first period; should the given month not have the given date that corresponds to the withdrawal date, the corresponding date shall be the last day of the given month, and the same shall hold true for other periods. Should the Borrower make withdrawals in installments, the lending rate shall be adjusted according to method </w:t>
      </w:r>
      <w:r>
        <w:rPr>
          <w:rFonts w:ascii="Arial" w:cs="Arial" w:eastAsia="Arial" w:hAnsi="Arial"/>
          <w:sz w:val="17"/>
          <w:szCs w:val="17"/>
          <w:u w:val="single" w:color="auto"/>
          <w:color w:val="auto"/>
        </w:rPr>
        <w:t>/ (A/B)</w:t>
      </w:r>
      <w:r>
        <w:rPr>
          <w:rFonts w:ascii="Arial" w:cs="Arial" w:eastAsia="Arial" w:hAnsi="Arial"/>
          <w:sz w:val="17"/>
          <w:szCs w:val="17"/>
          <w:color w:val="auto"/>
        </w:rPr>
        <w:t xml:space="preserv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-584200</wp:posOffset>
            </wp:positionV>
            <wp:extent cx="882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88265" cy="8255"/>
                    </a:xfrm>
                    <a:prstGeom prst="rect">
                      <a:avLst/>
                    </a:prstGeom>
                    <a:noFill/>
                  </pic:spPr>
                </pic:pic>
              </a:graphicData>
            </a:graphic>
          </wp:anchor>
        </w:drawing>
      </w:r>
    </w:p>
    <w:p>
      <w:pPr>
        <w:spacing w:after="0" w:line="155" w:lineRule="exact"/>
        <w:rPr>
          <w:sz w:val="20"/>
          <w:szCs w:val="20"/>
          <w:color w:val="auto"/>
        </w:rPr>
      </w:pPr>
    </w:p>
    <w:p>
      <w:pPr>
        <w:ind w:right="520" w:firstLine="322"/>
        <w:spacing w:after="0" w:line="279"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Regardless of the number of withdrawals during a single period, the current lending rate determined on the date on which the interest rate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period shall be used, to be adjusted at the next period.</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lending rate shall be determined and adjusted for each withdrawal.</w:t>
      </w:r>
    </w:p>
    <w:p>
      <w:pPr>
        <w:spacing w:after="0" w:line="227" w:lineRule="exact"/>
        <w:rPr>
          <w:sz w:val="20"/>
          <w:szCs w:val="20"/>
          <w:color w:val="auto"/>
        </w:rPr>
      </w:pPr>
    </w:p>
    <w:p>
      <w:pPr>
        <w:ind w:right="80" w:firstLine="330"/>
        <w:spacing w:after="0" w:line="255" w:lineRule="auto"/>
        <w:tabs>
          <w:tab w:leader="none" w:pos="576"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 xml:space="preserve">The lending rate for each withdrawal shall be determined based on the benchmark interest rate plus the floating range, wherein the benchmark interest rate shall be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(annual/monthly) loan promotion rate (LPR) by the National Interbank Funding Center published on the business day prior to the </w:t>
      </w:r>
      <w:r>
        <w:rPr>
          <w:rFonts w:ascii="Arial" w:cs="Arial" w:eastAsia="Arial" w:hAnsi="Arial"/>
          <w:sz w:val="18"/>
          <w:szCs w:val="18"/>
          <w:u w:val="single" w:color="auto"/>
          <w:color w:val="auto"/>
        </w:rPr>
        <w:t>withdrawal date</w:t>
      </w:r>
      <w:r>
        <w:rPr>
          <w:rFonts w:ascii="Arial" w:cs="Arial" w:eastAsia="Arial" w:hAnsi="Arial"/>
          <w:sz w:val="18"/>
          <w:szCs w:val="18"/>
          <w:color w:val="auto"/>
        </w:rPr>
        <w:t xml:space="preserve"> (withdrawal date/effective date of the contract) for the current withdrawal, and the floating range shall be </w:t>
      </w:r>
      <w:r>
        <w:rPr>
          <w:rFonts w:ascii="Arial" w:cs="Arial" w:eastAsia="Arial" w:hAnsi="Arial"/>
          <w:sz w:val="18"/>
          <w:szCs w:val="18"/>
          <w:u w:val="single" w:color="auto"/>
          <w:color w:val="auto"/>
        </w:rPr>
        <w:t>/</w:t>
      </w:r>
      <w:r>
        <w:rPr>
          <w:rFonts w:ascii="Arial" w:cs="Arial" w:eastAsia="Arial" w:hAnsi="Arial"/>
          <w:sz w:val="18"/>
          <w:szCs w:val="18"/>
          <w:color w:val="auto"/>
        </w:rPr>
        <w:t xml:space="preserve"> (upward/downward/zero) / % or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(plus/less/zero) 67.75 base points (with one base point being 0.01%). The lending rate after each withdrawal shall be adjusted according to method </w:t>
      </w:r>
      <w:r>
        <w:rPr>
          <w:rFonts w:ascii="Arial" w:cs="Arial" w:eastAsia="Arial" w:hAnsi="Arial"/>
          <w:sz w:val="18"/>
          <w:szCs w:val="18"/>
          <w:u w:val="single" w:color="auto"/>
          <w:color w:val="auto"/>
        </w:rPr>
        <w:t>__(A/B)</w:t>
      </w:r>
      <w:r>
        <w:rPr>
          <w:rFonts w:ascii="Arial" w:cs="Arial" w:eastAsia="Arial" w:hAnsi="Arial"/>
          <w:sz w:val="18"/>
          <w:szCs w:val="18"/>
          <w:color w:val="auto"/>
        </w:rPr>
        <w:t xml:space="preserv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6814820</wp:posOffset>
            </wp:positionH>
            <wp:positionV relativeFrom="paragraph">
              <wp:posOffset>-304800</wp:posOffset>
            </wp:positionV>
            <wp:extent cx="882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-168275</wp:posOffset>
            </wp:positionV>
            <wp:extent cx="3124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312420" cy="8255"/>
                    </a:xfrm>
                    <a:prstGeom prst="rect">
                      <a:avLst/>
                    </a:prstGeom>
                    <a:noFill/>
                  </pic:spPr>
                </pic:pic>
              </a:graphicData>
            </a:graphic>
          </wp:anchor>
        </w:drawing>
      </w:r>
    </w:p>
    <w:p>
      <w:pPr>
        <w:spacing w:after="0" w:line="165" w:lineRule="exact"/>
        <w:rPr>
          <w:sz w:val="20"/>
          <w:szCs w:val="20"/>
          <w:color w:val="auto"/>
        </w:rPr>
      </w:pPr>
    </w:p>
    <w:p>
      <w:pPr>
        <w:ind w:right="160" w:firstLine="322"/>
        <w:spacing w:after="0" w:line="275" w:lineRule="auto"/>
        <w:rPr>
          <w:sz w:val="20"/>
          <w:szCs w:val="20"/>
          <w:color w:val="auto"/>
        </w:rPr>
      </w:pPr>
      <w:r>
        <w:rPr>
          <w:rFonts w:ascii="Arial" w:cs="Arial" w:eastAsia="Arial" w:hAnsi="Arial"/>
          <w:sz w:val="17"/>
          <w:szCs w:val="17"/>
          <w:b w:val="1"/>
          <w:bCs w:val="1"/>
          <w:color w:val="auto"/>
        </w:rPr>
        <w:t>A</w:t>
      </w:r>
      <w:r>
        <w:rPr>
          <w:rFonts w:ascii="Arial" w:cs="Arial" w:eastAsia="Arial" w:hAnsi="Arial"/>
          <w:sz w:val="17"/>
          <w:szCs w:val="17"/>
          <w:color w:val="auto"/>
        </w:rPr>
        <w:t>. For a period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b w:val="1"/>
          <w:bCs w:val="1"/>
          <w:color w:val="auto"/>
        </w:rPr>
        <w:t xml:space="preserve"> </w:t>
      </w:r>
      <w:r>
        <w:rPr>
          <w:rFonts w:ascii="Arial" w:cs="Arial" w:eastAsia="Arial" w:hAnsi="Arial"/>
          <w:sz w:val="17"/>
          <w:szCs w:val="17"/>
          <w:color w:val="auto"/>
        </w:rPr>
        <w:t>(1/3/6/12) month(s), to be adjusted once a period, with interest accounted for in segments. The benchmark interest rate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for the second period shall be the date that corresponds to the withdrawal date at the end of the first period; should the given month not have the given date that corresponds to the withdrawal date, the corresponding date shall be the last day of the given month. Should the National Interbank Funding Center not have published a loan benchmark interest rate for the corresponding term on the previous business day, the loan benchmark interest for the corresponding term published on the last business day shall prevail, and so on and so forth.</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The lending rate shall not be adjusted for the entire lending term.</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Other</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-8255</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w:t>
      </w:r>
      <w:r>
        <w:rPr>
          <w:rFonts w:ascii="Arial" w:cs="Arial" w:eastAsia="Arial" w:hAnsi="Arial"/>
          <w:sz w:val="18"/>
          <w:szCs w:val="18"/>
          <w:b w:val="1"/>
          <w:bCs w:val="1"/>
          <w:color w:val="auto"/>
        </w:rPr>
        <w:t>Method for determining the foreign exchange lending rate]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foreign exchange lending rate shall be determined according to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listed below:</w:t>
      </w:r>
    </w:p>
    <w:p>
      <w:pPr>
        <w:spacing w:after="0" w:line="223" w:lineRule="exact"/>
        <w:rPr>
          <w:sz w:val="20"/>
          <w:szCs w:val="20"/>
          <w:color w:val="auto"/>
        </w:rPr>
      </w:pPr>
    </w:p>
    <w:p>
      <w:pPr>
        <w:ind w:left="580" w:hanging="250"/>
        <w:spacing w:after="0"/>
        <w:tabs>
          <w:tab w:leader="none" w:pos="580" w:val="left"/>
        </w:tabs>
        <w:numPr>
          <w:ilvl w:val="1"/>
          <w:numId w:val="194"/>
        </w:numPr>
        <w:rPr>
          <w:rFonts w:ascii="Arial" w:cs="Arial" w:eastAsia="Arial" w:hAnsi="Arial"/>
          <w:sz w:val="18"/>
          <w:szCs w:val="18"/>
          <w:b w:val="1"/>
          <w:bCs w:val="1"/>
          <w:color w:val="auto"/>
        </w:rPr>
      </w:pPr>
      <w:r>
        <w:rPr>
          <w:rFonts w:ascii="Arial" w:cs="Arial" w:eastAsia="Arial" w:hAnsi="Arial"/>
          <w:sz w:val="18"/>
          <w:szCs w:val="18"/>
          <w:color w:val="auto"/>
        </w:rPr>
        <w:t xml:space="preserve">Fixed interest rate, at an annual interest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 with the interest rate remaining unchanged for the duration of the Contract.</w:t>
      </w:r>
    </w:p>
    <w:p>
      <w:pPr>
        <w:spacing w:after="0" w:line="222" w:lineRule="exact"/>
        <w:rPr>
          <w:rFonts w:ascii="Arial" w:cs="Arial" w:eastAsia="Arial" w:hAnsi="Arial"/>
          <w:sz w:val="18"/>
          <w:szCs w:val="18"/>
          <w:b w:val="1"/>
          <w:bCs w:val="1"/>
          <w:color w:val="auto"/>
        </w:rPr>
      </w:pPr>
    </w:p>
    <w:p>
      <w:pPr>
        <w:jc w:val="both"/>
        <w:ind w:firstLine="330"/>
        <w:spacing w:after="0" w:line="286" w:lineRule="auto"/>
        <w:tabs>
          <w:tab w:leader="none" w:pos="576" w:val="left"/>
        </w:tabs>
        <w:numPr>
          <w:ilvl w:val="1"/>
          <w:numId w:val="194"/>
        </w:numPr>
        <w:rPr>
          <w:rFonts w:ascii="Arial" w:cs="Arial" w:eastAsia="Arial" w:hAnsi="Arial"/>
          <w:sz w:val="16"/>
          <w:szCs w:val="16"/>
          <w:b w:val="1"/>
          <w:bCs w:val="1"/>
          <w:color w:val="auto"/>
        </w:rPr>
      </w:pPr>
      <w:r>
        <w:rPr>
          <w:rFonts w:ascii="Arial" w:cs="Arial" w:eastAsia="Arial" w:hAnsi="Arial"/>
          <w:sz w:val="16"/>
          <w:szCs w:val="16"/>
          <w:color w:val="auto"/>
        </w:rPr>
        <w:t xml:space="preserve">Floating interest rate, with the lending rate a floating interest rate composted of the spread of the </w:t>
      </w:r>
      <w:r>
        <w:rPr>
          <w:rFonts w:ascii="Arial" w:cs="Arial" w:eastAsia="Arial" w:hAnsi="Arial"/>
          <w:sz w:val="16"/>
          <w:szCs w:val="16"/>
          <w:u w:val="single" w:color="auto"/>
          <w:color w:val="auto"/>
        </w:rPr>
        <w:t>/</w:t>
      </w:r>
      <w:r>
        <w:rPr>
          <w:rFonts w:ascii="Arial" w:cs="Arial" w:eastAsia="Arial" w:hAnsi="Arial"/>
          <w:sz w:val="16"/>
          <w:szCs w:val="16"/>
          <w:color w:val="auto"/>
        </w:rPr>
        <w:t xml:space="preserve"> -month </w:t>
      </w:r>
      <w:r>
        <w:rPr>
          <w:rFonts w:ascii="Arial" w:cs="Arial" w:eastAsia="Arial" w:hAnsi="Arial"/>
          <w:sz w:val="16"/>
          <w:szCs w:val="16"/>
          <w:u w:val="single" w:color="auto"/>
          <w:color w:val="auto"/>
        </w:rPr>
        <w:t>/</w:t>
      </w:r>
      <w:r>
        <w:rPr>
          <w:rFonts w:ascii="Arial" w:cs="Arial" w:eastAsia="Arial" w:hAnsi="Arial"/>
          <w:sz w:val="16"/>
          <w:szCs w:val="16"/>
          <w:color w:val="auto"/>
        </w:rPr>
        <w:t xml:space="preserve"> (LIBOR/HIBOR) as the benchmark interest rate plus </w:t>
      </w:r>
      <w:r>
        <w:rPr>
          <w:rFonts w:ascii="Arial" w:cs="Arial" w:eastAsia="Arial" w:hAnsi="Arial"/>
          <w:sz w:val="16"/>
          <w:szCs w:val="16"/>
          <w:u w:val="single" w:color="auto"/>
          <w:color w:val="auto"/>
        </w:rPr>
        <w:t>/</w:t>
      </w:r>
      <w:r>
        <w:rPr>
          <w:rFonts w:ascii="Arial" w:cs="Arial" w:eastAsia="Arial" w:hAnsi="Arial"/>
          <w:sz w:val="16"/>
          <w:szCs w:val="16"/>
          <w:color w:val="auto"/>
        </w:rPr>
        <w:t xml:space="preserve"> base points (one base point is 0.01%). The spread will remain unchanged during the Contract term. Should withdrawals be made in installments, the interest rate shall be calculated for each withdrawal. After the Borrower makes a withdrawal, the benchmark interest rate shall be adjusted according to method</w:t>
      </w:r>
    </w:p>
    <w:p>
      <w:pPr>
        <w:spacing w:after="0" w:line="1" w:lineRule="exact"/>
        <w:rPr>
          <w:rFonts w:ascii="Arial" w:cs="Arial" w:eastAsia="Arial" w:hAnsi="Arial"/>
          <w:sz w:val="16"/>
          <w:szCs w:val="16"/>
          <w:b w:val="1"/>
          <w:bCs w:val="1"/>
          <w:color w:val="auto"/>
        </w:rPr>
      </w:pPr>
    </w:p>
    <w:p>
      <w:pPr>
        <w:ind w:left="100" w:hanging="93"/>
        <w:spacing w:after="0"/>
        <w:tabs>
          <w:tab w:leader="none" w:pos="100" w:val="left"/>
        </w:tabs>
        <w:numPr>
          <w:ilvl w:val="0"/>
          <w:numId w:val="194"/>
        </w:numPr>
        <w:rPr>
          <w:rFonts w:ascii="Arial" w:cs="Arial" w:eastAsia="Arial" w:hAnsi="Arial"/>
          <w:sz w:val="18"/>
          <w:szCs w:val="18"/>
          <w:u w:val="single" w:color="auto"/>
          <w:color w:val="auto"/>
        </w:rPr>
      </w:pPr>
      <w:r>
        <w:rPr>
          <w:rFonts w:ascii="Arial" w:cs="Arial" w:eastAsia="Arial" w:hAnsi="Arial"/>
          <w:sz w:val="18"/>
          <w:szCs w:val="18"/>
          <w:color w:val="auto"/>
        </w:rPr>
        <w:t>listed below, with interest accounted for in segments:</w:t>
      </w:r>
    </w:p>
    <w:p>
      <w:pPr>
        <w:spacing w:after="0" w:line="204" w:lineRule="exact"/>
        <w:rPr>
          <w:sz w:val="20"/>
          <w:szCs w:val="20"/>
          <w:color w:val="auto"/>
        </w:rPr>
      </w:pPr>
    </w:p>
    <w:p>
      <w:pPr>
        <w:jc w:val="both"/>
        <w:ind w:firstLine="322"/>
        <w:spacing w:after="0" w:line="287"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For a period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(1/3/6/12) month(s), to be adjusted once a period. The benchmark interest rate adjustment date for the second period shall be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that corresponds to the withdrawal date at the end of the first period; should the given month not have the given date that corresponds to the withdrawal date, the corresponding date shall be the last day of the given month, and the same shall hold true for other periods.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benchmark interest rate shall be adjusted on the first day of each interest-bearing period.</w:t>
      </w:r>
    </w:p>
    <w:p>
      <w:pPr>
        <w:spacing w:after="0" w:line="227" w:lineRule="exact"/>
        <w:rPr>
          <w:sz w:val="20"/>
          <w:szCs w:val="20"/>
          <w:color w:val="auto"/>
        </w:rPr>
      </w:pPr>
    </w:p>
    <w:p>
      <w:pPr>
        <w:ind w:left="580" w:hanging="250"/>
        <w:spacing w:after="0"/>
        <w:tabs>
          <w:tab w:leader="none" w:pos="580"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Other:_________________________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-10795</wp:posOffset>
            </wp:positionV>
            <wp:extent cx="285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3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84" w:name="page285"/>
    <w:bookmarkEnd w:id="284"/>
    <w:p>
      <w:pPr>
        <w:ind w:right="600" w:firstLine="322"/>
        <w:spacing w:after="0" w:line="310"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color w:val="auto"/>
        </w:rPr>
        <w:t>Interest shall be calculated on lending under the Contract on a daily basis from the withdrawal date and settled every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month</w:t>
      </w:r>
      <w:r>
        <w:rPr>
          <w:rFonts w:ascii="Arial" w:cs="Arial" w:eastAsia="Arial" w:hAnsi="Arial"/>
          <w:sz w:val="17"/>
          <w:szCs w:val="17"/>
          <w:b w:val="1"/>
          <w:bCs w:val="1"/>
          <w:color w:val="auto"/>
        </w:rPr>
        <w:t xml:space="preserve"> </w:t>
      </w:r>
      <w:r>
        <w:rPr>
          <w:rFonts w:ascii="Arial" w:cs="Arial" w:eastAsia="Arial" w:hAnsi="Arial"/>
          <w:sz w:val="17"/>
          <w:szCs w:val="17"/>
          <w:color w:val="auto"/>
        </w:rPr>
        <w:t>(month/quarter/six</w:t>
      </w:r>
      <w:r>
        <w:rPr>
          <w:rFonts w:ascii="Arial" w:cs="Arial" w:eastAsia="Arial" w:hAnsi="Arial"/>
          <w:sz w:val="17"/>
          <w:szCs w:val="17"/>
          <w:b w:val="1"/>
          <w:bCs w:val="1"/>
          <w:color w:val="auto"/>
        </w:rPr>
        <w:t xml:space="preserve"> </w:t>
      </w:r>
      <w:r>
        <w:rPr>
          <w:rFonts w:ascii="Arial" w:cs="Arial" w:eastAsia="Arial" w:hAnsi="Arial"/>
          <w:sz w:val="17"/>
          <w:szCs w:val="17"/>
          <w:color w:val="auto"/>
        </w:rPr>
        <w:t>months). Interest shall be settled with principal when loans are due, and the daily interest rate = annual interest rate/360.</w:t>
      </w:r>
    </w:p>
    <w:p>
      <w:pPr>
        <w:spacing w:after="0" w:line="140" w:lineRule="exact"/>
        <w:rPr>
          <w:sz w:val="20"/>
          <w:szCs w:val="20"/>
          <w:color w:val="auto"/>
        </w:rPr>
      </w:pPr>
    </w:p>
    <w:p>
      <w:pPr>
        <w:ind w:right="40" w:firstLine="322"/>
        <w:spacing w:after="0" w:line="279"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The penalty interest rate for overdue payments under the Contract shall be determined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30</w:t>
      </w:r>
      <w:r>
        <w:rPr>
          <w:rFonts w:ascii="Arial" w:cs="Arial" w:eastAsia="Arial" w:hAnsi="Arial"/>
          <w:sz w:val="18"/>
          <w:szCs w:val="18"/>
          <w:b w:val="1"/>
          <w:bCs w:val="1"/>
          <w:color w:val="auto"/>
        </w:rPr>
        <w:t xml:space="preserve"> </w:t>
      </w:r>
      <w:r>
        <w:rPr>
          <w:rFonts w:ascii="Arial" w:cs="Arial" w:eastAsia="Arial" w:hAnsi="Arial"/>
          <w:sz w:val="18"/>
          <w:szCs w:val="18"/>
          <w:color w:val="auto"/>
        </w:rPr>
        <w:t>% of the original lending rate, and the penalty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misuse of loans shall be determined at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 of the original lending rate.</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color w:val="auto"/>
        </w:rPr>
        <w:t>In addition to interest, the Borrower shall also pay a commitment fee to the Lender. The commitment fee shall be the difference between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lending stipulated in Article 2 and the Borrower’s withdrawals (the daily average balance during the billing period) and an annual rate of </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to be paid according to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below:</w:t>
      </w:r>
    </w:p>
    <w:p>
      <w:pPr>
        <w:spacing w:after="0" w:line="180" w:lineRule="exact"/>
        <w:rPr>
          <w:sz w:val="20"/>
          <w:szCs w:val="20"/>
          <w:color w:val="auto"/>
        </w:rPr>
      </w:pPr>
    </w:p>
    <w:p>
      <w:pPr>
        <w:ind w:left="580" w:hanging="250"/>
        <w:spacing w:after="0"/>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single payment shall be made to the Lender on the last day of the billing period.</w:t>
      </w:r>
    </w:p>
    <w:p>
      <w:pPr>
        <w:spacing w:after="0" w:line="222" w:lineRule="exact"/>
        <w:rPr>
          <w:rFonts w:ascii="Arial" w:cs="Arial" w:eastAsia="Arial" w:hAnsi="Arial"/>
          <w:sz w:val="18"/>
          <w:szCs w:val="18"/>
          <w:color w:val="auto"/>
        </w:rPr>
      </w:pPr>
    </w:p>
    <w:p>
      <w:pPr>
        <w:ind w:firstLine="330"/>
        <w:spacing w:after="0" w:line="275" w:lineRule="auto"/>
        <w:tabs>
          <w:tab w:leader="none" w:pos="58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After the Contract enters into force, payments shall be made in installments to the Lender on the 20th day of every </w:t>
      </w:r>
      <w:r>
        <w:rPr>
          <w:rFonts w:ascii="Arial" w:cs="Arial" w:eastAsia="Arial" w:hAnsi="Arial"/>
          <w:sz w:val="18"/>
          <w:szCs w:val="18"/>
          <w:u w:val="single" w:color="auto"/>
          <w:color w:val="auto"/>
        </w:rPr>
        <w:t>/</w:t>
      </w:r>
      <w:r>
        <w:rPr>
          <w:rFonts w:ascii="Arial" w:cs="Arial" w:eastAsia="Arial" w:hAnsi="Arial"/>
          <w:sz w:val="18"/>
          <w:szCs w:val="18"/>
          <w:color w:val="auto"/>
        </w:rPr>
        <w:t xml:space="preserve"> (month/quarter/six months) up until the last day of the billing period.</w:t>
      </w:r>
    </w:p>
    <w:p>
      <w:pPr>
        <w:spacing w:after="0" w:line="170" w:lineRule="exact"/>
        <w:rPr>
          <w:sz w:val="20"/>
          <w:szCs w:val="20"/>
          <w:color w:val="auto"/>
        </w:rPr>
      </w:pPr>
    </w:p>
    <w:p>
      <w:pPr>
        <w:jc w:val="both"/>
        <w:ind w:right="240" w:firstLine="322"/>
        <w:spacing w:after="0" w:line="262" w:lineRule="auto"/>
        <w:rPr>
          <w:sz w:val="20"/>
          <w:szCs w:val="20"/>
          <w:color w:val="auto"/>
        </w:rPr>
      </w:pPr>
      <w:r>
        <w:rPr>
          <w:rFonts w:ascii="Arial" w:cs="Arial" w:eastAsia="Arial" w:hAnsi="Arial"/>
          <w:sz w:val="18"/>
          <w:szCs w:val="18"/>
          <w:color w:val="auto"/>
        </w:rPr>
        <w:t>Should loans under the Contract be on a revolving basis, the billing period refers to the time limit on the use of credit for revolving loans; should loans under the Contract not be on a revolving basis, the billing period refers to the period between the signing date of the Contract and the withdrawal date of the last loan as stipulated in Article 4.</w:t>
      </w:r>
    </w:p>
    <w:p>
      <w:pPr>
        <w:spacing w:after="0" w:line="177"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The commitment fee is paid in installments; should the Borrower fail to pay the commitment fee on time, the Lender is entitled to the suspension of the issuance of loans or to cancel all amounts that the Borrower has not withdrawn.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4 Withdrawals</w:t>
      </w:r>
      <w:r>
        <w:rPr>
          <w:rFonts w:ascii="Arial" w:cs="Arial" w:eastAsia="Arial" w:hAnsi="Arial"/>
          <w:sz w:val="18"/>
          <w:szCs w:val="18"/>
          <w:color w:val="auto"/>
        </w:rPr>
        <w:t>(</w:t>
      </w:r>
      <w:r>
        <w:rPr>
          <w:rFonts w:ascii="Arial" w:cs="Arial" w:eastAsia="Arial" w:hAnsi="Arial"/>
          <w:sz w:val="18"/>
          <w:szCs w:val="18"/>
          <w:b w:val="1"/>
          <w:bCs w:val="1"/>
          <w:color w:val="auto"/>
        </w:rPr>
        <w:t>Revolving Loans are Not Applicable</w:t>
      </w:r>
      <w:r>
        <w:rPr>
          <w:rFonts w:ascii="Arial" w:cs="Arial" w:eastAsia="Arial" w:hAnsi="Arial"/>
          <w:sz w:val="18"/>
          <w:szCs w:val="18"/>
          <w:color w:val="auto"/>
        </w:rPr>
        <w: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4.1 The Borrower shall make withdrawals according to method </w:t>
      </w:r>
      <w:r>
        <w:rPr>
          <w:rFonts w:ascii="Arial" w:cs="Arial" w:eastAsia="Arial" w:hAnsi="Arial"/>
          <w:sz w:val="18"/>
          <w:szCs w:val="18"/>
          <w:b w:val="1"/>
          <w:bCs w:val="1"/>
          <w:u w:val="single" w:color="auto"/>
          <w:color w:val="auto"/>
        </w:rPr>
        <w:t>(1) (1/2/3)</w:t>
      </w:r>
      <w:r>
        <w:rPr>
          <w:rFonts w:ascii="Arial" w:cs="Arial" w:eastAsia="Arial" w:hAnsi="Arial"/>
          <w:sz w:val="18"/>
          <w:szCs w:val="18"/>
          <w:b w:val="1"/>
          <w:bCs w:val="1"/>
          <w:color w:val="auto"/>
        </w:rPr>
        <w:t>listed below according to actual funding needs:</w:t>
      </w:r>
    </w:p>
    <w:p>
      <w:pPr>
        <w:spacing w:after="0" w:line="223" w:lineRule="exact"/>
        <w:rPr>
          <w:sz w:val="20"/>
          <w:szCs w:val="20"/>
          <w:color w:val="auto"/>
        </w:rPr>
      </w:pPr>
    </w:p>
    <w:p>
      <w:pPr>
        <w:ind w:left="580" w:hanging="250"/>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One-time loan request prior to 11</w:t>
      </w:r>
      <w:r>
        <w:rPr>
          <w:rFonts w:ascii="Arial" w:cs="Arial" w:eastAsia="Arial" w:hAnsi="Arial"/>
          <w:sz w:val="18"/>
          <w:szCs w:val="18"/>
          <w:b w:val="1"/>
          <w:bCs w:val="1"/>
          <w:u w:val="single" w:color="auto"/>
          <w:color w:val="auto"/>
        </w:rPr>
        <w:t>/30/2018/</w:t>
      </w:r>
      <w:r>
        <w:rPr>
          <w:rFonts w:ascii="Arial" w:cs="Arial" w:eastAsia="Arial" w:hAnsi="Arial"/>
          <w:sz w:val="18"/>
          <w:szCs w:val="18"/>
          <w:b w:val="1"/>
          <w:bCs w:val="1"/>
          <w:color w:val="auto"/>
        </w:rPr>
        <w:t>;</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One or more loan requests after the Contract’s effective date and before </w:t>
      </w:r>
      <w:r>
        <w:rPr>
          <w:rFonts w:ascii="Arial" w:cs="Arial" w:eastAsia="Arial" w:hAnsi="Arial"/>
          <w:sz w:val="18"/>
          <w:szCs w:val="18"/>
          <w:u w:val="single" w:color="auto"/>
          <w:color w:val="auto"/>
        </w:rPr>
        <w:t>/ //</w:t>
      </w:r>
      <w:r>
        <w:rPr>
          <w:rFonts w:ascii="Arial" w:cs="Arial" w:eastAsia="Arial" w:hAnsi="Arial"/>
          <w:sz w:val="18"/>
          <w:szCs w:val="18"/>
          <w:b w:val="1"/>
          <w:bCs w:val="1"/>
          <w:color w:val="auto"/>
        </w:rPr>
        <w:t>;</w:t>
      </w:r>
    </w:p>
    <w:p>
      <w:pPr>
        <w:spacing w:after="0" w:line="222" w:lineRule="exact"/>
        <w:rPr>
          <w:rFonts w:ascii="Arial" w:cs="Arial" w:eastAsia="Arial" w:hAnsi="Arial"/>
          <w:sz w:val="18"/>
          <w:szCs w:val="18"/>
          <w:b w:val="1"/>
          <w:bCs w:val="1"/>
          <w:color w:val="auto"/>
        </w:rPr>
      </w:pPr>
    </w:p>
    <w:p>
      <w:pPr>
        <w:ind w:right="40" w:firstLine="330"/>
        <w:spacing w:after="0" w:line="279" w:lineRule="auto"/>
        <w:tabs>
          <w:tab w:leader="none" w:pos="576"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Withdrawals in installments on the dates below; the Borrower may, with the Lender’s consent, make changes to withdrawal dates or amounts based on funding needs, though the Borrower must make loan requests no later than </w:t>
      </w:r>
      <w:r>
        <w:rPr>
          <w:rFonts w:ascii="Arial" w:cs="Arial" w:eastAsia="Arial" w:hAnsi="Arial"/>
          <w:sz w:val="18"/>
          <w:szCs w:val="18"/>
          <w:u w:val="single" w:color="auto"/>
          <w:color w:val="auto"/>
        </w:rPr>
        <w:t>///</w:t>
      </w:r>
      <w:r>
        <w:rPr>
          <w:rFonts w:ascii="Arial" w:cs="Arial" w:eastAsia="Arial" w:hAnsi="Arial"/>
          <w:sz w:val="18"/>
          <w:szCs w:val="18"/>
          <w:b w:val="1"/>
          <w:bCs w:val="1"/>
          <w:color w:val="auto"/>
        </w:rPr>
        <w:t>.</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72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Withdrawal Date</w:t>
            </w:r>
          </w:p>
        </w:tc>
        <w:tc>
          <w:tcPr>
            <w:tcW w:w="570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Withdrawal Amount</w:t>
            </w: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r>
        <w:trPr>
          <w:trHeight w:val="222"/>
        </w:trPr>
        <w:tc>
          <w:tcPr>
            <w:tcW w:w="572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spacing w:after="0"/>
              <w:rPr>
                <w:sz w:val="19"/>
                <w:szCs w:val="19"/>
                <w:color w:val="auto"/>
              </w:rPr>
            </w:pPr>
          </w:p>
        </w:tc>
      </w:tr>
    </w:tbl>
    <w:p>
      <w:pPr>
        <w:spacing w:after="0" w:line="196"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4.2 Should the Borrower fail to make withdrawals as agreed, the Lender is entitled to cancel, in part or in full, lending that the Borrower has not yet withdrawn.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5 Repayments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5.1</w:t>
      </w:r>
      <w:r>
        <w:rPr>
          <w:rFonts w:ascii="Arial" w:cs="Arial" w:eastAsia="Arial" w:hAnsi="Arial"/>
          <w:sz w:val="18"/>
          <w:szCs w:val="18"/>
          <w:color w:val="auto"/>
        </w:rPr>
        <w:t>5.1 The Borrower shall repay loans under the Contract according to method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 (1/2)</w:t>
      </w:r>
      <w:r>
        <w:rPr>
          <w:rFonts w:ascii="Arial" w:cs="Arial" w:eastAsia="Arial" w:hAnsi="Arial"/>
          <w:sz w:val="18"/>
          <w:szCs w:val="18"/>
          <w:b w:val="1"/>
          <w:bCs w:val="1"/>
          <w:color w:val="auto"/>
        </w:rPr>
        <w:t xml:space="preserve"> </w:t>
      </w:r>
      <w:r>
        <w:rPr>
          <w:rFonts w:ascii="Arial" w:cs="Arial" w:eastAsia="Arial" w:hAnsi="Arial"/>
          <w:sz w:val="18"/>
          <w:szCs w:val="18"/>
          <w:color w:val="auto"/>
        </w:rPr>
        <w:t>listed below:</w:t>
      </w:r>
    </w:p>
    <w:p>
      <w:pPr>
        <w:spacing w:after="0" w:line="227" w:lineRule="exact"/>
        <w:rPr>
          <w:sz w:val="20"/>
          <w:szCs w:val="20"/>
          <w:color w:val="auto"/>
        </w:rPr>
      </w:pPr>
    </w:p>
    <w:p>
      <w:pPr>
        <w:ind w:left="580" w:hanging="250"/>
        <w:spacing w:after="0"/>
        <w:tabs>
          <w:tab w:leader="none" w:pos="58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One-time loan repayment upon expiration.</w:t>
      </w:r>
    </w:p>
    <w:p>
      <w:pPr>
        <w:spacing w:after="0" w:line="218" w:lineRule="exact"/>
        <w:rPr>
          <w:rFonts w:ascii="Arial" w:cs="Arial" w:eastAsia="Arial" w:hAnsi="Arial"/>
          <w:sz w:val="18"/>
          <w:szCs w:val="18"/>
          <w:b w:val="1"/>
          <w:bCs w:val="1"/>
          <w:color w:val="auto"/>
        </w:rPr>
      </w:pPr>
    </w:p>
    <w:p>
      <w:pPr>
        <w:ind w:left="580" w:hanging="250"/>
        <w:spacing w:after="0"/>
        <w:tabs>
          <w:tab w:leader="none" w:pos="58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According to the following repayment plan (when there is additional content, additional pages can be attached)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4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85" w:name="page286"/>
    <w:bookmarkEnd w:id="2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740" w:type="dxa"/>
            <w:vAlign w:val="bottom"/>
            <w:tcBorders>
              <w:top w:val="single" w:sz="8" w:color="auto"/>
              <w:left w:val="single" w:sz="8" w:color="auto"/>
              <w:bottom w:val="single" w:sz="8" w:color="auto"/>
              <w:right w:val="single" w:sz="8" w:color="auto"/>
            </w:tcBorders>
          </w:tcPr>
          <w:p>
            <w:pPr>
              <w:jc w:val="right"/>
              <w:ind w:right="1811"/>
              <w:spacing w:after="0"/>
              <w:rPr>
                <w:sz w:val="20"/>
                <w:szCs w:val="20"/>
                <w:color w:val="auto"/>
              </w:rPr>
            </w:pPr>
            <w:r>
              <w:rPr>
                <w:rFonts w:ascii="Arial" w:cs="Arial" w:eastAsia="Arial" w:hAnsi="Arial"/>
                <w:sz w:val="18"/>
                <w:szCs w:val="18"/>
                <w:color w:val="auto"/>
              </w:rPr>
              <w:t>Planned Repayment Date</w:t>
            </w:r>
          </w:p>
        </w:tc>
        <w:tc>
          <w:tcPr>
            <w:tcW w:w="568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Planned Repayment Amount</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05-20-2019</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135000.00 yuan</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11-20-2019</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540000.00 yuan</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05-20-2020</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675000.00 yuan</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11-20-2020</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1350000.00 yuan</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05-20-2021</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1350000.00 yuan</w:t>
            </w:r>
          </w:p>
        </w:tc>
      </w:tr>
      <w:tr>
        <w:trPr>
          <w:trHeight w:val="222"/>
        </w:trPr>
        <w:tc>
          <w:tcPr>
            <w:tcW w:w="5740" w:type="dxa"/>
            <w:vAlign w:val="bottom"/>
            <w:tcBorders>
              <w:left w:val="single" w:sz="8" w:color="auto"/>
              <w:bottom w:val="single" w:sz="8" w:color="auto"/>
              <w:right w:val="single" w:sz="8" w:color="auto"/>
            </w:tcBorders>
          </w:tcPr>
          <w:p>
            <w:pPr>
              <w:jc w:val="right"/>
              <w:ind w:right="4671"/>
              <w:spacing w:after="0"/>
              <w:rPr>
                <w:sz w:val="20"/>
                <w:szCs w:val="20"/>
                <w:color w:val="auto"/>
              </w:rPr>
            </w:pPr>
            <w:r>
              <w:rPr>
                <w:rFonts w:ascii="Arial" w:cs="Arial" w:eastAsia="Arial" w:hAnsi="Arial"/>
                <w:sz w:val="18"/>
                <w:szCs w:val="18"/>
                <w:color w:val="auto"/>
              </w:rPr>
              <w:t>11-05-2021</w:t>
            </w:r>
          </w:p>
        </w:tc>
        <w:tc>
          <w:tcPr>
            <w:tcW w:w="5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9450000.00 yuan</w:t>
            </w:r>
          </w:p>
        </w:tc>
      </w:tr>
    </w:tbl>
    <w:p>
      <w:pPr>
        <w:spacing w:after="0" w:line="196" w:lineRule="exact"/>
        <w:rPr>
          <w:sz w:val="20"/>
          <w:szCs w:val="20"/>
          <w:color w:val="auto"/>
        </w:rPr>
      </w:pPr>
    </w:p>
    <w:p>
      <w:pPr>
        <w:jc w:val="both"/>
        <w:ind w:right="20" w:firstLine="297"/>
        <w:spacing w:after="0" w:line="310" w:lineRule="auto"/>
        <w:rPr>
          <w:sz w:val="20"/>
          <w:szCs w:val="20"/>
          <w:color w:val="auto"/>
        </w:rPr>
      </w:pPr>
      <w:r>
        <w:rPr>
          <w:rFonts w:ascii="Arial" w:cs="Arial" w:eastAsia="Arial" w:hAnsi="Arial"/>
          <w:sz w:val="17"/>
          <w:szCs w:val="17"/>
          <w:b w:val="1"/>
          <w:bCs w:val="1"/>
          <w:color w:val="auto"/>
        </w:rPr>
        <w:t>5.2 For lending under the Contract under the following circumstances, the Borrower shall not be required to pay the early repayment penalty in case the loan is returned immediately after the corresponding funds are in place, thus resulting in early repayment: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w:t>
      </w:r>
    </w:p>
    <w:p>
      <w:pPr>
        <w:spacing w:after="0" w:line="219"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7"/>
          <w:szCs w:val="17"/>
          <w:b w:val="1"/>
          <w:bCs w:val="1"/>
          <w:color w:val="auto"/>
        </w:rPr>
        <w:t xml:space="preserve">5.3 Apart from the circumstances stipulated in Article 5.2, should loans be repaid early, the Borrower shall pay an early repayment penalty to the Lender, with the early repayment penalty calculated according to the following criteria: early repayment amount × remaining lending term (months) × </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 if the remaining lending term is less than one month, the period shall be calculated as one month.</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Article 6 Special Agreements on Revolving Loans </w:t>
      </w:r>
      <w:r>
        <w:rPr>
          <w:rFonts w:ascii="Arial" w:cs="Arial" w:eastAsia="Arial" w:hAnsi="Arial"/>
          <w:sz w:val="18"/>
          <w:szCs w:val="18"/>
          <w:color w:val="auto"/>
        </w:rPr>
        <w:t>(Optional clause; this Article □ is applicable ■ is not applicable)</w:t>
      </w:r>
    </w:p>
    <w:p>
      <w:pPr>
        <w:spacing w:after="0" w:line="223" w:lineRule="exact"/>
        <w:rPr>
          <w:sz w:val="20"/>
          <w:szCs w:val="20"/>
          <w:color w:val="auto"/>
        </w:rPr>
      </w:pPr>
    </w:p>
    <w:p>
      <w:pPr>
        <w:jc w:val="both"/>
        <w:ind w:firstLine="310"/>
        <w:spacing w:after="0" w:line="310"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color w:val="auto"/>
        </w:rPr>
        <w:t>Loans under the Contract may be used on a revolving basis, and the lending amount and lending periods in Article 2 above shall be the revolving loan</w:t>
      </w:r>
      <w:r>
        <w:rPr>
          <w:rFonts w:ascii="Arial" w:cs="Arial" w:eastAsia="Arial" w:hAnsi="Arial"/>
          <w:sz w:val="17"/>
          <w:szCs w:val="17"/>
          <w:b w:val="1"/>
          <w:bCs w:val="1"/>
          <w:color w:val="auto"/>
        </w:rPr>
        <w:t xml:space="preserve"> </w:t>
      </w:r>
      <w:r>
        <w:rPr>
          <w:rFonts w:ascii="Arial" w:cs="Arial" w:eastAsia="Arial" w:hAnsi="Arial"/>
          <w:sz w:val="17"/>
          <w:szCs w:val="17"/>
          <w:color w:val="auto"/>
        </w:rPr>
        <w:t>credit line and revolving loan credit term, wherein the revolving loan credit term is calculated from the effective date of the Contract.</w:t>
      </w:r>
    </w:p>
    <w:p>
      <w:pPr>
        <w:spacing w:after="0" w:line="140"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color w:val="auto"/>
        </w:rPr>
        <w:t>RMB revolving loans are determined using the benchmark lending rate published by the People's Bank of China plus the floating range,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benchmark lending rate is determined based on the benchmark lending rate of the People's Bank of China that corresponds to the grade of each lending term.</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7 Guarantees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loan guarantee under the Contract is the maximum guarantee, and the corresponding maximum guarantee contract is as follows ____/____(1/2/3,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select as many as applicable ):</w:t>
      </w:r>
    </w:p>
    <w:p>
      <w:pPr>
        <w:spacing w:after="0" w:line="208" w:lineRule="exact"/>
        <w:rPr>
          <w:sz w:val="20"/>
          <w:szCs w:val="20"/>
          <w:color w:val="auto"/>
        </w:rPr>
      </w:pPr>
    </w:p>
    <w:p>
      <w:pPr>
        <w:ind w:left="320" w:right="7420" w:firstLine="10"/>
        <w:spacing w:after="0" w:line="498" w:lineRule="auto"/>
        <w:tabs>
          <w:tab w:leader="none" w:pos="5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Maximum Guarantee Contract Name: / (No.: / ) Guarantor: /</w:t>
      </w:r>
    </w:p>
    <w:p>
      <w:pPr>
        <w:ind w:left="320" w:right="7460" w:firstLine="10"/>
        <w:spacing w:after="0" w:line="498" w:lineRule="auto"/>
        <w:tabs>
          <w:tab w:leader="none" w:pos="5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Maximum Mortgage Contract Name: / (No.: / ) Mortgager: /</w:t>
      </w:r>
    </w:p>
    <w:p>
      <w:pPr>
        <w:ind w:left="320" w:right="7660" w:firstLine="10"/>
        <w:spacing w:after="0" w:line="524" w:lineRule="auto"/>
        <w:tabs>
          <w:tab w:leader="none" w:pos="5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Maximum Pledge Contract Name: / (No.: / ) Pledger: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-1544955</wp:posOffset>
            </wp:positionV>
            <wp:extent cx="882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-1544955</wp:posOffset>
            </wp:positionV>
            <wp:extent cx="882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-1271905</wp:posOffset>
            </wp:positionV>
            <wp:extent cx="59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2065020</wp:posOffset>
            </wp:positionH>
            <wp:positionV relativeFrom="paragraph">
              <wp:posOffset>-998855</wp:posOffset>
            </wp:positionV>
            <wp:extent cx="882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-998855</wp:posOffset>
            </wp:positionV>
            <wp:extent cx="8826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-726440</wp:posOffset>
            </wp:positionV>
            <wp:extent cx="59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-453390</wp:posOffset>
            </wp:positionV>
            <wp:extent cx="882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-453390</wp:posOffset>
            </wp:positionV>
            <wp:extent cx="882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-180340</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5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0" w:right="239" w:bottom="1440" w:gutter="0" w:footer="0" w:header="0"/>
        </w:sectPr>
      </w:pPr>
    </w:p>
    <w:bookmarkStart w:id="286" w:name="page287"/>
    <w:bookmarkEnd w:id="286"/>
    <w:p>
      <w:pPr>
        <w:ind w:left="320"/>
        <w:spacing w:after="0"/>
        <w:rPr>
          <w:sz w:val="20"/>
          <w:szCs w:val="20"/>
          <w:color w:val="auto"/>
        </w:rPr>
      </w:pPr>
      <w:r>
        <w:rPr>
          <w:rFonts w:ascii="Arial" w:cs="Arial" w:eastAsia="Arial" w:hAnsi="Arial"/>
          <w:sz w:val="18"/>
          <w:szCs w:val="18"/>
          <w:b w:val="1"/>
          <w:bCs w:val="1"/>
          <w:color w:val="auto"/>
        </w:rPr>
        <w:t xml:space="preserve">Article 8 Financial Agreement </w:t>
      </w:r>
      <w:r>
        <w:rPr>
          <w:rFonts w:ascii="Arial" w:cs="Arial" w:eastAsia="Arial" w:hAnsi="Arial"/>
          <w:sz w:val="18"/>
          <w:szCs w:val="18"/>
          <w:color w:val="auto"/>
        </w:rPr>
        <w:t>(Optional clause; this Article □ is applicable ■ is not applicable)</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duration of the Contract, the Borrower shall be subject to the following financial metrics: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_________________________</w:t>
      </w:r>
      <w:r>
        <w:rPr>
          <w:rFonts w:ascii="Arial" w:cs="Arial" w:eastAsia="Arial" w:hAnsi="Arial"/>
          <w:sz w:val="18"/>
          <w:szCs w:val="18"/>
          <w:u w:val="single" w:color="auto"/>
          <w:color w:val="auto"/>
        </w:rPr>
        <w:t>/</w:t>
      </w:r>
      <w:r>
        <w:rPr>
          <w:rFonts w:ascii="Arial" w:cs="Arial" w:eastAsia="Arial" w:hAnsi="Arial"/>
          <w:sz w:val="18"/>
          <w:szCs w:val="18"/>
          <w:color w:val="auto"/>
        </w:rPr>
        <w:t>______________________________</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9 Dispute Resolution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The dispute resolution method under the Contract is </w:t>
      </w:r>
      <w:r>
        <w:rPr>
          <w:rFonts w:ascii="Arial" w:cs="Arial" w:eastAsia="Arial" w:hAnsi="Arial"/>
          <w:sz w:val="18"/>
          <w:szCs w:val="18"/>
          <w:b w:val="1"/>
          <w:bCs w:val="1"/>
          <w:u w:val="single" w:color="auto"/>
          <w:color w:val="auto"/>
        </w:rPr>
        <w:t>(1) (1/2)</w:t>
      </w:r>
      <w:r>
        <w:rPr>
          <w:rFonts w:ascii="Arial" w:cs="Arial" w:eastAsia="Arial" w:hAnsi="Arial"/>
          <w:sz w:val="18"/>
          <w:szCs w:val="18"/>
          <w:b w:val="1"/>
          <w:bCs w:val="1"/>
          <w:color w:val="auto"/>
        </w:rPr>
        <w:t xml:space="preserve"> :</w:t>
      </w:r>
    </w:p>
    <w:p>
      <w:pPr>
        <w:spacing w:after="0" w:line="223" w:lineRule="exact"/>
        <w:rPr>
          <w:sz w:val="20"/>
          <w:szCs w:val="20"/>
          <w:color w:val="auto"/>
        </w:rPr>
      </w:pPr>
    </w:p>
    <w:p>
      <w:pPr>
        <w:ind w:firstLine="317"/>
        <w:spacing w:after="0" w:line="310" w:lineRule="auto"/>
        <w:tabs>
          <w:tab w:leader="none" w:pos="587"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dispute shall be submitted to the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Arbitration Commission, subject to the arbitration rules effective at the time in which the application for arbitration is submitted for arbitration in </w:t>
      </w:r>
      <w:r>
        <w:rPr>
          <w:rFonts w:ascii="Arial" w:cs="Arial" w:eastAsia="Arial" w:hAnsi="Arial"/>
          <w:sz w:val="17"/>
          <w:szCs w:val="17"/>
          <w:b w:val="1"/>
          <w:bCs w:val="1"/>
          <w:u w:val="single" w:color="auto"/>
          <w:color w:val="auto"/>
        </w:rPr>
        <w:t>Xiamen</w:t>
      </w:r>
      <w:r>
        <w:rPr>
          <w:rFonts w:ascii="Arial" w:cs="Arial" w:eastAsia="Arial" w:hAnsi="Arial"/>
          <w:sz w:val="17"/>
          <w:szCs w:val="17"/>
          <w:b w:val="1"/>
          <w:bCs w:val="1"/>
          <w:color w:val="auto"/>
        </w:rPr>
        <w:t xml:space="preserve"> (arbitral place). The arbitral award is final and binding upon the parties.</w:t>
      </w:r>
    </w:p>
    <w:p>
      <w:pPr>
        <w:spacing w:after="0" w:line="139" w:lineRule="exact"/>
        <w:rPr>
          <w:rFonts w:ascii="Arial" w:cs="Arial" w:eastAsia="Arial" w:hAnsi="Arial"/>
          <w:sz w:val="17"/>
          <w:szCs w:val="17"/>
          <w:b w:val="1"/>
          <w:bCs w:val="1"/>
          <w:color w:val="auto"/>
        </w:rPr>
      </w:pPr>
    </w:p>
    <w:p>
      <w:pPr>
        <w:ind w:left="580" w:hanging="263"/>
        <w:spacing w:after="0"/>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The dispute shall be resolved through litigation in the court of the Lender’s location.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Article 10 Miscellaneous</w:t>
      </w:r>
    </w:p>
    <w:p>
      <w:pPr>
        <w:spacing w:after="0" w:line="223" w:lineRule="exact"/>
        <w:rPr>
          <w:sz w:val="20"/>
          <w:szCs w:val="20"/>
          <w:color w:val="auto"/>
        </w:rPr>
      </w:pPr>
    </w:p>
    <w:p>
      <w:pPr>
        <w:ind w:left="320"/>
        <w:spacing w:after="0"/>
        <w:tabs>
          <w:tab w:leader="none" w:pos="2160" w:val="left"/>
          <w:tab w:leader="none" w:pos="3200" w:val="left"/>
          <w:tab w:leader="none" w:pos="7000" w:val="left"/>
          <w:tab w:leader="none" w:pos="7480" w:val="left"/>
        </w:tabs>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The Contract is in</w:t>
      </w:r>
      <w:r>
        <w:rPr>
          <w:sz w:val="20"/>
          <w:szCs w:val="20"/>
          <w:color w:val="auto"/>
        </w:rPr>
        <w:tab/>
      </w:r>
      <w:r>
        <w:rPr>
          <w:rFonts w:ascii="Arial" w:cs="Arial" w:eastAsia="Arial" w:hAnsi="Arial"/>
          <w:sz w:val="18"/>
          <w:szCs w:val="18"/>
          <w:color w:val="auto"/>
        </w:rPr>
        <w:t>2 duplicates</w:t>
        <w:tab/>
        <w:t>, with the Borrower, Lender, and , / , each holding</w:t>
        <w:tab/>
        <w:t>one</w:t>
      </w:r>
      <w:r>
        <w:rPr>
          <w:sz w:val="20"/>
          <w:szCs w:val="20"/>
          <w:color w:val="auto"/>
        </w:rPr>
        <w:tab/>
      </w:r>
      <w:r>
        <w:rPr>
          <w:rFonts w:ascii="Arial" w:cs="Arial" w:eastAsia="Arial" w:hAnsi="Arial"/>
          <w:sz w:val="16"/>
          <w:szCs w:val="16"/>
          <w:color w:val="auto"/>
        </w:rPr>
        <w:t>original, each of equal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-8255</wp:posOffset>
            </wp:positionV>
            <wp:extent cx="7734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773430" cy="8255"/>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-8255</wp:posOffset>
            </wp:positionV>
            <wp:extent cx="882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-8255</wp:posOffset>
            </wp:positionV>
            <wp:extent cx="391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3" w:lineRule="exact"/>
        <w:rPr>
          <w:sz w:val="20"/>
          <w:szCs w:val="20"/>
          <w:color w:val="auto"/>
        </w:rPr>
      </w:pPr>
    </w:p>
    <w:p>
      <w:pPr>
        <w:jc w:val="both"/>
        <w:ind w:right="20" w:firstLine="310"/>
        <w:spacing w:after="0" w:line="279"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following attachments and other attachments mutually agreed upon by the parties shall constitute an integral part of the Contract and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legal effect as the Contract: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1: Withdrawal Notice (Format)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2: Entrusted Payment Agreement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Attachment 3: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Other Matters of Agreement</w:t>
      </w:r>
    </w:p>
    <w:p>
      <w:pPr>
        <w:spacing w:after="0" w:line="227" w:lineRule="exact"/>
        <w:rPr>
          <w:sz w:val="20"/>
          <w:szCs w:val="20"/>
          <w:color w:val="auto"/>
        </w:rPr>
      </w:pPr>
    </w:p>
    <w:p>
      <w:pPr>
        <w:jc w:val="both"/>
        <w:ind w:firstLine="322"/>
        <w:spacing w:after="0" w:line="262" w:lineRule="auto"/>
        <w:rPr>
          <w:sz w:val="20"/>
          <w:szCs w:val="20"/>
          <w:color w:val="auto"/>
        </w:rPr>
      </w:pPr>
      <w:r>
        <w:rPr>
          <w:rFonts w:ascii="Arial" w:cs="Arial" w:eastAsia="Arial" w:hAnsi="Arial"/>
          <w:sz w:val="18"/>
          <w:szCs w:val="18"/>
          <w:u w:val="single" w:color="auto"/>
          <w:color w:val="auto"/>
        </w:rPr>
        <w:t>11.1 The arbitral ruling is final and binding on both parties. The parties agree that the arbitration shall be conducted after the arbitration has been filed; the relevant legal documents (including the arbitration documents) shall be deemed to have been served on the day following mailing to the mailing addresses of the parties as recorded in the Contract.</w:t>
      </w:r>
    </w:p>
    <w:p>
      <w:pPr>
        <w:spacing w:after="0" w:line="181" w:lineRule="exact"/>
        <w:rPr>
          <w:sz w:val="20"/>
          <w:szCs w:val="20"/>
          <w:color w:val="auto"/>
        </w:rPr>
      </w:pPr>
    </w:p>
    <w:p>
      <w:pPr>
        <w:jc w:val="both"/>
        <w:ind w:firstLine="322"/>
        <w:spacing w:after="0" w:line="309" w:lineRule="auto"/>
        <w:rPr>
          <w:sz w:val="20"/>
          <w:szCs w:val="20"/>
          <w:color w:val="auto"/>
        </w:rPr>
      </w:pPr>
      <w:r>
        <w:rPr>
          <w:rFonts w:ascii="Arial" w:cs="Arial" w:eastAsia="Arial" w:hAnsi="Arial"/>
          <w:sz w:val="16"/>
          <w:szCs w:val="16"/>
          <w:u w:val="single" w:color="auto"/>
          <w:color w:val="auto"/>
        </w:rPr>
        <w:t>11.2 The Borrower shall disclose related party relationships and related party transactions to the Lender in a timely, comprehensive, and accurate manner; the total amount of financing that the Borrower applies to the Lender for shall not exceed the actual funding needs of Party B. Should the Borrower violate any of the stipulations in the two foregoing paragraphs, the Lender is entitled to take the breach of contract remedy measures as stipulated in this agreement.</w:t>
      </w:r>
    </w:p>
    <w:p>
      <w:pPr>
        <w:spacing w:after="0" w:line="149"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8"/>
          <w:szCs w:val="18"/>
          <w:u w:val="single" w:color="auto"/>
          <w:color w:val="auto"/>
        </w:rPr>
        <w:t>11.3 Without the consent of the Lender, the Borrower shall not provide any guarantees or warranties to others or be deemed as in breach of contract, wherein the Lender is entitled to withdraw financing in advance.</w:t>
      </w:r>
    </w:p>
    <w:p>
      <w:pPr>
        <w:spacing w:after="0" w:line="170"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8"/>
          <w:szCs w:val="18"/>
          <w:u w:val="single" w:color="auto"/>
          <w:color w:val="auto"/>
        </w:rPr>
        <w:t>11.4 Without the written consent of the Lender, the Borrower shall not set up mortgages (pledges) on or provide guarantees or warranties for assets that it effectively operates.</w:t>
      </w:r>
    </w:p>
    <w:p>
      <w:pPr>
        <w:spacing w:after="0" w:line="170"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8"/>
          <w:szCs w:val="18"/>
          <w:u w:val="single" w:color="auto"/>
          <w:color w:val="auto"/>
        </w:rPr>
        <w:t>11.5 The Borrower shall regularly submit reports to the Lender on external guarantees and promise that such information on external guarantee amounts is complete, true, and accurate.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6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2" w:right="239" w:bottom="1440" w:gutter="0" w:footer="0" w:header="0"/>
        </w:sectPr>
      </w:pPr>
    </w:p>
    <w:bookmarkStart w:id="287" w:name="page288"/>
    <w:bookmarkEnd w:id="287"/>
    <w:p>
      <w:pPr>
        <w:jc w:val="both"/>
        <w:ind w:firstLine="376"/>
        <w:spacing w:after="0" w:line="262" w:lineRule="auto"/>
        <w:rPr>
          <w:sz w:val="20"/>
          <w:szCs w:val="20"/>
          <w:color w:val="auto"/>
        </w:rPr>
      </w:pPr>
      <w:r>
        <w:rPr>
          <w:rFonts w:ascii="Arial" w:cs="Arial" w:eastAsia="Arial" w:hAnsi="Arial"/>
          <w:sz w:val="18"/>
          <w:szCs w:val="18"/>
          <w:u w:val="single" w:color="auto"/>
          <w:color w:val="auto"/>
        </w:rPr>
        <w:t>11.6 When the Borrower’s financial metrics during the existence of lending are inferior to those previously agreed to by the Lender (if any), the Lender is entitled to declare that the loan expire in advance, to suspend the issuance of unissued funds, to require that the Borrower repay some or all of the loans already issued, or to require that the Borrower provide a legal and valid guarantee as recognized by the Lender.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Specific Stipulations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 Interest Rate and Interest</w:t>
      </w:r>
    </w:p>
    <w:p>
      <w:pPr>
        <w:spacing w:after="0" w:line="223" w:lineRule="exact"/>
        <w:rPr>
          <w:sz w:val="20"/>
          <w:szCs w:val="20"/>
          <w:color w:val="auto"/>
        </w:rPr>
      </w:pPr>
    </w:p>
    <w:p>
      <w:pPr>
        <w:ind w:right="260" w:firstLine="322"/>
        <w:spacing w:after="0" w:line="301"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For foreign currency borrowing, LIBOR is the interbank interest rate for the lending currency under the Contract displayed on the Reuters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terminal “LIBO=” page two banking days (11: 00 am London time) prior to the withdrawal date or benchmark interest rate adjustment date; HIBOR is the interbank interest rate for the lending currency under the Contract displayed on the Reuters financial telecommunications terminal “HIBO=” page two banking days (11: 15 am Hong Kong time) prior to the withdrawal date or benchmark interest rate adjustment date.</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Should a floating interest rate be used for loans under the Contract, the original interest rate shall still be used for interest on overdue loans.</w:t>
      </w:r>
    </w:p>
    <w:p>
      <w:pPr>
        <w:spacing w:after="0" w:line="234"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Should loan interest be settled on a monthly basis, the settlement date shall be the 20th of each month; should interest be settled quarterly, the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date shall be the 20th day of the last month of each quarter; should interest be settled semi-annually, the settlement date shall be June 20 or December 20 of each year.</w:t>
      </w:r>
    </w:p>
    <w:p>
      <w:pPr>
        <w:spacing w:after="0" w:line="176"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The first interest-bearing period shall be from the actual date of withdrawal to the first settlement date; the last interest-bearing period shall be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after the end of the previous interest-bearing period to the final payment date; all other interest-bearing periods shall be from the date after the end of the previous interest-bearing period to the next settlement date.</w:t>
      </w:r>
    </w:p>
    <w:p>
      <w:pPr>
        <w:spacing w:after="0" w:line="176" w:lineRule="exact"/>
        <w:rPr>
          <w:sz w:val="20"/>
          <w:szCs w:val="20"/>
          <w:color w:val="auto"/>
        </w:rPr>
      </w:pPr>
    </w:p>
    <w:p>
      <w:pPr>
        <w:jc w:val="both"/>
        <w:ind w:firstLine="354"/>
        <w:spacing w:after="0" w:line="279" w:lineRule="auto"/>
        <w:rPr>
          <w:sz w:val="20"/>
          <w:szCs w:val="20"/>
          <w:color w:val="auto"/>
        </w:rPr>
      </w:pPr>
      <w:r>
        <w:rPr>
          <w:rFonts w:ascii="Arial" w:cs="Arial" w:eastAsia="Arial" w:hAnsi="Arial"/>
          <w:sz w:val="18"/>
          <w:szCs w:val="18"/>
          <w:b w:val="1"/>
          <w:bCs w:val="1"/>
          <w:color w:val="auto"/>
        </w:rPr>
        <w:t>1.5 Loan Interest = Loan Principal × Daily Interest Rate × Actual Days of Use. Should the equal principal and interest repayment method be adopted, the formula for calculating the principal and interest shall be as follows:</w:t>
      </w:r>
    </w:p>
    <w:p>
      <w:pPr>
        <w:spacing w:after="0" w:line="123"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Total Principal and Interest Per Period =</w:t>
            </w:r>
          </w:p>
        </w:tc>
        <w:tc>
          <w:tcPr>
            <w:tcW w:w="3700" w:type="dxa"/>
            <w:vAlign w:val="bottom"/>
            <w:gridSpan w:val="2"/>
            <w:vMerge w:val="restart"/>
          </w:tcPr>
          <w:p>
            <w:pPr>
              <w:spacing w:after="0"/>
              <w:rPr>
                <w:sz w:val="20"/>
                <w:szCs w:val="20"/>
                <w:color w:val="auto"/>
              </w:rPr>
            </w:pPr>
            <w:r>
              <w:rPr>
                <w:rFonts w:ascii="Arial" w:cs="Arial" w:eastAsia="Arial" w:hAnsi="Arial"/>
                <w:sz w:val="18"/>
                <w:szCs w:val="18"/>
                <w:color w:val="auto"/>
                <w:w w:val="93"/>
              </w:rPr>
              <w:t>Loan Principle x Period Profit x (1 + Period Profit)</w:t>
            </w:r>
          </w:p>
        </w:tc>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Number of Repayment</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40" w:type="dxa"/>
            <w:vAlign w:val="bottom"/>
            <w:vMerge w:val="continue"/>
          </w:tcPr>
          <w:p>
            <w:pPr>
              <w:spacing w:after="0" w:line="20" w:lineRule="exact"/>
              <w:rPr>
                <w:sz w:val="1"/>
                <w:szCs w:val="1"/>
                <w:color w:val="auto"/>
              </w:rPr>
            </w:pPr>
          </w:p>
        </w:tc>
        <w:tc>
          <w:tcPr>
            <w:tcW w:w="3700" w:type="dxa"/>
            <w:vAlign w:val="bottom"/>
            <w:tcBorders>
              <w:bottom w:val="single" w:sz="8" w:color="auto"/>
            </w:tcBorders>
            <w:gridSpan w:val="2"/>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5100" w:type="dxa"/>
            <w:vAlign w:val="bottom"/>
            <w:gridSpan w:val="4"/>
          </w:tcPr>
          <w:p>
            <w:pPr>
              <w:spacing w:after="0" w:line="155" w:lineRule="exact"/>
              <w:rPr>
                <w:sz w:val="20"/>
                <w:szCs w:val="20"/>
                <w:color w:val="auto"/>
              </w:rPr>
            </w:pPr>
            <w:r>
              <w:rPr>
                <w:rFonts w:ascii="Arial" w:cs="Arial" w:eastAsia="Arial" w:hAnsi="Arial"/>
                <w:sz w:val="15"/>
                <w:szCs w:val="15"/>
                <w:color w:val="auto"/>
              </w:rPr>
              <w:t>Installments</w:t>
            </w:r>
          </w:p>
        </w:tc>
        <w:tc>
          <w:tcPr>
            <w:tcW w:w="0" w:type="dxa"/>
            <w:vAlign w:val="bottom"/>
          </w:tcPr>
          <w:p>
            <w:pPr>
              <w:spacing w:after="0"/>
              <w:rPr>
                <w:sz w:val="1"/>
                <w:szCs w:val="1"/>
                <w:color w:val="auto"/>
              </w:rPr>
            </w:pPr>
          </w:p>
        </w:tc>
      </w:tr>
      <w:tr>
        <w:trPr>
          <w:trHeight w:val="438"/>
        </w:trPr>
        <w:tc>
          <w:tcPr>
            <w:tcW w:w="38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360" w:type="dxa"/>
            <w:vAlign w:val="bottom"/>
            <w:gridSpan w:val="3"/>
          </w:tcPr>
          <w:p>
            <w:pPr>
              <w:ind w:left="240"/>
              <w:spacing w:after="0"/>
              <w:rPr>
                <w:sz w:val="20"/>
                <w:szCs w:val="20"/>
                <w:color w:val="auto"/>
              </w:rPr>
            </w:pPr>
            <w:r>
              <w:rPr>
                <w:rFonts w:ascii="Arial" w:cs="Arial" w:eastAsia="Arial" w:hAnsi="Arial"/>
                <w:sz w:val="35"/>
                <w:szCs w:val="35"/>
                <w:color w:val="auto"/>
                <w:w w:val="90"/>
                <w:vertAlign w:val="subscript"/>
              </w:rPr>
              <w:t>(1 + Period Profit)</w:t>
            </w:r>
            <w:r>
              <w:rPr>
                <w:rFonts w:ascii="Arial" w:cs="Arial" w:eastAsia="Arial" w:hAnsi="Arial"/>
                <w:sz w:val="15"/>
                <w:szCs w:val="15"/>
                <w:color w:val="auto"/>
                <w:w w:val="90"/>
              </w:rPr>
              <w:t xml:space="preserve"> Number of Repayment Installments </w:t>
            </w:r>
            <w:r>
              <w:rPr>
                <w:rFonts w:ascii="Arial" w:cs="Arial" w:eastAsia="Arial" w:hAnsi="Arial"/>
                <w:sz w:val="35"/>
                <w:szCs w:val="35"/>
                <w:color w:val="auto"/>
                <w:w w:val="90"/>
                <w:vertAlign w:val="subscript"/>
              </w:rPr>
              <w:t>- 1</w:t>
            </w:r>
          </w:p>
        </w:tc>
        <w:tc>
          <w:tcPr>
            <w:tcW w:w="0" w:type="dxa"/>
            <w:vAlign w:val="bottom"/>
          </w:tcPr>
          <w:p>
            <w:pPr>
              <w:spacing w:after="0"/>
              <w:rPr>
                <w:sz w:val="1"/>
                <w:szCs w:val="1"/>
                <w:color w:val="auto"/>
              </w:rPr>
            </w:pPr>
          </w:p>
        </w:tc>
      </w:tr>
    </w:tbl>
    <w:p>
      <w:pPr>
        <w:ind w:right="480" w:firstLine="354"/>
        <w:spacing w:after="0" w:line="318" w:lineRule="auto"/>
        <w:rPr>
          <w:sz w:val="20"/>
          <w:szCs w:val="20"/>
          <w:color w:val="auto"/>
        </w:rPr>
      </w:pPr>
      <w:r>
        <w:rPr>
          <w:rFonts w:ascii="Arial" w:cs="Arial" w:eastAsia="Arial" w:hAnsi="Arial"/>
          <w:sz w:val="16"/>
          <w:szCs w:val="16"/>
          <w:b w:val="1"/>
          <w:bCs w:val="1"/>
          <w:color w:val="auto"/>
        </w:rPr>
        <w:t>1.6 Should the People’s Bank of China adjust its measures for determining loan interest rates applicable to lending under the Contract, the relevant rules of the People’s Bank of China shall be adopted, and the Lender shall not provide separate notice thereof to the Borrower.</w:t>
      </w:r>
    </w:p>
    <w:p>
      <w:pPr>
        <w:spacing w:after="0" w:line="137" w:lineRule="exact"/>
        <w:rPr>
          <w:sz w:val="20"/>
          <w:szCs w:val="20"/>
          <w:color w:val="auto"/>
        </w:rPr>
      </w:pPr>
    </w:p>
    <w:p>
      <w:pPr>
        <w:ind w:firstLine="322"/>
        <w:spacing w:after="0" w:line="256" w:lineRule="auto"/>
        <w:rPr>
          <w:sz w:val="20"/>
          <w:szCs w:val="20"/>
          <w:color w:val="auto"/>
        </w:rPr>
      </w:pPr>
      <w:r>
        <w:rPr>
          <w:rFonts w:ascii="Arial" w:cs="Arial" w:eastAsia="Arial" w:hAnsi="Arial"/>
          <w:sz w:val="18"/>
          <w:szCs w:val="18"/>
          <w:b w:val="1"/>
          <w:bCs w:val="1"/>
          <w:color w:val="auto"/>
        </w:rPr>
        <w:t>1.7 The lending rate determined at the signing of the Contract may float downward to a certain degree from the relevant loan benchmark interest rate published by the People’s Bank of China or the loan prime rate (LPR) published by the National Interbank Funding Center. The Lender is entitled to re-evaluate the Borrower’s interest rate concessions each year and determine whether to cancel, in part or in full, the interest rate concessions granted to the Borrower, based on national policies, the Borrower’s credit standing, lending guarantee changes, and other such circumstances, and promptly notify the Borrower of such a cancellation.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2 Loan Issuances and Payments</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Borrower must meet the following withdrawal preconditions in order to withdraw loans, otherwise the Lender is not obligated to issue any funds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Borrower, unless the Lender has agreed to such an issuance in advance: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7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88" w:name="page289"/>
    <w:bookmarkEnd w:id="288"/>
    <w:p>
      <w:pPr>
        <w:ind w:right="20" w:firstLine="330"/>
        <w:spacing w:after="0" w:line="275" w:lineRule="auto"/>
        <w:tabs>
          <w:tab w:leader="none" w:pos="606"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Apart from credit loans, the Borrower has provided corresponding guarantees as required by the Lender and has completed relevant guarantee procedures;</w:t>
      </w:r>
    </w:p>
    <w:p>
      <w:pPr>
        <w:spacing w:after="0" w:line="170" w:lineRule="exact"/>
        <w:rPr>
          <w:rFonts w:ascii="Arial" w:cs="Arial" w:eastAsia="Arial" w:hAnsi="Arial"/>
          <w:sz w:val="18"/>
          <w:szCs w:val="18"/>
          <w:b w:val="1"/>
          <w:bCs w:val="1"/>
          <w:color w:val="auto"/>
        </w:rPr>
      </w:pPr>
    </w:p>
    <w:p>
      <w:pPr>
        <w:ind w:left="580" w:hanging="250"/>
        <w:spacing w:after="0"/>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There has been no breach of contract under the Contract or other contracts with the Lender;</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The proof of loan usage provided is consistent with the intended use.</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Other materials are submitted as required by the Lender.</w:t>
      </w:r>
    </w:p>
    <w:p>
      <w:pPr>
        <w:spacing w:after="0" w:line="219"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Written documents provided to the Lender by the Borrower at the time of withdrawal must be originals; if originals cannot be provided,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consent, photocopies affixed with the Borrower's corporate seal may be provided.</w:t>
      </w:r>
    </w:p>
    <w:p>
      <w:pPr>
        <w:spacing w:after="0" w:line="16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The Borrower must provide the Lender with a withdrawal notice at least five banking days in advance of a withdrawal. Once the withdrawal notice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submitted, it cannot be revoked without the written consent of the Lender.</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Once the Borrower has met the withdrawal preconditions or the Lender has agreed to issuance in advance, the Lender shall transfer the loan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designated account, meaning that the Lender has issued the loan to the Borrower as stipulated under the Contract.</w:t>
      </w:r>
    </w:p>
    <w:p>
      <w:pPr>
        <w:spacing w:after="0" w:line="163" w:lineRule="exact"/>
        <w:rPr>
          <w:sz w:val="20"/>
          <w:szCs w:val="20"/>
          <w:color w:val="auto"/>
        </w:rPr>
      </w:pPr>
    </w:p>
    <w:p>
      <w:pPr>
        <w:jc w:val="both"/>
        <w:ind w:firstLine="322"/>
        <w:spacing w:after="0" w:line="301"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color w:val="auto"/>
        </w:rPr>
        <w:t>Pursuant to relevant regulatory requirements and the Lender's administrative requirements, lending exceeding a certain amount or meeting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shall be made with a Lender's entrusted payment, whereby the Lender pays the loan amount to payment objects that comply with the usage stipulated under the Contract based on the Borrower's withdrawal application and payment entrustment. To this end, the Borrower shall enter into a separate entrusted payment agreement with the Lender as an attachment to the Contract and open or designate an account at the Lender for entrusted payments.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3 Repayments</w:t>
      </w:r>
    </w:p>
    <w:p>
      <w:pPr>
        <w:spacing w:after="0" w:line="223"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Borrower shall repay the principal, interest and other payables in full and on time as stipulated under the Contract. One banking day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date and each settlement date, the Borrower shall deposit enough in its repayment account opened at the Lender for the current interest, principal, and other payables, and the Lender is entitled to actively collect payment there from on the repayment date or settlement date, or ask that the Borrower comply with relevant transfer procedures. Should the amount in the repayment account be insufficient to pay all payables due, the Lender has the right to determine the order of payment.</w:t>
      </w:r>
    </w:p>
    <w:p>
      <w:pPr>
        <w:spacing w:after="0" w:line="185" w:lineRule="exact"/>
        <w:rPr>
          <w:sz w:val="20"/>
          <w:szCs w:val="20"/>
          <w:color w:val="auto"/>
        </w:rPr>
      </w:pPr>
    </w:p>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Should the Borrower apply to repay loans early, in part or in full, the Borrower shall submit a written application to the Lender 10 banking days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and pay the early repayment penalty to the Lender according to the standards stipulated under the Contract.</w:t>
      </w:r>
    </w:p>
    <w:p>
      <w:pPr>
        <w:spacing w:after="0" w:line="163" w:lineRule="exact"/>
        <w:rPr>
          <w:sz w:val="20"/>
          <w:szCs w:val="20"/>
          <w:color w:val="auto"/>
        </w:rPr>
      </w:pPr>
    </w:p>
    <w:p>
      <w:pPr>
        <w:ind w:right="80" w:firstLine="322"/>
        <w:spacing w:after="0" w:line="27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Should the Lender agree to an early repayment, on the early repayment date, the Borrower shall also settle loan principal, interest, and other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due as of the early repayment date, as stipulated under the Contract.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3.4 The Lender is entitled to withdraw lending in advance based on the Borrower's capital returns.</w:t>
      </w:r>
    </w:p>
    <w:p>
      <w:pPr>
        <w:spacing w:after="0" w:line="223" w:lineRule="exact"/>
        <w:rPr>
          <w:sz w:val="20"/>
          <w:szCs w:val="20"/>
          <w:color w:val="auto"/>
        </w:rPr>
      </w:pPr>
    </w:p>
    <w:p>
      <w:pPr>
        <w:ind w:right="100" w:firstLine="322"/>
        <w:spacing w:after="0" w:line="344" w:lineRule="auto"/>
        <w:rPr>
          <w:sz w:val="20"/>
          <w:szCs w:val="20"/>
          <w:color w:val="auto"/>
        </w:rPr>
      </w:pPr>
      <w:r>
        <w:rPr>
          <w:rFonts w:ascii="Arial" w:cs="Arial" w:eastAsia="Arial" w:hAnsi="Arial"/>
          <w:sz w:val="16"/>
          <w:szCs w:val="16"/>
          <w:b w:val="1"/>
          <w:bCs w:val="1"/>
          <w:color w:val="auto"/>
        </w:rPr>
        <w:t>3.5 Should the actual loan period be shortened because of the Borrower’s early repayment or because the Lender withdraws the loan in advance as stipulated under the Contract, the corresponding interest rate grade shall not be adjusted, and the original lending rate shall still be used.</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4 Revolving Loans</w:t>
      </w:r>
    </w:p>
    <w:p>
      <w:pPr>
        <w:spacing w:after="0" w:line="223" w:lineRule="exact"/>
        <w:rPr>
          <w:sz w:val="20"/>
          <w:szCs w:val="20"/>
          <w:color w:val="auto"/>
        </w:rPr>
      </w:pPr>
    </w:p>
    <w:p>
      <w:pPr>
        <w:ind w:right="340" w:firstLine="322"/>
        <w:spacing w:after="0" w:line="312"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Should loans under the Contract be used on a revolving basis, during the revolving credit term, the sum of the Borrower's loan balance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should not exceed the revolving line of credit; the lending term for each of the Borrower's withdrawals shall be from the actual withdrawal date to the stipulated repayment date, as recorded on the lending receipt. The repayment date of any single withdrawal shall not exceed the revolving credit term.</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8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89" w:name="page290"/>
    <w:bookmarkEnd w:id="289"/>
    <w:p>
      <w:pPr>
        <w:ind w:right="320" w:firstLine="322"/>
        <w:spacing w:after="0" w:line="279"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Should loans under the Contract be used on a revolving basis, from the signing date of the Contract, should the Borrower make no withdrawals for</w:t>
      </w:r>
      <w:r>
        <w:rPr>
          <w:rFonts w:ascii="Arial" w:cs="Arial" w:eastAsia="Arial" w:hAnsi="Arial"/>
          <w:sz w:val="18"/>
          <w:szCs w:val="18"/>
          <w:b w:val="1"/>
          <w:bCs w:val="1"/>
          <w:color w:val="auto"/>
        </w:rPr>
        <w:t xml:space="preserve"> </w:t>
      </w:r>
      <w:r>
        <w:rPr>
          <w:rFonts w:ascii="Arial" w:cs="Arial" w:eastAsia="Arial" w:hAnsi="Arial"/>
          <w:sz w:val="18"/>
          <w:szCs w:val="18"/>
          <w:color w:val="auto"/>
        </w:rPr>
        <w:t>three consecutive months, the Lender has the right to cancel the revolving line of credit.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5 Guarantees</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Apart from credit loans, the Borrower shall provide legal and valid guarantees recognized by the Lender for its performance of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A guarantee contract shall be separately signed.</w:t>
      </w:r>
    </w:p>
    <w:p>
      <w:pPr>
        <w:spacing w:after="0" w:line="163" w:lineRule="exact"/>
        <w:rPr>
          <w:sz w:val="20"/>
          <w:szCs w:val="20"/>
          <w:color w:val="auto"/>
        </w:rPr>
      </w:pPr>
    </w:p>
    <w:p>
      <w:pPr>
        <w:jc w:val="both"/>
        <w:ind w:firstLine="322"/>
        <w:spacing w:after="0" w:line="287"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color w:val="auto"/>
        </w:rPr>
        <w:t>Should the collateral under the Contract be damaged, devalued, subject to an ownership dispute, seized or withheld, or should the mortgager dispose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collateral without authorization, or should the financial situation of the guarantor adversely change or change in a way that is not conducive to the Lender’s claims, the Borrower shall promptly notify the Lender and provide additional guarantees as recognized by the Lender.</w:t>
      </w:r>
    </w:p>
    <w:p>
      <w:pPr>
        <w:spacing w:after="0" w:line="158" w:lineRule="exact"/>
        <w:rPr>
          <w:sz w:val="20"/>
          <w:szCs w:val="20"/>
          <w:color w:val="auto"/>
        </w:rPr>
      </w:pPr>
    </w:p>
    <w:p>
      <w:pPr>
        <w:jc w:val="both"/>
        <w:ind w:firstLine="322"/>
        <w:spacing w:after="0" w:line="312" w:lineRule="auto"/>
        <w:rPr>
          <w:sz w:val="20"/>
          <w:szCs w:val="20"/>
          <w:color w:val="auto"/>
        </w:rPr>
      </w:pPr>
      <w:r>
        <w:rPr>
          <w:rFonts w:ascii="Arial" w:cs="Arial" w:eastAsia="Arial" w:hAnsi="Arial"/>
          <w:sz w:val="16"/>
          <w:szCs w:val="16"/>
          <w:b w:val="1"/>
          <w:bCs w:val="1"/>
          <w:color w:val="auto"/>
        </w:rPr>
        <w:t>5.3 The Lender is entitled to periodically or irregularly reassess the value of the collateral and the guarantor’s ability to guarantee. Should the assessment hold that the value of the collateral has declined or that the guarantor’s ability to guarantee has declined, the Borrower shall provide additional guarantees equal to the reduced value or the reduced ability to guarantee and may provide other guarantees as recognized by the Lender.</w:t>
      </w:r>
    </w:p>
    <w:p>
      <w:pPr>
        <w:spacing w:after="0" w:line="142"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Should pledge guarantees for receivables be provided for loans under the Contract, for the duration of the Contract, in any one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Lender has the right to declare the early expiration of lending, require that the Borrower immediately repay loan principal and interest, in part or in full, or add additional legal, valid, and sufficient guarantees recognized by the Lender:</w:t>
      </w:r>
    </w:p>
    <w:p>
      <w:pPr>
        <w:spacing w:after="0" w:line="180" w:lineRule="exact"/>
        <w:rPr>
          <w:sz w:val="20"/>
          <w:szCs w:val="20"/>
          <w:color w:val="auto"/>
        </w:rPr>
      </w:pPr>
    </w:p>
    <w:p>
      <w:pPr>
        <w:ind w:left="580" w:hanging="250"/>
        <w:spacing w:after="0"/>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pledger’s bad debt rate on the payer’s accounts receivable has increased for two consecutive months;</w:t>
      </w:r>
    </w:p>
    <w:p>
      <w:pPr>
        <w:spacing w:after="0" w:line="222"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pledger's accounts receivable for the payer that are overdue and have yet to be received account for over 5% of the payer's balance of accounts receivable;</w:t>
      </w:r>
    </w:p>
    <w:p>
      <w:pPr>
        <w:spacing w:after="0" w:line="170" w:lineRule="exact"/>
        <w:rPr>
          <w:rFonts w:ascii="Arial" w:cs="Arial" w:eastAsia="Arial" w:hAnsi="Arial"/>
          <w:sz w:val="18"/>
          <w:szCs w:val="18"/>
          <w:b w:val="1"/>
          <w:bCs w:val="1"/>
          <w:color w:val="auto"/>
        </w:rPr>
      </w:pPr>
    </w:p>
    <w:p>
      <w:pPr>
        <w:ind w:firstLine="374"/>
        <w:spacing w:after="0" w:line="275" w:lineRule="auto"/>
        <w:tabs>
          <w:tab w:leader="none" w:pos="620"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The accounts receivable pledger has entered into a trade dispute (including but not limited to quality, technology, or service disputes) or claims dispute with the payer or another third party, such that the accounts receivable may not be payable on time.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6 Account Management</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Borrower shall use a special designated capital returns account with the Lender to collect corresponding sales income or planned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Should corresponding sales income be settled in a non-cash manner, the Borrower shall ensure that the funds are returned to the account promptly after payment is received.</w:t>
      </w:r>
    </w:p>
    <w:p>
      <w:pPr>
        <w:spacing w:after="0" w:line="176" w:lineRule="exact"/>
        <w:rPr>
          <w:sz w:val="20"/>
          <w:szCs w:val="20"/>
          <w:color w:val="auto"/>
        </w:rPr>
      </w:pPr>
    </w:p>
    <w:p>
      <w:pPr>
        <w:ind w:right="240" w:firstLine="322"/>
        <w:spacing w:after="0" w:line="264"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The Lender is entitled to the supervision of the capital returns account, including but not limited to inquiries and supervision of the account's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debits and credits, and the Borrower shall cooperate. If required by the Lender, the Borrower shall sign a special account supervision agreement with the Lender.</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7 Representations and Warranties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Borrower makes the following representations and warranties to the Lender, which shall be valid for the duration of the Contract:</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color w:val="auto"/>
        </w:rPr>
        <w:t>The Borrower has the qualifications for borrowing and the qualifications and ability to sign and perform the Contract.</w:t>
      </w:r>
    </w:p>
    <w:p>
      <w:pPr>
        <w:spacing w:after="0" w:line="223" w:lineRule="exact"/>
        <w:rPr>
          <w:sz w:val="20"/>
          <w:szCs w:val="20"/>
          <w:color w:val="auto"/>
        </w:rPr>
      </w:pPr>
    </w:p>
    <w:p>
      <w:pPr>
        <w:ind w:right="180" w:firstLine="322"/>
        <w:spacing w:after="0" w:line="344"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All necessary authorizations or approvals have been obtained for signing the contract, and the signing and performance of the contract do not violate</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company's articles of incorporation or relevant laws and regulations and do not conflict with obligations under other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7480" w:type="dxa"/>
            <w:vAlign w:val="bottom"/>
          </w:tcPr>
          <w:p>
            <w:pPr>
              <w:ind w:left="560"/>
              <w:spacing w:after="0"/>
              <w:rPr>
                <w:sz w:val="20"/>
                <w:szCs w:val="20"/>
                <w:color w:val="auto"/>
              </w:rPr>
            </w:pPr>
            <w:r>
              <w:rPr>
                <w:rFonts w:ascii="Arial" w:cs="Arial" w:eastAsia="Arial" w:hAnsi="Arial"/>
                <w:sz w:val="18"/>
                <w:szCs w:val="18"/>
                <w:color w:val="auto"/>
              </w:rPr>
              <w:t>Contract Main Body Page 9 of 16</w:t>
            </w:r>
          </w:p>
        </w:tc>
      </w:tr>
      <w:tr>
        <w:trPr>
          <w:trHeight w:val="415"/>
        </w:trPr>
        <w:tc>
          <w:tcPr>
            <w:tcW w:w="394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480" w:type="dxa"/>
            <w:vAlign w:val="bottom"/>
          </w:tcPr>
          <w:p>
            <w:pPr>
              <w:ind w:left="272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Document 2 of 2</w:t>
            </w:r>
          </w:p>
        </w:tc>
        <w:tc>
          <w:tcPr>
            <w:tcW w:w="7480" w:type="dxa"/>
            <w:vAlign w:val="bottom"/>
          </w:tcPr>
          <w:p>
            <w:pPr>
              <w:ind w:left="2720"/>
              <w:spacing w:after="0"/>
              <w:rPr>
                <w:sz w:val="20"/>
                <w:szCs w:val="20"/>
                <w:color w:val="auto"/>
              </w:rPr>
            </w:pPr>
            <w:r>
              <w:rPr>
                <w:rFonts w:ascii="Arial" w:cs="Arial" w:eastAsia="Arial" w:hAnsi="Arial"/>
                <w:sz w:val="18"/>
                <w:szCs w:val="18"/>
                <w:color w:val="auto"/>
              </w:rPr>
              <w:t>contract contents [QR Code]</w:t>
            </w:r>
          </w:p>
        </w:tc>
      </w:tr>
      <w:tr>
        <w:trPr>
          <w:trHeight w:val="60"/>
        </w:trPr>
        <w:tc>
          <w:tcPr>
            <w:tcW w:w="394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0" w:name="page291"/>
    <w:bookmarkEnd w:id="290"/>
    <w:p>
      <w:pPr>
        <w:ind w:left="32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Other debts payable have been paid on time, with no malicious defaults on bank loans or interest.</w:t>
      </w:r>
    </w:p>
    <w:p>
      <w:pPr>
        <w:spacing w:after="0" w:line="223" w:lineRule="exact"/>
        <w:rPr>
          <w:sz w:val="20"/>
          <w:szCs w:val="20"/>
          <w:color w:val="auto"/>
        </w:rPr>
      </w:pPr>
    </w:p>
    <w:p>
      <w:pPr>
        <w:ind w:right="300" w:firstLine="322"/>
        <w:spacing w:after="0" w:line="279"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color w:val="auto"/>
        </w:rPr>
        <w:t>There are sound organizations and financial management systems in place. In the past one year, there have been no major disciplinary violations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conduct, and current senior management have no significantly negative records.</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color w:val="auto"/>
        </w:rPr>
        <w:t>All documents and materials provided to the Lender are true, accurate, complete, and valid, and they are free of false records, material omissions,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misleading statements.</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Financial accounting reports provided to the Lender have been prepared in accordance with PRC accounting standards, reflecting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conditions and liabilities in a true, fair, and complete manner. Since the latest financial accounting report, the Borrower's financial position has not experienced any significantly adverse changes.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color w:val="auto"/>
        </w:rPr>
        <w:t>No litigation, arbitration, or claims have been concealed from the Lender.</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8 Borrower Commitments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8.1 To withdraw and use loans according to the terms and purposes stipulated under the Contract and to not use the borrowings for fixed assets, equity, and other investments and to ensure that borrowings, in any form, do not flow into the securities market, futures market, or other uses prohibited or restricted by relevant laws and regulations.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To settle loan principal, interest, and other payables as stipulated under the Contract.</w:t>
      </w:r>
    </w:p>
    <w:p>
      <w:pPr>
        <w:spacing w:after="0" w:line="223"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To accept and actively cooperate with the Lender’s accounts analysis inspection and supervision of the use of loan funds, including by means of account analysis, document inspection, and on-site investigations, and to regularly report the use of loan funds as required by the Lender.</w:t>
      </w:r>
    </w:p>
    <w:p>
      <w:pPr>
        <w:spacing w:after="0" w:line="117" w:lineRule="exact"/>
        <w:rPr>
          <w:sz w:val="20"/>
          <w:szCs w:val="20"/>
          <w:color w:val="auto"/>
        </w:rPr>
      </w:pPr>
    </w:p>
    <w:p>
      <w:pPr>
        <w:ind w:right="100" w:firstLine="322"/>
        <w:spacing w:after="0" w:line="264"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To accept the Lender's credit checks, to provide financial accounting materials, such as balance sheets and income and loss statements,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reflecting the Borrower's solvency, as required by the Lender, and to assist and cooperate with the Lender's investigations, inquiries, and supervision of its productions, operations, and financial standing.</w:t>
      </w:r>
    </w:p>
    <w:p>
      <w:pPr>
        <w:spacing w:after="0" w:line="176" w:lineRule="exact"/>
        <w:rPr>
          <w:sz w:val="20"/>
          <w:szCs w:val="20"/>
          <w:color w:val="auto"/>
        </w:rPr>
      </w:pPr>
    </w:p>
    <w:p>
      <w:pPr>
        <w:ind w:right="680" w:firstLine="322"/>
        <w:spacing w:after="0" w:line="279" w:lineRule="auto"/>
        <w:rPr>
          <w:sz w:val="20"/>
          <w:szCs w:val="20"/>
          <w:color w:val="auto"/>
        </w:rPr>
      </w:pPr>
      <w:r>
        <w:rPr>
          <w:rFonts w:ascii="Arial" w:cs="Arial" w:eastAsia="Arial" w:hAnsi="Arial"/>
          <w:sz w:val="18"/>
          <w:szCs w:val="18"/>
          <w:b w:val="1"/>
          <w:bCs w:val="1"/>
          <w:color w:val="auto"/>
        </w:rPr>
        <w:t>8.5 To not distribute dividends or bonuses, in any form, when there are outstanding loan principal, interest, or other payables (including amounts that are announced as due immediately) under the Contract.</w:t>
      </w:r>
    </w:p>
    <w:p>
      <w:pPr>
        <w:spacing w:after="0" w:line="163" w:lineRule="exact"/>
        <w:rPr>
          <w:sz w:val="20"/>
          <w:szCs w:val="20"/>
          <w:color w:val="auto"/>
        </w:rPr>
      </w:pPr>
    </w:p>
    <w:p>
      <w:pPr>
        <w:ind w:right="120" w:firstLine="322"/>
        <w:spacing w:after="0" w:line="264" w:lineRule="auto"/>
        <w:rPr>
          <w:sz w:val="20"/>
          <w:szCs w:val="20"/>
          <w:color w:val="auto"/>
        </w:rPr>
      </w:pPr>
      <w:r>
        <w:rPr>
          <w:rFonts w:ascii="Arial" w:cs="Arial" w:eastAsia="Arial" w:hAnsi="Arial"/>
          <w:sz w:val="18"/>
          <w:szCs w:val="18"/>
          <w:b w:val="1"/>
          <w:bCs w:val="1"/>
          <w:color w:val="auto"/>
        </w:rPr>
        <w:t>8.6 To first obtain the Lender’s written consent or to make arrangements that satisfy the Lender prior to Mergers, divisions, capital reductions, equity changes, equity pledges, transfers of major assets and claims, major foreign investments, substantial increases in debt financing, and other actions that may adversely affect the Lender’s equity.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color w:val="auto"/>
        </w:rPr>
        <w:t>In any one of the following events, to promptly notify the Lender:</w:t>
      </w:r>
    </w:p>
    <w:p>
      <w:pPr>
        <w:spacing w:after="0" w:line="227" w:lineRule="exact"/>
        <w:rPr>
          <w:sz w:val="20"/>
          <w:szCs w:val="20"/>
          <w:color w:val="auto"/>
        </w:rPr>
      </w:pPr>
    </w:p>
    <w:p>
      <w:pPr>
        <w:ind w:left="580" w:hanging="250"/>
        <w:spacing w:after="0"/>
        <w:tabs>
          <w:tab w:leader="none" w:pos="5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changes to the company’s articles of incorporation, business scope, registered capital, or legal representative;</w:t>
      </w:r>
    </w:p>
    <w:p>
      <w:pPr>
        <w:spacing w:after="0" w:line="222"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closure, dissolution, liquidation, suspension of business, business license suspended or revoked for rectification, or the company applies (is subject to) bankruptcy;</w:t>
      </w:r>
    </w:p>
    <w:p>
      <w:pPr>
        <w:spacing w:after="0" w:line="170" w:lineRule="exact"/>
        <w:rPr>
          <w:rFonts w:ascii="Arial" w:cs="Arial" w:eastAsia="Arial" w:hAnsi="Arial"/>
          <w:sz w:val="18"/>
          <w:szCs w:val="18"/>
          <w:b w:val="1"/>
          <w:bCs w:val="1"/>
          <w:color w:val="auto"/>
        </w:rPr>
      </w:pPr>
    </w:p>
    <w:p>
      <w:pPr>
        <w:ind w:left="580" w:hanging="250"/>
        <w:spacing w:after="0"/>
        <w:tabs>
          <w:tab w:leader="none" w:pos="580" w:val="left"/>
        </w:tabs>
        <w:numPr>
          <w:ilvl w:val="0"/>
          <w:numId w:val="203"/>
        </w:numPr>
        <w:rPr>
          <w:rFonts w:ascii="Arial" w:cs="Arial" w:eastAsia="Arial" w:hAnsi="Arial"/>
          <w:sz w:val="16"/>
          <w:szCs w:val="16"/>
          <w:b w:val="1"/>
          <w:bCs w:val="1"/>
          <w:color w:val="auto"/>
        </w:rPr>
      </w:pPr>
      <w:r>
        <w:rPr>
          <w:rFonts w:ascii="Arial" w:cs="Arial" w:eastAsia="Arial" w:hAnsi="Arial"/>
          <w:sz w:val="16"/>
          <w:szCs w:val="16"/>
          <w:color w:val="auto"/>
        </w:rPr>
        <w:t>involvement or possible involvement in major economic disputes, litigation, or arbitration, or property is seized, detained or under supervision by law;</w:t>
      </w:r>
    </w:p>
    <w:p>
      <w:pPr>
        <w:spacing w:after="0" w:line="245" w:lineRule="exact"/>
        <w:rPr>
          <w:rFonts w:ascii="Arial" w:cs="Arial" w:eastAsia="Arial" w:hAnsi="Arial"/>
          <w:sz w:val="16"/>
          <w:szCs w:val="16"/>
          <w:b w:val="1"/>
          <w:bCs w:val="1"/>
          <w:color w:val="auto"/>
        </w:rPr>
      </w:pPr>
    </w:p>
    <w:p>
      <w:pPr>
        <w:ind w:left="580" w:hanging="250"/>
        <w:spacing w:after="0"/>
        <w:tabs>
          <w:tab w:leader="none" w:pos="5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shareholder(s), director(s), and current senior management are suspect of major cases or economic disputes.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To promptly, comprehensively, and accurately disclose of related party relationships and related party transactions to the Lender.</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To mail or otherwise send to the Lender and promptly receive various notices.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10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1" w:name="page292"/>
    <w:bookmarkEnd w:id="291"/>
    <w:p>
      <w:pPr>
        <w:ind w:right="520" w:firstLine="322"/>
        <w:spacing w:after="0" w:line="279" w:lineRule="auto"/>
        <w:rPr>
          <w:sz w:val="20"/>
          <w:szCs w:val="20"/>
          <w:color w:val="auto"/>
        </w:rPr>
      </w:pPr>
      <w:r>
        <w:rPr>
          <w:rFonts w:ascii="Arial" w:cs="Arial" w:eastAsia="Arial" w:hAnsi="Arial"/>
          <w:sz w:val="18"/>
          <w:szCs w:val="18"/>
          <w:b w:val="1"/>
          <w:bCs w:val="1"/>
          <w:color w:val="auto"/>
        </w:rPr>
        <w:t xml:space="preserve">8.10 </w:t>
      </w:r>
      <w:r>
        <w:rPr>
          <w:rFonts w:ascii="Arial" w:cs="Arial" w:eastAsia="Arial" w:hAnsi="Arial"/>
          <w:sz w:val="18"/>
          <w:szCs w:val="18"/>
          <w:color w:val="auto"/>
        </w:rPr>
        <w:t>To not dispose of its own assets in a manner that reduces solvency; to not use assets formed under the Contract, without obtaining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provide guarantees to third parties.</w:t>
      </w:r>
    </w:p>
    <w:p>
      <w:pPr>
        <w:spacing w:after="0" w:line="163"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color w:val="auto"/>
        </w:rPr>
        <w:t>If borrowing under the Contract is issued as credit, to completely, truthfully, and accurately report routinely to the Lender on external guarantees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by the Lender, sign an account supervision agreement; when external guarantees may affect performance of obligations under the contract, the Lender’s written consent must be obtained.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8.12 To bear expenses generated by the Lender to realize claims under the Contract, including but not limited to attorneys’ fees and auction fees.</w:t>
      </w:r>
    </w:p>
    <w:p>
      <w:pPr>
        <w:spacing w:after="0" w:line="246" w:lineRule="exact"/>
        <w:rPr>
          <w:sz w:val="20"/>
          <w:szCs w:val="20"/>
          <w:color w:val="auto"/>
        </w:rPr>
      </w:pPr>
    </w:p>
    <w:p>
      <w:pPr>
        <w:ind w:right="60" w:firstLine="322"/>
        <w:spacing w:after="0" w:line="279"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To give priority to the Borrower’s debts to its shareholders in terms of the priority for settling debts under the Contract and to at least give such debts</w:t>
      </w:r>
      <w:r>
        <w:rPr>
          <w:rFonts w:ascii="Arial" w:cs="Arial" w:eastAsia="Arial" w:hAnsi="Arial"/>
          <w:sz w:val="18"/>
          <w:szCs w:val="18"/>
          <w:b w:val="1"/>
          <w:bCs w:val="1"/>
          <w:color w:val="auto"/>
        </w:rPr>
        <w:t xml:space="preserve"> </w:t>
      </w:r>
      <w:r>
        <w:rPr>
          <w:rFonts w:ascii="Arial" w:cs="Arial" w:eastAsia="Arial" w:hAnsi="Arial"/>
          <w:sz w:val="18"/>
          <w:szCs w:val="18"/>
          <w:color w:val="auto"/>
        </w:rPr>
        <w:t>an equal footing as other similar debts of the Borrower’s other creditors.</w:t>
      </w:r>
    </w:p>
    <w:p>
      <w:pPr>
        <w:spacing w:after="0" w:line="163" w:lineRule="exact"/>
        <w:rPr>
          <w:sz w:val="20"/>
          <w:szCs w:val="20"/>
          <w:color w:val="auto"/>
        </w:rPr>
      </w:pPr>
    </w:p>
    <w:p>
      <w:pPr>
        <w:ind w:right="60" w:firstLine="322"/>
        <w:spacing w:after="0" w:line="279" w:lineRule="auto"/>
        <w:rPr>
          <w:sz w:val="20"/>
          <w:szCs w:val="20"/>
          <w:color w:val="auto"/>
        </w:rPr>
      </w:pPr>
      <w:r>
        <w:rPr>
          <w:rFonts w:ascii="Arial" w:cs="Arial" w:eastAsia="Arial" w:hAnsi="Arial"/>
          <w:sz w:val="18"/>
          <w:szCs w:val="18"/>
          <w:b w:val="1"/>
          <w:bCs w:val="1"/>
          <w:color w:val="auto"/>
        </w:rPr>
        <w:t>8.14 To strengthen environmental and social risk management and accept the Lender’s supervision and inspections in this regard. If required by the Lender, to submit environmental and social risk reports to the Lender.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9 Lender Commitments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To issue loans to the Borrower as stipulated under the Contract.</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To keep confidential non-public materials and information provided by the Borrower, unless laws and regulations require otherwise or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stipulates otherwise.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10  Breach of Contract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Any one of the following events shall constitute breach of contract by the Borrower:</w:t>
      </w:r>
    </w:p>
    <w:p>
      <w:pPr>
        <w:spacing w:after="0" w:line="227" w:lineRule="exact"/>
        <w:rPr>
          <w:sz w:val="20"/>
          <w:szCs w:val="20"/>
          <w:color w:val="auto"/>
        </w:rPr>
      </w:pPr>
    </w:p>
    <w:p>
      <w:pPr>
        <w:ind w:right="20" w:firstLine="330"/>
        <w:spacing w:after="0" w:line="275" w:lineRule="auto"/>
        <w:tabs>
          <w:tab w:leader="none" w:pos="57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 fails to repay loan principal, interest, or other payables under the Contract according to stipulations under the Contract or acts contrary to representations, warranties, or commitments under the Contract;</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89"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changes occur to guarantees under the Contract that are not conducive to the Lender’s claims, and the Borrower fails to provide other guarantees recognized by the Lender;</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602"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 is unable to settle any other debts due (including debts declared due early) or fails to perform or violates obligations under other agreements, such that it has affected or may affect its performance of obligations under the Contract;</w:t>
      </w:r>
    </w:p>
    <w:p>
      <w:pPr>
        <w:spacing w:after="0" w:line="170" w:lineRule="exact"/>
        <w:rPr>
          <w:rFonts w:ascii="Arial" w:cs="Arial" w:eastAsia="Arial" w:hAnsi="Arial"/>
          <w:sz w:val="18"/>
          <w:szCs w:val="18"/>
          <w:b w:val="1"/>
          <w:bCs w:val="1"/>
          <w:color w:val="auto"/>
        </w:rPr>
      </w:pPr>
    </w:p>
    <w:p>
      <w:pPr>
        <w:ind w:firstLine="330"/>
        <w:spacing w:after="0" w:line="275" w:lineRule="auto"/>
        <w:tabs>
          <w:tab w:leader="none" w:pos="57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Borrower's financial metrics, such as profitability, solvency, operating capacity, and cash flow, fail to meet agreed standards, or the deterioration thereof has affected or may affect the performance of its obligations under the Contract;</w:t>
      </w:r>
    </w:p>
    <w:p>
      <w:pPr>
        <w:spacing w:after="0" w:line="170" w:lineRule="exact"/>
        <w:rPr>
          <w:rFonts w:ascii="Arial" w:cs="Arial" w:eastAsia="Arial" w:hAnsi="Arial"/>
          <w:sz w:val="18"/>
          <w:szCs w:val="18"/>
          <w:b w:val="1"/>
          <w:bCs w:val="1"/>
          <w:color w:val="auto"/>
        </w:rPr>
      </w:pPr>
    </w:p>
    <w:p>
      <w:pPr>
        <w:ind w:right="20" w:firstLine="330"/>
        <w:spacing w:after="0" w:line="275" w:lineRule="auto"/>
        <w:tabs>
          <w:tab w:leader="none" w:pos="589"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Borrower’s equity structure, production, operations, and foreign investments have undergone significantly adverse changes that have affected or may affect the performance of its obligations under the Contract;</w:t>
      </w:r>
    </w:p>
    <w:p>
      <w:pPr>
        <w:spacing w:after="0" w:line="170" w:lineRule="exact"/>
        <w:rPr>
          <w:rFonts w:ascii="Arial" w:cs="Arial" w:eastAsia="Arial" w:hAnsi="Arial"/>
          <w:sz w:val="18"/>
          <w:szCs w:val="18"/>
          <w:b w:val="1"/>
          <w:bCs w:val="1"/>
          <w:color w:val="auto"/>
        </w:rPr>
      </w:pPr>
    </w:p>
    <w:p>
      <w:pPr>
        <w:jc w:val="both"/>
        <w:ind w:firstLine="330"/>
        <w:spacing w:after="0" w:line="257" w:lineRule="auto"/>
        <w:tabs>
          <w:tab w:leader="none" w:pos="579"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 is involved in or may be involved in major economic disputes, litigation, arbitration, or assets have been seized, detained or enforced, or is being investigated or dealt with by judicial or administrative organs in accordance with the law or subject to penalties in accordance with the law, or is exposed by the media for violating relevant state regulations or policies, such that it has affected or may affect the performance of its obligations under the Contract;</w:t>
      </w:r>
    </w:p>
    <w:p>
      <w:pPr>
        <w:spacing w:after="0" w:line="187" w:lineRule="exact"/>
        <w:rPr>
          <w:rFonts w:ascii="Arial" w:cs="Arial" w:eastAsia="Arial" w:hAnsi="Arial"/>
          <w:sz w:val="18"/>
          <w:szCs w:val="18"/>
          <w:b w:val="1"/>
          <w:bCs w:val="1"/>
          <w:color w:val="auto"/>
        </w:rPr>
      </w:pPr>
    </w:p>
    <w:p>
      <w:pPr>
        <w:ind w:firstLine="330"/>
        <w:spacing w:after="0" w:line="275" w:lineRule="auto"/>
        <w:tabs>
          <w:tab w:leader="none" w:pos="606"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Borrower's main investors and key management personnel make abnormal changes, go missing, or are investigated or restricted by judicial authorities in accordance with the law, such that it has affected or may affect the performance of its obligations under the Contract;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11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2" w:right="239" w:bottom="1440" w:gutter="0" w:footer="0" w:header="0"/>
        </w:sectPr>
      </w:pPr>
    </w:p>
    <w:bookmarkStart w:id="292" w:name="page293"/>
    <w:bookmarkEnd w:id="292"/>
    <w:p>
      <w:pPr>
        <w:ind w:firstLine="330"/>
        <w:spacing w:after="0" w:line="275" w:lineRule="auto"/>
        <w:tabs>
          <w:tab w:leader="none" w:pos="589"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the Borrower utilizes false contracts with related parties, utilizes transactions without actual trading to obtain funding or credit from the Lender, or intentionally evades the Lender's claims through related transactions;</w:t>
      </w:r>
    </w:p>
    <w:p>
      <w:pPr>
        <w:spacing w:after="0" w:line="170" w:lineRule="exact"/>
        <w:rPr>
          <w:rFonts w:ascii="Arial" w:cs="Arial" w:eastAsia="Arial" w:hAnsi="Arial"/>
          <w:sz w:val="18"/>
          <w:szCs w:val="18"/>
          <w:b w:val="1"/>
          <w:bCs w:val="1"/>
          <w:color w:val="auto"/>
        </w:rPr>
      </w:pPr>
    </w:p>
    <w:p>
      <w:pPr>
        <w:ind w:right="20" w:firstLine="330"/>
        <w:spacing w:after="0" w:line="275" w:lineRule="auto"/>
        <w:tabs>
          <w:tab w:leader="none" w:pos="584"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the Borrower has or may be closed, dissolved, liquidated, have its business suspended, have its business license rectified or revoked, or apply for (or be subject to) bankruptcy;</w:t>
      </w:r>
    </w:p>
    <w:p>
      <w:pPr>
        <w:spacing w:after="0" w:line="170" w:lineRule="exact"/>
        <w:rPr>
          <w:rFonts w:ascii="Arial" w:cs="Arial" w:eastAsia="Arial" w:hAnsi="Arial"/>
          <w:sz w:val="18"/>
          <w:szCs w:val="18"/>
          <w:b w:val="1"/>
          <w:bCs w:val="1"/>
          <w:color w:val="auto"/>
        </w:rPr>
      </w:pPr>
    </w:p>
    <w:p>
      <w:pPr>
        <w:jc w:val="both"/>
        <w:ind w:firstLine="330"/>
        <w:spacing w:after="0" w:line="262" w:lineRule="auto"/>
        <w:tabs>
          <w:tab w:leader="none" w:pos="665"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the Borrower has a liability incident or a major environmental or social risk incident for food safety, safety production, or environmental protection violations or violation other environmental or social risk management laws, regulations, or industry standards, such that it has affected or may affect the performance of its obligations under the Contract;</w:t>
      </w:r>
    </w:p>
    <w:p>
      <w:pPr>
        <w:spacing w:after="0" w:line="181" w:lineRule="exact"/>
        <w:rPr>
          <w:rFonts w:ascii="Arial" w:cs="Arial" w:eastAsia="Arial" w:hAnsi="Arial"/>
          <w:sz w:val="18"/>
          <w:szCs w:val="18"/>
          <w:b w:val="1"/>
          <w:bCs w:val="1"/>
          <w:color w:val="auto"/>
        </w:rPr>
      </w:pPr>
    </w:p>
    <w:p>
      <w:pPr>
        <w:jc w:val="both"/>
        <w:ind w:firstLine="330"/>
        <w:spacing w:after="0" w:line="257" w:lineRule="auto"/>
        <w:tabs>
          <w:tab w:leader="none" w:pos="655"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if borrowing under the Contract is issued as credit, the Borrower’s credit rating, profitability, asset-liability ratio, cash flow from operating activities, or other metrics do not meet the Lender's conditions for credit lending; or the Borrow sets up pledge/mortgage guarantees for others or provides guarantees using its validly operated assets without the written consent of the Lender, such that it has affected or may affect the performance of its obligations under the Contract;</w:t>
      </w:r>
    </w:p>
    <w:p>
      <w:pPr>
        <w:spacing w:after="0" w:line="187" w:lineRule="exact"/>
        <w:rPr>
          <w:rFonts w:ascii="Arial" w:cs="Arial" w:eastAsia="Arial" w:hAnsi="Arial"/>
          <w:sz w:val="18"/>
          <w:szCs w:val="18"/>
          <w:b w:val="1"/>
          <w:bCs w:val="1"/>
          <w:color w:val="auto"/>
        </w:rPr>
      </w:pPr>
    </w:p>
    <w:p>
      <w:pPr>
        <w:ind w:left="680" w:hanging="350"/>
        <w:spacing w:after="0"/>
        <w:tabs>
          <w:tab w:leader="none" w:pos="68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Other circumstances that may adversely affect the Lender’s realization of claims under the Contract.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10.2 Should the Borrower breach the Contract, the Lender is entitled to take one or more of the following remedies:</w:t>
      </w:r>
    </w:p>
    <w:p>
      <w:pPr>
        <w:spacing w:after="0" w:line="223" w:lineRule="exact"/>
        <w:rPr>
          <w:sz w:val="20"/>
          <w:szCs w:val="20"/>
          <w:color w:val="auto"/>
        </w:rPr>
      </w:pPr>
    </w:p>
    <w:p>
      <w:pPr>
        <w:ind w:left="580" w:hanging="250"/>
        <w:spacing w:after="0"/>
        <w:tabs>
          <w:tab w:leader="none" w:pos="5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rectify the breach of contract within a period of time;</w:t>
      </w:r>
    </w:p>
    <w:p>
      <w:pPr>
        <w:spacing w:after="0" w:line="222" w:lineRule="exact"/>
        <w:rPr>
          <w:rFonts w:ascii="Arial" w:cs="Arial" w:eastAsia="Arial" w:hAnsi="Arial"/>
          <w:sz w:val="18"/>
          <w:szCs w:val="18"/>
          <w:b w:val="1"/>
          <w:bCs w:val="1"/>
          <w:color w:val="auto"/>
        </w:rPr>
      </w:pPr>
    </w:p>
    <w:p>
      <w:pPr>
        <w:ind w:firstLine="330"/>
        <w:spacing w:after="0" w:line="279" w:lineRule="auto"/>
        <w:tabs>
          <w:tab w:leader="none" w:pos="593"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to suspend the issuance of loans or other financing to the Borrower based on the Contract or other contracts between the Lender and the Borrower and cancel, in part or in full, loans or other financing that the Borrower has yet to withdraw;</w:t>
      </w:r>
    </w:p>
    <w:p>
      <w:pPr>
        <w:spacing w:after="0" w:line="163" w:lineRule="exact"/>
        <w:rPr>
          <w:rFonts w:ascii="Arial" w:cs="Arial" w:eastAsia="Arial" w:hAnsi="Arial"/>
          <w:sz w:val="18"/>
          <w:szCs w:val="18"/>
          <w:b w:val="1"/>
          <w:bCs w:val="1"/>
          <w:color w:val="auto"/>
        </w:rPr>
      </w:pPr>
    </w:p>
    <w:p>
      <w:pPr>
        <w:ind w:firstLine="330"/>
        <w:spacing w:after="0" w:line="279" w:lineRule="auto"/>
        <w:tabs>
          <w:tab w:leader="none" w:pos="613"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to announce immediate expiration of lending or other financing under the Contract and other contracts between the Lender and the Borrower and to immediately recover unpaid amounts;</w:t>
      </w:r>
    </w:p>
    <w:p>
      <w:pPr>
        <w:spacing w:after="0" w:line="163" w:lineRule="exact"/>
        <w:rPr>
          <w:rFonts w:ascii="Arial" w:cs="Arial" w:eastAsia="Arial" w:hAnsi="Arial"/>
          <w:sz w:val="18"/>
          <w:szCs w:val="18"/>
          <w:b w:val="1"/>
          <w:bCs w:val="1"/>
          <w:color w:val="auto"/>
        </w:rPr>
      </w:pPr>
    </w:p>
    <w:p>
      <w:pPr>
        <w:ind w:left="580" w:hanging="250"/>
        <w:spacing w:after="0"/>
        <w:tabs>
          <w:tab w:leader="none" w:pos="5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to require that the Borrower compensate for losses suffered by the Lender from the breach of contract;</w:t>
      </w:r>
    </w:p>
    <w:p>
      <w:pPr>
        <w:spacing w:after="0" w:line="222" w:lineRule="exact"/>
        <w:rPr>
          <w:rFonts w:ascii="Arial" w:cs="Arial" w:eastAsia="Arial" w:hAnsi="Arial"/>
          <w:sz w:val="18"/>
          <w:szCs w:val="18"/>
          <w:b w:val="1"/>
          <w:bCs w:val="1"/>
          <w:color w:val="auto"/>
        </w:rPr>
      </w:pPr>
    </w:p>
    <w:p>
      <w:pPr>
        <w:ind w:left="580" w:hanging="250"/>
        <w:spacing w:after="0"/>
        <w:tabs>
          <w:tab w:leader="none" w:pos="5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other remedies provided by laws or regulations, as stipulated under the Contract, or as deemed necessary by the Lender.</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7"/>
          <w:szCs w:val="17"/>
          <w:color w:val="auto"/>
        </w:rPr>
        <w:t>For loans due yet unrepaid by the Borrower as agreed (including debts that are announced as due immediately), the Lender is entitled to charge</w:t>
      </w:r>
      <w:r>
        <w:rPr>
          <w:rFonts w:ascii="Arial" w:cs="Arial" w:eastAsia="Arial" w:hAnsi="Arial"/>
          <w:sz w:val="17"/>
          <w:szCs w:val="17"/>
          <w:b w:val="1"/>
          <w:bCs w:val="1"/>
          <w:color w:val="auto"/>
        </w:rPr>
        <w:t xml:space="preserve"> </w:t>
      </w:r>
      <w:r>
        <w:rPr>
          <w:rFonts w:ascii="Arial" w:cs="Arial" w:eastAsia="Arial" w:hAnsi="Arial"/>
          <w:sz w:val="17"/>
          <w:szCs w:val="17"/>
          <w:color w:val="auto"/>
        </w:rPr>
        <w:t>penalty interest from the date at the overdue penalty interest rate stipulated under the Contract from the date on which the amount was overdue. For interest that the Borrower fails to pay on time (including penalty interest), compound interest shall be charged based on the overdue penalty interest rate. Penalty interest / compound interest shall be settled according to the interest settlement rules stipulated under the Contract.</w:t>
      </w:r>
    </w:p>
    <w:p>
      <w:pPr>
        <w:spacing w:after="0" w:line="165"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Should the Borrower fail to use loans according to the usage stipulated under the Contract, the Lender is entitled to charge penalty interest for misuse</w:t>
      </w:r>
      <w:r>
        <w:rPr>
          <w:rFonts w:ascii="Arial" w:cs="Arial" w:eastAsia="Arial" w:hAnsi="Arial"/>
          <w:sz w:val="18"/>
          <w:szCs w:val="18"/>
          <w:b w:val="1"/>
          <w:bCs w:val="1"/>
          <w:color w:val="auto"/>
        </w:rPr>
        <w:t xml:space="preserve"> </w:t>
      </w:r>
      <w:r>
        <w:rPr>
          <w:rFonts w:ascii="Arial" w:cs="Arial" w:eastAsia="Arial" w:hAnsi="Arial"/>
          <w:sz w:val="18"/>
          <w:szCs w:val="18"/>
          <w:color w:val="auto"/>
        </w:rPr>
        <w:t>of funds according to the penalty interest rate stipulated in the Contract from the date in which funds are misused, and compound interest shall be charged according to the penalty interest rate for misuse of funds for interest (including penalty interest) not paid on time during the misuse of funds. Penalty interest / compound interest shall be settled according to the interest settlement rules stipulated under the Contract. Penalty interest / compound interest shall be settled according to the interest settlement rules stipulated under the Contract.</w:t>
      </w:r>
    </w:p>
    <w:p>
      <w:pPr>
        <w:spacing w:after="0" w:line="185"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Should the Borrower simultaneously encounter the circumstances of</w:t>
      </w:r>
      <w:r>
        <w:rPr>
          <w:rFonts w:ascii="Arial" w:cs="Arial" w:eastAsia="Arial" w:hAnsi="Arial"/>
          <w:sz w:val="18"/>
          <w:szCs w:val="18"/>
          <w:b w:val="1"/>
          <w:bCs w:val="1"/>
          <w:color w:val="auto"/>
        </w:rPr>
        <w:t xml:space="preserve"> Article 10.3 and Article 10.4</w:t>
      </w:r>
      <w:r>
        <w:rPr>
          <w:rFonts w:ascii="Arial" w:cs="Arial" w:eastAsia="Arial" w:hAnsi="Arial"/>
          <w:sz w:val="18"/>
          <w:szCs w:val="18"/>
          <w:color w:val="auto"/>
        </w:rPr>
        <w:t>, the greater penalty interest rate shall be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and cannot be combined.</w:t>
      </w:r>
    </w:p>
    <w:p>
      <w:pPr>
        <w:spacing w:after="0" w:line="16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10.6 Should the Borrower fail to repay loan principal, interest (including penalty interest and compound interest), or other payables on time, the Lender is entitled to make an announcement through the media.</w:t>
      </w:r>
    </w:p>
    <w:p>
      <w:pPr>
        <w:spacing w:after="0" w:line="163" w:lineRule="exact"/>
        <w:rPr>
          <w:sz w:val="20"/>
          <w:szCs w:val="20"/>
          <w:color w:val="auto"/>
        </w:rPr>
      </w:pPr>
    </w:p>
    <w:p>
      <w:pPr>
        <w:ind w:right="80" w:firstLine="322"/>
        <w:spacing w:after="0" w:line="264"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Should the Borrower’s related parties’ controlling relationship with the Borrower change or should the Borrower’s related party encounter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circumstances in Article </w:t>
      </w:r>
      <w:r>
        <w:rPr>
          <w:rFonts w:ascii="Arial" w:cs="Arial" w:eastAsia="Arial" w:hAnsi="Arial"/>
          <w:sz w:val="18"/>
          <w:szCs w:val="18"/>
          <w:b w:val="1"/>
          <w:bCs w:val="1"/>
          <w:color w:val="auto"/>
        </w:rPr>
        <w:t>10.1</w:t>
      </w:r>
      <w:r>
        <w:rPr>
          <w:rFonts w:ascii="Arial" w:cs="Arial" w:eastAsia="Arial" w:hAnsi="Arial"/>
          <w:sz w:val="18"/>
          <w:szCs w:val="18"/>
          <w:color w:val="auto"/>
        </w:rPr>
        <w:t xml:space="preserve"> above, other than items </w:t>
      </w:r>
      <w:r>
        <w:rPr>
          <w:rFonts w:ascii="Arial" w:cs="Arial" w:eastAsia="Arial" w:hAnsi="Arial"/>
          <w:sz w:val="18"/>
          <w:szCs w:val="18"/>
          <w:b w:val="1"/>
          <w:bCs w:val="1"/>
          <w:color w:val="auto"/>
        </w:rPr>
        <w:t>(1) or (2)</w:t>
      </w:r>
      <w:r>
        <w:rPr>
          <w:rFonts w:ascii="Arial" w:cs="Arial" w:eastAsia="Arial" w:hAnsi="Arial"/>
          <w:sz w:val="18"/>
          <w:szCs w:val="18"/>
          <w:color w:val="auto"/>
        </w:rPr>
        <w:t>, such that it has affected or may affect the Borrower’s performance of its obligations under the Contract, the Lender is entitled to take various measures as stipulated under the Contract.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12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93" w:name="page294"/>
    <w:bookmarkEnd w:id="293"/>
    <w:p>
      <w:pPr>
        <w:ind w:left="320"/>
        <w:spacing w:after="0"/>
        <w:rPr>
          <w:sz w:val="20"/>
          <w:szCs w:val="20"/>
          <w:color w:val="auto"/>
        </w:rPr>
      </w:pPr>
      <w:r>
        <w:rPr>
          <w:rFonts w:ascii="Arial" w:cs="Arial" w:eastAsia="Arial" w:hAnsi="Arial"/>
          <w:sz w:val="18"/>
          <w:szCs w:val="18"/>
          <w:b w:val="1"/>
          <w:bCs w:val="1"/>
          <w:color w:val="auto"/>
        </w:rPr>
        <w:t>Article 11 Auto-termination of Lender Commitment</w:t>
      </w:r>
    </w:p>
    <w:p>
      <w:pPr>
        <w:spacing w:after="0" w:line="223" w:lineRule="exact"/>
        <w:rPr>
          <w:sz w:val="20"/>
          <w:szCs w:val="20"/>
          <w:color w:val="auto"/>
        </w:rPr>
      </w:pPr>
    </w:p>
    <w:p>
      <w:pPr>
        <w:ind w:firstLine="322"/>
        <w:spacing w:after="0" w:line="279" w:lineRule="auto"/>
        <w:rPr>
          <w:sz w:val="20"/>
          <w:szCs w:val="20"/>
          <w:color w:val="auto"/>
        </w:rPr>
      </w:pPr>
      <w:r>
        <w:rPr>
          <w:rFonts w:ascii="Arial" w:cs="Arial" w:eastAsia="Arial" w:hAnsi="Arial"/>
          <w:sz w:val="18"/>
          <w:szCs w:val="18"/>
          <w:b w:val="1"/>
          <w:bCs w:val="1"/>
          <w:color w:val="auto"/>
        </w:rPr>
        <w:t>11.1 Should the credit status of the Borrower worsen, the Lender may cancel all loan commitments not yet withdrawn by the Borrower without prior notice.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In the event as described in 10.1 and 10.7, it constitutes the worsening of Borrower credit status.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12 Withholding</w:t>
      </w:r>
    </w:p>
    <w:p>
      <w:pPr>
        <w:spacing w:after="0" w:line="223"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12.1 Should the Borrower fail to repay debts due under the Contract as agreed (including debts announced as due immediately), the Borrower agrees that the Lender may withhold corresponding amounts from all foreign exchange and RMB accounts that the Borrower has opened at ICBC to settle debts owed, until the Borrower’s debts under the Contract have been settled in full.</w:t>
      </w:r>
    </w:p>
    <w:p>
      <w:pPr>
        <w:spacing w:after="0" w:line="176" w:lineRule="exact"/>
        <w:rPr>
          <w:sz w:val="20"/>
          <w:szCs w:val="20"/>
          <w:color w:val="auto"/>
        </w:rPr>
      </w:pPr>
    </w:p>
    <w:p>
      <w:pPr>
        <w:ind w:right="280" w:firstLine="322"/>
        <w:spacing w:after="0" w:line="301" w:lineRule="auto"/>
        <w:rPr>
          <w:sz w:val="20"/>
          <w:szCs w:val="20"/>
          <w:color w:val="auto"/>
        </w:rPr>
      </w:pPr>
      <w:r>
        <w:rPr>
          <w:rFonts w:ascii="Arial" w:cs="Arial" w:eastAsia="Arial" w:hAnsi="Arial"/>
          <w:sz w:val="16"/>
          <w:szCs w:val="16"/>
          <w:b w:val="1"/>
          <w:bCs w:val="1"/>
          <w:color w:val="auto"/>
        </w:rPr>
        <w:t>12.2 Should the withheld amount be in a currency other than that of the Contract, the currency shall be exchanged at the Lender’s applicable exchange rate on the withholding date. The Borrower shall bear interest and other expenses incurred from the withholding date to the settlement date (the date on which the Lender converts the withheld amount into the currency of the Contract according to national foreign exchange management policies and actually pays of the debts under the Contract), as well as differences from exchange rate volatility during this period.</w:t>
      </w:r>
    </w:p>
    <w:p>
      <w:pPr>
        <w:spacing w:after="0" w:line="151" w:lineRule="exact"/>
        <w:rPr>
          <w:sz w:val="20"/>
          <w:szCs w:val="20"/>
          <w:color w:val="auto"/>
        </w:rPr>
      </w:pPr>
    </w:p>
    <w:p>
      <w:pPr>
        <w:ind w:right="40" w:firstLine="322"/>
        <w:spacing w:after="0" w:line="279" w:lineRule="auto"/>
        <w:rPr>
          <w:sz w:val="20"/>
          <w:szCs w:val="20"/>
          <w:color w:val="auto"/>
        </w:rPr>
      </w:pPr>
      <w:r>
        <w:rPr>
          <w:rFonts w:ascii="Arial" w:cs="Arial" w:eastAsia="Arial" w:hAnsi="Arial"/>
          <w:sz w:val="18"/>
          <w:szCs w:val="18"/>
          <w:b w:val="1"/>
          <w:bCs w:val="1"/>
          <w:color w:val="auto"/>
        </w:rPr>
        <w:t>12.3 Should the amount withheld by the Lender be insufficient to settle all debts owed by the Borrower, the Lender has the right to decide on the order of settlement.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13 Transfer of Rights and Obligations</w:t>
      </w:r>
    </w:p>
    <w:p>
      <w:pPr>
        <w:spacing w:after="0" w:line="223" w:lineRule="exact"/>
        <w:rPr>
          <w:sz w:val="20"/>
          <w:szCs w:val="20"/>
          <w:color w:val="auto"/>
        </w:rPr>
      </w:pPr>
    </w:p>
    <w:p>
      <w:pPr>
        <w:jc w:val="both"/>
        <w:ind w:firstLine="322"/>
        <w:spacing w:after="0" w:line="344"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The Lender is entitled to transfer its rights under the Contract, in part or in full, to a third party, and the Lender’s transfer thereof does not require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consent. Without the written consent of the Lender, the Borrower shall not transfer any of its rights or obligations under the Contract.</w:t>
      </w:r>
    </w:p>
    <w:p>
      <w:pPr>
        <w:spacing w:after="0" w:line="117"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The Lender or Industrial and Commercial Bank of China Limited (“ICBC”) may, based on its business management needs, authorize or entrust other</w:t>
      </w:r>
      <w:r>
        <w:rPr>
          <w:rFonts w:ascii="Arial" w:cs="Arial" w:eastAsia="Arial" w:hAnsi="Arial"/>
          <w:sz w:val="18"/>
          <w:szCs w:val="18"/>
          <w:b w:val="1"/>
          <w:bCs w:val="1"/>
          <w:color w:val="auto"/>
        </w:rPr>
        <w:t xml:space="preserve"> </w:t>
      </w:r>
      <w:r>
        <w:rPr>
          <w:rFonts w:ascii="Arial" w:cs="Arial" w:eastAsia="Arial" w:hAnsi="Arial"/>
          <w:sz w:val="18"/>
          <w:szCs w:val="18"/>
          <w:color w:val="auto"/>
        </w:rPr>
        <w:t>ICBC branch agencies to perform rights and obligations under the Contract, or place loan claims under the Contract under the management of other ICBC branch agencies. The Borrower agrees that the such actions shall no longer require the consent of the Borrower. Other ICBC branch agencies that undertake the rights and obligations of the Lender are entitled to exercise all rights under the Contract and are entitled to file lawsuits, submit for arbitration, or apply for enforcement in the name of the given agency.</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14 Entry into Force, Changes, and Release of Contract</w:t>
      </w:r>
    </w:p>
    <w:p>
      <w:pPr>
        <w:spacing w:after="0" w:line="22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The Contract enters into force on the signing date and shall be terminated on the date on which the Borrower fully performs all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Any changes to the Contract shall be agreed to the parties and made in writing. Changed clauses or agreements constitute a part of the Contract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same legal effect of the Contract. Apart from the changed sections, other parts of the Contract shall remain in effect, and the original terms shall remain in effect until the change is effective.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13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4" w:name="page295"/>
    <w:bookmarkEnd w:id="294"/>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Changes to and release of the Contract shall not affect the rights of the contracting parties to claim damages. The release of the Contract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of the dispute resolution clause.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15 Applicable Law and Dispute Resolution</w:t>
      </w:r>
    </w:p>
    <w:p>
      <w:pPr>
        <w:spacing w:after="0" w:line="227" w:lineRule="exact"/>
        <w:rPr>
          <w:sz w:val="20"/>
          <w:szCs w:val="20"/>
          <w:color w:val="auto"/>
        </w:rPr>
      </w:pPr>
    </w:p>
    <w:p>
      <w:pPr>
        <w:jc w:val="both"/>
        <w:ind w:firstLine="322"/>
        <w:spacing w:after="0" w:line="262" w:lineRule="auto"/>
        <w:rPr>
          <w:sz w:val="20"/>
          <w:szCs w:val="20"/>
          <w:color w:val="auto"/>
        </w:rPr>
      </w:pPr>
      <w:r>
        <w:rPr>
          <w:rFonts w:ascii="Arial" w:cs="Arial" w:eastAsia="Arial" w:hAnsi="Arial"/>
          <w:sz w:val="18"/>
          <w:szCs w:val="18"/>
          <w:color w:val="auto"/>
        </w:rPr>
        <w:t>The conclusion, validity, interpretation, performance of the Contract and settlement of disputes under the Contract shall be governed by the laws of the People's Republic of China. Any disputes or issues arising from or related to the Contract shall be settled through negotiations by the borrower and the lender; where negotiations fail, disputes shall be resolved through methods as stipulated under the Contract.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16 Address Confirmation for Serving Litigation/Arbitration Instruments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The Borrower confirms that the address listed on the first page of the Contract is the address for serving litigation/arbitration instruments for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Contract. Litigation/arbitration instruments include but are not limited to subpoenas, notices of hearings, judgments, rulings, mediations, and time-limit notices.</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16.2 The Borrower agrees that arbitration institutions or the courts may use the fax or email address listed on the first page of the Contract to serve arbitration/litigation instruments, except for judgments, rulings, and mediations.</w:t>
      </w:r>
    </w:p>
    <w:p>
      <w:pPr>
        <w:spacing w:after="0" w:line="163" w:lineRule="exact"/>
        <w:rPr>
          <w:sz w:val="20"/>
          <w:szCs w:val="20"/>
          <w:color w:val="auto"/>
        </w:rPr>
      </w:pPr>
    </w:p>
    <w:p>
      <w:pPr>
        <w:jc w:val="both"/>
        <w:ind w:firstLine="322"/>
        <w:spacing w:after="0" w:line="310"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color w:val="auto"/>
        </w:rPr>
        <w:t>The abovementioned stipulations on service are applicable to first hearings, second hearings, retrials, and enforcement under arbitration and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As for service to the above address, arbitration institutions or the courts may serve instruments directly by mail.</w:t>
      </w:r>
    </w:p>
    <w:p>
      <w:pPr>
        <w:spacing w:after="0" w:line="140"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16.4 The Borrower shall ensure the truthfulness and validity of the address, contact, fax, email address, and other information listed in the Contract, and if related information changes, the Borrower shall promptly notify the Lender in writing; otherwise, service to the original mailing address shall still be valid, and the Borrower shall bear all resulting legal consequences.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17 Complete Contract</w:t>
      </w:r>
    </w:p>
    <w:p>
      <w:pPr>
        <w:spacing w:after="0" w:line="227" w:lineRule="exact"/>
        <w:rPr>
          <w:sz w:val="20"/>
          <w:szCs w:val="20"/>
          <w:color w:val="auto"/>
        </w:rPr>
      </w:pPr>
    </w:p>
    <w:p>
      <w:pPr>
        <w:jc w:val="both"/>
        <w:ind w:firstLine="322"/>
        <w:spacing w:after="0" w:line="305" w:lineRule="auto"/>
        <w:rPr>
          <w:sz w:val="20"/>
          <w:szCs w:val="20"/>
          <w:color w:val="auto"/>
        </w:rPr>
      </w:pPr>
      <w:r>
        <w:rPr>
          <w:rFonts w:ascii="Arial" w:cs="Arial" w:eastAsia="Arial" w:hAnsi="Arial"/>
          <w:sz w:val="17"/>
          <w:szCs w:val="17"/>
          <w:color w:val="auto"/>
        </w:rPr>
        <w:t>Section 1: Basic Stipulations and Section 2: Specific Stipulations of the Contract together constitute a single complete working capital loan contract, and the same terms in the two sections shall have the same meanings. The Borrower’s borrowing is subject to the above two sections.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Article 18  Notifications</w:t>
      </w:r>
    </w:p>
    <w:p>
      <w:pPr>
        <w:spacing w:after="0" w:line="22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All notices from the parties to the Contract shall be sent in writing. Unless stipulated otherwise, the parties designate the domiciles listed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as their mailing address and contact address. Should either party’s mailing address or other contact information change, the other party shall be promptly notified in writing.</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Should either party to the Contract refuse to accept mail or should otherwise be unable to served, the notifying party may serve mail by notarization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an announcement.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14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5" w:name="page296"/>
    <w:bookmarkEnd w:id="295"/>
    <w:p>
      <w:pPr>
        <w:ind w:left="320"/>
        <w:spacing w:after="0"/>
        <w:rPr>
          <w:sz w:val="20"/>
          <w:szCs w:val="20"/>
          <w:color w:val="auto"/>
        </w:rPr>
      </w:pPr>
      <w:r>
        <w:rPr>
          <w:rFonts w:ascii="Arial" w:cs="Arial" w:eastAsia="Arial" w:hAnsi="Arial"/>
          <w:sz w:val="18"/>
          <w:szCs w:val="18"/>
          <w:b w:val="1"/>
          <w:bCs w:val="1"/>
          <w:color w:val="auto"/>
        </w:rPr>
        <w:t>Article 19 Special Value-Added Tax Stipulations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Interest and expenses under the Contract paid by the Borrower to the Lender shall all include taxes.</w:t>
      </w:r>
    </w:p>
    <w:p>
      <w:pPr>
        <w:spacing w:after="0" w:line="223" w:lineRule="exact"/>
        <w:rPr>
          <w:sz w:val="20"/>
          <w:szCs w:val="20"/>
          <w:color w:val="auto"/>
        </w:rPr>
      </w:pPr>
    </w:p>
    <w:p>
      <w:pPr>
        <w:ind w:right="100" w:firstLine="322"/>
        <w:spacing w:after="0" w:line="279"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Should the Borrower request that the Lender issue a value-added tax receipt, relevant information shall first be registered with the Lender.</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for registration includes the Borrower’s full name, the taxpayer’s identification number or social credit code, address, telephone, bank of account, and account number. The Borrower shall ensure that relevant information provided to the Lender is true, accurate, and complete and shall provide relevant proof as required by the Lender; for specific requirements, the Lender may send online notices or make online announcements.</w:t>
      </w:r>
    </w:p>
    <w:p>
      <w:pPr>
        <w:spacing w:after="0" w:line="165" w:lineRule="exact"/>
        <w:rPr>
          <w:sz w:val="20"/>
          <w:szCs w:val="20"/>
          <w:color w:val="auto"/>
        </w:rPr>
      </w:pPr>
    </w:p>
    <w:p>
      <w:pPr>
        <w:ind w:right="60" w:firstLine="322"/>
        <w:spacing w:after="0" w:line="275" w:lineRule="auto"/>
        <w:rPr>
          <w:sz w:val="20"/>
          <w:szCs w:val="20"/>
          <w:color w:val="auto"/>
        </w:rPr>
      </w:pPr>
      <w:r>
        <w:rPr>
          <w:rFonts w:ascii="Arial" w:cs="Arial" w:eastAsia="Arial" w:hAnsi="Arial"/>
          <w:sz w:val="17"/>
          <w:szCs w:val="17"/>
          <w:b w:val="1"/>
          <w:bCs w:val="1"/>
          <w:color w:val="auto"/>
        </w:rPr>
        <w:t xml:space="preserve">19.3 </w:t>
      </w:r>
      <w:r>
        <w:rPr>
          <w:rFonts w:ascii="Arial" w:cs="Arial" w:eastAsia="Arial" w:hAnsi="Arial"/>
          <w:sz w:val="17"/>
          <w:szCs w:val="17"/>
          <w:color w:val="auto"/>
        </w:rPr>
        <w:t>Should the Borrower collect its own value-added tax invoices, it shall provide the Lender with a stamped power of attorney, designating the collector</w:t>
      </w:r>
      <w:r>
        <w:rPr>
          <w:rFonts w:ascii="Arial" w:cs="Arial" w:eastAsia="Arial" w:hAnsi="Arial"/>
          <w:sz w:val="17"/>
          <w:szCs w:val="17"/>
          <w:b w:val="1"/>
          <w:bCs w:val="1"/>
          <w:color w:val="auto"/>
        </w:rPr>
        <w:t xml:space="preserve"> </w:t>
      </w:r>
      <w:r>
        <w:rPr>
          <w:rFonts w:ascii="Arial" w:cs="Arial" w:eastAsia="Arial" w:hAnsi="Arial"/>
          <w:sz w:val="17"/>
          <w:szCs w:val="17"/>
          <w:color w:val="auto"/>
        </w:rPr>
        <w:t>and specifying such information as the collector’s identification number; thereafter, the collector shall present the original of his or her identification card to collect value-added tax invoices. If the designated collector changes, the Borrower shall need to issue to the Lender a new stamped power of attorney. Should the Borrower choose to receive value-added tax invoices by mail, the Borrower shall still provide accurate, error-free, and servable mailing information; if the mailing information changes, the Lender shall be promptly notified in writing.</w:t>
      </w:r>
    </w:p>
    <w:p>
      <w:pPr>
        <w:spacing w:after="0" w:line="169" w:lineRule="exact"/>
        <w:rPr>
          <w:sz w:val="20"/>
          <w:szCs w:val="20"/>
          <w:color w:val="auto"/>
        </w:rPr>
      </w:pPr>
    </w:p>
    <w:p>
      <w:pPr>
        <w:ind w:right="340" w:firstLine="322"/>
        <w:spacing w:after="0" w:line="344" w:lineRule="auto"/>
        <w:rPr>
          <w:sz w:val="20"/>
          <w:szCs w:val="20"/>
          <w:color w:val="auto"/>
        </w:rPr>
      </w:pPr>
      <w:r>
        <w:rPr>
          <w:rFonts w:ascii="Arial" w:cs="Arial" w:eastAsia="Arial" w:hAnsi="Arial"/>
          <w:sz w:val="16"/>
          <w:szCs w:val="16"/>
          <w:b w:val="1"/>
          <w:bCs w:val="1"/>
          <w:color w:val="auto"/>
        </w:rPr>
        <w:t xml:space="preserve">19.4 </w:t>
      </w:r>
      <w:r>
        <w:rPr>
          <w:rFonts w:ascii="Arial" w:cs="Arial" w:eastAsia="Arial" w:hAnsi="Arial"/>
          <w:sz w:val="16"/>
          <w:szCs w:val="16"/>
          <w:color w:val="auto"/>
        </w:rPr>
        <w:t>Should the Lender be unable to promptly issue value-added tax invoices due to natural disasters, government actions, social anomalies,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of force majeure or because of tax authorities, the Lender is entitled to delay invoicing and shall not assume any responsibility.</w:t>
      </w:r>
    </w:p>
    <w:p>
      <w:pPr>
        <w:spacing w:after="0" w:line="117" w:lineRule="exact"/>
        <w:rPr>
          <w:sz w:val="20"/>
          <w:szCs w:val="20"/>
          <w:color w:val="auto"/>
        </w:rPr>
      </w:pPr>
    </w:p>
    <w:p>
      <w:pPr>
        <w:ind w:right="300" w:firstLine="322"/>
        <w:spacing w:after="0" w:line="287" w:lineRule="auto"/>
        <w:rPr>
          <w:sz w:val="20"/>
          <w:szCs w:val="20"/>
          <w:color w:val="auto"/>
        </w:rPr>
      </w:pPr>
      <w:r>
        <w:rPr>
          <w:rFonts w:ascii="Arial" w:cs="Arial" w:eastAsia="Arial" w:hAnsi="Arial"/>
          <w:sz w:val="17"/>
          <w:szCs w:val="17"/>
          <w:b w:val="1"/>
          <w:bCs w:val="1"/>
          <w:color w:val="auto"/>
        </w:rPr>
        <w:t>19.5 Should a value-added tax invoice be lost, damaged, or overdue after it is collected by the Borrower or delivery by the Lender to a third party, or for other reasons unrelated to the Lender, such that the Borrower cannot receive the value-added tax invoice or cannot deduct the tax on time, the Lender shall not be liable for compensating the Borrower for related economic losses.</w:t>
      </w:r>
    </w:p>
    <w:p>
      <w:pPr>
        <w:spacing w:after="0" w:line="158" w:lineRule="exact"/>
        <w:rPr>
          <w:sz w:val="20"/>
          <w:szCs w:val="20"/>
          <w:color w:val="auto"/>
        </w:rPr>
      </w:pPr>
    </w:p>
    <w:p>
      <w:pPr>
        <w:ind w:right="40" w:firstLine="322"/>
        <w:spacing w:after="0" w:line="301" w:lineRule="auto"/>
        <w:rPr>
          <w:sz w:val="20"/>
          <w:szCs w:val="20"/>
          <w:color w:val="auto"/>
        </w:rPr>
      </w:pPr>
      <w:r>
        <w:rPr>
          <w:rFonts w:ascii="Arial" w:cs="Arial" w:eastAsia="Arial" w:hAnsi="Arial"/>
          <w:sz w:val="16"/>
          <w:szCs w:val="16"/>
          <w:b w:val="1"/>
          <w:bCs w:val="1"/>
          <w:color w:val="auto"/>
        </w:rPr>
        <w:t xml:space="preserve">19.6 </w:t>
      </w:r>
      <w:r>
        <w:rPr>
          <w:rFonts w:ascii="Arial" w:cs="Arial" w:eastAsia="Arial" w:hAnsi="Arial"/>
          <w:sz w:val="16"/>
          <w:szCs w:val="16"/>
          <w:color w:val="auto"/>
        </w:rPr>
        <w:t>Should the Borrower need to have a special red-text value-added tax invoice issued because of sales returns, the suspension of taxable services, or</w:t>
      </w:r>
      <w:r>
        <w:rPr>
          <w:rFonts w:ascii="Arial" w:cs="Arial" w:eastAsia="Arial" w:hAnsi="Arial"/>
          <w:sz w:val="16"/>
          <w:szCs w:val="16"/>
          <w:b w:val="1"/>
          <w:bCs w:val="1"/>
          <w:color w:val="auto"/>
        </w:rPr>
        <w:t xml:space="preserve"> </w:t>
      </w:r>
      <w:r>
        <w:rPr>
          <w:rFonts w:ascii="Arial" w:cs="Arial" w:eastAsia="Arial" w:hAnsi="Arial"/>
          <w:sz w:val="16"/>
          <w:szCs w:val="16"/>
          <w:color w:val="auto"/>
        </w:rPr>
        <w:t>invoicing errors, deductions, or the inability to certify invoices and the Borrower is required, under relevant laws, regulations, and policy documents, to submit a Special Red-Text Value-Added Tax Invoice Issuance Information Form, the Borrower shall submit a Special Red-Text Value-Added Tax Invoice Issuance Information Form to tax authorities; once approved by tax authorities and once notified, the Lender shall issue a special red-text value-added tax invoice.</w:t>
      </w:r>
    </w:p>
    <w:p>
      <w:pPr>
        <w:spacing w:after="0" w:line="151" w:lineRule="exact"/>
        <w:rPr>
          <w:sz w:val="20"/>
          <w:szCs w:val="20"/>
          <w:color w:val="auto"/>
        </w:rPr>
      </w:pPr>
    </w:p>
    <w:p>
      <w:pPr>
        <w:ind w:right="340" w:firstLine="322"/>
        <w:spacing w:after="0" w:line="279"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During the performance of the Contract, should national tax rates be adjusted, the Lender is entitled to adjust pricing under the Contract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and adjustments to national tax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Miscellaneous</w:t>
      </w:r>
    </w:p>
    <w:p>
      <w:pPr>
        <w:spacing w:after="0" w:line="223"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Lender's failure to exercise or partially exercise or delay the exercise of any right under the Contract does not constitute a waiver or change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other rights, nor does it affect its further exercise of that right or other rights.</w:t>
      </w:r>
    </w:p>
    <w:p>
      <w:pPr>
        <w:spacing w:after="0" w:line="163" w:lineRule="exact"/>
        <w:rPr>
          <w:sz w:val="20"/>
          <w:szCs w:val="20"/>
          <w:color w:val="auto"/>
        </w:rPr>
      </w:pPr>
    </w:p>
    <w:p>
      <w:pPr>
        <w:jc w:val="both"/>
        <w:ind w:right="20" w:firstLine="322"/>
        <w:spacing w:after="0" w:line="279" w:lineRule="auto"/>
        <w:rPr>
          <w:sz w:val="20"/>
          <w:szCs w:val="20"/>
          <w:color w:val="auto"/>
        </w:rPr>
      </w:pPr>
      <w:r>
        <w:rPr>
          <w:rFonts w:ascii="Arial" w:cs="Arial" w:eastAsia="Arial" w:hAnsi="Arial"/>
          <w:sz w:val="18"/>
          <w:szCs w:val="18"/>
          <w:b w:val="1"/>
          <w:bCs w:val="1"/>
          <w:color w:val="auto"/>
        </w:rPr>
        <w:t xml:space="preserve">20.2 </w:t>
      </w:r>
      <w:r>
        <w:rPr>
          <w:rFonts w:ascii="Arial" w:cs="Arial" w:eastAsia="Arial" w:hAnsi="Arial"/>
          <w:sz w:val="18"/>
          <w:szCs w:val="18"/>
          <w:color w:val="auto"/>
        </w:rPr>
        <w:t>Should any term of the Contract be invalid or unenforceable, it shall not affect the validity and enforceability of other terms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the entire contract.</w:t>
      </w:r>
    </w:p>
    <w:p>
      <w:pPr>
        <w:spacing w:after="0" w:line="163" w:lineRule="exact"/>
        <w:rPr>
          <w:sz w:val="20"/>
          <w:szCs w:val="20"/>
          <w:color w:val="auto"/>
        </w:rPr>
      </w:pPr>
    </w:p>
    <w:p>
      <w:pPr>
        <w:jc w:val="both"/>
        <w:ind w:firstLine="322"/>
        <w:spacing w:after="0" w:line="256"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The Lender is entitled to, pursuant to relevant legal and regulatory provisions and the requirements of financial regulators, to provide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Contract or the Borrower's other information to the People’s Bank of China Credit System and other lawfully established credit information databases to be queried and used by qualified institutions or individuals. The Lender is also entitled, for the purposes of entering into and performing the Contract, to query the Borrower’s related information on the People’s Bank of China Credit System and other lawfully established credit information databases.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15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6" w:name="page297"/>
    <w:bookmarkEnd w:id="296"/>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The terms "related party", "related party relationships", "related party transactions", "main investors", "key management personnel", and other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shall have the same meanings as the same terms in the Accounting Standards for Business Enterprises No. 36 - Related Party Disclosures (C.H. [2006] 3) issued by the Ministry of Finance, as well as subsequent amendments to the Standards.</w:t>
      </w:r>
    </w:p>
    <w:p>
      <w:pPr>
        <w:spacing w:after="0" w:line="176" w:lineRule="exact"/>
        <w:rPr>
          <w:sz w:val="20"/>
          <w:szCs w:val="20"/>
          <w:color w:val="auto"/>
        </w:rPr>
      </w:pPr>
    </w:p>
    <w:p>
      <w:pPr>
        <w:ind w:right="60" w:firstLine="322"/>
        <w:spacing w:after="0" w:line="264" w:lineRule="auto"/>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18"/>
          <w:szCs w:val="18"/>
          <w:color w:val="auto"/>
        </w:rPr>
        <w:t>The environmental and social risks mentioned in the Contract refer to the environmental and social hazards and risks associated with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important related parties in construction, production, and operation activities, including environmental and social issues related to energy consumption, pollution, land, health, safety, resettlement, ecological protection, and climate change.</w:t>
      </w:r>
    </w:p>
    <w:p>
      <w:pPr>
        <w:spacing w:after="0" w:line="176"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8"/>
          <w:szCs w:val="18"/>
          <w:b w:val="1"/>
          <w:bCs w:val="1"/>
          <w:color w:val="auto"/>
        </w:rPr>
        <w:t>20.6 The documents and vouchers for loans under the Contract prepared and retained by the Lender according to its business rules constitute valid evidence for the credit relationship between the Borrower and the Lender and are binding on the Borrower.</w:t>
      </w:r>
    </w:p>
    <w:p>
      <w:pPr>
        <w:spacing w:after="0" w:line="163" w:lineRule="exact"/>
        <w:rPr>
          <w:sz w:val="20"/>
          <w:szCs w:val="20"/>
          <w:color w:val="auto"/>
        </w:rPr>
      </w:pPr>
    </w:p>
    <w:p>
      <w:pPr>
        <w:jc w:val="both"/>
        <w:ind w:firstLine="322"/>
        <w:spacing w:after="0" w:line="264" w:lineRule="auto"/>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color w:val="auto"/>
        </w:rPr>
        <w:t>In the Contract, (1) all mention of the Contract shall include revisions to or supplementation of the Contract; (2) article titles are for reference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constitute any interpretation of the Contract, nor do they impose any restrictions on the content of the titles or their scope; and (3) should withdrawal dates or repayment dates fall on non-banking days, they shall be postponed to the next banking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471487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4714875" cy="17145"/>
                    </a:xfrm>
                    <a:prstGeom prst="rect">
                      <a:avLst/>
                    </a:prstGeom>
                    <a:noFill/>
                  </pic:spPr>
                </pic:pic>
              </a:graphicData>
            </a:graphic>
          </wp:anchor>
        </w:drawing>
      </w:r>
    </w:p>
    <w:p>
      <w:pPr>
        <w:spacing w:after="0" w:line="398" w:lineRule="exact"/>
        <w:rPr>
          <w:sz w:val="20"/>
          <w:szCs w:val="20"/>
          <w:color w:val="auto"/>
        </w:rPr>
      </w:pPr>
    </w:p>
    <w:p>
      <w:pPr>
        <w:jc w:val="both"/>
        <w:ind w:firstLine="322"/>
        <w:spacing w:after="0" w:line="296" w:lineRule="auto"/>
        <w:rPr>
          <w:sz w:val="20"/>
          <w:szCs w:val="20"/>
          <w:color w:val="auto"/>
        </w:rPr>
      </w:pPr>
      <w:r>
        <w:rPr>
          <w:rFonts w:ascii="Arial" w:cs="Arial" w:eastAsia="Arial" w:hAnsi="Arial"/>
          <w:sz w:val="16"/>
          <w:szCs w:val="16"/>
          <w:b w:val="1"/>
          <w:bCs w:val="1"/>
          <w:color w:val="auto"/>
        </w:rPr>
        <w:t>The parties acknowledge that: both the Borrower and the Lender have fully negotiated on all of the terms of the Contract. Lender has drawn the Borrower’s attention to all terms related to the parties’ rights and obligations, so that the Borrower full and accurately understands them, and at the request of the Borrower, the Lender has provided explanations for relevant provisions. The Borrower has carefully read and fully understands all terms of the Contract (including Section 1: General Stipulations and Section 2: Specific Stipulations), and both the Borrower and the Lender have reached full consensus on the understanding of the terms of the Contract with no objections to the contractual contents.</w:t>
      </w:r>
    </w:p>
    <w:p>
      <w:pPr>
        <w:spacing w:after="0" w:line="181" w:lineRule="exact"/>
        <w:rPr>
          <w:sz w:val="20"/>
          <w:szCs w:val="20"/>
          <w:color w:val="auto"/>
        </w:rPr>
      </w:pPr>
    </w:p>
    <w:p>
      <w:pPr>
        <w:ind w:left="240"/>
        <w:spacing w:after="0"/>
        <w:tabs>
          <w:tab w:leader="none" w:pos="1760" w:val="left"/>
        </w:tabs>
        <w:rPr>
          <w:sz w:val="20"/>
          <w:szCs w:val="20"/>
          <w:color w:val="auto"/>
        </w:rPr>
      </w:pPr>
      <w:r>
        <w:rPr>
          <w:rFonts w:ascii="Arial" w:cs="Arial" w:eastAsia="Arial" w:hAnsi="Arial"/>
          <w:sz w:val="18"/>
          <w:szCs w:val="18"/>
          <w:b w:val="1"/>
          <w:bCs w:val="1"/>
          <w:color w:val="auto"/>
        </w:rPr>
        <w:t>Borrower (Seal):</w:t>
      </w:r>
      <w:r>
        <w:rPr>
          <w:sz w:val="20"/>
          <w:szCs w:val="20"/>
          <w:color w:val="auto"/>
        </w:rPr>
        <w:tab/>
      </w:r>
      <w:r>
        <w:rPr>
          <w:rFonts w:ascii="Arial" w:cs="Arial" w:eastAsia="Arial" w:hAnsi="Arial"/>
          <w:sz w:val="16"/>
          <w:szCs w:val="16"/>
          <w:b w:val="1"/>
          <w:bCs w:val="1"/>
          <w:color w:val="auto"/>
        </w:rPr>
        <w:t>Photronics DNP Mask Corporation Xiamen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16510</wp:posOffset>
            </wp:positionV>
            <wp:extent cx="311213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3112135" cy="17145"/>
                    </a:xfrm>
                    <a:prstGeom prst="rect">
                      <a:avLst/>
                    </a:prstGeom>
                    <a:noFill/>
                  </pic:spPr>
                </pic:pic>
              </a:graphicData>
            </a:graphic>
          </wp:anchor>
        </w:drawing>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Date: 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16510</wp:posOffset>
            </wp:positionV>
            <wp:extent cx="115951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1159510" cy="17145"/>
                    </a:xfrm>
                    <a:prstGeom prst="rect">
                      <a:avLst/>
                    </a:prstGeom>
                    <a:noFill/>
                  </pic:spPr>
                </pic:pic>
              </a:graphicData>
            </a:graphic>
          </wp:anchor>
        </w:drawing>
      </w:r>
    </w:p>
    <w:p>
      <w:pPr>
        <w:spacing w:after="0" w:line="256" w:lineRule="exact"/>
        <w:rPr>
          <w:sz w:val="20"/>
          <w:szCs w:val="20"/>
          <w:color w:val="auto"/>
        </w:rPr>
      </w:pPr>
    </w:p>
    <w:p>
      <w:pPr>
        <w:ind w:right="40" w:firstLine="322"/>
        <w:spacing w:after="0" w:line="264" w:lineRule="auto"/>
        <w:rPr>
          <w:sz w:val="20"/>
          <w:szCs w:val="20"/>
          <w:color w:val="auto"/>
        </w:rPr>
      </w:pPr>
      <w:r>
        <w:rPr>
          <w:rFonts w:ascii="Arial" w:cs="Arial" w:eastAsia="Arial" w:hAnsi="Arial"/>
          <w:sz w:val="18"/>
          <w:szCs w:val="18"/>
          <w:b w:val="1"/>
          <w:bCs w:val="1"/>
          <w:u w:val="single" w:color="auto"/>
          <w:color w:val="auto"/>
        </w:rPr>
        <w:t>As the legal representative/authorized representative of the Borrower, I certify that the Borrower borrows from the Lender as per the contract terms, the fact that the seals used in this contract are authentic and valid, as well as that the Borrower has completed each required procedure for the loan.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Borrower Legal Representative / Authorized Representative (Signature):____[seal: Peter Scott Kirlin]_____________</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7500" w:type="dxa"/>
            <w:vAlign w:val="bottom"/>
          </w:tcPr>
          <w:p>
            <w:pPr>
              <w:ind w:left="540"/>
              <w:spacing w:after="0"/>
              <w:rPr>
                <w:sz w:val="20"/>
                <w:szCs w:val="20"/>
                <w:color w:val="auto"/>
              </w:rPr>
            </w:pPr>
            <w:r>
              <w:rPr>
                <w:rFonts w:ascii="Arial" w:cs="Arial" w:eastAsia="Arial" w:hAnsi="Arial"/>
                <w:sz w:val="18"/>
                <w:szCs w:val="18"/>
                <w:color w:val="auto"/>
              </w:rPr>
              <w:t>Contract Main Body Page 16 of 16</w:t>
            </w:r>
          </w:p>
        </w:tc>
      </w:tr>
      <w:tr>
        <w:trPr>
          <w:trHeight w:val="415"/>
        </w:trPr>
        <w:tc>
          <w:tcPr>
            <w:tcW w:w="3920" w:type="dxa"/>
            <w:vAlign w:val="bottom"/>
          </w:tcPr>
          <w:p>
            <w:pPr>
              <w:spacing w:after="0"/>
              <w:rPr>
                <w:sz w:val="20"/>
                <w:szCs w:val="20"/>
                <w:color w:val="auto"/>
              </w:rPr>
            </w:pPr>
            <w:r>
              <w:rPr>
                <w:rFonts w:ascii="Arial" w:cs="Arial" w:eastAsia="Arial" w:hAnsi="Arial"/>
                <w:sz w:val="18"/>
                <w:szCs w:val="18"/>
                <w:color w:val="auto"/>
              </w:rPr>
              <w:t>Contract Serial #201811060410001245534942</w:t>
            </w:r>
          </w:p>
        </w:tc>
        <w:tc>
          <w:tcPr>
            <w:tcW w:w="7500" w:type="dxa"/>
            <w:vAlign w:val="bottom"/>
          </w:tcPr>
          <w:p>
            <w:pPr>
              <w:ind w:left="274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Document 2 of 2</w:t>
            </w:r>
          </w:p>
        </w:tc>
        <w:tc>
          <w:tcPr>
            <w:tcW w:w="7500" w:type="dxa"/>
            <w:vAlign w:val="bottom"/>
          </w:tcPr>
          <w:p>
            <w:pPr>
              <w:ind w:left="2740"/>
              <w:spacing w:after="0"/>
              <w:rPr>
                <w:sz w:val="20"/>
                <w:szCs w:val="20"/>
                <w:color w:val="auto"/>
              </w:rPr>
            </w:pPr>
            <w:r>
              <w:rPr>
                <w:rFonts w:ascii="Arial" w:cs="Arial" w:eastAsia="Arial" w:hAnsi="Arial"/>
                <w:sz w:val="18"/>
                <w:szCs w:val="18"/>
                <w:color w:val="auto"/>
              </w:rPr>
              <w:t>contract contents [QR Code]</w:t>
            </w:r>
          </w:p>
        </w:tc>
      </w:tr>
      <w:tr>
        <w:trPr>
          <w:trHeight w:val="60"/>
        </w:trPr>
        <w:tc>
          <w:tcPr>
            <w:tcW w:w="392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97" w:name="page298"/>
    <w:bookmarkEnd w:id="297"/>
    <w:p>
      <w:pPr>
        <w:ind w:right="220"/>
        <w:spacing w:after="0" w:line="279" w:lineRule="auto"/>
        <w:rPr>
          <w:sz w:val="20"/>
          <w:szCs w:val="20"/>
          <w:color w:val="auto"/>
        </w:rPr>
      </w:pPr>
      <w:r>
        <w:rPr>
          <w:rFonts w:ascii="Arial" w:cs="Arial" w:eastAsia="Arial" w:hAnsi="Arial"/>
          <w:sz w:val="18"/>
          <w:szCs w:val="18"/>
          <w:b w:val="1"/>
          <w:bCs w:val="1"/>
          <w:color w:val="auto"/>
        </w:rPr>
        <w:t xml:space="preserve">This page is the Lender signature page of the Working Capital Loan Contract (Contract #: 0410000286-2018 (Xiang'an) No. 00275) entered into by </w:t>
      </w:r>
      <w:r>
        <w:rPr>
          <w:rFonts w:ascii="Arial" w:cs="Arial" w:eastAsia="Arial" w:hAnsi="Arial"/>
          <w:sz w:val="18"/>
          <w:szCs w:val="18"/>
          <w:b w:val="1"/>
          <w:bCs w:val="1"/>
          <w:u w:val="single" w:color="auto"/>
          <w:color w:val="auto"/>
        </w:rPr>
        <w:t>Photronics DNP Mask Corporation Xiamen</w:t>
      </w:r>
      <w:r>
        <w:rPr>
          <w:rFonts w:ascii="Arial" w:cs="Arial" w:eastAsia="Arial" w:hAnsi="Arial"/>
          <w:sz w:val="18"/>
          <w:szCs w:val="18"/>
          <w:b w:val="1"/>
          <w:bCs w:val="1"/>
          <w:color w:val="auto"/>
        </w:rPr>
        <w:t xml:space="preserve"> and ICBC </w:t>
      </w:r>
      <w:r>
        <w:rPr>
          <w:rFonts w:ascii="Arial" w:cs="Arial" w:eastAsia="Arial" w:hAnsi="Arial"/>
          <w:sz w:val="18"/>
          <w:szCs w:val="18"/>
          <w:b w:val="1"/>
          <w:bCs w:val="1"/>
          <w:u w:val="single" w:color="auto"/>
          <w:color w:val="auto"/>
        </w:rPr>
        <w:t>Xiang'an Branch</w:t>
      </w:r>
      <w:r>
        <w:rPr>
          <w:rFonts w:ascii="Arial" w:cs="Arial" w:eastAsia="Arial" w:hAnsi="Arial"/>
          <w:sz w:val="18"/>
          <w:szCs w:val="18"/>
          <w:b w:val="1"/>
          <w:b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agree to proceed with the working capital loan with the business information below:</w:t>
      </w:r>
    </w:p>
    <w:p>
      <w:pPr>
        <w:spacing w:after="0" w:line="223" w:lineRule="exact"/>
        <w:rPr>
          <w:sz w:val="20"/>
          <w:szCs w:val="20"/>
          <w:color w:val="auto"/>
        </w:rPr>
      </w:pPr>
    </w:p>
    <w:p>
      <w:pPr>
        <w:ind w:left="180" w:hanging="173"/>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Borrower: </w:t>
      </w:r>
      <w:r>
        <w:rPr>
          <w:rFonts w:ascii="Arial" w:cs="Arial" w:eastAsia="Arial" w:hAnsi="Arial"/>
          <w:sz w:val="18"/>
          <w:szCs w:val="18"/>
          <w:u w:val="single" w:color="auto"/>
          <w:color w:val="auto"/>
        </w:rPr>
        <w:t>Photronics DNP Mask Corporation Xiamen</w:t>
      </w:r>
    </w:p>
    <w:p>
      <w:pPr>
        <w:spacing w:after="0" w:line="222" w:lineRule="exact"/>
        <w:rPr>
          <w:rFonts w:ascii="Arial" w:cs="Arial" w:eastAsia="Arial" w:hAnsi="Arial"/>
          <w:sz w:val="18"/>
          <w:szCs w:val="18"/>
          <w:color w:val="auto"/>
        </w:rPr>
      </w:pPr>
    </w:p>
    <w:p>
      <w:pPr>
        <w:ind w:firstLine="7"/>
        <w:spacing w:after="0" w:line="275" w:lineRule="auto"/>
        <w:tabs>
          <w:tab w:leader="none" w:pos="1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Loans under the Contract shall be used for the following purpose; without the written consent of the Lender, the Borrower shall not misuse any loans. The Lender is entitled to supervision of the use of funds. Purpose: </w:t>
      </w:r>
      <w:r>
        <w:rPr>
          <w:rFonts w:ascii="Arial" w:cs="Arial" w:eastAsia="Arial" w:hAnsi="Arial"/>
          <w:sz w:val="18"/>
          <w:szCs w:val="18"/>
          <w:u w:val="single" w:color="auto"/>
          <w:color w:val="auto"/>
        </w:rPr>
        <w:t>VAT Payment</w:t>
      </w:r>
    </w:p>
    <w:p>
      <w:pPr>
        <w:spacing w:after="0" w:line="170" w:lineRule="exact"/>
        <w:rPr>
          <w:rFonts w:ascii="Arial" w:cs="Arial" w:eastAsia="Arial" w:hAnsi="Arial"/>
          <w:sz w:val="18"/>
          <w:szCs w:val="18"/>
          <w:color w:val="auto"/>
        </w:rPr>
      </w:pPr>
    </w:p>
    <w:p>
      <w:pPr>
        <w:ind w:right="460" w:firstLine="7"/>
        <w:spacing w:after="0" w:line="339" w:lineRule="auto"/>
        <w:tabs>
          <w:tab w:leader="none" w:pos="17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In accordance to Article 2.1 in the main body of this Contract, the currency of the loan in this Contract is </w:t>
      </w:r>
      <w:r>
        <w:rPr>
          <w:rFonts w:ascii="Arial" w:cs="Arial" w:eastAsia="Arial" w:hAnsi="Arial"/>
          <w:sz w:val="16"/>
          <w:szCs w:val="16"/>
          <w:u w:val="single" w:color="auto"/>
          <w:color w:val="auto"/>
        </w:rPr>
        <w:t>RMB</w:t>
      </w:r>
      <w:r>
        <w:rPr>
          <w:rFonts w:ascii="Arial" w:cs="Arial" w:eastAsia="Arial" w:hAnsi="Arial"/>
          <w:sz w:val="16"/>
          <w:szCs w:val="16"/>
          <w:color w:val="auto"/>
        </w:rPr>
        <w:t>, and the amount is 13,500,000.00 (In WORDS: Thirteen million and five hundred thousand) yuan (In case of inconsistency amounts in numbers and words, the amount in words shall prevail)</w:t>
      </w:r>
    </w:p>
    <w:p>
      <w:pPr>
        <w:spacing w:after="0" w:line="124" w:lineRule="exact"/>
        <w:rPr>
          <w:rFonts w:ascii="Arial" w:cs="Arial" w:eastAsia="Arial" w:hAnsi="Arial"/>
          <w:sz w:val="16"/>
          <w:szCs w:val="16"/>
          <w:color w:val="auto"/>
        </w:rPr>
      </w:pPr>
    </w:p>
    <w:p>
      <w:pPr>
        <w:ind w:right="520" w:firstLine="7"/>
        <w:spacing w:after="0" w:line="339" w:lineRule="auto"/>
        <w:tabs>
          <w:tab w:leader="none" w:pos="17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In accordance to Article 2.2 in the main body of this Contract, the term of the loan in this contract is </w:t>
      </w:r>
      <w:r>
        <w:rPr>
          <w:rFonts w:ascii="Arial" w:cs="Arial" w:eastAsia="Arial" w:hAnsi="Arial"/>
          <w:sz w:val="16"/>
          <w:szCs w:val="16"/>
          <w:u w:val="single" w:color="auto"/>
          <w:color w:val="auto"/>
        </w:rPr>
        <w:t>36 months</w:t>
      </w:r>
      <w:r>
        <w:rPr>
          <w:rFonts w:ascii="Arial" w:cs="Arial" w:eastAsia="Arial" w:hAnsi="Arial"/>
          <w:sz w:val="16"/>
          <w:szCs w:val="16"/>
          <w:color w:val="auto"/>
        </w:rPr>
        <w:t xml:space="preserve"> with the starting date from the date of withdrawal (for multiple withdrawals, starting date is the day of the first withdrawal), and the loan document determines the actual withdrawal date.</w:t>
      </w:r>
    </w:p>
    <w:p>
      <w:pPr>
        <w:spacing w:after="0" w:line="124" w:lineRule="exact"/>
        <w:rPr>
          <w:rFonts w:ascii="Arial" w:cs="Arial" w:eastAsia="Arial" w:hAnsi="Arial"/>
          <w:sz w:val="16"/>
          <w:szCs w:val="16"/>
          <w:color w:val="auto"/>
        </w:rPr>
      </w:pPr>
    </w:p>
    <w:p>
      <w:pPr>
        <w:ind w:left="180" w:hanging="173"/>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interest rate of RMB loan is determined by the method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Article 3.1 in the main body of this Contract.</w:t>
      </w:r>
    </w:p>
    <w:p>
      <w:pPr>
        <w:spacing w:after="0" w:line="222" w:lineRule="exact"/>
        <w:rPr>
          <w:rFonts w:ascii="Arial" w:cs="Arial" w:eastAsia="Arial" w:hAnsi="Arial"/>
          <w:sz w:val="18"/>
          <w:szCs w:val="18"/>
          <w:color w:val="auto"/>
        </w:rPr>
      </w:pPr>
    </w:p>
    <w:p>
      <w:pPr>
        <w:ind w:left="180" w:hanging="173"/>
        <w:spacing w:after="0"/>
        <w:tabs>
          <w:tab w:leader="none" w:pos="1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interest rate of foreign currency loan is determined by the method </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Article 3.2 in the main body of this Contract.</w:t>
      </w:r>
    </w:p>
    <w:p>
      <w:pPr>
        <w:spacing w:after="0" w:line="222" w:lineRule="exact"/>
        <w:rPr>
          <w:rFonts w:ascii="Arial" w:cs="Arial" w:eastAsia="Arial" w:hAnsi="Arial"/>
          <w:sz w:val="18"/>
          <w:szCs w:val="18"/>
          <w:color w:val="auto"/>
        </w:rPr>
      </w:pPr>
    </w:p>
    <w:p>
      <w:pPr>
        <w:ind w:right="340" w:firstLine="7"/>
        <w:spacing w:after="0" w:line="305" w:lineRule="auto"/>
        <w:tabs>
          <w:tab w:leader="none" w:pos="17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Interest shall be calculated on lending under the Contract on a daily basis from the withdrawal date and settled every </w:t>
      </w:r>
      <w:r>
        <w:rPr>
          <w:rFonts w:ascii="Arial" w:cs="Arial" w:eastAsia="Arial" w:hAnsi="Arial"/>
          <w:sz w:val="17"/>
          <w:szCs w:val="17"/>
          <w:u w:val="single" w:color="auto"/>
          <w:color w:val="auto"/>
        </w:rPr>
        <w:t>month</w:t>
      </w:r>
      <w:r>
        <w:rPr>
          <w:rFonts w:ascii="Arial" w:cs="Arial" w:eastAsia="Arial" w:hAnsi="Arial"/>
          <w:sz w:val="17"/>
          <w:szCs w:val="17"/>
          <w:color w:val="auto"/>
        </w:rPr>
        <w:t xml:space="preserve"> (month/quarter/six months). Interest shall be settled with principal when loans are due, and the daily interest rate = annual interest rate/360.</w:t>
      </w:r>
    </w:p>
    <w:p>
      <w:pPr>
        <w:spacing w:after="0" w:line="147" w:lineRule="exact"/>
        <w:rPr>
          <w:rFonts w:ascii="Arial" w:cs="Arial" w:eastAsia="Arial" w:hAnsi="Arial"/>
          <w:sz w:val="17"/>
          <w:szCs w:val="17"/>
          <w:color w:val="auto"/>
        </w:rPr>
      </w:pPr>
    </w:p>
    <w:p>
      <w:pPr>
        <w:ind w:right="200" w:firstLine="7"/>
        <w:spacing w:after="0" w:line="275" w:lineRule="auto"/>
        <w:tabs>
          <w:tab w:leader="none" w:pos="17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penalty interest rate for overdue payments under the Contract shall be determined at </w:t>
      </w:r>
      <w:r>
        <w:rPr>
          <w:rFonts w:ascii="Arial" w:cs="Arial" w:eastAsia="Arial" w:hAnsi="Arial"/>
          <w:sz w:val="18"/>
          <w:szCs w:val="18"/>
          <w:u w:val="single" w:color="auto"/>
          <w:color w:val="auto"/>
        </w:rPr>
        <w:t>30</w:t>
      </w:r>
      <w:r>
        <w:rPr>
          <w:rFonts w:ascii="Arial" w:cs="Arial" w:eastAsia="Arial" w:hAnsi="Arial"/>
          <w:sz w:val="18"/>
          <w:szCs w:val="18"/>
          <w:color w:val="auto"/>
        </w:rPr>
        <w:t xml:space="preserve"> % of the original lending rate, and the penalty interest rate for misuse of loans shall be determined at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 of the original lending rate.</w:t>
      </w:r>
    </w:p>
    <w:p>
      <w:pPr>
        <w:spacing w:after="0" w:line="170" w:lineRule="exact"/>
        <w:rPr>
          <w:rFonts w:ascii="Arial" w:cs="Arial" w:eastAsia="Arial" w:hAnsi="Arial"/>
          <w:sz w:val="18"/>
          <w:szCs w:val="18"/>
          <w:color w:val="auto"/>
        </w:rPr>
      </w:pPr>
    </w:p>
    <w:p>
      <w:pPr>
        <w:ind w:left="180" w:hanging="173"/>
        <w:spacing w:after="0"/>
        <w:tabs>
          <w:tab w:leader="none" w:pos="1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In accordance to Article 5.1 of the main body of this Contract, the Borrower shall repay the loan under this Contract according to method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(1/2).</w:t>
      </w:r>
    </w:p>
    <w:p>
      <w:pPr>
        <w:spacing w:after="0" w:line="234" w:lineRule="exact"/>
        <w:rPr>
          <w:rFonts w:ascii="Arial" w:cs="Arial" w:eastAsia="Arial" w:hAnsi="Arial"/>
          <w:sz w:val="17"/>
          <w:szCs w:val="17"/>
          <w:color w:val="auto"/>
        </w:rPr>
      </w:pPr>
    </w:p>
    <w:p>
      <w:pPr>
        <w:ind w:left="580" w:hanging="250"/>
        <w:spacing w:after="0"/>
        <w:tabs>
          <w:tab w:leader="none" w:pos="5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One-time loan repayment upon expiration.</w:t>
      </w:r>
    </w:p>
    <w:p>
      <w:pPr>
        <w:spacing w:after="0" w:line="222" w:lineRule="exact"/>
        <w:rPr>
          <w:rFonts w:ascii="Arial" w:cs="Arial" w:eastAsia="Arial" w:hAnsi="Arial"/>
          <w:sz w:val="18"/>
          <w:szCs w:val="18"/>
          <w:color w:val="auto"/>
        </w:rPr>
      </w:pPr>
    </w:p>
    <w:p>
      <w:pPr>
        <w:ind w:left="580" w:hanging="250"/>
        <w:spacing w:after="0"/>
        <w:tabs>
          <w:tab w:leader="none" w:pos="5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According to the following repayment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5"/>
          </w:tcPr>
          <w:p>
            <w:pPr>
              <w:spacing w:after="0"/>
              <w:rPr>
                <w:sz w:val="20"/>
                <w:szCs w:val="20"/>
                <w:color w:val="auto"/>
              </w:rPr>
            </w:pPr>
            <w:r>
              <w:rPr>
                <w:rFonts w:ascii="Arial" w:cs="Arial" w:eastAsia="Arial" w:hAnsi="Arial"/>
                <w:sz w:val="18"/>
                <w:szCs w:val="18"/>
                <w:color w:val="auto"/>
              </w:rPr>
              <w:t xml:space="preserve">Lender: ICBC </w:t>
            </w:r>
            <w:r>
              <w:rPr>
                <w:rFonts w:ascii="Arial" w:cs="Arial" w:eastAsia="Arial" w:hAnsi="Arial"/>
                <w:sz w:val="18"/>
                <w:szCs w:val="18"/>
                <w:b w:val="1"/>
                <w:bCs w:val="1"/>
                <w:color w:val="auto"/>
              </w:rPr>
              <w:t>Xiang'an Branch</w:t>
            </w:r>
            <w:r>
              <w:rPr>
                <w:rFonts w:ascii="Arial" w:cs="Arial" w:eastAsia="Arial" w:hAnsi="Arial"/>
                <w:sz w:val="18"/>
                <w:szCs w:val="18"/>
                <w:color w:val="auto"/>
              </w:rPr>
              <w:t xml:space="preserve"> [seal]</w:t>
            </w:r>
          </w:p>
        </w:tc>
        <w:tc>
          <w:tcPr>
            <w:tcW w:w="7160" w:type="dxa"/>
            <w:vAlign w:val="bottom"/>
          </w:tcPr>
          <w:p>
            <w:pPr>
              <w:spacing w:after="0"/>
              <w:rPr>
                <w:sz w:val="18"/>
                <w:szCs w:val="18"/>
                <w:color w:val="auto"/>
              </w:rPr>
            </w:pPr>
          </w:p>
        </w:tc>
      </w:tr>
      <w:tr>
        <w:trPr>
          <w:trHeight w:val="450"/>
        </w:trPr>
        <w:tc>
          <w:tcPr>
            <w:tcW w:w="1080" w:type="dxa"/>
            <w:vAlign w:val="bottom"/>
            <w:gridSpan w:val="2"/>
          </w:tcPr>
          <w:p>
            <w:pPr>
              <w:spacing w:after="0"/>
              <w:rPr>
                <w:sz w:val="20"/>
                <w:szCs w:val="20"/>
                <w:color w:val="auto"/>
              </w:rPr>
            </w:pPr>
            <w:r>
              <w:rPr>
                <w:rFonts w:ascii="Arial" w:cs="Arial" w:eastAsia="Arial" w:hAnsi="Arial"/>
                <w:sz w:val="18"/>
                <w:szCs w:val="18"/>
                <w:color w:val="auto"/>
              </w:rPr>
              <w:t>(seal)</w:t>
            </w:r>
          </w:p>
        </w:tc>
        <w:tc>
          <w:tcPr>
            <w:tcW w:w="1300" w:type="dxa"/>
            <w:vAlign w:val="bottom"/>
            <w:tcBorders>
              <w:top w:val="single" w:sz="8" w:color="auto"/>
            </w:tcBorders>
            <w:gridSpan w:val="2"/>
          </w:tcPr>
          <w:p>
            <w:pPr>
              <w:spacing w:after="0"/>
              <w:rPr>
                <w:sz w:val="24"/>
                <w:szCs w:val="24"/>
                <w:color w:val="auto"/>
              </w:rPr>
            </w:pPr>
          </w:p>
        </w:tc>
        <w:tc>
          <w:tcPr>
            <w:tcW w:w="188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416"/>
        </w:trPr>
        <w:tc>
          <w:tcPr>
            <w:tcW w:w="4260" w:type="dxa"/>
            <w:vAlign w:val="bottom"/>
            <w:gridSpan w:val="5"/>
          </w:tcPr>
          <w:p>
            <w:pPr>
              <w:spacing w:after="0"/>
              <w:rPr>
                <w:sz w:val="20"/>
                <w:szCs w:val="20"/>
                <w:color w:val="auto"/>
              </w:rPr>
            </w:pPr>
            <w:r>
              <w:rPr>
                <w:rFonts w:ascii="Arial" w:cs="Arial" w:eastAsia="Arial" w:hAnsi="Arial"/>
                <w:sz w:val="18"/>
                <w:szCs w:val="18"/>
                <w:color w:val="auto"/>
              </w:rPr>
              <w:t>Date: November 7, 2018</w:t>
            </w:r>
          </w:p>
        </w:tc>
        <w:tc>
          <w:tcPr>
            <w:tcW w:w="7160" w:type="dxa"/>
            <w:vAlign w:val="bottom"/>
          </w:tcPr>
          <w:p>
            <w:pPr>
              <w:spacing w:after="0"/>
              <w:rPr>
                <w:sz w:val="24"/>
                <w:szCs w:val="24"/>
                <w:color w:val="auto"/>
              </w:rPr>
            </w:pPr>
          </w:p>
        </w:tc>
      </w:tr>
      <w:tr>
        <w:trPr>
          <w:trHeight w:val="477"/>
        </w:trPr>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60" w:type="dxa"/>
            <w:vAlign w:val="bottom"/>
          </w:tcPr>
          <w:p>
            <w:pPr>
              <w:jc w:val="center"/>
              <w:ind w:right="4151"/>
              <w:spacing w:after="0"/>
              <w:rPr>
                <w:sz w:val="20"/>
                <w:szCs w:val="20"/>
                <w:color w:val="auto"/>
              </w:rPr>
            </w:pPr>
            <w:r>
              <w:rPr>
                <w:rFonts w:ascii="Arial" w:cs="Arial" w:eastAsia="Arial" w:hAnsi="Arial"/>
                <w:sz w:val="18"/>
                <w:szCs w:val="18"/>
                <w:color w:val="auto"/>
                <w:w w:val="87"/>
              </w:rPr>
              <w:t>Signature Page</w:t>
            </w:r>
          </w:p>
        </w:tc>
      </w:tr>
      <w:tr>
        <w:trPr>
          <w:trHeight w:val="415"/>
        </w:trPr>
        <w:tc>
          <w:tcPr>
            <w:tcW w:w="4260" w:type="dxa"/>
            <w:vAlign w:val="bottom"/>
            <w:gridSpan w:val="5"/>
          </w:tcPr>
          <w:p>
            <w:pPr>
              <w:spacing w:after="0"/>
              <w:rPr>
                <w:sz w:val="20"/>
                <w:szCs w:val="20"/>
                <w:color w:val="auto"/>
              </w:rPr>
            </w:pPr>
            <w:r>
              <w:rPr>
                <w:rFonts w:ascii="Arial" w:cs="Arial" w:eastAsia="Arial" w:hAnsi="Arial"/>
                <w:sz w:val="18"/>
                <w:szCs w:val="18"/>
                <w:color w:val="auto"/>
              </w:rPr>
              <w:t>Contract Serial #201811060410001245534942</w:t>
            </w:r>
          </w:p>
        </w:tc>
        <w:tc>
          <w:tcPr>
            <w:tcW w:w="7160" w:type="dxa"/>
            <w:vAlign w:val="bottom"/>
          </w:tcPr>
          <w:p>
            <w:pPr>
              <w:ind w:left="2400"/>
              <w:spacing w:after="0"/>
              <w:rPr>
                <w:sz w:val="20"/>
                <w:szCs w:val="20"/>
                <w:color w:val="auto"/>
              </w:rPr>
            </w:pPr>
            <w:r>
              <w:rPr>
                <w:rFonts w:ascii="Arial" w:cs="Arial" w:eastAsia="Arial" w:hAnsi="Arial"/>
                <w:sz w:val="18"/>
                <w:szCs w:val="18"/>
                <w:color w:val="auto"/>
              </w:rPr>
              <w:t>ICBC Mobile Bank "Scan It" to verify</w:t>
            </w:r>
          </w:p>
        </w:tc>
      </w:tr>
      <w:tr>
        <w:trPr>
          <w:trHeight w:val="229"/>
        </w:trPr>
        <w:tc>
          <w:tcPr>
            <w:tcW w:w="4260" w:type="dxa"/>
            <w:vAlign w:val="bottom"/>
            <w:gridSpan w:val="5"/>
          </w:tcPr>
          <w:p>
            <w:pPr>
              <w:spacing w:after="0"/>
              <w:rPr>
                <w:sz w:val="20"/>
                <w:szCs w:val="20"/>
                <w:color w:val="auto"/>
              </w:rPr>
            </w:pPr>
            <w:r>
              <w:rPr>
                <w:rFonts w:ascii="Arial" w:cs="Arial" w:eastAsia="Arial" w:hAnsi="Arial"/>
                <w:sz w:val="18"/>
                <w:szCs w:val="18"/>
                <w:color w:val="auto"/>
              </w:rPr>
              <w:t>Document 2 of 2</w:t>
            </w:r>
          </w:p>
        </w:tc>
        <w:tc>
          <w:tcPr>
            <w:tcW w:w="7160" w:type="dxa"/>
            <w:vAlign w:val="bottom"/>
          </w:tcPr>
          <w:p>
            <w:pPr>
              <w:ind w:left="2400"/>
              <w:spacing w:after="0"/>
              <w:rPr>
                <w:sz w:val="20"/>
                <w:szCs w:val="20"/>
                <w:color w:val="auto"/>
              </w:rPr>
            </w:pPr>
            <w:r>
              <w:rPr>
                <w:rFonts w:ascii="Arial" w:cs="Arial" w:eastAsia="Arial" w:hAnsi="Arial"/>
                <w:sz w:val="18"/>
                <w:szCs w:val="18"/>
                <w:color w:val="auto"/>
              </w:rPr>
              <w:t>contract contents [QR Code]</w:t>
            </w:r>
          </w:p>
        </w:tc>
      </w:tr>
      <w:tr>
        <w:trPr>
          <w:trHeight w:val="114"/>
        </w:trPr>
        <w:tc>
          <w:tcPr>
            <w:tcW w:w="4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7160" w:type="dxa"/>
            <w:vAlign w:val="bottom"/>
            <w:tcBorders>
              <w:bottom w:val="single" w:sz="8" w:color="auto"/>
            </w:tcBorders>
          </w:tcPr>
          <w:p>
            <w:pPr>
              <w:spacing w:after="0"/>
              <w:rPr>
                <w:sz w:val="9"/>
                <w:szCs w:val="9"/>
                <w:color w:val="auto"/>
              </w:rPr>
            </w:pPr>
          </w:p>
        </w:tc>
      </w:tr>
      <w:tr>
        <w:trPr>
          <w:trHeight w:val="323"/>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60" w:type="dxa"/>
            <w:vAlign w:val="bottom"/>
          </w:tcPr>
          <w:p>
            <w:pPr>
              <w:jc w:val="right"/>
              <w:ind w:right="5531"/>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21"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PHOTRONICS, INC.</w:t>
      </w:r>
    </w:p>
    <w:p>
      <w:pPr>
        <w:spacing w:after="0" w:line="265"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State or Jurisdiction of</w:t>
      </w:r>
    </w:p>
    <w:p>
      <w:pPr>
        <w:spacing w:after="0" w:line="22"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Incorporation or</w:t>
      </w:r>
    </w:p>
    <w:p>
      <w:pPr>
        <w:spacing w:after="0" w:line="8" w:lineRule="exact"/>
        <w:rPr>
          <w:sz w:val="20"/>
          <w:szCs w:val="20"/>
          <w:color w:val="auto"/>
        </w:rPr>
      </w:pPr>
    </w:p>
    <w:p>
      <w:pPr>
        <w:ind w:left="9580"/>
        <w:spacing w:after="0"/>
        <w:rPr>
          <w:sz w:val="20"/>
          <w:szCs w:val="20"/>
          <w:color w:val="auto"/>
        </w:rPr>
      </w:pPr>
      <w:r>
        <w:rPr>
          <w:rFonts w:ascii="Arial" w:cs="Arial" w:eastAsia="Arial" w:hAnsi="Arial"/>
          <w:sz w:val="18"/>
          <w:szCs w:val="18"/>
          <w:color w:val="auto"/>
        </w:rPr>
        <w:t>Organization</w:t>
      </w:r>
    </w:p>
    <w:p>
      <w:pPr>
        <w:sectPr>
          <w:pgSz w:w="11900" w:h="16838" w:orient="portrait"/>
          <w:cols w:equalWidth="0" w:num="1">
            <w:col w:w="11420"/>
          </w:cols>
          <w:pgMar w:left="240" w:top="273"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Align-Rite International, Ltd.</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Photronics (Wales) Limited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Idaho,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MZD, GmbH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Advanced Mask Corporation</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Photronics DNP Mask Corporation </w:t>
      </w:r>
      <w:r>
        <w:rPr>
          <w:rFonts w:ascii="Arial" w:cs="Arial" w:eastAsia="Arial" w:hAnsi="Arial"/>
          <w:sz w:val="14"/>
          <w:szCs w:val="14"/>
          <w:color w:val="auto"/>
        </w:rPr>
        <w:t>(1)</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PDMC Shanghai,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Photronics Singapore Pte, Ltd.</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Xiamen American Japan Photronics Mask Co., Ltd.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Photronics UK, Ltd.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PMCH</w:t>
      </w:r>
    </w:p>
    <w:p>
      <w:pPr>
        <w:spacing w:after="0"/>
        <w:rPr>
          <w:sz w:val="20"/>
          <w:szCs w:val="20"/>
          <w:color w:val="auto"/>
        </w:rPr>
      </w:pPr>
      <w:r>
        <w:rPr>
          <w:rFonts w:ascii="Arial" w:cs="Arial" w:eastAsia="Arial" w:hAnsi="Arial"/>
          <w:sz w:val="18"/>
          <w:szCs w:val="18"/>
          <w:color w:val="auto"/>
        </w:rPr>
        <w:t>PK, Ltd.</w:t>
      </w:r>
      <w:r>
        <w:rPr>
          <w:rFonts w:ascii="Arial" w:cs="Arial" w:eastAsia="Arial" w:hAnsi="Arial"/>
          <w:sz w:val="14"/>
          <w:szCs w:val="14"/>
          <w:color w:val="auto"/>
        </w:rPr>
        <w:t>(2)</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PKLT Co.,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(California, USA)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(Idaho, USA)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(Shanghai, P.R.C.)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(Xiamen, P.R.C.)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(Hefei, P.R.C.)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(Republic of Korea)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200" w:lineRule="exact"/>
        <w:rPr>
          <w:sz w:val="20"/>
          <w:szCs w:val="20"/>
          <w:color w:val="auto"/>
        </w:rPr>
      </w:pPr>
    </w:p>
    <w:p>
      <w:pPr>
        <w:sectPr>
          <w:pgSz w:w="11900" w:h="16838" w:orient="portrait"/>
          <w:cols w:equalWidth="0" w:num="2">
            <w:col w:w="8140" w:space="720"/>
            <w:col w:w="2560"/>
          </w:cols>
          <w:pgMar w:left="240" w:top="273" w:right="239" w:bottom="1440" w:gutter="0" w:footer="0" w:header="0"/>
          <w:type w:val="continuous"/>
        </w:sectPr>
      </w:pPr>
    </w:p>
    <w:p>
      <w:pPr>
        <w:spacing w:after="0" w:line="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82" w:lineRule="exact"/>
        <w:rPr>
          <w:sz w:val="20"/>
          <w:szCs w:val="20"/>
          <w:color w:val="auto"/>
        </w:rPr>
      </w:pPr>
    </w:p>
    <w:p>
      <w:pPr>
        <w:ind w:left="380" w:hanging="373"/>
        <w:spacing w:after="0"/>
        <w:tabs>
          <w:tab w:leader="none" w:pos="380" w:val="left"/>
        </w:tabs>
        <w:numPr>
          <w:ilvl w:val="0"/>
          <w:numId w:val="208"/>
        </w:numPr>
        <w:rPr>
          <w:rFonts w:ascii="Arial" w:cs="Arial" w:eastAsia="Arial" w:hAnsi="Arial"/>
          <w:sz w:val="30"/>
          <w:szCs w:val="30"/>
          <w:color w:val="auto"/>
          <w:vertAlign w:val="superscript"/>
        </w:rPr>
      </w:pPr>
      <w:r>
        <w:rPr>
          <w:rFonts w:ascii="Arial" w:cs="Arial" w:eastAsia="Arial" w:hAnsi="Arial"/>
          <w:sz w:val="18"/>
          <w:szCs w:val="18"/>
          <w:color w:val="auto"/>
        </w:rPr>
        <w:t>50.01% owned by Photronics, Inc. and 49.99% owned by DNPJ</w:t>
      </w:r>
    </w:p>
    <w:p>
      <w:pPr>
        <w:spacing w:after="0" w:line="1" w:lineRule="exact"/>
        <w:rPr>
          <w:rFonts w:ascii="Arial" w:cs="Arial" w:eastAsia="Arial" w:hAnsi="Arial"/>
          <w:sz w:val="30"/>
          <w:szCs w:val="30"/>
          <w:color w:val="auto"/>
          <w:vertAlign w:val="superscript"/>
        </w:rPr>
      </w:pPr>
    </w:p>
    <w:p>
      <w:pPr>
        <w:ind w:left="380" w:hanging="373"/>
        <w:spacing w:after="0" w:line="185" w:lineRule="auto"/>
        <w:tabs>
          <w:tab w:leader="none" w:pos="380" w:val="left"/>
        </w:tabs>
        <w:numPr>
          <w:ilvl w:val="0"/>
          <w:numId w:val="208"/>
        </w:numPr>
        <w:rPr>
          <w:rFonts w:ascii="Arial" w:cs="Arial" w:eastAsia="Arial" w:hAnsi="Arial"/>
          <w:sz w:val="24"/>
          <w:szCs w:val="24"/>
          <w:color w:val="auto"/>
          <w:vertAlign w:val="superscript"/>
        </w:rPr>
      </w:pPr>
      <w:r>
        <w:rPr>
          <w:rFonts w:ascii="Arial" w:cs="Arial" w:eastAsia="Arial" w:hAnsi="Arial"/>
          <w:sz w:val="15"/>
          <w:szCs w:val="15"/>
          <w:color w:val="auto"/>
        </w:rPr>
        <w:t>99.75% owned by Photronics, Inc., and 0.25% owned by minority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24725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type w:val="continuous"/>
        </w:sectPr>
      </w:pPr>
    </w:p>
    <w:bookmarkStart w:id="299" w:name="page300"/>
    <w:bookmarkEnd w:id="29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255"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247255" cy="34290"/>
                    </a:xfrm>
                    <a:prstGeom prst="rect">
                      <a:avLst/>
                    </a:prstGeom>
                    <a:noFill/>
                  </pic:spPr>
                </pic:pic>
              </a:graphicData>
            </a:graphic>
          </wp:anchor>
        </w:drawing>
        <w:t>Exhibit 23.1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We consent to the incorporation by reference in Registration Statement Nos. 333-160235 and 333-161857 on Form S-3 and Registration Statement Nos. 333-169296, 333-169295, 333-151763, 333-197890 and 333-217676 on Form S-8 of our reports dated December 21, 2018, relating to the consolidated financial statements and financial statement schedule of Photronics, Inc. and the effectiveness of Photronics, Inc. internal control over financial reporting, appearing in this Annual Report on Form 10-K of Photronics, Inc. for the year ended October 31, 2018.</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ectPr>
          <w:pgSz w:w="11900" w:h="16838" w:orient="portrait"/>
          <w:cols w:equalWidth="0" w:num="1">
            <w:col w:w="11420"/>
          </w:cols>
          <w:pgMar w:left="240" w:top="273"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31.1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115" w:lineRule="exact"/>
        <w:rPr>
          <w:sz w:val="20"/>
          <w:szCs w:val="20"/>
          <w:color w:val="auto"/>
        </w:rPr>
      </w:pPr>
    </w:p>
    <w:p>
      <w:pPr>
        <w:ind w:left="340" w:hanging="339"/>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115"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700" w:hanging="350"/>
        <w:spacing w:after="0" w:line="309" w:lineRule="auto"/>
        <w:tabs>
          <w:tab w:leader="none" w:pos="7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700" w:hanging="350"/>
        <w:spacing w:after="0" w:line="309" w:lineRule="auto"/>
        <w:tabs>
          <w:tab w:leader="none" w:pos="7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6"/>
          <w:szCs w:val="16"/>
          <w:color w:val="auto"/>
        </w:rPr>
      </w:pPr>
    </w:p>
    <w:p>
      <w:pPr>
        <w:jc w:val="both"/>
        <w:ind w:left="700" w:hanging="350"/>
        <w:spacing w:after="0" w:line="262" w:lineRule="auto"/>
        <w:tabs>
          <w:tab w:leader="none" w:pos="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4" w:lineRule="exact"/>
        <w:rPr>
          <w:rFonts w:ascii="Arial" w:cs="Arial" w:eastAsia="Arial" w:hAnsi="Arial"/>
          <w:sz w:val="18"/>
          <w:szCs w:val="18"/>
          <w:color w:val="auto"/>
        </w:rPr>
      </w:pPr>
    </w:p>
    <w:p>
      <w:pPr>
        <w:jc w:val="both"/>
        <w:ind w:left="700" w:hanging="350"/>
        <w:spacing w:after="0" w:line="309" w:lineRule="auto"/>
        <w:tabs>
          <w:tab w:leader="none" w:pos="7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jc w:val="both"/>
        <w:ind w:left="340" w:hanging="339"/>
        <w:spacing w:after="0" w:line="262" w:lineRule="auto"/>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700" w:hanging="350"/>
        <w:spacing w:after="0" w:line="262" w:lineRule="auto"/>
        <w:tabs>
          <w:tab w:leader="none" w:pos="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700" w:hanging="350"/>
        <w:spacing w:after="0" w:line="275" w:lineRule="auto"/>
        <w:tabs>
          <w:tab w:leader="none" w:pos="7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2682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294640</wp:posOffset>
            </wp:positionV>
            <wp:extent cx="603631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121" w:right="119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31.2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115" w:lineRule="exact"/>
        <w:rPr>
          <w:sz w:val="20"/>
          <w:szCs w:val="20"/>
          <w:color w:val="auto"/>
        </w:rPr>
      </w:pPr>
    </w:p>
    <w:p>
      <w:pPr>
        <w:ind w:left="340" w:hanging="339"/>
        <w:spacing w:after="0"/>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115"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left="340" w:hanging="339"/>
        <w:spacing w:after="0" w:line="262"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700" w:hanging="350"/>
        <w:spacing w:after="0" w:line="309" w:lineRule="auto"/>
        <w:tabs>
          <w:tab w:leader="none" w:pos="70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700" w:hanging="350"/>
        <w:spacing w:after="0" w:line="309" w:lineRule="auto"/>
        <w:tabs>
          <w:tab w:leader="none" w:pos="70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6"/>
          <w:szCs w:val="16"/>
          <w:color w:val="auto"/>
        </w:rPr>
      </w:pPr>
    </w:p>
    <w:p>
      <w:pPr>
        <w:jc w:val="both"/>
        <w:ind w:left="700" w:hanging="350"/>
        <w:spacing w:after="0" w:line="262" w:lineRule="auto"/>
        <w:tabs>
          <w:tab w:leader="none" w:pos="7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4" w:lineRule="exact"/>
        <w:rPr>
          <w:rFonts w:ascii="Arial" w:cs="Arial" w:eastAsia="Arial" w:hAnsi="Arial"/>
          <w:sz w:val="18"/>
          <w:szCs w:val="18"/>
          <w:color w:val="auto"/>
        </w:rPr>
      </w:pPr>
    </w:p>
    <w:p>
      <w:pPr>
        <w:jc w:val="both"/>
        <w:ind w:left="700" w:hanging="350"/>
        <w:spacing w:after="0" w:line="309" w:lineRule="auto"/>
        <w:tabs>
          <w:tab w:leader="none" w:pos="70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jc w:val="both"/>
        <w:ind w:left="340" w:hanging="339"/>
        <w:spacing w:after="0" w:line="262"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700" w:hanging="350"/>
        <w:spacing w:after="0" w:line="262" w:lineRule="auto"/>
        <w:tabs>
          <w:tab w:leader="none" w:pos="7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700" w:hanging="350"/>
        <w:spacing w:after="0" w:line="275" w:lineRule="auto"/>
        <w:tabs>
          <w:tab w:leader="none" w:pos="7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2682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294640</wp:posOffset>
            </wp:positionV>
            <wp:extent cx="603631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121" w:right="1199" w:bottom="1440" w:gutter="0" w:footer="0" w:header="0"/>
        </w:sectPr>
      </w:pPr>
    </w:p>
    <w:bookmarkStart w:id="302" w:name="page303"/>
    <w:bookmarkEnd w:id="302"/>
    <w:p>
      <w:pPr>
        <w:ind w:left="8380"/>
        <w:spacing w:after="0"/>
        <w:rPr>
          <w:sz w:val="20"/>
          <w:szCs w:val="20"/>
          <w:color w:val="auto"/>
        </w:rPr>
      </w:pPr>
      <w:r>
        <w:rPr>
          <w:rFonts w:ascii="Arial" w:cs="Arial" w:eastAsia="Arial" w:hAnsi="Arial"/>
          <w:sz w:val="18"/>
          <w:szCs w:val="18"/>
          <w:b w:val="1"/>
          <w:bCs w:val="1"/>
          <w:color w:val="auto"/>
        </w:rPr>
        <w:t>EXHIBIT 32.1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Peter S. Kirlin, Chief Executive Officer of Photronics, Inc. (the “Company”), certify, pursuant to Section 906 of the Sarbanes-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101" w:lineRule="exact"/>
        <w:rPr>
          <w:sz w:val="20"/>
          <w:szCs w:val="20"/>
          <w:color w:val="auto"/>
        </w:rPr>
      </w:pPr>
    </w:p>
    <w:p>
      <w:pPr>
        <w:ind w:left="340" w:hanging="339"/>
        <w:spacing w:after="0" w:line="275"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2018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340" w:hanging="339"/>
        <w:spacing w:after="0" w:line="275" w:lineRule="auto"/>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2682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294640</wp:posOffset>
            </wp:positionV>
            <wp:extent cx="603631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p>
      <w:pPr>
        <w:sectPr>
          <w:pgSz w:w="11900" w:h="16838" w:orient="portrait"/>
          <w:cols w:equalWidth="0" w:num="1">
            <w:col w:w="9500"/>
          </w:cols>
          <w:pgMar w:left="1200" w:top="121" w:right="1199" w:bottom="1440" w:gutter="0" w:footer="0" w:header="0"/>
        </w:sectPr>
      </w:pPr>
    </w:p>
    <w:bookmarkStart w:id="303" w:name="page304"/>
    <w:bookmarkEnd w:id="303"/>
    <w:p>
      <w:pPr>
        <w:ind w:left="8380"/>
        <w:spacing w:after="0"/>
        <w:rPr>
          <w:sz w:val="20"/>
          <w:szCs w:val="20"/>
          <w:color w:val="auto"/>
        </w:rPr>
      </w:pPr>
      <w:r>
        <w:rPr>
          <w:rFonts w:ascii="Arial" w:cs="Arial" w:eastAsia="Arial" w:hAnsi="Arial"/>
          <w:sz w:val="18"/>
          <w:szCs w:val="18"/>
          <w:b w:val="1"/>
          <w:bCs w:val="1"/>
          <w:color w:val="auto"/>
        </w:rPr>
        <w:t>EXHIBIT 32.2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 John P. Jordan, Chief Financial Officer of Photronics, Inc. (the “Company”), certify, pursuant to Section 906 of the Sarbanes-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101" w:lineRule="exact"/>
        <w:rPr>
          <w:sz w:val="20"/>
          <w:szCs w:val="20"/>
          <w:color w:val="auto"/>
        </w:rPr>
      </w:pPr>
    </w:p>
    <w:p>
      <w:pPr>
        <w:ind w:left="340" w:hanging="339"/>
        <w:spacing w:after="0" w:line="275"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2018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340" w:hanging="339"/>
        <w:spacing w:after="0" w:line="275"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2682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294640</wp:posOffset>
            </wp:positionV>
            <wp:extent cx="603631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6036310" cy="42545"/>
                    </a:xfrm>
                    <a:prstGeom prst="rect">
                      <a:avLst/>
                    </a:prstGeom>
                    <a:noFill/>
                  </pic:spPr>
                </pic:pic>
              </a:graphicData>
            </a:graphic>
          </wp:anchor>
        </w:drawing>
      </w:r>
    </w:p>
    <w:sectPr>
      <w:pgSz w:w="11900" w:h="16838" w:orient="portrait"/>
      <w:cols w:equalWidth="0" w:num="1">
        <w:col w:w="9500"/>
      </w:cols>
      <w:pgMar w:left="1200" w:top="12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o"/>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1)"/>
      <w:numFmt w:val="lowerLetter"/>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1)"/>
      <w:numFmt w:val="decimal"/>
      <w:start w:val="2"/>
    </w:lvl>
    <w:lvl w:ilvl="1">
      <w:lvlJc w:val="left"/>
      <w:lvlText w:val="•"/>
      <w:numFmt w:val="bullet"/>
      <w:start w:val="1"/>
    </w:lvl>
  </w:abstractNum>
  <w:abstractNum w:abstractNumId="8">
    <w:nsid w:val="1CA0C5FA"/>
    <w:multiLevelType w:val="hybridMultilevel"/>
    <w:lvl w:ilvl="0">
      <w:lvlJc w:val="left"/>
      <w:lvlText w:val="(%1)"/>
      <w:numFmt w:val="lowerLetter"/>
      <w:start w:val="1"/>
    </w:lvl>
  </w:abstractNum>
  <w:abstractNum w:abstractNumId="9">
    <w:nsid w:val="53584BCB"/>
    <w:multiLevelType w:val="hybridMultilevel"/>
    <w:lvl w:ilvl="0">
      <w:lvlJc w:val="left"/>
      <w:lvlText w:val="%1"/>
      <w:numFmt w:val="decimal"/>
      <w:start w:val="2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1]"/>
      <w:numFmt w:val="lowerLetter"/>
      <w:start w:val="2"/>
    </w:lvl>
  </w:abstractNum>
  <w:abstractNum w:abstractNumId="14">
    <w:nsid w:val="5C10FE21"/>
    <w:multiLevelType w:val="hybridMultilevel"/>
    <w:lvl w:ilvl="0">
      <w:lvlJc w:val="left"/>
      <w:lvlText w:val="[%1]"/>
      <w:numFmt w:val="lowerLetter"/>
      <w:start w:val="1"/>
    </w:lvl>
  </w:abstractNum>
  <w:abstractNum w:abstractNumId="15">
    <w:nsid w:val="E7FFA2B"/>
    <w:multiLevelType w:val="hybridMultilevel"/>
    <w:lvl w:ilvl="0">
      <w:lvlJc w:val="left"/>
      <w:lvlText w:val="%1)"/>
      <w:numFmt w:val="decimal"/>
      <w:start w:val="5"/>
    </w:lvl>
    <w:lvl w:ilvl="1">
      <w:lvlJc w:val="left"/>
      <w:lvlText w:val="%2)"/>
      <w:numFmt w:val="lowerLetter"/>
      <w:start w:val="1"/>
    </w:lvl>
  </w:abstractNum>
  <w:abstractNum w:abstractNumId="16">
    <w:nsid w:val="3C5991AA"/>
    <w:multiLevelType w:val="hybridMultilevel"/>
    <w:lvl w:ilvl="0">
      <w:lvlJc w:val="left"/>
      <w:lvlText w:val="%1."/>
      <w:numFmt w:val="decimal"/>
      <w:start w:val="7"/>
    </w:lvl>
    <w:lvl w:ilvl="1">
      <w:lvlJc w:val="left"/>
      <w:lvlText w:val="(%2)"/>
      <w:numFmt w:val="lowerLetter"/>
      <w:start w:val="1"/>
    </w:lvl>
  </w:abstractNum>
  <w:abstractNum w:abstractNumId="17">
    <w:nsid w:val="4BD8591A"/>
    <w:multiLevelType w:val="hybridMultilevel"/>
    <w:lvl w:ilvl="0">
      <w:lvlJc w:val="left"/>
      <w:lvlText w:val="(%1)"/>
      <w:numFmt w:val="lowerLetter"/>
      <w:start w:val="3"/>
    </w:lvl>
  </w:abstractNum>
  <w:abstractNum w:abstractNumId="18">
    <w:nsid w:val="78DF6A55"/>
    <w:multiLevelType w:val="hybridMultilevel"/>
    <w:lvl w:ilvl="0">
      <w:lvlJc w:val="left"/>
      <w:lvlText w:val="%1."/>
      <w:numFmt w:val="decimal"/>
      <w:start w:val="8"/>
    </w:lvl>
  </w:abstractNum>
  <w:abstractNum w:abstractNumId="19">
    <w:nsid w:val="39B7AAA2"/>
    <w:multiLevelType w:val="hybridMultilevel"/>
    <w:lvl w:ilvl="0">
      <w:lvlJc w:val="left"/>
      <w:lvlText w:val="%1."/>
      <w:numFmt w:val="decimal"/>
      <w:start w:val="1"/>
    </w:lvl>
  </w:abstractNum>
  <w:abstractNum w:abstractNumId="20">
    <w:nsid w:val="2B0D8DBE"/>
    <w:multiLevelType w:val="hybridMultilevel"/>
    <w:lvl w:ilvl="0">
      <w:lvlJc w:val="left"/>
      <w:lvlText w:val="(%1)"/>
      <w:numFmt w:val="lowerLetter"/>
      <w:start w:val="1"/>
    </w:lvl>
  </w:abstractNum>
  <w:abstractNum w:abstractNumId="21">
    <w:nsid w:val="6C80EC70"/>
    <w:multiLevelType w:val="hybridMultilevel"/>
    <w:lvl w:ilvl="0">
      <w:lvlJc w:val="left"/>
      <w:lvlText w:val="\ldblquote"/>
      <w:numFmt w:val="bullet"/>
      <w:start w:val="1"/>
    </w:lvl>
  </w:abstractNum>
  <w:abstractNum w:abstractNumId="22">
    <w:nsid w:val="379E21B5"/>
    <w:multiLevelType w:val="hybridMultilevel"/>
    <w:lvl w:ilvl="0">
      <w:lvlJc w:val="left"/>
      <w:lvlText w:val="%1."/>
      <w:numFmt w:val="decimal"/>
      <w:start w:val="2"/>
    </w:lvl>
  </w:abstractNum>
  <w:abstractNum w:abstractNumId="23">
    <w:nsid w:val="69E373"/>
    <w:multiLevelType w:val="hybridMultilevel"/>
    <w:lvl w:ilvl="0">
      <w:lvlJc w:val="left"/>
      <w:lvlText w:val="%1."/>
      <w:numFmt w:val="decimal"/>
      <w:start w:val="3"/>
    </w:lvl>
  </w:abstractNum>
  <w:abstractNum w:abstractNumId="24">
    <w:nsid w:val="2C27173B"/>
    <w:multiLevelType w:val="hybridMultilevel"/>
    <w:lvl w:ilvl="0">
      <w:lvlJc w:val="left"/>
      <w:lvlText w:val="%1"/>
      <w:numFmt w:val="lowerLetter"/>
      <w:start w:val="1"/>
    </w:lvl>
    <w:lvl w:ilvl="1">
      <w:lvlJc w:val="left"/>
      <w:lvlText w:val="(%2)"/>
      <w:numFmt w:val="lowerLetter"/>
      <w:start w:val="1"/>
    </w:lvl>
  </w:abstractNum>
  <w:abstractNum w:abstractNumId="25">
    <w:nsid w:val="4C9B0904"/>
    <w:multiLevelType w:val="hybridMultilevel"/>
    <w:lvl w:ilvl="0">
      <w:lvlJc w:val="left"/>
      <w:lvlText w:val="(%1)"/>
      <w:numFmt w:val="lowerLetter"/>
      <w:start w:val="35"/>
    </w:lvl>
    <w:lvl w:ilvl="1">
      <w:lvlJc w:val="left"/>
      <w:lvlText w:val="%2"/>
      <w:numFmt w:val="lowerLetter"/>
      <w:start w:val="1"/>
    </w:lvl>
  </w:abstractNum>
  <w:abstractNum w:abstractNumId="26">
    <w:nsid w:val="6AA7B75C"/>
    <w:multiLevelType w:val="hybridMultilevel"/>
    <w:lvl w:ilvl="0">
      <w:lvlJc w:val="left"/>
      <w:lvlText w:val="%1."/>
      <w:numFmt w:val="decimal"/>
      <w:start w:val="4"/>
    </w:lvl>
  </w:abstractNum>
  <w:abstractNum w:abstractNumId="27">
    <w:nsid w:val="1DF029D3"/>
    <w:multiLevelType w:val="hybridMultilevel"/>
    <w:lvl w:ilvl="0">
      <w:lvlJc w:val="left"/>
      <w:lvlText w:val="(%1)"/>
      <w:numFmt w:val="lowerLetter"/>
      <w:start w:val="1"/>
    </w:lvl>
  </w:abstractNum>
  <w:abstractNum w:abstractNumId="28">
    <w:nsid w:val="5675FF36"/>
    <w:multiLevelType w:val="hybridMultilevel"/>
    <w:lvl w:ilvl="0">
      <w:lvlJc w:val="left"/>
      <w:lvlText w:val="%1."/>
      <w:numFmt w:val="decimal"/>
      <w:start w:val="5"/>
    </w:lvl>
  </w:abstractNum>
  <w:abstractNum w:abstractNumId="29">
    <w:nsid w:val="3DD15094"/>
    <w:multiLevelType w:val="hybridMultilevel"/>
    <w:lvl w:ilvl="0">
      <w:lvlJc w:val="left"/>
      <w:lvlText w:val="(%1)"/>
      <w:numFmt w:val="lowerRoman"/>
      <w:start w:val="1"/>
    </w:lvl>
  </w:abstractNum>
  <w:abstractNum w:abstractNumId="30">
    <w:nsid w:val="3DB012B3"/>
    <w:multiLevelType w:val="hybridMultilevel"/>
    <w:lvl w:ilvl="0">
      <w:lvlJc w:val="left"/>
      <w:lvlText w:val="(%1)"/>
      <w:numFmt w:val="lowerLetter"/>
      <w:start w:val="3"/>
    </w:lvl>
  </w:abstractNum>
  <w:abstractNum w:abstractNumId="31">
    <w:nsid w:val="2708C9AF"/>
    <w:multiLevelType w:val="hybridMultilevel"/>
    <w:lvl w:ilvl="0">
      <w:lvlJc w:val="left"/>
      <w:lvlText w:val="(%1)"/>
      <w:numFmt w:val="lowerRoman"/>
      <w:start w:val="1"/>
    </w:lvl>
  </w:abstractNum>
  <w:abstractNum w:abstractNumId="32">
    <w:nsid w:val="5B25ACE2"/>
    <w:multiLevelType w:val="hybridMultilevel"/>
    <w:lvl w:ilvl="0">
      <w:lvlJc w:val="left"/>
      <w:lvlText w:val="%1"/>
      <w:numFmt w:val="lowerRoman"/>
      <w:start w:val="1"/>
    </w:lvl>
    <w:lvl w:ilvl="1">
      <w:lvlJc w:val="left"/>
      <w:lvlText w:val="(%2)"/>
      <w:numFmt w:val="lowerLetter"/>
      <w:start w:val="1"/>
    </w:lvl>
  </w:abstractNum>
  <w:abstractNum w:abstractNumId="33">
    <w:nsid w:val="175DFCF0"/>
    <w:multiLevelType w:val="hybridMultilevel"/>
    <w:lvl w:ilvl="0">
      <w:lvlJc w:val="left"/>
      <w:lvlText w:val="(%1)"/>
      <w:numFmt w:val="lowerRoman"/>
      <w:start w:val="2"/>
    </w:lvl>
    <w:lvl w:ilvl="1">
      <w:lvlJc w:val="left"/>
      <w:lvlText w:val="%2"/>
      <w:numFmt w:val="lowerLetter"/>
      <w:start w:val="1"/>
    </w:lvl>
  </w:abstractNum>
  <w:abstractNum w:abstractNumId="34">
    <w:nsid w:val="4F97E3E4"/>
    <w:multiLevelType w:val="hybridMultilevel"/>
    <w:lvl w:ilvl="0">
      <w:lvlJc w:val="left"/>
      <w:lvlText w:val="(%1)"/>
      <w:numFmt w:val="lowerRoman"/>
      <w:start w:val="1"/>
    </w:lvl>
  </w:abstractNum>
  <w:abstractNum w:abstractNumId="35">
    <w:nsid w:val="53B0A9E"/>
    <w:multiLevelType w:val="hybridMultilevel"/>
    <w:lvl w:ilvl="0">
      <w:lvlJc w:val="left"/>
      <w:lvlText w:val="(%1)"/>
      <w:numFmt w:val="lowerRoman"/>
      <w:start w:val="1"/>
    </w:lvl>
  </w:abstractNum>
  <w:abstractNum w:abstractNumId="36">
    <w:nsid w:val="34FD6B4F"/>
    <w:multiLevelType w:val="hybridMultilevel"/>
    <w:lvl w:ilvl="0">
      <w:lvlJc w:val="left"/>
      <w:lvlText w:val="(%1)"/>
      <w:numFmt w:val="lowerLetter"/>
      <w:start w:val="1"/>
    </w:lvl>
  </w:abstractNum>
  <w:abstractNum w:abstractNumId="37">
    <w:nsid w:val="5915FF32"/>
    <w:multiLevelType w:val="hybridMultilevel"/>
    <w:lvl w:ilvl="0">
      <w:lvlJc w:val="left"/>
      <w:lvlText w:val="(%1)"/>
      <w:numFmt w:val="lowerLetter"/>
      <w:start w:val="3"/>
    </w:lvl>
  </w:abstractNum>
  <w:abstractNum w:abstractNumId="38">
    <w:nsid w:val="56438D15"/>
    <w:multiLevelType w:val="hybridMultilevel"/>
    <w:lvl w:ilvl="0">
      <w:lvlJc w:val="left"/>
      <w:lvlText w:val="(%1)"/>
      <w:numFmt w:val="lowerLetter"/>
      <w:start w:val="1"/>
    </w:lvl>
  </w:abstractNum>
  <w:abstractNum w:abstractNumId="39">
    <w:nsid w:val="519E3149"/>
    <w:multiLevelType w:val="hybridMultilevel"/>
    <w:lvl w:ilvl="0">
      <w:lvlJc w:val="left"/>
      <w:lvlText w:val="(%1)"/>
      <w:numFmt w:val="lowerRoman"/>
      <w:start w:val="1"/>
    </w:lvl>
  </w:abstractNum>
  <w:abstractNum w:abstractNumId="40">
    <w:nsid w:val="2C6E4AFD"/>
    <w:multiLevelType w:val="hybridMultilevel"/>
    <w:lvl w:ilvl="0">
      <w:lvlJc w:val="left"/>
      <w:lvlText w:val="(%1)"/>
      <w:numFmt w:val="lowerLetter"/>
      <w:start w:val="2"/>
    </w:lvl>
  </w:abstractNum>
  <w:abstractNum w:abstractNumId="41">
    <w:nsid w:val="17A1B582"/>
    <w:multiLevelType w:val="hybridMultilevel"/>
    <w:lvl w:ilvl="0">
      <w:lvlJc w:val="left"/>
      <w:lvlText w:val="(%1)"/>
      <w:numFmt w:val="lowerRoman"/>
      <w:start w:val="1"/>
    </w:lvl>
  </w:abstractNum>
  <w:abstractNum w:abstractNumId="42">
    <w:nsid w:val="4DF72E4E"/>
    <w:multiLevelType w:val="hybridMultilevel"/>
    <w:lvl w:ilvl="0">
      <w:lvlJc w:val="left"/>
      <w:lvlText w:val="(%1)"/>
      <w:numFmt w:val="lowerLetter"/>
      <w:start w:val="1"/>
    </w:lvl>
  </w:abstractNum>
  <w:abstractNum w:abstractNumId="43">
    <w:nsid w:val="5046B5A9"/>
    <w:multiLevelType w:val="hybridMultilevel"/>
    <w:lvl w:ilvl="0">
      <w:lvlJc w:val="left"/>
      <w:lvlText w:val="(%1)"/>
      <w:numFmt w:val="lowerLetter"/>
      <w:start w:val="2"/>
    </w:lvl>
  </w:abstractNum>
  <w:abstractNum w:abstractNumId="44">
    <w:nsid w:val="5D888A08"/>
    <w:multiLevelType w:val="hybridMultilevel"/>
    <w:lvl w:ilvl="0">
      <w:lvlJc w:val="left"/>
      <w:lvlText w:val="(%1)"/>
      <w:numFmt w:val="lowerLetter"/>
      <w:start w:val="4"/>
    </w:lvl>
  </w:abstractNum>
  <w:abstractNum w:abstractNumId="45">
    <w:nsid w:val="2A082C70"/>
    <w:multiLevelType w:val="hybridMultilevel"/>
    <w:lvl w:ilvl="0">
      <w:lvlJc w:val="left"/>
      <w:lvlText w:val="(%1)"/>
      <w:numFmt w:val="lowerLetter"/>
      <w:start w:val="2"/>
    </w:lvl>
  </w:abstractNum>
  <w:abstractNum w:abstractNumId="46">
    <w:nsid w:val="5EC6AFD4"/>
    <w:multiLevelType w:val="hybridMultilevel"/>
    <w:lvl w:ilvl="0">
      <w:lvlJc w:val="left"/>
      <w:lvlText w:val="(%1)"/>
      <w:numFmt w:val="lowerLetter"/>
      <w:start w:val="5"/>
    </w:lvl>
  </w:abstractNum>
  <w:abstractNum w:abstractNumId="47">
    <w:nsid w:val="19E21BB2"/>
    <w:multiLevelType w:val="hybridMultilevel"/>
    <w:lvl w:ilvl="0">
      <w:lvlJc w:val="left"/>
      <w:lvlText w:val="(%1)"/>
      <w:numFmt w:val="lowerLetter"/>
      <w:start w:val="6"/>
    </w:lvl>
  </w:abstractNum>
  <w:abstractNum w:abstractNumId="48">
    <w:nsid w:val="75E0858A"/>
    <w:multiLevelType w:val="hybridMultilevel"/>
    <w:lvl w:ilvl="0">
      <w:lvlJc w:val="left"/>
      <w:lvlText w:val="(%1)"/>
      <w:numFmt w:val="lowerLetter"/>
      <w:start w:val="9"/>
    </w:lvl>
    <w:lvl w:ilvl="1">
      <w:lvlJc w:val="left"/>
      <w:lvlText w:val="(%2)"/>
      <w:numFmt w:val="upperLetter"/>
      <w:start w:val="2"/>
    </w:lvl>
  </w:abstractNum>
  <w:abstractNum w:abstractNumId="49">
    <w:nsid w:val="57A61A29"/>
    <w:multiLevelType w:val="hybridMultilevel"/>
    <w:lvl w:ilvl="0">
      <w:lvlJc w:val="left"/>
      <w:lvlText w:val="%1"/>
      <w:numFmt w:val="lowerLetter"/>
      <w:start w:val="1"/>
    </w:lvl>
    <w:lvl w:ilvl="1">
      <w:lvlJc w:val="left"/>
      <w:lvlText w:val="(%2)"/>
      <w:numFmt w:val="lowerLetter"/>
      <w:start w:val="11"/>
    </w:lvl>
  </w:abstractNum>
  <w:abstractNum w:abstractNumId="50">
    <w:nsid w:val="5399C654"/>
    <w:multiLevelType w:val="hybridMultilevel"/>
    <w:lvl w:ilvl="0">
      <w:lvlJc w:val="left"/>
      <w:lvlText w:val="(%1)"/>
      <w:numFmt w:val="lowerLetter"/>
      <w:start w:val="61"/>
    </w:lvl>
    <w:lvl w:ilvl="1">
      <w:lvlJc w:val="left"/>
      <w:lvlText w:val="(%2)"/>
      <w:numFmt w:val="lowerLetter"/>
      <w:start w:val="12"/>
    </w:lvl>
  </w:abstractNum>
  <w:abstractNum w:abstractNumId="51">
    <w:nsid w:val="20EE1348"/>
    <w:multiLevelType w:val="hybridMultilevel"/>
    <w:lvl w:ilvl="0">
      <w:lvlJc w:val="left"/>
      <w:lvlText w:val="(%1)"/>
      <w:numFmt w:val="lowerLetter"/>
      <w:start w:val="2"/>
    </w:lvl>
  </w:abstractNum>
  <w:abstractNum w:abstractNumId="52">
    <w:nsid w:val="4427069A"/>
    <w:multiLevelType w:val="hybridMultilevel"/>
    <w:lvl w:ilvl="0">
      <w:lvlJc w:val="left"/>
      <w:lvlText w:val="(%1)"/>
      <w:numFmt w:val="lowerLetter"/>
      <w:start w:val="2"/>
    </w:lvl>
  </w:abstractNum>
  <w:abstractNum w:abstractNumId="53">
    <w:nsid w:val="B37E80A"/>
    <w:multiLevelType w:val="hybridMultilevel"/>
    <w:lvl w:ilvl="0">
      <w:lvlJc w:val="left"/>
      <w:lvlText w:val="(%1)"/>
      <w:numFmt w:val="lowerRoman"/>
      <w:start w:val="1"/>
    </w:lvl>
  </w:abstractNum>
  <w:abstractNum w:abstractNumId="54">
    <w:nsid w:val="2157F6BC"/>
    <w:multiLevelType w:val="hybridMultilevel"/>
    <w:lvl w:ilvl="0">
      <w:lvlJc w:val="left"/>
      <w:lvlText w:val="(%1)"/>
      <w:numFmt w:val="lowerLetter"/>
      <w:start w:val="4"/>
    </w:lvl>
  </w:abstractNum>
  <w:abstractNum w:abstractNumId="55">
    <w:nsid w:val="704E1DD5"/>
    <w:multiLevelType w:val="hybridMultilevel"/>
    <w:lvl w:ilvl="0">
      <w:lvlJc w:val="left"/>
      <w:lvlText w:val="(%1)"/>
      <w:numFmt w:val="lowerLetter"/>
      <w:start w:val="2"/>
    </w:lvl>
  </w:abstractNum>
  <w:abstractNum w:abstractNumId="56">
    <w:nsid w:val="57D2F10E"/>
    <w:multiLevelType w:val="hybridMultilevel"/>
    <w:lvl w:ilvl="0">
      <w:lvlJc w:val="left"/>
      <w:lvlText w:val="(%1)"/>
      <w:numFmt w:val="lowerLetter"/>
      <w:start w:val="3"/>
    </w:lvl>
  </w:abstractNum>
  <w:abstractNum w:abstractNumId="57">
    <w:nsid w:val="BFFAE18"/>
    <w:multiLevelType w:val="hybridMultilevel"/>
    <w:lvl w:ilvl="0">
      <w:lvlJc w:val="left"/>
      <w:lvlText w:val="(%1)"/>
      <w:numFmt w:val="lowerLetter"/>
      <w:start w:val="2"/>
    </w:lvl>
  </w:abstractNum>
  <w:abstractNum w:abstractNumId="58">
    <w:nsid w:val="E3E47A8"/>
    <w:multiLevelType w:val="hybridMultilevel"/>
    <w:lvl w:ilvl="0">
      <w:lvlJc w:val="left"/>
      <w:lvlText w:val="%1"/>
      <w:numFmt w:val="lowerLetter"/>
      <w:start w:val="1"/>
    </w:lvl>
    <w:lvl w:ilvl="1">
      <w:lvlJc w:val="left"/>
      <w:lvlText w:val="(%2)"/>
      <w:numFmt w:val="lowerLetter"/>
      <w:start w:val="1"/>
    </w:lvl>
  </w:abstractNum>
  <w:abstractNum w:abstractNumId="59">
    <w:nsid w:val="2E48F044"/>
    <w:multiLevelType w:val="hybridMultilevel"/>
    <w:lvl w:ilvl="0">
      <w:lvlJc w:val="left"/>
      <w:lvlText w:val="(%1)"/>
      <w:numFmt w:val="lowerLetter"/>
      <w:start w:val="35"/>
    </w:lvl>
    <w:lvl w:ilvl="1">
      <w:lvlJc w:val="left"/>
      <w:lvlText w:val="(%2)"/>
      <w:numFmt w:val="lowerLetter"/>
      <w:start w:val="2"/>
    </w:lvl>
  </w:abstractNum>
  <w:abstractNum w:abstractNumId="60">
    <w:nsid w:val="49D0FEAC"/>
    <w:multiLevelType w:val="hybridMultilevel"/>
    <w:lvl w:ilvl="0">
      <w:lvlJc w:val="left"/>
      <w:lvlText w:val="(%1)"/>
      <w:numFmt w:val="lowerLetter"/>
      <w:start w:val="2"/>
    </w:lvl>
  </w:abstractNum>
  <w:abstractNum w:abstractNumId="61">
    <w:nsid w:val="4BEE5A5B"/>
    <w:multiLevelType w:val="hybridMultilevel"/>
    <w:lvl w:ilvl="0">
      <w:lvlJc w:val="left"/>
      <w:lvlText w:val="(%1)"/>
      <w:numFmt w:val="lowerLetter"/>
      <w:start w:val="2"/>
    </w:lvl>
  </w:abstractNum>
  <w:abstractNum w:abstractNumId="62">
    <w:nsid w:val="5551B9F3"/>
    <w:multiLevelType w:val="hybridMultilevel"/>
    <w:lvl w:ilvl="0">
      <w:lvlJc w:val="left"/>
      <w:lvlText w:val="(%1)"/>
      <w:numFmt w:val="lowerLetter"/>
      <w:start w:val="5"/>
    </w:lvl>
  </w:abstractNum>
  <w:abstractNum w:abstractNumId="63">
    <w:nsid w:val="24F6AB8E"/>
    <w:multiLevelType w:val="hybridMultilevel"/>
    <w:lvl w:ilvl="0">
      <w:lvlJc w:val="left"/>
      <w:lvlText w:val="(%1)"/>
      <w:numFmt w:val="lowerLetter"/>
      <w:start w:val="1"/>
    </w:lvl>
  </w:abstractNum>
  <w:abstractNum w:abstractNumId="64">
    <w:nsid w:val="634C574C"/>
    <w:multiLevelType w:val="hybridMultilevel"/>
    <w:lvl w:ilvl="0">
      <w:lvlJc w:val="left"/>
      <w:lvlText w:val="(%1)"/>
      <w:numFmt w:val="lowerRoman"/>
      <w:start w:val="1"/>
    </w:lvl>
  </w:abstractNum>
  <w:abstractNum w:abstractNumId="65">
    <w:nsid w:val="24E99DD7"/>
    <w:multiLevelType w:val="hybridMultilevel"/>
    <w:lvl w:ilvl="0">
      <w:lvlJc w:val="left"/>
      <w:lvlText w:val="(%1)"/>
      <w:numFmt w:val="lowerLetter"/>
      <w:start w:val="3"/>
    </w:lvl>
  </w:abstractNum>
  <w:abstractNum w:abstractNumId="66">
    <w:nsid w:val="2A31B62D"/>
    <w:multiLevelType w:val="hybridMultilevel"/>
    <w:lvl w:ilvl="0">
      <w:lvlJc w:val="left"/>
      <w:lvlText w:val="(%1)"/>
      <w:numFmt w:val="lowerRoman"/>
      <w:start w:val="1"/>
    </w:lvl>
  </w:abstractNum>
  <w:abstractNum w:abstractNumId="67">
    <w:nsid w:val="1849C29B"/>
    <w:multiLevelType w:val="hybridMultilevel"/>
    <w:lvl w:ilvl="0">
      <w:lvlJc w:val="left"/>
      <w:lvlText w:val="(%1)"/>
      <w:numFmt w:val="lowerLetter"/>
      <w:start w:val="2"/>
    </w:lvl>
  </w:abstractNum>
  <w:abstractNum w:abstractNumId="68">
    <w:nsid w:val="7DFF9D09"/>
    <w:multiLevelType w:val="hybridMultilevel"/>
    <w:lvl w:ilvl="0">
      <w:lvlJc w:val="left"/>
      <w:lvlText w:val="(%1)"/>
      <w:numFmt w:val="lowerLetter"/>
      <w:start w:val="2"/>
    </w:lvl>
  </w:abstractNum>
  <w:abstractNum w:abstractNumId="69">
    <w:nsid w:val="754342"/>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70">
    <w:nsid w:val="69E7F3E5"/>
    <w:multiLevelType w:val="hybridMultilevel"/>
    <w:lvl w:ilvl="0">
      <w:lvlJc w:val="left"/>
      <w:lvlText w:val="(%1)"/>
      <w:numFmt w:val="decimal"/>
      <w:start w:val="1"/>
    </w:lvl>
  </w:abstractNum>
  <w:abstractNum w:abstractNumId="71">
    <w:nsid w:val="2A6DE806"/>
    <w:multiLevelType w:val="hybridMultilevel"/>
    <w:lvl w:ilvl="0">
      <w:lvlJc w:val="left"/>
      <w:lvlText w:val="(%1)"/>
      <w:numFmt w:val="decimal"/>
      <w:start w:val="2"/>
    </w:lvl>
  </w:abstractNum>
  <w:abstractNum w:abstractNumId="72">
    <w:nsid w:val="1816F8C4"/>
    <w:multiLevelType w:val="hybridMultilevel"/>
    <w:lvl w:ilvl="0">
      <w:lvlJc w:val="left"/>
      <w:lvlText w:val="(%1)"/>
      <w:numFmt w:val="upperLetter"/>
      <w:start w:val="3"/>
    </w:lvl>
  </w:abstractNum>
  <w:abstractNum w:abstractNumId="73">
    <w:nsid w:val="37DF2233"/>
    <w:multiLevelType w:val="hybridMultilevel"/>
    <w:lvl w:ilvl="0">
      <w:lvlJc w:val="left"/>
      <w:lvlText w:val="(%1)"/>
      <w:numFmt w:val="lowerLetter"/>
      <w:start w:val="6"/>
    </w:lvl>
  </w:abstractNum>
  <w:abstractNum w:abstractNumId="74">
    <w:nsid w:val="7AB49DAF"/>
    <w:multiLevelType w:val="hybridMultilevel"/>
    <w:lvl w:ilvl="0">
      <w:lvlJc w:val="left"/>
      <w:lvlText w:val="(%1)"/>
      <w:numFmt w:val="lowerLetter"/>
      <w:start w:val="1"/>
    </w:lvl>
  </w:abstractNum>
  <w:abstractNum w:abstractNumId="75">
    <w:nsid w:val="759F82CD"/>
    <w:multiLevelType w:val="hybridMultilevel"/>
    <w:lvl w:ilvl="0">
      <w:lvlJc w:val="left"/>
      <w:lvlText w:val="(%1)"/>
      <w:numFmt w:val="lowerLetter"/>
      <w:start w:val="4"/>
    </w:lvl>
  </w:abstractNum>
  <w:abstractNum w:abstractNumId="76">
    <w:nsid w:val="61E74EA3"/>
    <w:multiLevelType w:val="hybridMultilevel"/>
    <w:lvl w:ilvl="0">
      <w:lvlJc w:val="left"/>
      <w:lvlText w:val="(%1)"/>
      <w:numFmt w:val="lowerLetter"/>
      <w:start w:val="2"/>
    </w:lvl>
  </w:abstractNum>
  <w:abstractNum w:abstractNumId="77">
    <w:nsid w:val="597B4D84"/>
    <w:multiLevelType w:val="hybridMultilevel"/>
    <w:lvl w:ilvl="0">
      <w:lvlJc w:val="left"/>
      <w:lvlText w:val="(%1)"/>
      <w:numFmt w:val="lowerRoman"/>
      <w:start w:val="1"/>
    </w:lvl>
  </w:abstractNum>
  <w:abstractNum w:abstractNumId="78">
    <w:nsid w:val="F819E7F"/>
    <w:multiLevelType w:val="hybridMultilevel"/>
    <w:lvl w:ilvl="0">
      <w:lvlJc w:val="left"/>
      <w:lvlText w:val="(%1)"/>
      <w:numFmt w:val="lowerRoman"/>
      <w:start w:val="1"/>
    </w:lvl>
  </w:abstractNum>
  <w:abstractNum w:abstractNumId="79">
    <w:nsid w:val="57C7D42D"/>
    <w:multiLevelType w:val="hybridMultilevel"/>
    <w:lvl w:ilvl="0">
      <w:lvlJc w:val="left"/>
      <w:lvlText w:val="(%1)"/>
      <w:numFmt w:val="lowerLetter"/>
      <w:start w:val="1"/>
    </w:lvl>
  </w:abstractNum>
  <w:abstractNum w:abstractNumId="80">
    <w:nsid w:val="312167AD"/>
    <w:multiLevelType w:val="hybridMultilevel"/>
    <w:lvl w:ilvl="0">
      <w:lvlJc w:val="left"/>
      <w:lvlText w:val="(%1)"/>
      <w:numFmt w:val="lowerRoman"/>
      <w:start w:val="1"/>
    </w:lvl>
  </w:abstractNum>
  <w:abstractNum w:abstractNumId="81">
    <w:nsid w:val="631B64D4"/>
    <w:multiLevelType w:val="hybridMultilevel"/>
    <w:lvl w:ilvl="0">
      <w:lvlJc w:val="left"/>
      <w:lvlText w:val="(%1)"/>
      <w:numFmt w:val="lowerLetter"/>
      <w:start w:val="4"/>
    </w:lvl>
  </w:abstractNum>
  <w:abstractNum w:abstractNumId="82">
    <w:nsid w:val="78B5E776"/>
    <w:multiLevelType w:val="hybridMultilevel"/>
    <w:lvl w:ilvl="0">
      <w:lvlJc w:val="left"/>
      <w:lvlText w:val="(%1)"/>
      <w:numFmt w:val="lowerLetter"/>
      <w:start w:val="2"/>
    </w:lvl>
  </w:abstractNum>
  <w:abstractNum w:abstractNumId="83">
    <w:nsid w:val="75486E47"/>
    <w:multiLevelType w:val="hybridMultilevel"/>
    <w:lvl w:ilvl="0">
      <w:lvlJc w:val="left"/>
      <w:lvlText w:val="(%1)"/>
      <w:numFmt w:val="lowerLetter"/>
      <w:start w:val="2"/>
    </w:lvl>
  </w:abstractNum>
  <w:abstractNum w:abstractNumId="84">
    <w:nsid w:val="6E534CDE"/>
    <w:multiLevelType w:val="hybridMultilevel"/>
    <w:lvl w:ilvl="0">
      <w:lvlJc w:val="left"/>
      <w:lvlText w:val="(%1)"/>
      <w:numFmt w:val="lowerLetter"/>
      <w:start w:val="2"/>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1)"/>
      <w:numFmt w:val="lowerLetter"/>
      <w:start w:val="2"/>
    </w:lvl>
  </w:abstractNum>
  <w:abstractNum w:abstractNumId="87">
    <w:nsid w:val="46263DEC"/>
    <w:multiLevelType w:val="hybridMultilevel"/>
    <w:lvl w:ilvl="0">
      <w:lvlJc w:val="left"/>
      <w:lvlText w:val="(%1)"/>
      <w:numFmt w:val="lowerLetter"/>
      <w:start w:val="1"/>
    </w:lvl>
  </w:abstractNum>
  <w:abstractNum w:abstractNumId="88">
    <w:nsid w:val="260D8C4A"/>
    <w:multiLevelType w:val="hybridMultilevel"/>
    <w:lvl w:ilvl="0">
      <w:lvlJc w:val="left"/>
      <w:lvlText w:val="(%1)"/>
      <w:numFmt w:val="lowerLetter"/>
      <w:start w:val="3"/>
    </w:lvl>
  </w:abstractNum>
  <w:abstractNum w:abstractNumId="89">
    <w:nsid w:val="73D4D3C4"/>
    <w:multiLevelType w:val="hybridMultilevel"/>
    <w:lvl w:ilvl="0">
      <w:lvlJc w:val="left"/>
      <w:lvlText w:val="(%1)"/>
      <w:numFmt w:val="lowerLetter"/>
      <w:start w:val="1"/>
    </w:lvl>
  </w:abstractNum>
  <w:abstractNum w:abstractNumId="90">
    <w:nsid w:val="746F2E30"/>
    <w:multiLevelType w:val="hybridMultilevel"/>
    <w:lvl w:ilvl="0">
      <w:lvlJc w:val="left"/>
      <w:lvlText w:val="%1"/>
      <w:numFmt w:val="lowerLetter"/>
      <w:start w:val="1"/>
    </w:lvl>
    <w:lvl w:ilvl="1">
      <w:lvlJc w:val="left"/>
      <w:lvlText w:val="(%2)"/>
      <w:numFmt w:val="lowerLetter"/>
      <w:start w:val="1"/>
    </w:lvl>
  </w:abstractNum>
  <w:abstractNum w:abstractNumId="91">
    <w:nsid w:val="6FDE8AF6"/>
    <w:multiLevelType w:val="hybridMultilevel"/>
    <w:lvl w:ilvl="0">
      <w:lvlJc w:val="left"/>
      <w:lvlText w:val="(%1)"/>
      <w:numFmt w:val="lowerLetter"/>
      <w:start w:val="9"/>
    </w:lvl>
    <w:lvl w:ilvl="1">
      <w:lvlJc w:val="left"/>
      <w:lvlText w:val="(%2)"/>
      <w:numFmt w:val="lowerLetter"/>
      <w:start w:val="4"/>
    </w:lvl>
  </w:abstractNum>
  <w:abstractNum w:abstractNumId="92">
    <w:nsid w:val="3FC32E20"/>
    <w:multiLevelType w:val="hybridMultilevel"/>
    <w:lvl w:ilvl="0">
      <w:lvlJc w:val="left"/>
      <w:lvlText w:val="(%1)"/>
      <w:numFmt w:val="lowerLetter"/>
      <w:start w:val="1"/>
    </w:lvl>
  </w:abstractNum>
  <w:abstractNum w:abstractNumId="93">
    <w:nsid w:val="49C0E823"/>
    <w:multiLevelType w:val="hybridMultilevel"/>
    <w:lvl w:ilvl="0">
      <w:lvlJc w:val="left"/>
      <w:lvlText w:val="(%1)"/>
      <w:numFmt w:val="lowerLetter"/>
      <w:start w:val="1"/>
    </w:lvl>
  </w:abstractNum>
  <w:abstractNum w:abstractNumId="94">
    <w:nsid w:val="14D53685"/>
    <w:multiLevelType w:val="hybridMultilevel"/>
    <w:lvl w:ilvl="0">
      <w:lvlJc w:val="left"/>
      <w:lvlText w:val="(%1)"/>
      <w:numFmt w:val="lowerLetter"/>
      <w:start w:val="1"/>
    </w:lvl>
  </w:abstractNum>
  <w:abstractNum w:abstractNumId="95">
    <w:nsid w:val="230F856C"/>
    <w:multiLevelType w:val="hybridMultilevel"/>
    <w:lvl w:ilvl="0">
      <w:lvlJc w:val="left"/>
      <w:lvlText w:val="(%1)"/>
      <w:numFmt w:val="lowerLetter"/>
      <w:start w:val="3"/>
    </w:lvl>
  </w:abstractNum>
  <w:abstractNum w:abstractNumId="96">
    <w:nsid w:val="6EAA85FB"/>
    <w:multiLevelType w:val="hybridMultilevel"/>
    <w:lvl w:ilvl="0">
      <w:lvlJc w:val="left"/>
      <w:lvlText w:val="(%1)"/>
      <w:numFmt w:val="lowerLetter"/>
      <w:start w:val="1"/>
    </w:lvl>
  </w:abstractNum>
  <w:abstractNum w:abstractNumId="97">
    <w:nsid w:val="3F06ECB2"/>
    <w:multiLevelType w:val="hybridMultilevel"/>
    <w:lvl w:ilvl="0">
      <w:lvlJc w:val="left"/>
      <w:lvlText w:val="(%1)"/>
      <w:numFmt w:val="lowerLetter"/>
      <w:start w:val="4"/>
    </w:lvl>
  </w:abstractNum>
  <w:abstractNum w:abstractNumId="98">
    <w:nsid w:val="3B594807"/>
    <w:multiLevelType w:val="hybridMultilevel"/>
    <w:lvl w:ilvl="0">
      <w:lvlJc w:val="left"/>
      <w:lvlText w:val="(%1)"/>
      <w:numFmt w:val="lowerLetter"/>
      <w:start w:val="15"/>
    </w:lvl>
  </w:abstractNum>
  <w:abstractNum w:abstractNumId="99">
    <w:nsid w:val="6CAA2304"/>
    <w:multiLevelType w:val="hybridMultilevel"/>
    <w:lvl w:ilvl="0">
      <w:lvlJc w:val="left"/>
      <w:lvlText w:val="(%1)"/>
      <w:numFmt w:val="lowerLetter"/>
      <w:start w:val="1"/>
    </w:lvl>
    <w:lvl w:ilvl="1">
      <w:lvlJc w:val="left"/>
      <w:lvlText w:val="(%2)"/>
      <w:numFmt w:val="lowerLetter"/>
      <w:start w:val="2"/>
    </w:lvl>
  </w:abstractNum>
  <w:abstractNum w:abstractNumId="100">
    <w:nsid w:val="3F7C2FF4"/>
    <w:multiLevelType w:val="hybridMultilevel"/>
    <w:lvl w:ilvl="0">
      <w:lvlJc w:val="left"/>
      <w:lvlText w:val="(%1)"/>
      <w:numFmt w:val="lowerLetter"/>
      <w:start w:val="8"/>
    </w:lvl>
  </w:abstractNum>
  <w:abstractNum w:abstractNumId="101">
    <w:nsid w:val="25413BEC"/>
    <w:multiLevelType w:val="hybridMultilevel"/>
    <w:lvl w:ilvl="0">
      <w:lvlJc w:val="left"/>
      <w:lvlText w:val="(%1)"/>
      <w:numFmt w:val="lowerLetter"/>
      <w:start w:val="2"/>
    </w:lvl>
  </w:abstractNum>
  <w:abstractNum w:abstractNumId="102">
    <w:nsid w:val="17180B0B"/>
    <w:multiLevelType w:val="hybridMultilevel"/>
    <w:lvl w:ilvl="0">
      <w:lvlJc w:val="left"/>
      <w:lvlText w:val="(%1)"/>
      <w:numFmt w:val="lowerLetter"/>
      <w:start w:val="1"/>
    </w:lvl>
  </w:abstractNum>
  <w:abstractNum w:abstractNumId="103">
    <w:nsid w:val="579328B9"/>
    <w:multiLevelType w:val="hybridMultilevel"/>
    <w:lvl w:ilvl="0">
      <w:lvlJc w:val="left"/>
      <w:lvlText w:val="(%1)"/>
      <w:numFmt w:val="lowerLetter"/>
      <w:start w:val="2"/>
    </w:lvl>
  </w:abstractNum>
  <w:abstractNum w:abstractNumId="104">
    <w:nsid w:val="5D205E20"/>
    <w:multiLevelType w:val="hybridMultilevel"/>
    <w:lvl w:ilvl="0">
      <w:lvlJc w:val="left"/>
      <w:lvlText w:val="(%1)"/>
      <w:numFmt w:val="lowerLetter"/>
      <w:start w:val="1"/>
    </w:lvl>
  </w:abstractNum>
  <w:abstractNum w:abstractNumId="105">
    <w:nsid w:val="11CCA8BA"/>
    <w:multiLevelType w:val="hybridMultilevel"/>
    <w:lvl w:ilvl="0">
      <w:lvlJc w:val="left"/>
      <w:lvlText w:val="(%1)"/>
      <w:numFmt w:val="lowerLetter"/>
      <w:start w:val="1"/>
    </w:lvl>
  </w:abstractNum>
  <w:abstractNum w:abstractNumId="106">
    <w:nsid w:val="4D32AB86"/>
    <w:multiLevelType w:val="hybridMultilevel"/>
    <w:lvl w:ilvl="0">
      <w:lvlJc w:val="left"/>
      <w:lvlText w:val="(%1)"/>
      <w:numFmt w:val="lowerLetter"/>
      <w:start w:val="2"/>
    </w:lvl>
  </w:abstractNum>
  <w:abstractNum w:abstractNumId="107">
    <w:nsid w:val="3F07ACC3"/>
    <w:multiLevelType w:val="hybridMultilevel"/>
    <w:lvl w:ilvl="0">
      <w:lvlJc w:val="left"/>
      <w:lvlText w:val="(%1)"/>
      <w:numFmt w:val="lowerLetter"/>
      <w:start w:val="9"/>
    </w:lvl>
  </w:abstractNum>
  <w:abstractNum w:abstractNumId="108">
    <w:nsid w:val="6B47F63E"/>
    <w:multiLevelType w:val="hybridMultilevel"/>
    <w:lvl w:ilvl="0">
      <w:lvlJc w:val="left"/>
      <w:lvlText w:val="(%1)"/>
      <w:numFmt w:val="lowerLetter"/>
      <w:start w:val="1"/>
    </w:lvl>
  </w:abstractNum>
  <w:abstractNum w:abstractNumId="109">
    <w:nsid w:val="5CB44A05"/>
    <w:multiLevelType w:val="hybridMultilevel"/>
    <w:lvl w:ilvl="0">
      <w:lvlJc w:val="left"/>
      <w:lvlText w:val="(%1)"/>
      <w:numFmt w:val="lowerLetter"/>
      <w:start w:val="3"/>
    </w:lvl>
    <w:lvl w:ilvl="1">
      <w:lvlJc w:val="left"/>
      <w:lvlText w:val="(%2)"/>
      <w:numFmt w:val="lowerRoman"/>
      <w:start w:val="1"/>
    </w:lvl>
  </w:abstractNum>
  <w:abstractNum w:abstractNumId="110">
    <w:nsid w:val="16CF80F1"/>
    <w:multiLevelType w:val="hybridMultilevel"/>
    <w:lvl w:ilvl="0">
      <w:lvlJc w:val="left"/>
      <w:lvlText w:val="(%1)"/>
      <w:numFmt w:val="lowerLetter"/>
      <w:start w:val="7"/>
    </w:lvl>
  </w:abstractNum>
  <w:abstractNum w:abstractNumId="111">
    <w:nsid w:val="1C695DEC"/>
    <w:multiLevelType w:val="hybridMultilevel"/>
    <w:lvl w:ilvl="0">
      <w:lvlJc w:val="left"/>
      <w:lvlText w:val="(%1)"/>
      <w:numFmt w:val="lowerLetter"/>
      <w:start w:val="1"/>
    </w:lvl>
  </w:abstractNum>
  <w:abstractNum w:abstractNumId="112">
    <w:nsid w:val="3FCFAED9"/>
    <w:multiLevelType w:val="hybridMultilevel"/>
    <w:lvl w:ilvl="0">
      <w:lvlJc w:val="left"/>
      <w:lvlText w:val="(%1)"/>
      <w:numFmt w:val="lowerLetter"/>
      <w:start w:val="3"/>
    </w:lvl>
  </w:abstractNum>
  <w:abstractNum w:abstractNumId="113">
    <w:nsid w:val="F856867"/>
    <w:multiLevelType w:val="hybridMultilevel"/>
    <w:lvl w:ilvl="0">
      <w:lvlJc w:val="left"/>
      <w:lvlText w:val="(%1)"/>
      <w:numFmt w:val="lowerLetter"/>
      <w:start w:val="1"/>
    </w:lvl>
  </w:abstractNum>
  <w:abstractNum w:abstractNumId="114">
    <w:nsid w:val="11B1CC33"/>
    <w:multiLevelType w:val="hybridMultilevel"/>
    <w:lvl w:ilvl="0">
      <w:lvlJc w:val="left"/>
      <w:lvlText w:val="(%1)"/>
      <w:numFmt w:val="lowerLetter"/>
      <w:start w:val="3"/>
    </w:lvl>
  </w:abstractNum>
  <w:abstractNum w:abstractNumId="115">
    <w:nsid w:val="2E22FBB7"/>
    <w:multiLevelType w:val="hybridMultilevel"/>
    <w:lvl w:ilvl="0">
      <w:lvlJc w:val="left"/>
      <w:lvlText w:val="(%1)"/>
      <w:numFmt w:val="lowerLetter"/>
      <w:start w:val="1"/>
    </w:lvl>
  </w:abstractNum>
  <w:abstractNum w:abstractNumId="116">
    <w:nsid w:val="29934699"/>
    <w:multiLevelType w:val="hybridMultilevel"/>
    <w:lvl w:ilvl="0">
      <w:lvlJc w:val="left"/>
      <w:lvlText w:val="(%1)"/>
      <w:numFmt w:val="lowerLetter"/>
      <w:start w:val="1"/>
    </w:lvl>
  </w:abstractNum>
  <w:abstractNum w:abstractNumId="117">
    <w:nsid w:val="77485850"/>
    <w:multiLevelType w:val="hybridMultilevel"/>
    <w:lvl w:ilvl="0">
      <w:lvlJc w:val="left"/>
      <w:lvlText w:val="(%1)"/>
      <w:numFmt w:val="lowerLetter"/>
      <w:start w:val="1"/>
    </w:lvl>
  </w:abstractNum>
  <w:abstractNum w:abstractNumId="118">
    <w:nsid w:val="744939A3"/>
    <w:multiLevelType w:val="hybridMultilevel"/>
    <w:lvl w:ilvl="0">
      <w:lvlJc w:val="left"/>
      <w:lvlText w:val="(%1)"/>
      <w:numFmt w:val="lowerLetter"/>
      <w:start w:val="5"/>
    </w:lvl>
  </w:abstractNum>
  <w:abstractNum w:abstractNumId="119">
    <w:nsid w:val="4FA0D2E3"/>
    <w:multiLevelType w:val="hybridMultilevel"/>
    <w:lvl w:ilvl="0">
      <w:lvlJc w:val="left"/>
      <w:lvlText w:val="(%1)"/>
      <w:numFmt w:val="lowerRoman"/>
      <w:start w:val="2"/>
    </w:lvl>
  </w:abstractNum>
  <w:abstractNum w:abstractNumId="120">
    <w:nsid w:val="6B1D2C1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1">
    <w:nsid w:val="68B867D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4"/>
    </w:lvl>
  </w:abstractNum>
  <w:abstractNum w:abstractNumId="122">
    <w:nsid w:val="3F7F5DD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3">
    <w:nsid w:val="2AE05A34"/>
    <w:multiLevelType w:val="hybridMultilevel"/>
    <w:lvl w:ilvl="0">
      <w:lvlJc w:val="left"/>
      <w:lvlText w:val="(%1)"/>
      <w:numFmt w:val="lowerRoman"/>
      <w:start w:val="4"/>
    </w:lvl>
  </w:abstractNum>
  <w:abstractNum w:abstractNumId="124">
    <w:nsid w:val="32794FF7"/>
    <w:multiLevelType w:val="hybridMultilevel"/>
    <w:lvl w:ilvl="0">
      <w:lvlJc w:val="left"/>
      <w:lvlText w:val="%1"/>
      <w:numFmt w:val="decimal"/>
      <w:start w:val="1"/>
    </w:lvl>
    <w:lvl w:ilvl="1">
      <w:lvlJc w:val="left"/>
      <w:lvlText w:val="(%2)"/>
      <w:numFmt w:val="lowerRoman"/>
      <w:start w:val="1"/>
    </w:lvl>
  </w:abstractNum>
  <w:abstractNum w:abstractNumId="125">
    <w:nsid w:val="5454945E"/>
    <w:multiLevelType w:val="hybridMultilevel"/>
    <w:lvl w:ilvl="0">
      <w:lvlJc w:val="left"/>
      <w:lvlText w:val="(%1)"/>
      <w:numFmt w:val="decimal"/>
      <w:start w:val="203"/>
    </w:lvl>
    <w:lvl w:ilvl="1">
      <w:lvlJc w:val="left"/>
      <w:lvlText w:val="%2"/>
      <w:numFmt w:val="lowerRoman"/>
      <w:start w:val="1"/>
    </w:lvl>
  </w:abstractNum>
  <w:abstractNum w:abstractNumId="126">
    <w:nsid w:val="4DEFDFA0"/>
    <w:multiLevelType w:val="hybridMultilevel"/>
    <w:lvl w:ilvl="0">
      <w:lvlJc w:val="left"/>
      <w:lvlText w:val="(%1)"/>
      <w:numFmt w:val="decimal"/>
      <w:start w:val="203"/>
    </w:lvl>
    <w:lvl w:ilvl="1">
      <w:lvlJc w:val="left"/>
      <w:lvlText w:val="(%2)"/>
      <w:numFmt w:val="lowerRoman"/>
      <w:start w:val="2"/>
    </w:lvl>
  </w:abstractNum>
  <w:abstractNum w:abstractNumId="127">
    <w:nsid w:val="2123D5F2"/>
    <w:multiLevelType w:val="hybridMultilevel"/>
    <w:lvl w:ilvl="0">
      <w:lvlJc w:val="left"/>
      <w:lvlText w:val="(%1)"/>
      <w:numFmt w:val="lowerRoman"/>
      <w:start w:val="4"/>
    </w:lvl>
  </w:abstractNum>
  <w:abstractNum w:abstractNumId="128">
    <w:nsid w:val="135B8110"/>
    <w:multiLevelType w:val="hybridMultilevel"/>
    <w:lvl w:ilvl="0">
      <w:lvlJc w:val="left"/>
      <w:lvlText w:val="(%1)"/>
      <w:numFmt w:val="lowerLetter"/>
      <w:start w:val="2"/>
    </w:lvl>
  </w:abstractNum>
  <w:abstractNum w:abstractNumId="129">
    <w:nsid w:val="94927A8"/>
    <w:multiLevelType w:val="hybridMultilevel"/>
    <w:lvl w:ilvl="0">
      <w:lvlJc w:val="left"/>
      <w:lvlText w:val="(%1)"/>
      <w:numFmt w:val="lowerLetter"/>
      <w:start w:val="2"/>
    </w:lvl>
  </w:abstractNum>
  <w:abstractNum w:abstractNumId="130">
    <w:nsid w:val="DCDF8F6"/>
    <w:multiLevelType w:val="hybridMultilevel"/>
    <w:lvl w:ilvl="0">
      <w:lvlJc w:val="left"/>
      <w:lvlText w:val="%1"/>
      <w:numFmt w:val="lowerLetter"/>
      <w:start w:val="1"/>
    </w:lvl>
    <w:lvl w:ilvl="1">
      <w:lvlJc w:val="left"/>
      <w:lvlText w:val="(%2)"/>
      <w:numFmt w:val="lowerLetter"/>
      <w:start w:val="4"/>
    </w:lvl>
  </w:abstractNum>
  <w:abstractNum w:abstractNumId="131">
    <w:nsid w:val="52D7B105"/>
    <w:multiLevelType w:val="hybridMultilevel"/>
    <w:lvl w:ilvl="0">
      <w:lvlJc w:val="left"/>
      <w:lvlText w:val="(%1)"/>
      <w:numFmt w:val="lowerLetter"/>
      <w:start w:val="1"/>
    </w:lvl>
    <w:lvl w:ilvl="1">
      <w:lvlJc w:val="left"/>
      <w:lvlText w:val="(%2)"/>
      <w:numFmt w:val="lowerLetter"/>
      <w:start w:val="6"/>
    </w:lvl>
  </w:abstractNum>
  <w:abstractNum w:abstractNumId="132">
    <w:nsid w:val="2E8A6394"/>
    <w:multiLevelType w:val="hybridMultilevel"/>
    <w:lvl w:ilvl="0">
      <w:lvlJc w:val="left"/>
      <w:lvlText w:val="%1"/>
      <w:numFmt w:val="lowerLetter"/>
      <w:start w:val="1"/>
    </w:lvl>
    <w:lvl w:ilvl="1">
      <w:lvlJc w:val="left"/>
      <w:lvlText w:val="(%2)"/>
      <w:numFmt w:val="lowerLetter"/>
      <w:start w:val="2"/>
    </w:lvl>
  </w:abstractNum>
  <w:abstractNum w:abstractNumId="133">
    <w:nsid w:val="24E60401"/>
    <w:multiLevelType w:val="hybridMultilevel"/>
    <w:lvl w:ilvl="0">
      <w:lvlJc w:val="left"/>
      <w:lvlText w:val="(%1)"/>
      <w:numFmt w:val="lowerLetter"/>
      <w:start w:val="9"/>
    </w:lvl>
    <w:lvl w:ilvl="1">
      <w:lvlJc w:val="left"/>
      <w:lvlText w:val="%2"/>
      <w:numFmt w:val="lowerLetter"/>
      <w:start w:val="1"/>
    </w:lvl>
  </w:abstractNum>
  <w:abstractNum w:abstractNumId="134">
    <w:nsid w:val="2A6AD9BE"/>
    <w:multiLevelType w:val="hybridMultilevel"/>
    <w:lvl w:ilvl="0">
      <w:lvlJc w:val="left"/>
      <w:lvlText w:val="%1"/>
      <w:numFmt w:val="lowerRoman"/>
      <w:start w:val="1"/>
    </w:lvl>
    <w:lvl w:ilvl="1">
      <w:lvlJc w:val="left"/>
      <w:lvlText w:val="(%2)"/>
      <w:numFmt w:val="upperLetter"/>
      <w:start w:val="1"/>
    </w:lvl>
  </w:abstractNum>
  <w:abstractNum w:abstractNumId="135">
    <w:nsid w:val="BAAC1B4"/>
    <w:multiLevelType w:val="hybridMultilevel"/>
    <w:lvl w:ilvl="0">
      <w:lvlJc w:val="left"/>
      <w:lvlText w:val="(%1)"/>
      <w:numFmt w:val="lowerRoman"/>
      <w:start w:val="2"/>
    </w:lvl>
    <w:lvl w:ilvl="1">
      <w:lvlJc w:val="left"/>
      <w:lvlText w:val="(%2)"/>
      <w:numFmt w:val="upperLetter"/>
      <w:start w:val="1"/>
    </w:lvl>
  </w:abstractNum>
  <w:abstractNum w:abstractNumId="136">
    <w:nsid w:val="36B2ACBC"/>
    <w:multiLevelType w:val="hybridMultilevel"/>
    <w:lvl w:ilvl="0">
      <w:lvlJc w:val="left"/>
      <w:lvlText w:val="(%1)"/>
      <w:numFmt w:val="upperLetter"/>
      <w:start w:val="2"/>
    </w:lvl>
  </w:abstractNum>
  <w:abstractNum w:abstractNumId="137">
    <w:nsid w:val="779D8544"/>
    <w:multiLevelType w:val="hybridMultilevel"/>
    <w:lvl w:ilvl="0">
      <w:lvlJc w:val="left"/>
      <w:lvlText w:val="(%1)"/>
      <w:numFmt w:val="lowerRoman"/>
      <w:start w:val="3"/>
    </w:lvl>
  </w:abstractNum>
  <w:abstractNum w:abstractNumId="138">
    <w:nsid w:val="4AB26E78"/>
    <w:multiLevelType w:val="hybridMultilevel"/>
    <w:lvl w:ilvl="0">
      <w:lvlJc w:val="left"/>
      <w:lvlText w:val="(%1)"/>
      <w:numFmt w:val="lowerRoman"/>
      <w:start w:val="4"/>
    </w:lvl>
  </w:abstractNum>
  <w:abstractNum w:abstractNumId="139">
    <w:nsid w:val="21FAA2FA"/>
    <w:multiLevelType w:val="hybridMultilevel"/>
    <w:lvl w:ilvl="0">
      <w:lvlJc w:val="left"/>
      <w:lvlText w:val="(%1)"/>
      <w:numFmt w:val="lowerLetter"/>
      <w:start w:val="3"/>
    </w:lvl>
  </w:abstractNum>
  <w:abstractNum w:abstractNumId="140">
    <w:nsid w:val="5451CF49"/>
    <w:multiLevelType w:val="hybridMultilevel"/>
    <w:lvl w:ilvl="0">
      <w:lvlJc w:val="left"/>
      <w:lvlText w:val="(%1)"/>
      <w:numFmt w:val="lowerRoman"/>
      <w:start w:val="2"/>
    </w:lvl>
  </w:abstractNum>
  <w:abstractNum w:abstractNumId="141">
    <w:nsid w:val="6181EF69"/>
    <w:multiLevelType w:val="hybridMultilevel"/>
    <w:lvl w:ilvl="0">
      <w:lvlJc w:val="left"/>
      <w:lvlText w:val="(%1)"/>
      <w:numFmt w:val="lowerLetter"/>
      <w:start w:val="4"/>
    </w:lvl>
  </w:abstractNum>
  <w:abstractNum w:abstractNumId="142">
    <w:nsid w:val="3E6400E6"/>
    <w:multiLevelType w:val="hybridMultilevel"/>
    <w:lvl w:ilvl="0">
      <w:lvlJc w:val="left"/>
      <w:lvlText w:val="(%1)"/>
      <w:numFmt w:val="lowerLetter"/>
      <w:start w:val="2"/>
    </w:lvl>
  </w:abstractNum>
  <w:abstractNum w:abstractNumId="143">
    <w:nsid w:val="14217E23"/>
    <w:multiLevelType w:val="hybridMultilevel"/>
    <w:lvl w:ilvl="0">
      <w:lvlJc w:val="left"/>
      <w:lvlText w:val="(%1)"/>
      <w:numFmt w:val="lowerLetter"/>
      <w:start w:val="3"/>
    </w:lvl>
  </w:abstractNum>
  <w:abstractNum w:abstractNumId="144">
    <w:nsid w:val="710757D0"/>
    <w:multiLevelType w:val="hybridMultilevel"/>
    <w:lvl w:ilvl="0">
      <w:lvlJc w:val="left"/>
      <w:lvlText w:val="(%1)"/>
      <w:numFmt w:val="lowerLetter"/>
      <w:start w:val="1"/>
    </w:lvl>
  </w:abstractNum>
  <w:abstractNum w:abstractNumId="145">
    <w:nsid w:val="5015CD1A"/>
    <w:multiLevelType w:val="hybridMultilevel"/>
    <w:lvl w:ilvl="0">
      <w:lvlJc w:val="left"/>
      <w:lvlText w:val="(%1)"/>
      <w:numFmt w:val="lowerLetter"/>
      <w:start w:val="1"/>
    </w:lvl>
    <w:lvl w:ilvl="1">
      <w:lvlJc w:val="left"/>
      <w:lvlText w:val="(%2)"/>
      <w:numFmt w:val="lowerRoman"/>
      <w:start w:val="1"/>
    </w:lvl>
  </w:abstractNum>
  <w:abstractNum w:abstractNumId="146">
    <w:nsid w:val="424479DA"/>
    <w:multiLevelType w:val="hybridMultilevel"/>
    <w:lvl w:ilvl="0">
      <w:lvlJc w:val="left"/>
      <w:lvlText w:val="%1."/>
      <w:numFmt w:val="decimal"/>
      <w:start w:val="1"/>
    </w:lvl>
  </w:abstractNum>
  <w:abstractNum w:abstractNumId="147">
    <w:nsid w:val="1A9A9E69"/>
    <w:multiLevelType w:val="hybridMultilevel"/>
    <w:lvl w:ilvl="0">
      <w:lvlJc w:val="left"/>
      <w:lvlText w:val="(%1)"/>
      <w:numFmt w:val="lowerRoman"/>
      <w:start w:val="1"/>
    </w:lvl>
    <w:lvl w:ilvl="1">
      <w:lvlJc w:val="left"/>
      <w:lvlText w:val="(%2)"/>
      <w:numFmt w:val="lowerLetter"/>
      <w:start w:val="25"/>
    </w:lvl>
  </w:abstractNum>
  <w:abstractNum w:abstractNumId="148">
    <w:nsid w:val="475E256A"/>
    <w:multiLevelType w:val="hybridMultilevel"/>
    <w:lvl w:ilvl="0">
      <w:lvlJc w:val="left"/>
      <w:lvlText w:val="%1."/>
      <w:numFmt w:val="upperLetter"/>
      <w:start w:val="1"/>
    </w:lvl>
  </w:abstractNum>
  <w:abstractNum w:abstractNumId="149">
    <w:nsid w:val="368DB37E"/>
    <w:multiLevelType w:val="hybridMultilevel"/>
    <w:lvl w:ilvl="0">
      <w:lvlJc w:val="left"/>
      <w:lvlText w:val="%1."/>
      <w:numFmt w:val="upperLetter"/>
      <w:start w:val="3"/>
    </w:lvl>
  </w:abstractNum>
  <w:abstractNum w:abstractNumId="150">
    <w:nsid w:val="6A3B714C"/>
    <w:multiLevelType w:val="hybridMultilevel"/>
    <w:lvl w:ilvl="0">
      <w:lvlJc w:val="left"/>
      <w:lvlText w:val="%1."/>
      <w:numFmt w:val="upperLetter"/>
      <w:start w:val="9"/>
    </w:lvl>
  </w:abstractNum>
  <w:abstractNum w:abstractNumId="151">
    <w:nsid w:val="327B517E"/>
    <w:multiLevelType w:val="hybridMultilevel"/>
    <w:lvl w:ilvl="0">
      <w:lvlJc w:val="left"/>
      <w:lvlText w:val="%1."/>
      <w:numFmt w:val="upperLetter"/>
      <w:start w:val="2"/>
    </w:lvl>
    <w:lvl w:ilvl="1">
      <w:lvlJc w:val="left"/>
      <w:lvlText w:val="%2"/>
      <w:numFmt w:val="upperLetter"/>
      <w:start w:val="1"/>
    </w:lvl>
    <w:lvl w:ilvl="2">
      <w:lvlJc w:val="left"/>
      <w:lvlText w:val="%3."/>
      <w:numFmt w:val="upperLetter"/>
      <w:start w:val="35"/>
    </w:lvl>
  </w:abstractNum>
  <w:abstractNum w:abstractNumId="152">
    <w:nsid w:val="1F461B51"/>
    <w:multiLevelType w:val="hybridMultilevel"/>
    <w:lvl w:ilvl="0">
      <w:lvlJc w:val="left"/>
      <w:lvlText w:val="●"/>
      <w:numFmt w:val="bullet"/>
      <w:start w:val="1"/>
    </w:lvl>
    <w:lvl w:ilvl="1">
      <w:lvlJc w:val="left"/>
      <w:lvlText w:val="%2"/>
      <w:numFmt w:val="upperLetter"/>
      <w:start w:val="1"/>
    </w:lvl>
  </w:abstractNum>
  <w:abstractNum w:abstractNumId="153">
    <w:nsid w:val="29BACF25"/>
    <w:multiLevelType w:val="hybridMultilevel"/>
    <w:lvl w:ilvl="0">
      <w:lvlJc w:val="left"/>
      <w:lvlText w:val="(%1)"/>
      <w:numFmt w:val="decimal"/>
      <w:start w:val="1"/>
    </w:lvl>
  </w:abstractNum>
  <w:abstractNum w:abstractNumId="154">
    <w:nsid w:val="5D5BABB3"/>
    <w:multiLevelType w:val="hybridMultilevel"/>
    <w:lvl w:ilvl="0">
      <w:lvlJc w:val="left"/>
      <w:lvlText w:val="(%1)"/>
      <w:numFmt w:val="decimal"/>
      <w:start w:val="2"/>
    </w:lvl>
  </w:abstractNum>
  <w:abstractNum w:abstractNumId="155">
    <w:nsid w:val="51BF6B48"/>
    <w:multiLevelType w:val="hybridMultilevel"/>
    <w:lvl w:ilvl="0">
      <w:lvlJc w:val="left"/>
      <w:lvlText w:val="(%1)"/>
      <w:numFmt w:val="decimal"/>
      <w:start w:val="3"/>
    </w:lvl>
  </w:abstractNum>
  <w:abstractNum w:abstractNumId="156">
    <w:nsid w:val="7E0F6384"/>
    <w:multiLevelType w:val="hybridMultilevel"/>
    <w:lvl w:ilvl="0">
      <w:lvlJc w:val="left"/>
      <w:lvlText w:val="×"/>
      <w:numFmt w:val="bullet"/>
      <w:start w:val="1"/>
    </w:lvl>
  </w:abstractNum>
  <w:abstractNum w:abstractNumId="157">
    <w:nsid w:val="2B4B8B53"/>
    <w:multiLevelType w:val="hybridMultilevel"/>
    <w:lvl w:ilvl="0">
      <w:lvlJc w:val="left"/>
      <w:lvlText w:val="(%1)"/>
      <w:numFmt w:val="decimal"/>
      <w:start w:val="1"/>
    </w:lvl>
    <w:lvl w:ilvl="1">
      <w:lvlJc w:val="left"/>
      <w:lvlText w:val="(%2)"/>
      <w:numFmt w:val="decimal"/>
      <w:start w:val="2"/>
    </w:lvl>
  </w:abstractNum>
  <w:abstractNum w:abstractNumId="158">
    <w:nsid w:val="72E3413A"/>
    <w:multiLevelType w:val="hybridMultilevel"/>
    <w:lvl w:ilvl="0">
      <w:lvlJc w:val="left"/>
      <w:lvlText w:val="%1"/>
      <w:numFmt w:val="decimal"/>
      <w:start w:val="1"/>
    </w:lvl>
    <w:lvl w:ilvl="1">
      <w:lvlJc w:val="left"/>
      <w:lvlText w:val="(%2)"/>
      <w:numFmt w:val="decimal"/>
      <w:start w:val="1"/>
    </w:lvl>
  </w:abstractNum>
  <w:abstractNum w:abstractNumId="159">
    <w:nsid w:val="116AE494"/>
    <w:multiLevelType w:val="hybridMultilevel"/>
    <w:lvl w:ilvl="0">
      <w:lvlJc w:val="left"/>
      <w:lvlText w:val="(%1)"/>
      <w:numFmt w:val="decimal"/>
      <w:start w:val="2"/>
    </w:lvl>
    <w:lvl w:ilvl="1">
      <w:lvlJc w:val="left"/>
      <w:lvlText w:val="%2"/>
      <w:numFmt w:val="decimal"/>
      <w:start w:val="1"/>
    </w:lvl>
  </w:abstractNum>
  <w:abstractNum w:abstractNumId="160">
    <w:nsid w:val="3494B2FB"/>
    <w:multiLevelType w:val="hybridMultilevel"/>
    <w:lvl w:ilvl="0">
      <w:lvlJc w:val="left"/>
      <w:lvlText w:val="(%1)"/>
      <w:numFmt w:val="decimal"/>
      <w:start w:val="3"/>
    </w:lvl>
    <w:lvl w:ilvl="1">
      <w:lvlJc w:val="left"/>
      <w:lvlText w:val="(%2)"/>
      <w:numFmt w:val="decimal"/>
      <w:start w:val="4"/>
    </w:lvl>
    <w:lvl w:ilvl="2">
      <w:lvlJc w:val="left"/>
      <w:lvlText w:val="(%3)"/>
      <w:numFmt w:val="decimal"/>
      <w:start w:val="4"/>
    </w:lvl>
  </w:abstractNum>
  <w:abstractNum w:abstractNumId="161">
    <w:nsid w:val="B13A31"/>
    <w:multiLevelType w:val="hybridMultilevel"/>
    <w:lvl w:ilvl="0">
      <w:lvlJc w:val="left"/>
      <w:lvlText w:val="(%1)"/>
      <w:numFmt w:val="decimal"/>
      <w:start w:val="1"/>
    </w:lvl>
    <w:lvl w:ilvl="1">
      <w:lvlJc w:val="left"/>
      <w:lvlText w:val="(%2)"/>
      <w:numFmt w:val="decimal"/>
      <w:start w:val="3"/>
    </w:lvl>
  </w:abstractNum>
  <w:abstractNum w:abstractNumId="162">
    <w:nsid w:val="64429599"/>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63">
    <w:nsid w:val="631F1690"/>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64">
    <w:nsid w:val="25973E32"/>
    <w:multiLevelType w:val="hybridMultilevel"/>
    <w:lvl w:ilvl="0">
      <w:lvlJc w:val="left"/>
      <w:lvlText w:val="(%1)"/>
      <w:numFmt w:val="decimal"/>
      <w:start w:val="1"/>
    </w:lvl>
    <w:lvl w:ilvl="1">
      <w:lvlJc w:val="left"/>
      <w:lvlText w:val="(%2)"/>
      <w:numFmt w:val="decimal"/>
      <w:start w:val="5"/>
    </w:lvl>
    <w:lvl w:ilvl="2">
      <w:lvlJc w:val="left"/>
      <w:lvlText w:val="(%3)"/>
      <w:numFmt w:val="decimal"/>
      <w:start w:val="3"/>
    </w:lvl>
    <w:lvl w:ilvl="3">
      <w:lvlJc w:val="left"/>
      <w:lvlText w:val="(%4)"/>
      <w:numFmt w:val="decimal"/>
      <w:start w:val="2"/>
    </w:lvl>
    <w:lvl w:ilvl="4">
      <w:lvlJc w:val="left"/>
      <w:lvlText w:val="(%5)"/>
      <w:numFmt w:val="decimal"/>
      <w:start w:val="3"/>
    </w:lvl>
  </w:abstractNum>
  <w:abstractNum w:abstractNumId="165">
    <w:nsid w:val="EAD6F5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7"/>
    </w:lvl>
  </w:abstractNum>
  <w:abstractNum w:abstractNumId="166">
    <w:nsid w:val="6EC9D84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8"/>
    </w:lvl>
    <w:lvl w:ilvl="4">
      <w:lvlJc w:val="left"/>
      <w:lvlText w:val="%5"/>
      <w:numFmt w:val="decimal"/>
      <w:start w:val="1"/>
    </w:lvl>
  </w:abstractNum>
  <w:abstractNum w:abstractNumId="167">
    <w:nsid w:val="5C49EAEE"/>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lvl w:ilvl="3">
      <w:lvlJc w:val="left"/>
      <w:lvlText w:val="%4"/>
      <w:numFmt w:val="decimal"/>
      <w:start w:val="1"/>
    </w:lvl>
    <w:lvl w:ilvl="4">
      <w:lvlJc w:val="left"/>
      <w:lvlText w:val="%5"/>
      <w:numFmt w:val="decimal"/>
      <w:start w:val="1"/>
    </w:lvl>
  </w:abstractNum>
  <w:abstractNum w:abstractNumId="168">
    <w:nsid w:val="64AF49B"/>
    <w:multiLevelType w:val="hybridMultilevel"/>
    <w:lvl w:ilvl="0">
      <w:lvlJc w:val="left"/>
      <w:lvlText w:val="%1"/>
      <w:numFmt w:val="decimal"/>
      <w:start w:val="1"/>
    </w:lvl>
    <w:lvl w:ilvl="1">
      <w:lvlJc w:val="left"/>
      <w:lvlText w:val="(%2)"/>
      <w:numFmt w:val="decimal"/>
      <w:start w:val="10"/>
    </w:lvl>
    <w:lvl w:ilvl="2">
      <w:lvlJc w:val="left"/>
      <w:lvlText w:val="%3"/>
      <w:numFmt w:val="decimal"/>
      <w:start w:val="1"/>
    </w:lvl>
  </w:abstractNum>
  <w:abstractNum w:abstractNumId="169">
    <w:nsid w:val="397C46BC"/>
    <w:multiLevelType w:val="hybridMultilevel"/>
    <w:lvl w:ilvl="0">
      <w:lvlJc w:val="left"/>
      <w:lvlText w:val="(%1)"/>
      <w:numFmt w:val="decimal"/>
      <w:start w:val="11"/>
    </w:lvl>
    <w:lvl w:ilvl="1">
      <w:lvlJc w:val="left"/>
      <w:lvlText w:val="(%2)"/>
      <w:numFmt w:val="decimal"/>
      <w:start w:val="12"/>
    </w:lvl>
    <w:lvl w:ilvl="2">
      <w:lvlJc w:val="left"/>
      <w:lvlText w:val="(%3)"/>
      <w:numFmt w:val="decimal"/>
      <w:start w:val="12"/>
    </w:lvl>
  </w:abstractNum>
  <w:abstractNum w:abstractNumId="170">
    <w:nsid w:val="7E448DE9"/>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71">
    <w:nsid w:val="5A9CC3E5"/>
    <w:multiLevelType w:val="hybridMultilevel"/>
    <w:lvl w:ilvl="0">
      <w:lvlJc w:val="left"/>
      <w:lvlText w:val="(%1)"/>
      <w:numFmt w:val="decimal"/>
      <w:start w:val="4"/>
    </w:lvl>
  </w:abstractNum>
  <w:abstractNum w:abstractNumId="172">
    <w:nsid w:val="1AFE3625"/>
    <w:multiLevelType w:val="hybridMultilevel"/>
    <w:lvl w:ilvl="0">
      <w:lvlJc w:val="left"/>
      <w:lvlText w:val="%1."/>
      <w:numFmt w:val="upperLetter"/>
      <w:start w:val="35"/>
    </w:lvl>
    <w:lvl w:ilvl="1">
      <w:lvlJc w:val="left"/>
      <w:lvlText w:val="%2"/>
      <w:numFmt w:val="upperLetter"/>
      <w:start w:val="1"/>
    </w:lvl>
  </w:abstractNum>
  <w:abstractNum w:abstractNumId="173">
    <w:nsid w:val="3CA88ECF"/>
    <w:multiLevelType w:val="hybridMultilevel"/>
    <w:lvl w:ilvl="0">
      <w:lvlJc w:val="left"/>
      <w:lvlText w:val="%1."/>
      <w:numFmt w:val="decimal"/>
      <w:start w:val="1"/>
    </w:lvl>
    <w:lvl w:ilvl="1">
      <w:lvlJc w:val="left"/>
      <w:lvlText w:val="%2."/>
      <w:numFmt w:val="decimal"/>
      <w:start w:val="2"/>
    </w:lvl>
  </w:abstractNum>
  <w:abstractNum w:abstractNumId="174">
    <w:nsid w:val="6EBE4208"/>
    <w:multiLevelType w:val="hybridMultilevel"/>
    <w:lvl w:ilvl="0">
      <w:lvlJc w:val="left"/>
      <w:lvlText w:val="%1."/>
      <w:numFmt w:val="decimal"/>
      <w:start w:val="3"/>
    </w:lvl>
    <w:lvl w:ilvl="1">
      <w:lvlJc w:val="left"/>
      <w:lvlText w:val="%2."/>
      <w:numFmt w:val="decimal"/>
      <w:start w:val="4"/>
    </w:lvl>
  </w:abstractNum>
  <w:abstractNum w:abstractNumId="175">
    <w:nsid w:val="C058DF5"/>
    <w:multiLevelType w:val="hybridMultilevel"/>
    <w:lvl w:ilvl="0">
      <w:lvlJc w:val="left"/>
      <w:lvlText w:val="%1."/>
      <w:numFmt w:val="decimal"/>
      <w:start w:val="5"/>
    </w:lvl>
  </w:abstractNum>
  <w:abstractNum w:abstractNumId="176">
    <w:nsid w:val="CBE5BE9"/>
    <w:multiLevelType w:val="hybridMultilevel"/>
    <w:lvl w:ilvl="0">
      <w:lvlJc w:val="left"/>
      <w:lvlText w:val="(%1)"/>
      <w:numFmt w:val="decimal"/>
      <w:start w:val="1"/>
    </w:lvl>
  </w:abstractNum>
  <w:abstractNum w:abstractNumId="177">
    <w:nsid w:val="3102BBE2"/>
    <w:multiLevelType w:val="hybridMultilevel"/>
    <w:lvl w:ilvl="0">
      <w:lvlJc w:val="left"/>
      <w:lvlText w:val="/"/>
      <w:numFmt w:val="bullet"/>
      <w:start w:val="1"/>
    </w:lvl>
    <w:lvl w:ilvl="1">
      <w:lvlJc w:val="left"/>
      <w:lvlText w:val="(%2)"/>
      <w:numFmt w:val="decimal"/>
      <w:start w:val="1"/>
    </w:lvl>
  </w:abstractNum>
  <w:abstractNum w:abstractNumId="178">
    <w:nsid w:val="26A02C5E"/>
    <w:multiLevelType w:val="hybridMultilevel"/>
    <w:lvl w:ilvl="0">
      <w:lvlJc w:val="left"/>
      <w:lvlText w:val="(%1)"/>
      <w:numFmt w:val="decimal"/>
      <w:start w:val="1"/>
    </w:lvl>
  </w:abstractNum>
  <w:abstractNum w:abstractNumId="179">
    <w:nsid w:val="541C8153"/>
    <w:multiLevelType w:val="hybridMultilevel"/>
    <w:lvl w:ilvl="0">
      <w:lvlJc w:val="left"/>
      <w:lvlText w:val="(%1)"/>
      <w:numFmt w:val="decimal"/>
      <w:start w:val="1"/>
    </w:lvl>
  </w:abstractNum>
  <w:abstractNum w:abstractNumId="180">
    <w:nsid w:val="67906F60"/>
    <w:multiLevelType w:val="hybridMultilevel"/>
    <w:lvl w:ilvl="0">
      <w:lvlJc w:val="left"/>
      <w:lvlText w:val="(%1)"/>
      <w:numFmt w:val="decimal"/>
      <w:start w:val="1"/>
    </w:lvl>
  </w:abstractNum>
  <w:abstractNum w:abstractNumId="181">
    <w:nsid w:val="10DB9DAA"/>
    <w:multiLevelType w:val="hybridMultilevel"/>
    <w:lvl w:ilvl="0">
      <w:lvlJc w:val="left"/>
      <w:lvlText w:val="(%1)"/>
      <w:numFmt w:val="decimal"/>
      <w:start w:val="2"/>
    </w:lvl>
  </w:abstractNum>
  <w:abstractNum w:abstractNumId="182">
    <w:nsid w:val="697D2D2"/>
    <w:multiLevelType w:val="hybridMultilevel"/>
    <w:lvl w:ilvl="0">
      <w:lvlJc w:val="left"/>
      <w:lvlText w:val="(%1)"/>
      <w:numFmt w:val="decimal"/>
      <w:start w:val="1"/>
    </w:lvl>
  </w:abstractNum>
  <w:abstractNum w:abstractNumId="183">
    <w:nsid w:val="6D68AB2"/>
    <w:multiLevelType w:val="hybridMultilevel"/>
    <w:lvl w:ilvl="0">
      <w:lvlJc w:val="left"/>
      <w:lvlText w:val="(%1)"/>
      <w:numFmt w:val="decimal"/>
      <w:start w:val="1"/>
    </w:lvl>
  </w:abstractNum>
  <w:abstractNum w:abstractNumId="184">
    <w:nsid w:val="3A966CD0"/>
    <w:multiLevelType w:val="hybridMultilevel"/>
    <w:lvl w:ilvl="0">
      <w:lvlJc w:val="left"/>
      <w:lvlText w:val="(%1)"/>
      <w:numFmt w:val="decimal"/>
      <w:start w:val="1"/>
    </w:lvl>
  </w:abstractNum>
  <w:abstractNum w:abstractNumId="185">
    <w:nsid w:val="63F37E85"/>
    <w:multiLevelType w:val="hybridMultilevel"/>
    <w:lvl w:ilvl="0">
      <w:lvlJc w:val="left"/>
      <w:lvlText w:val="(%1)"/>
      <w:numFmt w:val="decimal"/>
      <w:start w:val="1"/>
    </w:lvl>
  </w:abstractNum>
  <w:abstractNum w:abstractNumId="186">
    <w:nsid w:val="5895F5FA"/>
    <w:multiLevelType w:val="hybridMultilevel"/>
    <w:lvl w:ilvl="0">
      <w:lvlJc w:val="left"/>
      <w:lvlText w:val="(%1)"/>
      <w:numFmt w:val="decimal"/>
      <w:start w:val="1"/>
    </w:lvl>
  </w:abstractNum>
  <w:abstractNum w:abstractNumId="187">
    <w:nsid w:val="38A5D054"/>
    <w:multiLevelType w:val="hybridMultilevel"/>
    <w:lvl w:ilvl="0">
      <w:lvlJc w:val="left"/>
      <w:lvlText w:val="(%1)"/>
      <w:numFmt w:val="decimal"/>
      <w:start w:val="6"/>
    </w:lvl>
  </w:abstractNum>
  <w:abstractNum w:abstractNumId="188">
    <w:nsid w:val="F3F09D8"/>
    <w:multiLevelType w:val="hybridMultilevel"/>
    <w:lvl w:ilvl="0">
      <w:lvlJc w:val="left"/>
      <w:lvlText w:val="(%1)"/>
      <w:numFmt w:val="decimal"/>
      <w:start w:val="1"/>
    </w:lvl>
  </w:abstractNum>
  <w:abstractNum w:abstractNumId="189">
    <w:nsid w:val="4B793735"/>
    <w:multiLevelType w:val="hybridMultilevel"/>
    <w:lvl w:ilvl="0">
      <w:lvlJc w:val="left"/>
      <w:lvlText w:val="%1."/>
      <w:numFmt w:val="decimal"/>
      <w:start w:val="1"/>
    </w:lvl>
    <w:lvl w:ilvl="1">
      <w:lvlJc w:val="left"/>
      <w:lvlText w:val="(%2)"/>
      <w:numFmt w:val="decimal"/>
      <w:start w:val="1"/>
    </w:lvl>
  </w:abstractNum>
  <w:abstractNum w:abstractNumId="190">
    <w:nsid w:val="4A10B4E8"/>
    <w:multiLevelType w:val="hybridMultilevel"/>
    <w:lvl w:ilvl="0">
      <w:lvlJc w:val="left"/>
      <w:lvlText w:val="(%1)"/>
      <w:numFmt w:val="decimal"/>
      <w:start w:val="1"/>
    </w:lvl>
  </w:abstractNum>
  <w:abstractNum w:abstractNumId="191">
    <w:nsid w:val="43D3BCD4"/>
    <w:multiLevelType w:val="hybridMultilevel"/>
    <w:lvl w:ilvl="0">
      <w:lvlJc w:val="left"/>
      <w:lvlText w:val="(%1)"/>
      <w:numFmt w:val="decimal"/>
      <w:start w:val="2"/>
    </w:lvl>
  </w:abstractNum>
  <w:abstractNum w:abstractNumId="192">
    <w:nsid w:val="4C2A7166"/>
    <w:multiLevelType w:val="hybridMultilevel"/>
    <w:lvl w:ilvl="0">
      <w:lvlJc w:val="left"/>
      <w:lvlText w:val="(%1)"/>
      <w:numFmt w:val="decimal"/>
      <w:start w:val="3"/>
    </w:lvl>
  </w:abstractNum>
  <w:abstractNum w:abstractNumId="193">
    <w:nsid w:val="2E534A82"/>
    <w:multiLevelType w:val="hybridMultilevel"/>
    <w:lvl w:ilvl="0">
      <w:lvlJc w:val="left"/>
      <w:lvlText w:val="/"/>
      <w:numFmt w:val="bullet"/>
      <w:start w:val="1"/>
    </w:lvl>
    <w:lvl w:ilvl="1">
      <w:lvlJc w:val="left"/>
      <w:lvlText w:val="(%2)"/>
      <w:numFmt w:val="decimal"/>
      <w:start w:val="1"/>
    </w:lvl>
  </w:abstractNum>
  <w:abstractNum w:abstractNumId="194">
    <w:nsid w:val="26F2D364"/>
    <w:multiLevelType w:val="hybridMultilevel"/>
    <w:lvl w:ilvl="0">
      <w:lvlJc w:val="left"/>
      <w:lvlText w:val="(%1)"/>
      <w:numFmt w:val="decimal"/>
      <w:start w:val="3"/>
    </w:lvl>
  </w:abstractNum>
  <w:abstractNum w:abstractNumId="195">
    <w:nsid w:val="71C1AF98"/>
    <w:multiLevelType w:val="hybridMultilevel"/>
    <w:lvl w:ilvl="0">
      <w:lvlJc w:val="left"/>
      <w:lvlText w:val="(%1)"/>
      <w:numFmt w:val="decimal"/>
      <w:start w:val="1"/>
    </w:lvl>
  </w:abstractNum>
  <w:abstractNum w:abstractNumId="196">
    <w:nsid w:val="3D00B9D9"/>
    <w:multiLevelType w:val="hybridMultilevel"/>
    <w:lvl w:ilvl="0">
      <w:lvlJc w:val="left"/>
      <w:lvlText w:val="(%1)"/>
      <w:numFmt w:val="decimal"/>
      <w:start w:val="1"/>
    </w:lvl>
  </w:abstractNum>
  <w:abstractNum w:abstractNumId="197">
    <w:nsid w:val="15BCABA8"/>
    <w:multiLevelType w:val="hybridMultilevel"/>
    <w:lvl w:ilvl="0">
      <w:lvlJc w:val="left"/>
      <w:lvlText w:val="(%1)"/>
      <w:numFmt w:val="decimal"/>
      <w:start w:val="1"/>
    </w:lvl>
  </w:abstractNum>
  <w:abstractNum w:abstractNumId="198">
    <w:nsid w:val="4E0B9A87"/>
    <w:multiLevelType w:val="hybridMultilevel"/>
    <w:lvl w:ilvl="0">
      <w:lvlJc w:val="left"/>
      <w:lvlText w:val="(%1)"/>
      <w:numFmt w:val="decimal"/>
      <w:start w:val="1"/>
    </w:lvl>
  </w:abstractNum>
  <w:abstractNum w:abstractNumId="199">
    <w:nsid w:val="434BAE75"/>
    <w:multiLevelType w:val="hybridMultilevel"/>
    <w:lvl w:ilvl="0">
      <w:lvlJc w:val="left"/>
      <w:lvlText w:val="(%1)"/>
      <w:numFmt w:val="decimal"/>
      <w:start w:val="1"/>
    </w:lvl>
  </w:abstractNum>
  <w:abstractNum w:abstractNumId="200">
    <w:nsid w:val="4F38F265"/>
    <w:multiLevelType w:val="hybridMultilevel"/>
    <w:lvl w:ilvl="0">
      <w:lvlJc w:val="left"/>
      <w:lvlText w:val="(%1)"/>
      <w:numFmt w:val="decimal"/>
      <w:start w:val="1"/>
    </w:lvl>
  </w:abstractNum>
  <w:abstractNum w:abstractNumId="201">
    <w:nsid w:val="4C502870"/>
    <w:multiLevelType w:val="hybridMultilevel"/>
    <w:lvl w:ilvl="0">
      <w:lvlJc w:val="left"/>
      <w:lvlText w:val="(%1)"/>
      <w:numFmt w:val="decimal"/>
      <w:start w:val="1"/>
    </w:lvl>
    <w:lvl w:ilvl="1">
      <w:lvlJc w:val="left"/>
      <w:lvlText w:val="(%2)"/>
      <w:numFmt w:val="decimal"/>
      <w:start w:val="3"/>
    </w:lvl>
  </w:abstractNum>
  <w:abstractNum w:abstractNumId="202">
    <w:nsid w:val="1DE8725A"/>
    <w:multiLevelType w:val="hybridMultilevel"/>
    <w:lvl w:ilvl="0">
      <w:lvlJc w:val="left"/>
      <w:lvlText w:val="(%1)"/>
      <w:numFmt w:val="decimal"/>
      <w:start w:val="1"/>
    </w:lvl>
  </w:abstractNum>
  <w:abstractNum w:abstractNumId="203">
    <w:nsid w:val="6A37288A"/>
    <w:multiLevelType w:val="hybridMultilevel"/>
    <w:lvl w:ilvl="0">
      <w:lvlJc w:val="left"/>
      <w:lvlText w:val="(%1)"/>
      <w:numFmt w:val="decimal"/>
      <w:start w:val="1"/>
    </w:lvl>
  </w:abstractNum>
  <w:abstractNum w:abstractNumId="204">
    <w:nsid w:val="8F8B73F"/>
    <w:multiLevelType w:val="hybridMultilevel"/>
    <w:lvl w:ilvl="0">
      <w:lvlJc w:val="left"/>
      <w:lvlText w:val="(%1)"/>
      <w:numFmt w:val="decimal"/>
      <w:start w:val="8"/>
    </w:lvl>
  </w:abstractNum>
  <w:abstractNum w:abstractNumId="205">
    <w:nsid w:val="CA6B462"/>
    <w:multiLevelType w:val="hybridMultilevel"/>
    <w:lvl w:ilvl="0">
      <w:lvlJc w:val="left"/>
      <w:lvlText w:val="(%1)"/>
      <w:numFmt w:val="decimal"/>
      <w:start w:val="1"/>
    </w:lvl>
  </w:abstractNum>
  <w:abstractNum w:abstractNumId="206">
    <w:nsid w:val="763CB680"/>
    <w:multiLevelType w:val="hybridMultilevel"/>
    <w:lvl w:ilvl="0">
      <w:lvlJc w:val="left"/>
      <w:lvlText w:val="%1."/>
      <w:numFmt w:val="decimal"/>
      <w:start w:val="1"/>
    </w:lvl>
    <w:lvl w:ilvl="1">
      <w:lvlJc w:val="left"/>
      <w:lvlText w:val="(%2)"/>
      <w:numFmt w:val="decimal"/>
      <w:start w:val="1"/>
    </w:lvl>
  </w:abstractNum>
  <w:abstractNum w:abstractNumId="207">
    <w:nsid w:val="15B71329"/>
    <w:multiLevelType w:val="hybridMultilevel"/>
    <w:lvl w:ilvl="0">
      <w:lvlJc w:val="left"/>
      <w:lvlText w:val="(%1)"/>
      <w:numFmt w:val="decimal"/>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9" Type="http://schemas.openxmlformats.org/officeDocument/2006/relationships/image" Target="media/image82.png"/><Relationship Id="rId111"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8" Type="http://schemas.openxmlformats.org/officeDocument/2006/relationships/image" Target="media/image87.png"/><Relationship Id="rId120" Type="http://schemas.openxmlformats.org/officeDocument/2006/relationships/image" Target="media/image88.png"/><Relationship Id="rId123"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jpe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jpe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pn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301" Type="http://schemas.openxmlformats.org/officeDocument/2006/relationships/image" Target="media/image265.png"/><Relationship Id="rId302" Type="http://schemas.openxmlformats.org/officeDocument/2006/relationships/image" Target="media/image266.png"/><Relationship Id="rId303" Type="http://schemas.openxmlformats.org/officeDocument/2006/relationships/image" Target="media/image267.png"/><Relationship Id="rId304" Type="http://schemas.openxmlformats.org/officeDocument/2006/relationships/image" Target="media/image268.png"/><Relationship Id="rId305"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8" Type="http://schemas.openxmlformats.org/officeDocument/2006/relationships/image" Target="media/image272.png"/><Relationship Id="rId309" Type="http://schemas.openxmlformats.org/officeDocument/2006/relationships/image" Target="media/image273.png"/><Relationship Id="rId310" Type="http://schemas.openxmlformats.org/officeDocument/2006/relationships/image" Target="media/image274.png"/><Relationship Id="rId311" Type="http://schemas.openxmlformats.org/officeDocument/2006/relationships/image" Target="media/image275.png"/><Relationship Id="rId312" Type="http://schemas.openxmlformats.org/officeDocument/2006/relationships/image" Target="media/image276.png"/><Relationship Id="rId313" Type="http://schemas.openxmlformats.org/officeDocument/2006/relationships/image" Target="media/image277.png"/><Relationship Id="rId314" Type="http://schemas.openxmlformats.org/officeDocument/2006/relationships/image" Target="media/image278.pn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jpeg"/><Relationship Id="rId332" Type="http://schemas.openxmlformats.org/officeDocument/2006/relationships/image" Target="media/image296.jpeg"/><Relationship Id="rId333" Type="http://schemas.openxmlformats.org/officeDocument/2006/relationships/image" Target="media/image297.jpe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87" Type="http://schemas.openxmlformats.org/officeDocument/2006/relationships/hyperlink" Target="http://www.sec.gov/Archives/edgar/data/810136/000114036114000609/ex3_1.htm" TargetMode="External"/><Relationship Id="rId88" Type="http://schemas.openxmlformats.org/officeDocument/2006/relationships/hyperlink" Target="http://www.sec.gov/Archives/edgar/data/810136/000114036116079692/ex3_2.htm" TargetMode="External"/><Relationship Id="rId89" Type="http://schemas.openxmlformats.org/officeDocument/2006/relationships/hyperlink" Target="http://www.sec.gov/Archives/edgar/data/810136/000120677415000307/exhibit4-2.htm" TargetMode="External"/><Relationship Id="rId90" Type="http://schemas.openxmlformats.org/officeDocument/2006/relationships/hyperlink" Target="http://www.sec.gov/Archives/edgar/data/810136/000114036117046903/ex10_1.htm" TargetMode="External"/><Relationship Id="rId91" Type="http://schemas.openxmlformats.org/officeDocument/2006/relationships/hyperlink" Target="http://www.sec.gov/Archives/edgar/data/810136/000114036117000934/ex10_2.htm" TargetMode="External"/><Relationship Id="rId92" Type="http://schemas.openxmlformats.org/officeDocument/2006/relationships/hyperlink" Target="http://www.sec.gov/Archives/edgar/data/810136/000114036116047150/ex10_4.htm" TargetMode="External"/><Relationship Id="rId93" Type="http://schemas.openxmlformats.org/officeDocument/2006/relationships/hyperlink" Target="http://www.sec.gov/Archives/edgar/data/810136/000114036116055498/formdef14a.htm" TargetMode="External"/><Relationship Id="rId94" Type="http://schemas.openxmlformats.org/officeDocument/2006/relationships/hyperlink" Target="http://www.sec.gov/Archives/edgar/data/810136/000120677414000691/photronics_def14a.htm" TargetMode="External"/><Relationship Id="rId95" Type="http://schemas.openxmlformats.org/officeDocument/2006/relationships/hyperlink" Target="http://www.sec.gov/Archives/edgar/data/810136/000114036116047150/ex10_7.htm" TargetMode="External"/><Relationship Id="rId96" Type="http://schemas.openxmlformats.org/officeDocument/2006/relationships/hyperlink" Target="http://www.sec.gov/Archives/edgar/data/810136/000114036115000753/ex10_8.htm" TargetMode="External"/><Relationship Id="rId97" Type="http://schemas.openxmlformats.org/officeDocument/2006/relationships/hyperlink" Target="http://www.sec.gov/Archives/edgar/data/810136/000114036115000753/ex10_9.htm" TargetMode="External"/><Relationship Id="rId98" Type="http://schemas.openxmlformats.org/officeDocument/2006/relationships/hyperlink" Target="http://www.sec.gov/Archives/edgar/data/810136/000114036115027000/ex10_19.htm" TargetMode="External"/><Relationship Id="rId99" Type="http://schemas.openxmlformats.org/officeDocument/2006/relationships/hyperlink" Target="http://www.sec.gov/Archives/edgar/data/810136/000114036115027000/ex10_20.htm" TargetMode="External"/><Relationship Id="rId100" Type="http://schemas.openxmlformats.org/officeDocument/2006/relationships/hyperlink" Target="http://www.sec.gov/Archives/edgar/data/810136/000114036115027000/ex10_21.htm" TargetMode="External"/><Relationship Id="rId101" Type="http://schemas.openxmlformats.org/officeDocument/2006/relationships/hyperlink" Target="http://www.sec.gov/Archives/edgar/data/810136/000114036115027000/ex10_22.htm" TargetMode="External"/><Relationship Id="rId102" Type="http://schemas.openxmlformats.org/officeDocument/2006/relationships/hyperlink" Target="http://www.sec.gov/Archives/edgar/data/810136/000114036115027000/ex10_23.htm" TargetMode="External"/><Relationship Id="rId103" Type="http://schemas.openxmlformats.org/officeDocument/2006/relationships/hyperlink" Target="http://www.sec.gov/Archives/edgar/data/810136/000114036115027000/ex10_24.htm" TargetMode="External"/><Relationship Id="rId104" Type="http://schemas.openxmlformats.org/officeDocument/2006/relationships/hyperlink" Target="http://www.sec.gov/Archives/edgar/data/810136/000114036115027000/ex10_25.htm" TargetMode="External"/><Relationship Id="rId105" Type="http://schemas.openxmlformats.org/officeDocument/2006/relationships/hyperlink" Target="http://www.sec.gov/Archives/edgar/data/810136/000081013608000003/plab_exh10-24.htm" TargetMode="External"/><Relationship Id="rId108" Type="http://schemas.openxmlformats.org/officeDocument/2006/relationships/hyperlink" Target="http://www.sec.gov/Archives/edgar/data/810136/000114036115034663/ex10_28.htm" TargetMode="External"/><Relationship Id="rId110" Type="http://schemas.openxmlformats.org/officeDocument/2006/relationships/hyperlink" Target="http://www.sec.gov/Archives/edgar/data/810136/000114036116047150/ex10_30.htm" TargetMode="External"/><Relationship Id="rId112" Type="http://schemas.openxmlformats.org/officeDocument/2006/relationships/hyperlink" Target="http://www.sec.gov/Archives/edgar/data/810136/000114036117046903/ex10_31.htm" TargetMode="External"/><Relationship Id="rId113" Type="http://schemas.openxmlformats.org/officeDocument/2006/relationships/hyperlink" Target="http://www.sec.gov/Archives/edgar/data/810136/000120677412001092/exhibit10-1.htm" TargetMode="External"/><Relationship Id="rId117" Type="http://schemas.openxmlformats.org/officeDocument/2006/relationships/hyperlink" Target="http://www.sec.gov/Archives/edgar/data/810136/000114036116078718/ex10_35.htm" TargetMode="External"/><Relationship Id="rId119" Type="http://schemas.openxmlformats.org/officeDocument/2006/relationships/hyperlink" Target="http://www.sec.gov/Archives/edgar/data/810136/000114036117046677/ex10_26.htm" TargetMode="External"/><Relationship Id="rId121" Type="http://schemas.openxmlformats.org/officeDocument/2006/relationships/hyperlink" Target="http://www.sec.gov/Archives/edgar/data/810136/000114036117046677/ex10_27.htm" TargetMode="External"/><Relationship Id="rId122" Type="http://schemas.openxmlformats.org/officeDocument/2006/relationships/hyperlink" Target="http://www.sec.gov/Archives/edgar/data/810136/000114036117046677/ex10_28.htm" TargetMode="External"/><Relationship Id="rId124" Type="http://schemas.openxmlformats.org/officeDocument/2006/relationships/hyperlink" Target="http://www.sec.gov/Archives/edgar/data/810136/000114036117046677/ex10_29.htm" TargetMode="External"/><Relationship Id="rId125" Type="http://schemas.openxmlformats.org/officeDocument/2006/relationships/hyperlink" Target="http://www.sec.gov/Archives/edgar/data/810136/000114036117046903/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2019-12-28T17:25:01Z</dcterms:created>
  <dcterms:modified xsi:type="dcterms:W3CDTF">2019-12-28T17:25:01Z</dcterms:modified>
</cp:coreProperties>
</file>