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4060" w:right="2080" w:hanging="4052"/>
        <w:spacing w:after="0" w:line="258"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QUARTERLY REPORT PURSUANT TO SECTION 13 OR 15 (d) OF THE SECURITIES EXCHANGE ACT OF 1934 For the quarterly period ended July 28, 2013</w:t>
      </w:r>
    </w:p>
    <w:p>
      <w:pPr>
        <w:spacing w:after="0" w:line="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OR</w:t>
      </w:r>
    </w:p>
    <w:p>
      <w:pPr>
        <w:spacing w:after="0" w:line="238" w:lineRule="exact"/>
        <w:rPr>
          <w:sz w:val="24"/>
          <w:szCs w:val="24"/>
          <w:color w:val="auto"/>
        </w:rPr>
      </w:pPr>
    </w:p>
    <w:p>
      <w:pPr>
        <w:ind w:left="4180" w:right="2080" w:hanging="4172"/>
        <w:spacing w:after="0" w:line="532" w:lineRule="auto"/>
        <w:tabs>
          <w:tab w:leader="none" w:pos="461"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 to ___</w:t>
      </w:r>
    </w:p>
    <w:p>
      <w:pPr>
        <w:ind w:left="448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3229610</wp:posOffset>
            </wp:positionH>
            <wp:positionV relativeFrom="paragraph">
              <wp:posOffset>169545</wp:posOffset>
            </wp:positionV>
            <wp:extent cx="797560" cy="900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97560"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06-0854886</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40" w:type="dxa"/>
            <w:vAlign w:val="bottom"/>
          </w:tcPr>
          <w:p>
            <w:pPr>
              <w:jc w:val="center"/>
              <w:ind w:left="11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45"/>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87"/>
              </w:rPr>
              <w:t>06804</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40" w:type="dxa"/>
            <w:vAlign w:val="bottom"/>
          </w:tcPr>
          <w:p>
            <w:pPr>
              <w:jc w:val="center"/>
              <w:ind w:left="1130"/>
              <w:spacing w:after="0"/>
              <w:rPr>
                <w:sz w:val="20"/>
                <w:szCs w:val="20"/>
                <w:color w:val="auto"/>
              </w:rPr>
            </w:pPr>
            <w:r>
              <w:rPr>
                <w:rFonts w:ascii="Arial" w:cs="Arial" w:eastAsia="Arial" w:hAnsi="Arial"/>
                <w:sz w:val="18"/>
                <w:szCs w:val="18"/>
                <w:i w:val="1"/>
                <w:iCs w:val="1"/>
                <w:color w:val="auto"/>
                <w:w w:val="91"/>
              </w:rPr>
              <w:t>(Zip Code)</w:t>
            </w:r>
          </w:p>
        </w:tc>
      </w:tr>
      <w:tr>
        <w:trPr>
          <w:trHeight w:val="459"/>
        </w:trPr>
        <w:tc>
          <w:tcPr>
            <w:tcW w:w="5580" w:type="dxa"/>
            <w:vAlign w:val="bottom"/>
          </w:tcPr>
          <w:p>
            <w:pPr>
              <w:jc w:val="center"/>
              <w:ind w:right="1110"/>
              <w:spacing w:after="0"/>
              <w:rPr>
                <w:sz w:val="20"/>
                <w:szCs w:val="20"/>
                <w:color w:val="auto"/>
              </w:rPr>
            </w:pPr>
            <w:r>
              <w:rPr>
                <w:rFonts w:ascii="Arial" w:cs="Arial" w:eastAsia="Arial" w:hAnsi="Arial"/>
                <w:sz w:val="18"/>
                <w:szCs w:val="18"/>
                <w:color w:val="auto"/>
                <w:w w:val="89"/>
              </w:rPr>
              <w:t>Registrant's telephone number, including area code</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0"/>
              </w:rPr>
              <w:t>(203) 775-9000</w:t>
            </w:r>
          </w:p>
        </w:tc>
      </w:tr>
    </w:tbl>
    <w:p>
      <w:pPr>
        <w:spacing w:after="0" w:line="229" w:lineRule="exact"/>
        <w:rPr>
          <w:sz w:val="24"/>
          <w:szCs w:val="24"/>
          <w:color w:val="auto"/>
        </w:rPr>
      </w:pPr>
    </w:p>
    <w:p>
      <w:pPr>
        <w:ind w:right="52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rPr>
          <w:sz w:val="20"/>
          <w:szCs w:val="20"/>
          <w:color w:val="auto"/>
        </w:rPr>
      </w:pPr>
      <w:r>
        <w:rPr>
          <w:rFonts w:ascii="Arial" w:cs="Arial" w:eastAsia="Arial" w:hAnsi="Arial"/>
          <w:sz w:val="18"/>
          <w:szCs w:val="18"/>
          <w:b w:val="1"/>
          <w:bCs w:val="1"/>
          <w:color w:val="auto"/>
        </w:rPr>
        <w:t>Yes x No o</w:t>
      </w:r>
    </w:p>
    <w:p>
      <w:pPr>
        <w:spacing w:after="0" w:line="238" w:lineRule="exact"/>
        <w:rPr>
          <w:sz w:val="24"/>
          <w:szCs w:val="24"/>
          <w:color w:val="auto"/>
        </w:rPr>
      </w:pPr>
    </w:p>
    <w:p>
      <w:pPr>
        <w:jc w:val="both"/>
        <w:ind w:right="4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rPr>
          <w:sz w:val="20"/>
          <w:szCs w:val="20"/>
          <w:color w:val="auto"/>
        </w:rPr>
      </w:pPr>
      <w:r>
        <w:rPr>
          <w:rFonts w:ascii="Arial" w:cs="Arial" w:eastAsia="Arial" w:hAnsi="Arial"/>
          <w:sz w:val="18"/>
          <w:szCs w:val="18"/>
          <w:b w:val="1"/>
          <w:bCs w:val="1"/>
          <w:color w:val="auto"/>
        </w:rPr>
        <w:t>Yes x No o</w:t>
      </w:r>
    </w:p>
    <w:p>
      <w:pPr>
        <w:spacing w:after="0" w:line="238"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51" w:lineRule="exact"/>
        <w:rPr>
          <w:sz w:val="24"/>
          <w:szCs w:val="24"/>
          <w:color w:val="auto"/>
        </w:rPr>
      </w:pPr>
    </w:p>
    <w:p>
      <w:pPr>
        <w:spacing w:after="0"/>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o No x</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5420" w:type="dxa"/>
            <w:vAlign w:val="bottom"/>
          </w:tcPr>
          <w:p>
            <w:pPr>
              <w:ind w:left="980"/>
              <w:spacing w:after="0"/>
              <w:rPr>
                <w:sz w:val="20"/>
                <w:szCs w:val="20"/>
                <w:color w:val="auto"/>
              </w:rPr>
            </w:pPr>
            <w:r>
              <w:rPr>
                <w:rFonts w:ascii="Arial" w:cs="Arial" w:eastAsia="Arial" w:hAnsi="Arial"/>
                <w:sz w:val="18"/>
                <w:szCs w:val="18"/>
                <w:color w:val="auto"/>
              </w:rPr>
              <w:t>Class</w:t>
            </w:r>
          </w:p>
        </w:tc>
        <w:tc>
          <w:tcPr>
            <w:tcW w:w="6040" w:type="dxa"/>
            <w:vAlign w:val="bottom"/>
            <w:gridSpan w:val="2"/>
          </w:tcPr>
          <w:p>
            <w:pPr>
              <w:ind w:left="2960"/>
              <w:spacing w:after="0"/>
              <w:rPr>
                <w:sz w:val="20"/>
                <w:szCs w:val="20"/>
                <w:color w:val="auto"/>
              </w:rPr>
            </w:pPr>
            <w:r>
              <w:rPr>
                <w:rFonts w:ascii="Arial" w:cs="Arial" w:eastAsia="Arial" w:hAnsi="Arial"/>
                <w:sz w:val="18"/>
                <w:szCs w:val="18"/>
                <w:color w:val="auto"/>
              </w:rPr>
              <w:t>Outstanding at August 30, 2013</w:t>
            </w:r>
          </w:p>
        </w:tc>
      </w:tr>
      <w:tr>
        <w:trPr>
          <w:trHeight w:val="234"/>
        </w:trPr>
        <w:tc>
          <w:tcPr>
            <w:tcW w:w="5420" w:type="dxa"/>
            <w:vAlign w:val="bottom"/>
          </w:tcPr>
          <w:p>
            <w:pPr>
              <w:spacing w:after="0"/>
              <w:rPr>
                <w:sz w:val="20"/>
                <w:szCs w:val="20"/>
                <w:color w:val="auto"/>
              </w:rPr>
            </w:pPr>
            <w:r>
              <w:rPr>
                <w:rFonts w:ascii="Arial" w:cs="Arial" w:eastAsia="Arial" w:hAnsi="Arial"/>
                <w:sz w:val="18"/>
                <w:szCs w:val="18"/>
                <w:b w:val="1"/>
                <w:bCs w:val="1"/>
                <w:color w:val="auto"/>
              </w:rPr>
              <w:t>Common Stock, $0.01 par value</w:t>
            </w:r>
          </w:p>
        </w:tc>
        <w:tc>
          <w:tcPr>
            <w:tcW w:w="6040" w:type="dxa"/>
            <w:vAlign w:val="bottom"/>
            <w:gridSpan w:val="2"/>
          </w:tcPr>
          <w:p>
            <w:pPr>
              <w:ind w:left="3340"/>
              <w:spacing w:after="0"/>
              <w:rPr>
                <w:sz w:val="20"/>
                <w:szCs w:val="20"/>
                <w:color w:val="auto"/>
              </w:rPr>
            </w:pPr>
            <w:r>
              <w:rPr>
                <w:rFonts w:ascii="Arial" w:cs="Arial" w:eastAsia="Arial" w:hAnsi="Arial"/>
                <w:sz w:val="18"/>
                <w:szCs w:val="18"/>
                <w:b w:val="1"/>
                <w:bCs w:val="1"/>
                <w:color w:val="auto"/>
              </w:rPr>
              <w:t>61,362,511 Shares</w:t>
            </w:r>
          </w:p>
        </w:tc>
      </w:tr>
      <w:tr>
        <w:trPr>
          <w:trHeight w:val="351"/>
        </w:trPr>
        <w:tc>
          <w:tcPr>
            <w:tcW w:w="54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5420" w:type="dxa"/>
            <w:vAlign w:val="bottom"/>
            <w:tcBorders>
              <w:left w:val="single" w:sz="8" w:color="9A9A9A"/>
            </w:tcBorders>
          </w:tcPr>
          <w:p>
            <w:pPr>
              <w:spacing w:after="0"/>
              <w:rPr>
                <w:sz w:val="17"/>
                <w:szCs w:val="17"/>
                <w:color w:val="auto"/>
              </w:rPr>
            </w:pPr>
          </w:p>
        </w:tc>
        <w:tc>
          <w:tcPr>
            <w:tcW w:w="6000" w:type="dxa"/>
            <w:vAlign w:val="bottom"/>
            <w:tcBorders>
              <w:right w:val="single" w:sz="8" w:color="EEEEEE"/>
            </w:tcBorders>
          </w:tcPr>
          <w:p>
            <w:pPr>
              <w:spacing w:after="0"/>
              <w:rPr>
                <w:sz w:val="17"/>
                <w:szCs w:val="17"/>
                <w:color w:val="auto"/>
              </w:rPr>
            </w:pPr>
          </w:p>
        </w:tc>
        <w:tc>
          <w:tcPr>
            <w:tcW w:w="40" w:type="dxa"/>
            <w:vAlign w:val="bottom"/>
          </w:tcPr>
          <w:p>
            <w:pPr>
              <w:spacing w:after="0"/>
              <w:rPr>
                <w:sz w:val="17"/>
                <w:szCs w:val="17"/>
                <w:color w:val="auto"/>
              </w:rPr>
            </w:pPr>
          </w:p>
        </w:tc>
      </w:tr>
      <w:tr>
        <w:trPr>
          <w:trHeight w:val="523"/>
        </w:trPr>
        <w:tc>
          <w:tcPr>
            <w:tcW w:w="54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5420" w:type="dxa"/>
            <w:vAlign w:val="bottom"/>
            <w:tcBorders>
              <w:left w:val="single" w:sz="8" w:color="808080"/>
            </w:tcBorders>
            <w:shd w:val="clear" w:color="auto" w:fill="808080"/>
          </w:tcPr>
          <w:p>
            <w:pPr>
              <w:spacing w:after="0"/>
              <w:rPr>
                <w:sz w:val="5"/>
                <w:szCs w:val="5"/>
                <w:color w:val="auto"/>
              </w:rPr>
            </w:pPr>
          </w:p>
        </w:tc>
        <w:tc>
          <w:tcPr>
            <w:tcW w:w="600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-511810</wp:posOffset>
            </wp:positionV>
            <wp:extent cx="72720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-417195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60"/>
          </w:cols>
          <w:pgMar w:left="240" w:top="535" w:right="1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162"/>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or the "Company"). These statements are based on management's beliefs, as well as assumptions made by, and information currently available to, management. Forward-looking statements may be identified by words like "expect", "anticipate", "believe", "plan", "projects",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future transactions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federal, state and international tax requirements (including tax rate changes, new tax laws and revised tax law interpretations); interest rate and other capital market conditions, including changes in the market price of the Company's securities; foreign currency exchange rate fluctuations; changes in technology; the timing, impact, and other uncertainties of future transactions and acquisitions, divestitures and joint ventures as well as decisions the Company may make in the future regarding the Company’s business, capital and organizational structure and other matters; the seasonal and cyclical nature of the semiconductor and flat panel display industries; management changes;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laws.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ind w:left="4880"/>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AND SUBSIDIARIES</w:t>
      </w: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880" w:type="dxa"/>
            <w:vAlign w:val="bottom"/>
            <w:gridSpan w:val="14"/>
          </w:tcPr>
          <w:p>
            <w:pPr>
              <w:ind w:left="260"/>
              <w:spacing w:after="0"/>
              <w:rPr>
                <w:sz w:val="20"/>
                <w:szCs w:val="20"/>
                <w:color w:val="auto"/>
              </w:rPr>
            </w:pPr>
            <w:r>
              <w:rPr>
                <w:rFonts w:ascii="Arial" w:cs="Arial" w:eastAsia="Arial" w:hAnsi="Arial"/>
                <w:sz w:val="18"/>
                <w:szCs w:val="18"/>
                <w:b w:val="1"/>
                <w:bCs w:val="1"/>
                <w:color w:val="auto"/>
              </w:rPr>
              <w:t>FINANCIAL INFORMATION</w:t>
            </w:r>
          </w:p>
        </w:tc>
        <w:tc>
          <w:tcPr>
            <w:tcW w:w="60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32"/>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80" w:type="dxa"/>
            <w:vAlign w:val="bottom"/>
            <w:gridSpan w:val="14"/>
          </w:tcPr>
          <w:p>
            <w:pPr>
              <w:ind w:left="260"/>
              <w:spacing w:after="0"/>
              <w:rPr>
                <w:sz w:val="20"/>
                <w:szCs w:val="20"/>
                <w:color w:val="auto"/>
              </w:rPr>
            </w:pPr>
            <w:r>
              <w:rPr>
                <w:rFonts w:ascii="Arial" w:cs="Arial" w:eastAsia="Arial" w:hAnsi="Arial"/>
                <w:sz w:val="18"/>
                <w:szCs w:val="18"/>
                <w:color w:val="auto"/>
              </w:rPr>
              <w:t>Condensed Consolidated Financial Statements</w:t>
            </w:r>
          </w:p>
        </w:tc>
        <w:tc>
          <w:tcPr>
            <w:tcW w:w="5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80" w:type="dxa"/>
            <w:vAlign w:val="bottom"/>
            <w:gridSpan w:val="14"/>
            <w:shd w:val="clear" w:color="auto" w:fill="CCEEFF"/>
          </w:tcPr>
          <w:p>
            <w:pPr>
              <w:ind w:left="26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July 28, 2013 and October 28, 2012</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80" w:type="dxa"/>
            <w:vAlign w:val="bottom"/>
            <w:gridSpan w:val="14"/>
            <w:shd w:val="clear" w:color="auto" w:fill="CCEEFF"/>
          </w:tcPr>
          <w:p>
            <w:pPr>
              <w:ind w:left="26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for the Three and Nine Months Ended July 28, 2013 and July 29, 2012</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880" w:type="dxa"/>
            <w:vAlign w:val="bottom"/>
            <w:gridSpan w:val="14"/>
            <w:shd w:val="clear" w:color="auto" w:fill="CCEEFF"/>
          </w:tcPr>
          <w:p>
            <w:pPr>
              <w:ind w:left="260"/>
              <w:spacing w:after="0" w:line="17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Comprehensive Income for the Three and Nine Months Ended July 28, 2013 and July 29,</w:t>
              </w:r>
            </w:hyperlink>
          </w:p>
        </w:tc>
        <w:tc>
          <w:tcPr>
            <w:tcW w:w="5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0000EE"/>
            </w:tcBorders>
            <w:gridSpan w:val="2"/>
            <w:shd w:val="clear" w:color="auto" w:fill="CCEEFF"/>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2012</w:t>
              </w:r>
            </w:hyperlink>
          </w:p>
        </w:tc>
        <w:tc>
          <w:tcPr>
            <w:tcW w:w="8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860" w:type="dxa"/>
            <w:vAlign w:val="bottom"/>
            <w:tcBorders>
              <w:top w:val="single" w:sz="8" w:color="0000EE"/>
            </w:tcBorders>
            <w:shd w:val="clear" w:color="auto" w:fill="CCEEFF"/>
          </w:tcPr>
          <w:p>
            <w:pPr>
              <w:spacing w:after="0"/>
              <w:rPr>
                <w:sz w:val="18"/>
                <w:szCs w:val="18"/>
                <w:color w:val="auto"/>
              </w:rPr>
            </w:pPr>
          </w:p>
        </w:tc>
        <w:tc>
          <w:tcPr>
            <w:tcW w:w="224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1440" w:type="dxa"/>
            <w:vAlign w:val="bottom"/>
            <w:tcBorders>
              <w:top w:val="single" w:sz="8" w:color="0000EE"/>
            </w:tcBorders>
            <w:shd w:val="clear" w:color="auto" w:fill="CCEEFF"/>
          </w:tcPr>
          <w:p>
            <w:pPr>
              <w:spacing w:after="0"/>
              <w:rPr>
                <w:sz w:val="18"/>
                <w:szCs w:val="18"/>
                <w:color w:val="auto"/>
              </w:rPr>
            </w:pPr>
          </w:p>
        </w:tc>
        <w:tc>
          <w:tcPr>
            <w:tcW w:w="700" w:type="dxa"/>
            <w:vAlign w:val="bottom"/>
            <w:tcBorders>
              <w:top w:val="single" w:sz="8" w:color="0000EE"/>
            </w:tcBorders>
            <w:shd w:val="clear" w:color="auto" w:fill="CCEEFF"/>
          </w:tcPr>
          <w:p>
            <w:pPr>
              <w:spacing w:after="0"/>
              <w:rPr>
                <w:sz w:val="18"/>
                <w:szCs w:val="18"/>
                <w:color w:val="auto"/>
              </w:rPr>
            </w:pPr>
          </w:p>
        </w:tc>
        <w:tc>
          <w:tcPr>
            <w:tcW w:w="164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0000EE"/>
            </w:tcBorders>
            <w:shd w:val="clear" w:color="auto" w:fill="CCEEFF"/>
          </w:tcPr>
          <w:p>
            <w:pPr>
              <w:spacing w:after="0"/>
              <w:rPr>
                <w:sz w:val="18"/>
                <w:szCs w:val="18"/>
                <w:color w:val="auto"/>
              </w:rPr>
            </w:pPr>
          </w:p>
        </w:tc>
        <w:tc>
          <w:tcPr>
            <w:tcW w:w="76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80" w:type="dxa"/>
            <w:vAlign w:val="bottom"/>
            <w:gridSpan w:val="14"/>
            <w:shd w:val="clear" w:color="auto" w:fill="CCEEFF"/>
          </w:tcPr>
          <w:p>
            <w:pPr>
              <w:ind w:left="26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Nine Months Ended July 28, 2013 and July 29, 2012</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80" w:type="dxa"/>
            <w:vAlign w:val="bottom"/>
            <w:gridSpan w:val="14"/>
            <w:shd w:val="clear" w:color="auto" w:fill="CCEEFF"/>
          </w:tcPr>
          <w:p>
            <w:pPr>
              <w:ind w:left="26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880" w:type="dxa"/>
            <w:vAlign w:val="bottom"/>
            <w:gridSpan w:val="14"/>
            <w:shd w:val="clear" w:color="auto" w:fill="CCEEFF"/>
          </w:tcPr>
          <w:p>
            <w:pPr>
              <w:ind w:left="26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880" w:type="dxa"/>
            <w:vAlign w:val="bottom"/>
            <w:gridSpan w:val="14"/>
            <w:shd w:val="clear" w:color="auto" w:fill="CCEEFF"/>
          </w:tcPr>
          <w:p>
            <w:pPr>
              <w:ind w:left="26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880" w:type="dxa"/>
            <w:vAlign w:val="bottom"/>
            <w:gridSpan w:val="14"/>
            <w:shd w:val="clear" w:color="auto" w:fill="CCEEFF"/>
          </w:tcPr>
          <w:p>
            <w:pPr>
              <w:ind w:left="26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880" w:type="dxa"/>
            <w:vAlign w:val="bottom"/>
            <w:gridSpan w:val="14"/>
          </w:tcPr>
          <w:p>
            <w:pPr>
              <w:ind w:left="260"/>
              <w:spacing w:after="0"/>
              <w:rPr>
                <w:sz w:val="20"/>
                <w:szCs w:val="20"/>
                <w:color w:val="auto"/>
              </w:rPr>
            </w:pPr>
            <w:r>
              <w:rPr>
                <w:rFonts w:ascii="Arial" w:cs="Arial" w:eastAsia="Arial" w:hAnsi="Arial"/>
                <w:sz w:val="18"/>
                <w:szCs w:val="18"/>
                <w:b w:val="1"/>
                <w:bCs w:val="1"/>
                <w:color w:val="auto"/>
              </w:rPr>
              <w:t>OTHER INFORMATION</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880" w:type="dxa"/>
            <w:vAlign w:val="bottom"/>
            <w:gridSpan w:val="14"/>
            <w:shd w:val="clear" w:color="auto" w:fill="CCEEFF"/>
          </w:tcPr>
          <w:p>
            <w:pPr>
              <w:ind w:left="26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880" w:type="dxa"/>
            <w:vAlign w:val="bottom"/>
            <w:gridSpan w:val="14"/>
            <w:shd w:val="clear" w:color="auto" w:fill="CCEEFF"/>
          </w:tcPr>
          <w:p>
            <w:pPr>
              <w:ind w:left="26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gridSpan w:val="3"/>
          </w:tcPr>
          <w:p>
            <w:pPr>
              <w:spacing w:after="0"/>
              <w:rPr>
                <w:sz w:val="24"/>
                <w:szCs w:val="24"/>
                <w:color w:val="auto"/>
              </w:rPr>
            </w:pPr>
          </w:p>
        </w:tc>
        <w:tc>
          <w:tcPr>
            <w:tcW w:w="5140" w:type="dxa"/>
            <w:vAlign w:val="bottom"/>
            <w:tcBorders>
              <w:top w:val="single" w:sz="8" w:color="CCEEFF"/>
            </w:tcBorders>
            <w:gridSpan w:val="5"/>
          </w:tcPr>
          <w:p>
            <w:pPr>
              <w:jc w:val="right"/>
              <w:ind w:right="1240"/>
              <w:spacing w:after="0"/>
              <w:rPr>
                <w:sz w:val="20"/>
                <w:szCs w:val="20"/>
                <w:color w:val="auto"/>
              </w:rPr>
            </w:pPr>
            <w:r>
              <w:rPr>
                <w:rFonts w:ascii="Arial" w:cs="Arial" w:eastAsia="Arial" w:hAnsi="Arial"/>
                <w:sz w:val="14"/>
                <w:szCs w:val="14"/>
                <w:color w:val="auto"/>
              </w:rPr>
              <w:t>3</w:t>
            </w:r>
          </w:p>
        </w:tc>
        <w:tc>
          <w:tcPr>
            <w:tcW w:w="700" w:type="dxa"/>
            <w:vAlign w:val="bottom"/>
            <w:tcBorders>
              <w:top w:val="single" w:sz="8" w:color="CCEEFF"/>
            </w:tcBorders>
          </w:tcPr>
          <w:p>
            <w:pPr>
              <w:spacing w:after="0"/>
              <w:rPr>
                <w:sz w:val="24"/>
                <w:szCs w:val="24"/>
                <w:color w:val="auto"/>
              </w:rPr>
            </w:pPr>
          </w:p>
        </w:tc>
        <w:tc>
          <w:tcPr>
            <w:tcW w:w="16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1" w:right="19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7860" w:type="dxa"/>
            <w:vAlign w:val="bottom"/>
          </w:tcPr>
          <w:p>
            <w:pPr>
              <w:ind w:left="80"/>
              <w:spacing w:after="0"/>
              <w:rPr>
                <w:sz w:val="20"/>
                <w:szCs w:val="20"/>
                <w:color w:val="auto"/>
              </w:rPr>
            </w:pPr>
            <w:r>
              <w:rPr>
                <w:rFonts w:ascii="Arial" w:cs="Arial" w:eastAsia="Arial" w:hAnsi="Arial"/>
                <w:sz w:val="18"/>
                <w:szCs w:val="18"/>
                <w:b w:val="1"/>
                <w:bCs w:val="1"/>
                <w:color w:val="auto"/>
              </w:rPr>
              <w:t>FINANCIAL INFORMATION</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7860" w:type="dxa"/>
            <w:vAlign w:val="bottom"/>
          </w:tcPr>
          <w:p>
            <w:pPr>
              <w:ind w:left="80"/>
              <w:spacing w:after="0"/>
              <w:rPr>
                <w:sz w:val="20"/>
                <w:szCs w:val="20"/>
                <w:color w:val="auto"/>
              </w:rPr>
            </w:pPr>
            <w:r>
              <w:rPr>
                <w:rFonts w:ascii="Arial" w:cs="Arial" w:eastAsia="Arial" w:hAnsi="Arial"/>
                <w:sz w:val="18"/>
                <w:szCs w:val="18"/>
                <w:b w:val="1"/>
                <w:bCs w:val="1"/>
                <w:color w:val="auto"/>
              </w:rPr>
              <w:t>CONDENSED CONSOLIDATED FINANCIAL STATEMENTS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6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PHOTRONICS, INC. AND SUBSIDIARIES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60" w:type="dxa"/>
            <w:vAlign w:val="bottom"/>
          </w:tcPr>
          <w:p>
            <w:pPr>
              <w:jc w:val="center"/>
              <w:ind w:left="1990"/>
              <w:spacing w:after="0"/>
              <w:rPr>
                <w:sz w:val="20"/>
                <w:szCs w:val="20"/>
                <w:color w:val="auto"/>
              </w:rPr>
            </w:pPr>
            <w:r>
              <w:rPr>
                <w:rFonts w:ascii="Arial" w:cs="Arial" w:eastAsia="Arial" w:hAnsi="Arial"/>
                <w:sz w:val="18"/>
                <w:szCs w:val="18"/>
                <w:color w:val="auto"/>
                <w:w w:val="88"/>
              </w:rPr>
              <w:t>Condensed Consolidated Balance Sheets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60" w:type="dxa"/>
            <w:vAlign w:val="bottom"/>
          </w:tcPr>
          <w:p>
            <w:pPr>
              <w:jc w:val="center"/>
              <w:ind w:left="201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60" w:type="dxa"/>
            <w:vAlign w:val="bottom"/>
          </w:tcPr>
          <w:p>
            <w:pPr>
              <w:jc w:val="center"/>
              <w:ind w:left="2010"/>
              <w:spacing w:after="0"/>
              <w:rPr>
                <w:sz w:val="20"/>
                <w:szCs w:val="20"/>
                <w:color w:val="auto"/>
              </w:rPr>
            </w:pPr>
            <w:r>
              <w:rPr>
                <w:rFonts w:ascii="Arial" w:cs="Arial" w:eastAsia="Arial" w:hAnsi="Arial"/>
                <w:sz w:val="18"/>
                <w:szCs w:val="18"/>
                <w:i w:val="1"/>
                <w:iCs w:val="1"/>
                <w:color w:val="auto"/>
                <w:w w:val="92"/>
              </w:rPr>
              <w:t>(unaudited)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July 28,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w w:val="99"/>
              </w:rPr>
              <w:t>ASSETS</w:t>
            </w:r>
          </w:p>
        </w:tc>
        <w:tc>
          <w:tcPr>
            <w:tcW w:w="7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0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197,271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 of allowance of $3,449 in 2013 and $3,902 in 2012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82,573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14,476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spacing w:after="0"/>
              <w:rPr>
                <w:sz w:val="20"/>
                <w:szCs w:val="20"/>
                <w:color w:val="auto"/>
              </w:rPr>
            </w:pPr>
            <w:r>
              <w:rPr>
                <w:rFonts w:ascii="Arial" w:cs="Arial" w:eastAsia="Arial" w:hAnsi="Arial"/>
                <w:sz w:val="18"/>
                <w:szCs w:val="18"/>
                <w:color w:val="auto"/>
              </w:rPr>
              <w:t>Investment in joint venture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93,030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11,395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879,378</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849,234</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3"/>
          </w:tcPr>
          <w:p>
            <w:pPr>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portion of long-term borrowings</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84,790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53,031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CCEEFF"/>
            </w:tcBorders>
            <w:gridSpan w:val="3"/>
          </w:tcPr>
          <w:p>
            <w:pPr>
              <w:ind w:left="1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120,350</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85,513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3"/>
          </w:tcPr>
          <w:p>
            <w:pPr>
              <w:spacing w:after="0"/>
              <w:rPr>
                <w:sz w:val="20"/>
                <w:szCs w:val="20"/>
                <w:color w:val="auto"/>
              </w:rPr>
            </w:pPr>
            <w:r>
              <w:rPr>
                <w:rFonts w:ascii="Arial" w:cs="Arial" w:eastAsia="Arial" w:hAnsi="Arial"/>
                <w:sz w:val="18"/>
                <w:szCs w:val="18"/>
                <w:color w:val="auto"/>
              </w:rPr>
              <w:t>Long-term borrowings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168,956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313,563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263,233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Equity:</w:t>
            </w:r>
          </w:p>
        </w:tc>
        <w:tc>
          <w:tcPr>
            <w:tcW w:w="7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0"/>
              </w:rPr>
              <w:t>Common stock, $0.01 par value, 150,000 shares authorized, 60,971 shares issued and outstanding at July 28, 2013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gridSpan w:val="3"/>
          </w:tcPr>
          <w:p>
            <w:pPr>
              <w:ind w:left="280"/>
              <w:spacing w:after="0"/>
              <w:rPr>
                <w:sz w:val="20"/>
                <w:szCs w:val="20"/>
                <w:color w:val="auto"/>
              </w:rPr>
            </w:pPr>
            <w:r>
              <w:rPr>
                <w:rFonts w:ascii="Arial" w:cs="Arial" w:eastAsia="Arial" w:hAnsi="Arial"/>
                <w:sz w:val="18"/>
                <w:szCs w:val="18"/>
                <w:color w:val="auto"/>
              </w:rPr>
              <w:t>and 60,213 at October 28, 2012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3"/>
          </w:tcPr>
          <w:p>
            <w:pPr>
              <w:ind w:left="16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54,599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41,473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CCEEFF"/>
            </w:tcBorders>
            <w:gridSpan w:val="3"/>
          </w:tcPr>
          <w:p>
            <w:pPr>
              <w:ind w:left="160"/>
              <w:spacing w:after="0"/>
              <w:rPr>
                <w:sz w:val="20"/>
                <w:szCs w:val="20"/>
                <w:color w:val="auto"/>
              </w:rPr>
            </w:pPr>
            <w:r>
              <w:rPr>
                <w:rFonts w:ascii="Arial" w:cs="Arial" w:eastAsia="Arial" w:hAnsi="Arial"/>
                <w:sz w:val="18"/>
                <w:szCs w:val="18"/>
                <w:color w:val="auto"/>
              </w:rPr>
              <w:t>Total Photronics, Inc. shareholders' equity</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562,823</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551,386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3"/>
          </w:tcPr>
          <w:p>
            <w:pPr>
              <w:spacing w:after="0"/>
              <w:rPr>
                <w:sz w:val="20"/>
                <w:szCs w:val="20"/>
                <w:color w:val="auto"/>
              </w:rPr>
            </w:pPr>
            <w:r>
              <w:rPr>
                <w:rFonts w:ascii="Arial" w:cs="Arial" w:eastAsia="Arial" w:hAnsi="Arial"/>
                <w:sz w:val="18"/>
                <w:szCs w:val="18"/>
                <w:color w:val="auto"/>
              </w:rPr>
              <w:t>Total equity</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565,815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586,001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879,378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849,234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41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160" w:type="dxa"/>
            <w:vAlign w:val="bottom"/>
            <w:gridSpan w:val="5"/>
          </w:tcPr>
          <w:p>
            <w:pPr>
              <w:jc w:val="center"/>
              <w:ind w:left="3530"/>
              <w:spacing w:after="0"/>
              <w:rPr>
                <w:sz w:val="20"/>
                <w:szCs w:val="20"/>
                <w:color w:val="auto"/>
              </w:rPr>
            </w:pPr>
            <w:r>
              <w:rPr>
                <w:rFonts w:ascii="Arial" w:cs="Arial" w:eastAsia="Arial" w:hAnsi="Arial"/>
                <w:sz w:val="18"/>
                <w:szCs w:val="18"/>
                <w:b w:val="1"/>
                <w:bCs w:val="1"/>
                <w:color w:val="auto"/>
                <w:w w:val="99"/>
              </w:rPr>
              <w:t>PHOTRONICS, INC. AND SUBSIDIARIES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340" w:type="dxa"/>
            <w:vAlign w:val="bottom"/>
            <w:gridSpan w:val="6"/>
          </w:tcPr>
          <w:p>
            <w:pPr>
              <w:jc w:val="center"/>
              <w:ind w:left="3350"/>
              <w:spacing w:after="0"/>
              <w:rPr>
                <w:sz w:val="20"/>
                <w:szCs w:val="20"/>
                <w:color w:val="auto"/>
              </w:rPr>
            </w:pPr>
            <w:r>
              <w:rPr>
                <w:rFonts w:ascii="Arial" w:cs="Arial" w:eastAsia="Arial" w:hAnsi="Arial"/>
                <w:sz w:val="18"/>
                <w:szCs w:val="18"/>
                <w:b w:val="1"/>
                <w:bCs w:val="1"/>
                <w:color w:val="auto"/>
                <w:w w:val="88"/>
              </w:rPr>
              <w:t>Condensed Consolidated Statements of Income</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380" w:type="dxa"/>
            <w:vAlign w:val="bottom"/>
            <w:gridSpan w:val="4"/>
          </w:tcPr>
          <w:p>
            <w:pPr>
              <w:jc w:val="center"/>
              <w:ind w:right="16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160" w:type="dxa"/>
            <w:vAlign w:val="bottom"/>
            <w:gridSpan w:val="2"/>
          </w:tcPr>
          <w:p>
            <w:pPr>
              <w:jc w:val="center"/>
              <w:ind w:left="970"/>
              <w:spacing w:after="0"/>
              <w:rPr>
                <w:sz w:val="20"/>
                <w:szCs w:val="20"/>
                <w:color w:val="auto"/>
              </w:rPr>
            </w:pPr>
            <w:r>
              <w:rPr>
                <w:rFonts w:ascii="Arial" w:cs="Arial" w:eastAsia="Arial" w:hAnsi="Arial"/>
                <w:sz w:val="18"/>
                <w:szCs w:val="18"/>
                <w:b w:val="1"/>
                <w:bCs w:val="1"/>
                <w:i w:val="1"/>
                <w:iCs w:val="1"/>
                <w:color w:val="auto"/>
                <w:w w:val="87"/>
              </w:rPr>
              <w:t>(unaudited)</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24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July 28,</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29,</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rPr>
              <w:t>July 28,</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109,652</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116,616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316,171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346,220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(82,574)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(84,312)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(243,206)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(12,068)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(11,784)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(4,985)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Consolidation, restructuring and related charges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23,299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37,023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Interest and other income (expense), net</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1,245</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9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9,053</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14,525</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14,665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25,638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(424)</w:t>
            </w: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1"/>
              </w:rPr>
              <w:t>Net income attributable to Photronics, Inc. shareholders</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5,940</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10,950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13,126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Weighted-average number of common shares outstanding: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60,746</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60,121</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60,008</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60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160" w:type="dxa"/>
            <w:vAlign w:val="bottom"/>
          </w:tcPr>
          <w:p>
            <w:pPr>
              <w:jc w:val="right"/>
              <w:spacing w:after="0"/>
              <w:rPr>
                <w:sz w:val="20"/>
                <w:szCs w:val="20"/>
                <w:color w:val="auto"/>
              </w:rPr>
            </w:pPr>
            <w:r>
              <w:rPr>
                <w:rFonts w:ascii="Arial" w:cs="Arial" w:eastAsia="Arial" w:hAnsi="Arial"/>
                <w:sz w:val="18"/>
                <w:szCs w:val="18"/>
                <w:color w:val="auto"/>
              </w:rPr>
              <w:t>66,177</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76,436</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61,478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76,460</w:t>
            </w:r>
          </w:p>
        </w:tc>
      </w:tr>
      <w:tr>
        <w:trPr>
          <w:trHeight w:val="21"/>
        </w:trPr>
        <w:tc>
          <w:tcPr>
            <w:tcW w:w="60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4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July 28,</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29,</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rPr>
              <w:t>July 28,</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14,665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 of $0: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cash flow hedge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(7,003)</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(6,491)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4,734</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4,945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7,465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16,327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2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880" w:type="dxa"/>
            <w:vAlign w:val="bottom"/>
          </w:tcPr>
          <w:p>
            <w:pPr>
              <w:jc w:val="center"/>
              <w:ind w:left="2810"/>
              <w:spacing w:after="0"/>
              <w:rPr>
                <w:sz w:val="20"/>
                <w:szCs w:val="20"/>
                <w:color w:val="auto"/>
              </w:rPr>
            </w:pPr>
            <w:r>
              <w:rPr>
                <w:rFonts w:ascii="Arial" w:cs="Arial" w:eastAsia="Arial" w:hAnsi="Arial"/>
                <w:sz w:val="18"/>
                <w:szCs w:val="18"/>
                <w:b w:val="1"/>
                <w:bCs w:val="1"/>
                <w:color w:val="auto"/>
                <w:w w:val="99"/>
              </w:rPr>
              <w:t>PHOTRONICS, INC. AND SUBSIDIARIES</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jc w:val="center"/>
              <w:ind w:left="2830"/>
              <w:spacing w:after="0"/>
              <w:rPr>
                <w:sz w:val="20"/>
                <w:szCs w:val="20"/>
                <w:color w:val="auto"/>
              </w:rPr>
            </w:pPr>
            <w:r>
              <w:rPr>
                <w:rFonts w:ascii="Arial" w:cs="Arial" w:eastAsia="Arial" w:hAnsi="Arial"/>
                <w:sz w:val="18"/>
                <w:szCs w:val="18"/>
                <w:color w:val="auto"/>
                <w:w w:val="89"/>
              </w:rPr>
              <w:t>Condensed Consolidated Statements of Cash Flows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jc w:val="center"/>
              <w:ind w:left="2810"/>
              <w:spacing w:after="0"/>
              <w:rPr>
                <w:sz w:val="20"/>
                <w:szCs w:val="20"/>
                <w:color w:val="auto"/>
              </w:rPr>
            </w:pPr>
            <w:r>
              <w:rPr>
                <w:rFonts w:ascii="Arial" w:cs="Arial" w:eastAsia="Arial" w:hAnsi="Arial"/>
                <w:sz w:val="18"/>
                <w:szCs w:val="18"/>
                <w:i w:val="1"/>
                <w:iCs w:val="1"/>
                <w:color w:val="auto"/>
                <w:w w:val="89"/>
              </w:rPr>
              <w:t>(in thousands)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80" w:type="dxa"/>
            <w:vAlign w:val="bottom"/>
          </w:tcPr>
          <w:p>
            <w:pPr>
              <w:jc w:val="center"/>
              <w:ind w:left="2830"/>
              <w:spacing w:after="0"/>
              <w:rPr>
                <w:sz w:val="20"/>
                <w:szCs w:val="20"/>
                <w:color w:val="auto"/>
              </w:rPr>
            </w:pPr>
            <w:r>
              <w:rPr>
                <w:rFonts w:ascii="Arial" w:cs="Arial" w:eastAsia="Arial" w:hAnsi="Arial"/>
                <w:sz w:val="18"/>
                <w:szCs w:val="18"/>
                <w:i w:val="1"/>
                <w:iCs w:val="1"/>
                <w:color w:val="auto"/>
                <w:w w:val="92"/>
              </w:rPr>
              <w:t>(unaudited)</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w w:val="99"/>
              </w:rPr>
              <w:t>July 28,</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14,665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20"/>
              <w:spacing w:after="0"/>
              <w:rPr>
                <w:sz w:val="20"/>
                <w:szCs w:val="20"/>
                <w:color w:val="auto"/>
              </w:rPr>
            </w:pPr>
            <w:r>
              <w:rPr>
                <w:rFonts w:ascii="Arial" w:cs="Arial" w:eastAsia="Arial" w:hAnsi="Arial"/>
                <w:sz w:val="18"/>
                <w:szCs w:val="18"/>
                <w:color w:val="auto"/>
              </w:rPr>
              <w:t>Consolidation, restructuring and related charges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(8,494)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(6,540)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accrued liabilities and other</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67,554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(47,281)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in joint venture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(49,911)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long-term borrowings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Repayments of long-term borrowings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(4,990)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of common stock of subsidiary</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Payments of deferred financing fees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share-based arrangements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(35,942)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(20,772)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218,043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189,928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197,271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197,295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 of non-cash information:</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Accrual for property, plant and equipment purchased during the period</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27,572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Capital lease obligation for purchase of equipment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22,927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Deposit related to facility purchase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Three Months and Nine Months Ended July 28, 2013 and July 29, 2012</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56" w:lineRule="exact"/>
        <w:rPr>
          <w:sz w:val="20"/>
          <w:szCs w:val="20"/>
          <w:color w:val="auto"/>
        </w:rPr>
      </w:pPr>
    </w:p>
    <w:p>
      <w:pPr>
        <w:ind w:right="120" w:firstLine="162"/>
        <w:spacing w:after="0" w:line="297" w:lineRule="auto"/>
        <w:rPr>
          <w:sz w:val="20"/>
          <w:szCs w:val="20"/>
          <w:color w:val="auto"/>
        </w:rPr>
      </w:pPr>
      <w:r>
        <w:rPr>
          <w:rFonts w:ascii="Arial" w:cs="Arial" w:eastAsia="Arial" w:hAnsi="Arial"/>
          <w:sz w:val="16"/>
          <w:szCs w:val="16"/>
          <w:color w:val="auto"/>
        </w:rPr>
        <w:t>Photronics, Inc. and its subsidiaries ("Photronics" or the "Company")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eight manufacturing facilities, two of which are located in Europe, two in Taiwan, one in Korea, and three in the United States.</w:t>
      </w:r>
    </w:p>
    <w:p>
      <w:pPr>
        <w:spacing w:after="0" w:line="185" w:lineRule="exact"/>
        <w:rPr>
          <w:sz w:val="20"/>
          <w:szCs w:val="20"/>
          <w:color w:val="auto"/>
        </w:rPr>
      </w:pPr>
    </w:p>
    <w:p>
      <w:pPr>
        <w:ind w:right="100" w:firstLine="162"/>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all adjustments considered necessary for a fair presentation have been included. Operating results for the interim period are not necessarily indicative of the results that may be expected for the fiscal year ending November 3, 2013. For further information, refer to the consolidated financial statements and footnotes thereto included in the Company's Annual Report on Form 10-K for the year ended October 28,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CHANGES IN EQUITY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set forth the Company's consolidated changes in equity for the three and nine month periods ended July 28, 2013 and July 29, 2012:</w:t>
      </w:r>
    </w:p>
    <w:p>
      <w:pPr>
        <w:spacing w:after="0" w:line="271"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Three Months Ended July 28,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17145</wp:posOffset>
            </wp:positionV>
            <wp:extent cx="5436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36870" cy="17145"/>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Photronics, Inc.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17145</wp:posOffset>
            </wp:positionV>
            <wp:extent cx="38760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6040" cy="171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April 29,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Other comprehensive loss Sale of common stock through</w:t>
      </w:r>
    </w:p>
    <w:p>
      <w:pPr>
        <w:spacing w:after="0" w:line="1" w:lineRule="exact"/>
        <w:rPr>
          <w:sz w:val="20"/>
          <w:szCs w:val="20"/>
          <w:color w:val="auto"/>
        </w:rPr>
      </w:pPr>
    </w:p>
    <w:p>
      <w:pPr>
        <w:ind w:left="140" w:right="500"/>
        <w:spacing w:after="0" w:line="250" w:lineRule="auto"/>
        <w:rPr>
          <w:sz w:val="20"/>
          <w:szCs w:val="20"/>
          <w:color w:val="auto"/>
        </w:rPr>
      </w:pPr>
      <w:r>
        <w:rPr>
          <w:rFonts w:ascii="Arial" w:cs="Arial" w:eastAsia="Arial" w:hAnsi="Arial"/>
          <w:sz w:val="18"/>
          <w:szCs w:val="18"/>
          <w:color w:val="auto"/>
        </w:rPr>
        <w:t>employee stock option and purchase plans</w:t>
      </w:r>
    </w:p>
    <w:p>
      <w:pPr>
        <w:spacing w:after="0" w:line="1" w:lineRule="exact"/>
        <w:rPr>
          <w:sz w:val="20"/>
          <w:szCs w:val="20"/>
          <w:color w:val="auto"/>
        </w:rPr>
      </w:pPr>
    </w:p>
    <w:p>
      <w:pPr>
        <w:ind w:left="140" w:hanging="129"/>
        <w:spacing w:after="0" w:line="250" w:lineRule="auto"/>
        <w:rPr>
          <w:sz w:val="20"/>
          <w:szCs w:val="20"/>
          <w:color w:val="auto"/>
        </w:rPr>
      </w:pPr>
      <w:r>
        <w:rPr>
          <w:rFonts w:ascii="Arial" w:cs="Arial" w:eastAsia="Arial" w:hAnsi="Arial"/>
          <w:sz w:val="18"/>
          <w:szCs w:val="18"/>
          <w:color w:val="auto"/>
        </w:rPr>
        <w:t>Restricted stock awards vesting and expense</w:t>
      </w:r>
    </w:p>
    <w:p>
      <w:pPr>
        <w:spacing w:after="0" w:line="1"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Share-based compensation expense Purchase of common stock of</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subsidiary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60" w:type="dxa"/>
            <w:vAlign w:val="bottom"/>
            <w:gridSpan w:val="5"/>
            <w:vMerge w:val="restart"/>
          </w:tcPr>
          <w:p>
            <w:pPr>
              <w:ind w:left="5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46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7"/>
                <w:szCs w:val="17"/>
                <w:color w:val="auto"/>
              </w:rPr>
            </w:pPr>
          </w:p>
        </w:tc>
        <w:tc>
          <w:tcPr>
            <w:tcW w:w="110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4"/>
              </w:rPr>
              <w:t>Retained</w:t>
            </w:r>
          </w:p>
        </w:tc>
        <w:tc>
          <w:tcPr>
            <w:tcW w:w="134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Equity</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60,598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496,204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48,659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11,416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30,562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587,447</w:t>
            </w:r>
          </w:p>
        </w:tc>
        <w:tc>
          <w:tcPr>
            <w:tcW w:w="0" w:type="dxa"/>
            <w:vAlign w:val="bottom"/>
          </w:tcPr>
          <w:p>
            <w:pPr>
              <w:spacing w:after="0"/>
              <w:rPr>
                <w:sz w:val="1"/>
                <w:szCs w:val="1"/>
                <w:color w:val="auto"/>
              </w:rPr>
            </w:pPr>
          </w:p>
        </w:tc>
      </w:tr>
      <w:tr>
        <w:trPr>
          <w:trHeight w:val="418"/>
        </w:trPr>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5,940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30"/>
        </w:trPr>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(1,205)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648"/>
        </w:trPr>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4"/>
                <w:szCs w:val="24"/>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94"/>
        </w:trPr>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324"/>
        </w:trPr>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(27,596)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(27,438)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-1577340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-1303020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-1028700</wp:posOffset>
            </wp:positionV>
            <wp:extent cx="724662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-342265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2">
            <w:col w:w="2580" w:space="160"/>
            <w:col w:w="8720"/>
          </w:cols>
          <w:pgMar w:left="240" w:top="121" w:right="19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 exercise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b w:val="1"/>
                <w:bCs w:val="1"/>
                <w:color w:val="auto"/>
              </w:rPr>
              <w:t>Balance at July 28, 2013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60,971</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610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497,605</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54,599</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10,009</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2,992</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565,815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396"/>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7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1" w:right="199" w:bottom="144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April 30,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Other comprehensive loss Sale of common stock through</w:t>
      </w:r>
    </w:p>
    <w:p>
      <w:pPr>
        <w:spacing w:after="0" w:line="1" w:lineRule="exact"/>
        <w:rPr>
          <w:sz w:val="20"/>
          <w:szCs w:val="20"/>
          <w:color w:val="auto"/>
        </w:rPr>
      </w:pPr>
    </w:p>
    <w:p>
      <w:pPr>
        <w:ind w:left="140" w:right="500"/>
        <w:spacing w:after="0" w:line="250" w:lineRule="auto"/>
        <w:rPr>
          <w:sz w:val="20"/>
          <w:szCs w:val="20"/>
          <w:color w:val="auto"/>
        </w:rPr>
      </w:pPr>
      <w:r>
        <w:rPr>
          <w:rFonts w:ascii="Arial" w:cs="Arial" w:eastAsia="Arial" w:hAnsi="Arial"/>
          <w:sz w:val="18"/>
          <w:szCs w:val="18"/>
          <w:color w:val="auto"/>
        </w:rPr>
        <w:t>employee stock option and purchase plans</w:t>
      </w:r>
    </w:p>
    <w:p>
      <w:pPr>
        <w:spacing w:after="0" w:line="1" w:lineRule="exact"/>
        <w:rPr>
          <w:sz w:val="20"/>
          <w:szCs w:val="20"/>
          <w:color w:val="auto"/>
        </w:rPr>
      </w:pPr>
    </w:p>
    <w:p>
      <w:pPr>
        <w:ind w:left="140" w:hanging="129"/>
        <w:spacing w:after="0" w:line="250" w:lineRule="auto"/>
        <w:rPr>
          <w:sz w:val="20"/>
          <w:szCs w:val="20"/>
          <w:color w:val="auto"/>
        </w:rPr>
      </w:pPr>
      <w:r>
        <w:rPr>
          <w:rFonts w:ascii="Arial" w:cs="Arial" w:eastAsia="Arial" w:hAnsi="Arial"/>
          <w:sz w:val="18"/>
          <w:szCs w:val="18"/>
          <w:color w:val="auto"/>
        </w:rPr>
        <w:t>Restricted stock awards vesting and expense</w:t>
      </w:r>
    </w:p>
    <w:p>
      <w:pPr>
        <w:spacing w:after="0" w:line="1" w:lineRule="exact"/>
        <w:rPr>
          <w:sz w:val="20"/>
          <w:szCs w:val="20"/>
          <w:color w:val="auto"/>
        </w:rPr>
      </w:pPr>
    </w:p>
    <w:p>
      <w:pPr>
        <w:jc w:val="both"/>
        <w:ind w:right="20"/>
        <w:spacing w:after="0" w:line="300" w:lineRule="auto"/>
        <w:rPr>
          <w:sz w:val="20"/>
          <w:szCs w:val="20"/>
          <w:color w:val="auto"/>
        </w:rPr>
      </w:pPr>
      <w:r>
        <w:rPr>
          <w:rFonts w:ascii="Arial" w:cs="Arial" w:eastAsia="Arial" w:hAnsi="Arial"/>
          <w:sz w:val="15"/>
          <w:szCs w:val="15"/>
          <w:color w:val="auto"/>
        </w:rPr>
        <w:t>Share-based compensation expense Purchase of common stock of</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subsidiary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July 29,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October 29,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Other comprehensive loss Sale of common stock through</w:t>
      </w:r>
    </w:p>
    <w:p>
      <w:pPr>
        <w:spacing w:after="0" w:line="1" w:lineRule="exact"/>
        <w:rPr>
          <w:sz w:val="20"/>
          <w:szCs w:val="20"/>
          <w:color w:val="auto"/>
        </w:rPr>
      </w:pPr>
    </w:p>
    <w:p>
      <w:pPr>
        <w:ind w:left="140" w:right="500"/>
        <w:spacing w:after="0" w:line="250" w:lineRule="auto"/>
        <w:rPr>
          <w:sz w:val="20"/>
          <w:szCs w:val="20"/>
          <w:color w:val="auto"/>
        </w:rPr>
      </w:pPr>
      <w:r>
        <w:rPr>
          <w:rFonts w:ascii="Arial" w:cs="Arial" w:eastAsia="Arial" w:hAnsi="Arial"/>
          <w:sz w:val="18"/>
          <w:szCs w:val="18"/>
          <w:color w:val="auto"/>
        </w:rPr>
        <w:t>employee stock option and purchase plans</w:t>
      </w:r>
    </w:p>
    <w:p>
      <w:pPr>
        <w:spacing w:after="0" w:line="1" w:lineRule="exact"/>
        <w:rPr>
          <w:sz w:val="20"/>
          <w:szCs w:val="20"/>
          <w:color w:val="auto"/>
        </w:rPr>
      </w:pPr>
    </w:p>
    <w:p>
      <w:pPr>
        <w:ind w:left="140" w:hanging="129"/>
        <w:spacing w:after="0" w:line="250" w:lineRule="auto"/>
        <w:rPr>
          <w:sz w:val="20"/>
          <w:szCs w:val="20"/>
          <w:color w:val="auto"/>
        </w:rPr>
      </w:pPr>
      <w:r>
        <w:rPr>
          <w:rFonts w:ascii="Arial" w:cs="Arial" w:eastAsia="Arial" w:hAnsi="Arial"/>
          <w:sz w:val="18"/>
          <w:szCs w:val="18"/>
          <w:color w:val="auto"/>
        </w:rPr>
        <w:t>Restricted stock awards vesting and expense</w:t>
      </w:r>
    </w:p>
    <w:p>
      <w:pPr>
        <w:spacing w:after="0" w:line="1" w:lineRule="exact"/>
        <w:rPr>
          <w:sz w:val="20"/>
          <w:szCs w:val="20"/>
          <w:color w:val="auto"/>
        </w:rPr>
      </w:pPr>
    </w:p>
    <w:p>
      <w:pPr>
        <w:jc w:val="both"/>
        <w:ind w:right="20"/>
        <w:spacing w:after="0" w:line="300" w:lineRule="auto"/>
        <w:rPr>
          <w:sz w:val="20"/>
          <w:szCs w:val="20"/>
          <w:color w:val="auto"/>
        </w:rPr>
      </w:pPr>
      <w:r>
        <w:rPr>
          <w:rFonts w:ascii="Arial" w:cs="Arial" w:eastAsia="Arial" w:hAnsi="Arial"/>
          <w:sz w:val="15"/>
          <w:szCs w:val="15"/>
          <w:color w:val="auto"/>
        </w:rPr>
        <w:t>Share-based compensation expense Common stock warrants exercised Purchase of common stock of</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subsidiary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July 28,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October 31,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Other comprehensive income (loss) Sale of common stock through</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employee</w:t>
      </w:r>
    </w:p>
    <w:p>
      <w:pPr>
        <w:spacing w:after="0" w:line="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stock option and purchase plans Restricted stock awards vesting and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expense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Share-based compensation expense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Common stock warrants exercised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 of common stock of</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subsidiary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at July 29, 2012</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Three Months Ended July 29, 2012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540" w:type="dxa"/>
            <w:vAlign w:val="bottom"/>
            <w:tcBorders>
              <w:top w:val="single" w:sz="8" w:color="auto"/>
              <w:bottom w:val="single" w:sz="8" w:color="auto"/>
            </w:tcBorders>
            <w:gridSpan w:val="8"/>
          </w:tcPr>
          <w:p>
            <w:pPr>
              <w:jc w:val="right"/>
              <w:ind w:right="720"/>
              <w:spacing w:after="0"/>
              <w:rPr>
                <w:sz w:val="20"/>
                <w:szCs w:val="20"/>
                <w:color w:val="auto"/>
              </w:rPr>
            </w:pPr>
            <w:r>
              <w:rPr>
                <w:rFonts w:ascii="Arial" w:cs="Arial" w:eastAsia="Arial" w:hAnsi="Arial"/>
                <w:sz w:val="18"/>
                <w:szCs w:val="18"/>
                <w:b w:val="1"/>
                <w:bCs w:val="1"/>
                <w:color w:val="auto"/>
              </w:rPr>
              <w:t>Photronics, Inc. Shareholders</w:t>
            </w:r>
          </w:p>
        </w:tc>
        <w:tc>
          <w:tcPr>
            <w:tcW w:w="1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460" w:type="dxa"/>
            <w:vAlign w:val="bottom"/>
            <w:gridSpan w:val="5"/>
            <w:vMerge w:val="restart"/>
          </w:tcPr>
          <w:p>
            <w:pPr>
              <w:ind w:left="5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6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7"/>
                <w:szCs w:val="17"/>
                <w:color w:val="auto"/>
              </w:rPr>
            </w:pPr>
          </w:p>
        </w:tc>
        <w:tc>
          <w:tcPr>
            <w:tcW w:w="110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Retained</w:t>
            </w:r>
          </w:p>
        </w:tc>
        <w:tc>
          <w:tcPr>
            <w:tcW w:w="13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7"/>
              </w:rPr>
              <w:t>Comprehensive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Earnings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Equity</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tcPr>
          <w:p>
            <w:pPr>
              <w:jc w:val="right"/>
              <w:spacing w:after="0"/>
              <w:rPr>
                <w:sz w:val="20"/>
                <w:szCs w:val="20"/>
                <w:color w:val="auto"/>
              </w:rPr>
            </w:pPr>
            <w:r>
              <w:rPr>
                <w:rFonts w:ascii="Arial" w:cs="Arial" w:eastAsia="Arial" w:hAnsi="Arial"/>
                <w:sz w:val="18"/>
                <w:szCs w:val="18"/>
                <w:color w:val="auto"/>
              </w:rPr>
              <w:t>60,106</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490,350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26,690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8,431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42,805</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568,877</w:t>
            </w:r>
          </w:p>
        </w:tc>
        <w:tc>
          <w:tcPr>
            <w:tcW w:w="0" w:type="dxa"/>
            <w:vAlign w:val="bottom"/>
          </w:tcPr>
          <w:p>
            <w:pPr>
              <w:spacing w:after="0"/>
              <w:rPr>
                <w:sz w:val="1"/>
                <w:szCs w:val="1"/>
                <w:color w:val="auto"/>
              </w:rPr>
            </w:pPr>
          </w:p>
        </w:tc>
      </w:tr>
      <w:tr>
        <w:trPr>
          <w:trHeight w:val="418"/>
        </w:trPr>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10,950</w:t>
            </w:r>
          </w:p>
        </w:tc>
        <w:tc>
          <w:tcPr>
            <w:tcW w:w="1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11,267</w:t>
            </w:r>
          </w:p>
        </w:tc>
        <w:tc>
          <w:tcPr>
            <w:tcW w:w="0" w:type="dxa"/>
            <w:vAlign w:val="bottom"/>
          </w:tcPr>
          <w:p>
            <w:pPr>
              <w:spacing w:after="0"/>
              <w:rPr>
                <w:sz w:val="1"/>
                <w:szCs w:val="1"/>
                <w:color w:val="auto"/>
              </w:rPr>
            </w:pPr>
          </w:p>
        </w:tc>
      </w:tr>
      <w:tr>
        <w:trPr>
          <w:trHeight w:val="230"/>
        </w:trPr>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(6,004)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(999)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(7,003)</w:t>
            </w:r>
          </w:p>
        </w:tc>
        <w:tc>
          <w:tcPr>
            <w:tcW w:w="0" w:type="dxa"/>
            <w:vAlign w:val="bottom"/>
          </w:tcPr>
          <w:p>
            <w:pPr>
              <w:spacing w:after="0"/>
              <w:rPr>
                <w:sz w:val="1"/>
                <w:szCs w:val="1"/>
                <w:color w:val="auto"/>
              </w:rPr>
            </w:pPr>
          </w:p>
        </w:tc>
      </w:tr>
      <w:tr>
        <w:trPr>
          <w:trHeight w:val="648"/>
        </w:trPr>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324"/>
        </w:trPr>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324"/>
        </w:trPr>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(4,536)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spacing w:after="0"/>
              <w:rPr>
                <w:sz w:val="10"/>
                <w:szCs w:val="10"/>
                <w:color w:val="auto"/>
              </w:rPr>
            </w:pPr>
          </w:p>
        </w:tc>
        <w:tc>
          <w:tcPr>
            <w:tcW w:w="160" w:type="dxa"/>
            <w:vAlign w:val="bottom"/>
            <w:gridSpan w:val="2"/>
          </w:tcPr>
          <w:p>
            <w:pPr>
              <w:spacing w:after="0"/>
              <w:rPr>
                <w:sz w:val="10"/>
                <w:szCs w:val="10"/>
                <w:color w:val="auto"/>
              </w:rPr>
            </w:pPr>
          </w:p>
        </w:tc>
        <w:tc>
          <w:tcPr>
            <w:tcW w:w="1060" w:type="dxa"/>
            <w:vAlign w:val="bottom"/>
            <w:gridSpan w:val="2"/>
          </w:tcPr>
          <w:p>
            <w:pPr>
              <w:spacing w:after="0"/>
              <w:rPr>
                <w:sz w:val="10"/>
                <w:szCs w:val="10"/>
                <w:color w:val="auto"/>
              </w:rPr>
            </w:pPr>
          </w:p>
        </w:tc>
        <w:tc>
          <w:tcPr>
            <w:tcW w:w="240" w:type="dxa"/>
            <w:vAlign w:val="bottom"/>
            <w:gridSpan w:val="2"/>
          </w:tcPr>
          <w:p>
            <w:pPr>
              <w:spacing w:after="0"/>
              <w:rPr>
                <w:sz w:val="10"/>
                <w:szCs w:val="10"/>
                <w:color w:val="auto"/>
              </w:rPr>
            </w:pPr>
          </w:p>
        </w:tc>
        <w:tc>
          <w:tcPr>
            <w:tcW w:w="9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60,137</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491,731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37,640</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8"/>
                <w:szCs w:val="18"/>
                <w:b w:val="1"/>
                <w:bCs w:val="1"/>
                <w:color w:val="auto"/>
              </w:rPr>
              <w:t>Nine Months Ended July 28, 2013</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8"/>
          </w:tcPr>
          <w:p>
            <w:pPr>
              <w:jc w:val="right"/>
              <w:ind w:right="720"/>
              <w:spacing w:after="0"/>
              <w:rPr>
                <w:sz w:val="20"/>
                <w:szCs w:val="20"/>
                <w:color w:val="auto"/>
              </w:rPr>
            </w:pPr>
            <w:r>
              <w:rPr>
                <w:rFonts w:ascii="Arial" w:cs="Arial" w:eastAsia="Arial" w:hAnsi="Arial"/>
                <w:sz w:val="18"/>
                <w:szCs w:val="18"/>
                <w:b w:val="1"/>
                <w:bCs w:val="1"/>
                <w:color w:val="auto"/>
              </w:rPr>
              <w:t>Photronics, Inc. Shareholders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460" w:type="dxa"/>
            <w:vAlign w:val="bottom"/>
            <w:gridSpan w:val="5"/>
            <w:vMerge w:val="restart"/>
          </w:tcPr>
          <w:p>
            <w:pPr>
              <w:ind w:left="5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6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7"/>
                <w:szCs w:val="17"/>
                <w:color w:val="auto"/>
              </w:rPr>
            </w:pPr>
          </w:p>
        </w:tc>
        <w:tc>
          <w:tcPr>
            <w:tcW w:w="110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Retained</w:t>
            </w:r>
          </w:p>
        </w:tc>
        <w:tc>
          <w:tcPr>
            <w:tcW w:w="13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7"/>
              </w:rPr>
              <w:t>Comprehensive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Earnings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Equity</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tcPr>
          <w:p>
            <w:pPr>
              <w:jc w:val="right"/>
              <w:spacing w:after="0"/>
              <w:rPr>
                <w:sz w:val="20"/>
                <w:szCs w:val="20"/>
                <w:color w:val="auto"/>
              </w:rPr>
            </w:pPr>
            <w:r>
              <w:rPr>
                <w:rFonts w:ascii="Arial" w:cs="Arial" w:eastAsia="Arial" w:hAnsi="Arial"/>
                <w:sz w:val="18"/>
                <w:szCs w:val="18"/>
                <w:color w:val="auto"/>
              </w:rPr>
              <w:t>60,213</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493,411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41,473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15,900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34,615</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586,001</w:t>
            </w:r>
          </w:p>
        </w:tc>
        <w:tc>
          <w:tcPr>
            <w:tcW w:w="0" w:type="dxa"/>
            <w:vAlign w:val="bottom"/>
          </w:tcPr>
          <w:p>
            <w:pPr>
              <w:spacing w:after="0"/>
              <w:rPr>
                <w:sz w:val="1"/>
                <w:szCs w:val="1"/>
                <w:color w:val="auto"/>
              </w:rPr>
            </w:pPr>
          </w:p>
        </w:tc>
      </w:tr>
      <w:tr>
        <w:trPr>
          <w:trHeight w:val="418"/>
        </w:trPr>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13,126</w:t>
            </w:r>
          </w:p>
        </w:tc>
        <w:tc>
          <w:tcPr>
            <w:tcW w:w="1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1,539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14,665</w:t>
            </w:r>
          </w:p>
        </w:tc>
        <w:tc>
          <w:tcPr>
            <w:tcW w:w="0" w:type="dxa"/>
            <w:vAlign w:val="bottom"/>
          </w:tcPr>
          <w:p>
            <w:pPr>
              <w:spacing w:after="0"/>
              <w:rPr>
                <w:sz w:val="1"/>
                <w:szCs w:val="1"/>
                <w:color w:val="auto"/>
              </w:rPr>
            </w:pPr>
          </w:p>
        </w:tc>
      </w:tr>
      <w:tr>
        <w:trPr>
          <w:trHeight w:val="230"/>
        </w:trPr>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(5,662)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648"/>
        </w:trPr>
        <w:tc>
          <w:tcPr>
            <w:tcW w:w="1020" w:type="dxa"/>
            <w:vAlign w:val="bottom"/>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324"/>
        </w:trPr>
        <w:tc>
          <w:tcPr>
            <w:tcW w:w="102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94"/>
        </w:trPr>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30"/>
        </w:trPr>
        <w:tc>
          <w:tcPr>
            <w:tcW w:w="1020" w:type="dxa"/>
            <w:vAlign w:val="bottom"/>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(32,333)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(31,623)</w:t>
            </w:r>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spacing w:after="0"/>
              <w:rPr>
                <w:sz w:val="10"/>
                <w:szCs w:val="10"/>
                <w:color w:val="auto"/>
              </w:rPr>
            </w:pPr>
          </w:p>
        </w:tc>
        <w:tc>
          <w:tcPr>
            <w:tcW w:w="160" w:type="dxa"/>
            <w:vAlign w:val="bottom"/>
            <w:gridSpan w:val="2"/>
          </w:tcPr>
          <w:p>
            <w:pPr>
              <w:spacing w:after="0"/>
              <w:rPr>
                <w:sz w:val="10"/>
                <w:szCs w:val="10"/>
                <w:color w:val="auto"/>
              </w:rPr>
            </w:pPr>
          </w:p>
        </w:tc>
        <w:tc>
          <w:tcPr>
            <w:tcW w:w="1060" w:type="dxa"/>
            <w:vAlign w:val="bottom"/>
            <w:gridSpan w:val="2"/>
          </w:tcPr>
          <w:p>
            <w:pPr>
              <w:spacing w:after="0"/>
              <w:rPr>
                <w:sz w:val="10"/>
                <w:szCs w:val="10"/>
                <w:color w:val="auto"/>
              </w:rPr>
            </w:pPr>
          </w:p>
        </w:tc>
        <w:tc>
          <w:tcPr>
            <w:tcW w:w="240" w:type="dxa"/>
            <w:vAlign w:val="bottom"/>
            <w:gridSpan w:val="2"/>
          </w:tcPr>
          <w:p>
            <w:pPr>
              <w:spacing w:after="0"/>
              <w:rPr>
                <w:sz w:val="10"/>
                <w:szCs w:val="10"/>
                <w:color w:val="auto"/>
              </w:rPr>
            </w:pPr>
          </w:p>
        </w:tc>
        <w:tc>
          <w:tcPr>
            <w:tcW w:w="9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60,971</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497,605</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54,599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565,815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8"/>
                <w:szCs w:val="18"/>
                <w:b w:val="1"/>
                <w:bCs w:val="1"/>
                <w:color w:val="auto"/>
              </w:rPr>
              <w:t>Nine Months Ended July 29, 2012</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8"/>
          </w:tcPr>
          <w:p>
            <w:pPr>
              <w:jc w:val="right"/>
              <w:ind w:right="720"/>
              <w:spacing w:after="0"/>
              <w:rPr>
                <w:sz w:val="20"/>
                <w:szCs w:val="20"/>
                <w:color w:val="auto"/>
              </w:rPr>
            </w:pPr>
            <w:r>
              <w:rPr>
                <w:rFonts w:ascii="Arial" w:cs="Arial" w:eastAsia="Arial" w:hAnsi="Arial"/>
                <w:sz w:val="18"/>
                <w:szCs w:val="18"/>
                <w:b w:val="1"/>
                <w:bCs w:val="1"/>
                <w:color w:val="auto"/>
              </w:rPr>
              <w:t>Photronics, Inc. Shareholders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460" w:type="dxa"/>
            <w:vAlign w:val="bottom"/>
            <w:gridSpan w:val="5"/>
            <w:vMerge w:val="restart"/>
          </w:tcPr>
          <w:p>
            <w:pPr>
              <w:ind w:left="5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6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7"/>
                <w:szCs w:val="17"/>
                <w:color w:val="auto"/>
              </w:rPr>
            </w:pPr>
          </w:p>
        </w:tc>
        <w:tc>
          <w:tcPr>
            <w:tcW w:w="110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Retained</w:t>
            </w:r>
          </w:p>
        </w:tc>
        <w:tc>
          <w:tcPr>
            <w:tcW w:w="13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7"/>
              </w:rPr>
              <w:t>Comprehensive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Earnings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Equity</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tcPr>
          <w:p>
            <w:pPr>
              <w:jc w:val="right"/>
              <w:spacing w:after="0"/>
              <w:rPr>
                <w:sz w:val="20"/>
                <w:szCs w:val="20"/>
                <w:color w:val="auto"/>
              </w:rPr>
            </w:pPr>
            <w:r>
              <w:rPr>
                <w:rFonts w:ascii="Arial" w:cs="Arial" w:eastAsia="Arial" w:hAnsi="Arial"/>
                <w:sz w:val="18"/>
                <w:szCs w:val="18"/>
                <w:color w:val="auto"/>
              </w:rPr>
              <w:t>59,651</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486,674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13,605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10,171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48,709</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559,756</w:t>
            </w:r>
          </w:p>
        </w:tc>
        <w:tc>
          <w:tcPr>
            <w:tcW w:w="0" w:type="dxa"/>
            <w:vAlign w:val="bottom"/>
          </w:tcPr>
          <w:p>
            <w:pPr>
              <w:spacing w:after="0"/>
              <w:rPr>
                <w:sz w:val="1"/>
                <w:szCs w:val="1"/>
                <w:color w:val="auto"/>
              </w:rPr>
            </w:pPr>
          </w:p>
        </w:tc>
      </w:tr>
      <w:tr>
        <w:trPr>
          <w:trHeight w:val="418"/>
        </w:trPr>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24,035</w:t>
            </w:r>
          </w:p>
        </w:tc>
        <w:tc>
          <w:tcPr>
            <w:tcW w:w="1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1,603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25,638</w:t>
            </w:r>
          </w:p>
        </w:tc>
        <w:tc>
          <w:tcPr>
            <w:tcW w:w="0" w:type="dxa"/>
            <w:vAlign w:val="bottom"/>
          </w:tcPr>
          <w:p>
            <w:pPr>
              <w:spacing w:after="0"/>
              <w:rPr>
                <w:sz w:val="1"/>
                <w:szCs w:val="1"/>
                <w:color w:val="auto"/>
              </w:rPr>
            </w:pPr>
          </w:p>
        </w:tc>
      </w:tr>
      <w:tr>
        <w:trPr>
          <w:trHeight w:val="230"/>
        </w:trPr>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(7,708)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(7,349)</w:t>
            </w:r>
          </w:p>
        </w:tc>
        <w:tc>
          <w:tcPr>
            <w:tcW w:w="0" w:type="dxa"/>
            <w:vAlign w:val="bottom"/>
          </w:tcPr>
          <w:p>
            <w:pPr>
              <w:spacing w:after="0"/>
              <w:rPr>
                <w:sz w:val="1"/>
                <w:szCs w:val="1"/>
                <w:color w:val="auto"/>
              </w:rPr>
            </w:pPr>
          </w:p>
        </w:tc>
      </w:tr>
      <w:tr>
        <w:trPr>
          <w:trHeight w:val="648"/>
        </w:trPr>
        <w:tc>
          <w:tcPr>
            <w:tcW w:w="1020" w:type="dxa"/>
            <w:vAlign w:val="bottom"/>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324"/>
        </w:trPr>
        <w:tc>
          <w:tcPr>
            <w:tcW w:w="102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310"/>
        </w:trPr>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30"/>
        </w:trPr>
        <w:tc>
          <w:tcPr>
            <w:tcW w:w="102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324"/>
        </w:trPr>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(13,084)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(11,637)</w:t>
            </w:r>
          </w:p>
        </w:tc>
        <w:tc>
          <w:tcPr>
            <w:tcW w:w="0" w:type="dxa"/>
            <w:vAlign w:val="bottom"/>
          </w:tcPr>
          <w:p>
            <w:pPr>
              <w:spacing w:after="0"/>
              <w:rPr>
                <w:sz w:val="1"/>
                <w:szCs w:val="1"/>
                <w:color w:val="auto"/>
              </w:rPr>
            </w:pPr>
          </w:p>
        </w:tc>
      </w:tr>
      <w:tr>
        <w:trPr>
          <w:trHeight w:val="115"/>
        </w:trPr>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spacing w:after="0"/>
              <w:rPr>
                <w:sz w:val="10"/>
                <w:szCs w:val="10"/>
                <w:color w:val="auto"/>
              </w:rPr>
            </w:pPr>
          </w:p>
        </w:tc>
        <w:tc>
          <w:tcPr>
            <w:tcW w:w="160" w:type="dxa"/>
            <w:vAlign w:val="bottom"/>
            <w:gridSpan w:val="2"/>
          </w:tcPr>
          <w:p>
            <w:pPr>
              <w:spacing w:after="0"/>
              <w:rPr>
                <w:sz w:val="10"/>
                <w:szCs w:val="10"/>
                <w:color w:val="auto"/>
              </w:rPr>
            </w:pPr>
          </w:p>
        </w:tc>
        <w:tc>
          <w:tcPr>
            <w:tcW w:w="1060" w:type="dxa"/>
            <w:vAlign w:val="bottom"/>
            <w:gridSpan w:val="2"/>
          </w:tcPr>
          <w:p>
            <w:pPr>
              <w:spacing w:after="0"/>
              <w:rPr>
                <w:sz w:val="10"/>
                <w:szCs w:val="10"/>
                <w:color w:val="auto"/>
              </w:rPr>
            </w:pPr>
          </w:p>
        </w:tc>
        <w:tc>
          <w:tcPr>
            <w:tcW w:w="240" w:type="dxa"/>
            <w:vAlign w:val="bottom"/>
            <w:gridSpan w:val="2"/>
          </w:tcPr>
          <w:p>
            <w:pPr>
              <w:spacing w:after="0"/>
              <w:rPr>
                <w:sz w:val="10"/>
                <w:szCs w:val="10"/>
                <w:color w:val="auto"/>
              </w:rPr>
            </w:pPr>
          </w:p>
        </w:tc>
        <w:tc>
          <w:tcPr>
            <w:tcW w:w="9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60,137</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491,731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37,640</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-8420735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-8146415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-7872095</wp:posOffset>
            </wp:positionV>
            <wp:extent cx="724662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-7185660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-6757035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-5264785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-4990465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-4716145</wp:posOffset>
            </wp:positionV>
            <wp:extent cx="724662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-4029710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-3755390</wp:posOffset>
            </wp:positionV>
            <wp:extent cx="7246620"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-1971675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-1697355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-1423035</wp:posOffset>
            </wp:positionV>
            <wp:extent cx="724662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-736600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-462280</wp:posOffset>
            </wp:positionV>
            <wp:extent cx="7246620"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160"/>
            <w:col w:w="8640"/>
          </w:cols>
          <w:pgMar w:left="240" w:top="121" w:right="279" w:bottom="183" w:gutter="0" w:footer="0" w:header="0"/>
        </w:sect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1" w:right="279" w:bottom="183"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53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NOTE 3 - PROPERTY, PLANT AND EQUIPMENT</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Property, plant and equipment consists of the following:</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28,</w:t>
            </w:r>
          </w:p>
        </w:tc>
        <w:tc>
          <w:tcPr>
            <w:tcW w:w="1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October 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101,908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1,198,309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1,197,854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86,397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26,642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1,411,974</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991,439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972,973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420,535</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380,808</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Equipment under capital leases are included in above property, plant and equipment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28,</w:t>
            </w: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October 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32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39,897</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162"/>
        <w:spacing w:after="0" w:line="279" w:lineRule="auto"/>
        <w:rPr>
          <w:sz w:val="20"/>
          <w:szCs w:val="20"/>
          <w:color w:val="auto"/>
        </w:rPr>
      </w:pPr>
      <w:r>
        <w:rPr>
          <w:rFonts w:ascii="Arial" w:cs="Arial" w:eastAsia="Arial" w:hAnsi="Arial"/>
          <w:sz w:val="17"/>
          <w:szCs w:val="17"/>
          <w:color w:val="auto"/>
        </w:rPr>
        <w:t>Depreciation expense for property, plant and equipment (excluding equipment under capital leases) was $15.3 million and $48.4 million for the three and nine month periods ended July 28, 2013, respectively, and $18.6 million and $55.7 million for the three and nine month periods ended July 29, 2012, respectively. Amortization expense for equipment under capital leases was $0.5 million and $1.6 million for the three and nine month periods ended July 28, 2013, respectively and $0.6 million and $4.3 million for the three and nine month periods ended July 29, 2012,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JOINT VENTURE, TECHNOLOGY LICENSE AND OTHER AGREEMENTS WITH MICRON TECHNOLOGY, INC.</w:t>
      </w:r>
    </w:p>
    <w:p>
      <w:pPr>
        <w:spacing w:after="0" w:line="256"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In May 2006, Photronics and Micron Technology, Inc. ("Micron") entered into the MP Mask joint venture (“MP Mask”), which develops and produces photomasks for leading-edge and advanced next generation semiconductors. At the time of the formation of the joint venture, the Company also entered into both an agreement to license photomask technology developed by Micron and certain supply agreements.</w:t>
      </w:r>
    </w:p>
    <w:p>
      <w:pPr>
        <w:spacing w:after="0" w:line="208" w:lineRule="exact"/>
        <w:rPr>
          <w:sz w:val="20"/>
          <w:szCs w:val="20"/>
          <w:color w:val="auto"/>
        </w:rPr>
      </w:pPr>
    </w:p>
    <w:p>
      <w:pPr>
        <w:ind w:firstLine="162"/>
        <w:spacing w:after="0" w:line="271" w:lineRule="auto"/>
        <w:rPr>
          <w:sz w:val="20"/>
          <w:szCs w:val="20"/>
          <w:color w:val="auto"/>
        </w:rPr>
      </w:pPr>
      <w:r>
        <w:rPr>
          <w:rFonts w:ascii="Arial" w:cs="Arial" w:eastAsia="Arial" w:hAnsi="Arial"/>
          <w:sz w:val="17"/>
          <w:szCs w:val="17"/>
          <w:color w:val="auto"/>
        </w:rPr>
        <w:t>This joint venture is a variable interest entity ("VIE") (as that term is defined in the Accounting Standards Codification ("ASC")) because all costs of the joint venture are passed on to the Company and Micron through purchase agreements they have entered into with the joint venture, and it is dependent upon the Company and Micron for any additional cash requirements. On a quarterly basis the Company reassesses whether its interest in MP Mask gives it a controlling financial interest in this VIE. The purpose of this quarterly reassessment is to identify the primary beneficiary (which is defined in the ASC as the entity that consolidates a VIE) of the VIE. As a result of the reassessment in the current quarter, the Company determined that Micron is still the primary beneficiary of the VIE, by virtue of its tie-breaking voting rights within MP Mask’s Board of Managers, thereby giving it the power to direct the activities of MP Mask that most significantly impact its economic performance, including its decision making authority in the ordinary course of business and its purchasing the majority of products produced by the VIE.</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14" w:right="31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The Company has utilized MP Mask for both high-end IC photomask production and research and development purposes. MP Mask charges its variable interest holders based on their actual usage of its facility. MP Mask separately charges for any research and development activities it engages in at the requests of its owners. The Company recorded cost of sales of $2.2 million and $7.6 million and research and development expenses of $0.2 million and $0.7 million during the three and nine month periods ended July 28, 2013. Cost of sales of $1.6 million and $5.7 million and research and development expenses of $0.2 million and $0.7 million were recorded during the three and nine month periods ended July 29, 2012. As of July 28, 2013 and October 28, 2012, the Company owed MP Mask $7.2 million and $6.4 million, respectively, and had a receivable from Micron of $5.8 million and $9.0 million, respectively, both primarily related to the aforementioned supply agreements.</w:t>
      </w:r>
    </w:p>
    <w:p>
      <w:pPr>
        <w:spacing w:after="0" w:line="216" w:lineRule="exact"/>
        <w:rPr>
          <w:sz w:val="20"/>
          <w:szCs w:val="20"/>
          <w:color w:val="auto"/>
        </w:rPr>
      </w:pPr>
    </w:p>
    <w:p>
      <w:pPr>
        <w:ind w:right="120" w:firstLine="162"/>
        <w:spacing w:after="0" w:line="271" w:lineRule="auto"/>
        <w:rPr>
          <w:sz w:val="20"/>
          <w:szCs w:val="20"/>
          <w:color w:val="auto"/>
        </w:rPr>
      </w:pPr>
      <w:r>
        <w:rPr>
          <w:rFonts w:ascii="Arial" w:cs="Arial" w:eastAsia="Arial" w:hAnsi="Arial"/>
          <w:sz w:val="17"/>
          <w:szCs w:val="17"/>
          <w:color w:val="auto"/>
        </w:rPr>
        <w:t>MP Mask is governed by a Board of Managers, appointed by Micron and the Company. Since MP Mask's inception, Micron, as a result of its majority ownership, has held majority voting power on the Board of Managers. The voting power held by each party is subject to change as ownership interests change. Under the MP Mask joint venture operating agreement, the Company may be required to make additional capital contributions to MP Mask up to the maximum amount defined in the operating agreement. However, should the Board of Managers determine that further additional funding is required, MP Mask shall pursue its own financing. If MP Mask is unable to obtain its own financing, it may request additional capital contributions from the Company. Should the Company choose not to make a requested contribution to MP Mask, its ownership percentage may be reduced. During the three and nine month periods ended July 29, 2012, the Company increased its investment in MP Mask by $7.4 million and $13.3 million, respectively. The increased investments were primarily related to capital calls made by the joint venture.</w:t>
      </w:r>
    </w:p>
    <w:p>
      <w:pPr>
        <w:spacing w:after="0" w:line="206" w:lineRule="exact"/>
        <w:rPr>
          <w:sz w:val="20"/>
          <w:szCs w:val="20"/>
          <w:color w:val="auto"/>
        </w:rPr>
      </w:pPr>
    </w:p>
    <w:p>
      <w:pPr>
        <w:ind w:right="220" w:firstLine="162"/>
        <w:spacing w:after="0" w:line="257" w:lineRule="auto"/>
        <w:rPr>
          <w:sz w:val="20"/>
          <w:szCs w:val="20"/>
          <w:color w:val="auto"/>
        </w:rPr>
      </w:pPr>
      <w:r>
        <w:rPr>
          <w:rFonts w:ascii="Arial" w:cs="Arial" w:eastAsia="Arial" w:hAnsi="Arial"/>
          <w:sz w:val="18"/>
          <w:szCs w:val="18"/>
          <w:color w:val="auto"/>
        </w:rPr>
        <w:t>The Company's investment in the VIE, which represents its maximum exposure to loss, was $93.0 million at July 28, 2013, and $93.3 million at October 28, 2012. These amounts are reported in the Company's condensed consolidated balance sheets as "Investment in joint venture". The Company recorded a loss from its investment in the VIE of $0.2 million in the nine month period ended July 28, 2013, and recorded no income from its investment in the three month period ended July 28, 2013 or in the three or nine month periods ended July 29, 2012. Income from the VIE is included in "Interest and other income (expense), net" in the condensed consolidated statements of income.</w:t>
      </w:r>
    </w:p>
    <w:p>
      <w:pPr>
        <w:spacing w:after="0" w:line="215" w:lineRule="exact"/>
        <w:rPr>
          <w:sz w:val="20"/>
          <w:szCs w:val="20"/>
          <w:color w:val="auto"/>
        </w:rPr>
      </w:pPr>
    </w:p>
    <w:p>
      <w:pPr>
        <w:ind w:right="420" w:firstLine="180"/>
        <w:spacing w:after="0" w:line="277" w:lineRule="auto"/>
        <w:rPr>
          <w:sz w:val="20"/>
          <w:szCs w:val="20"/>
          <w:color w:val="auto"/>
        </w:rPr>
      </w:pPr>
      <w:r>
        <w:rPr>
          <w:rFonts w:ascii="Arial" w:cs="Arial" w:eastAsia="Arial" w:hAnsi="Arial"/>
          <w:sz w:val="18"/>
          <w:szCs w:val="18"/>
          <w:color w:val="auto"/>
        </w:rPr>
        <w:t>In the second quarter of fiscal 2012 the Company paid $35 million to Micron in connection with its purchase of the U.S. nanoFab facility, which it had been leasing from Micron under a lease which ran through December 31,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NOTE 5 - LONG-TERM BORROWINGS</w:t>
            </w:r>
          </w:p>
        </w:tc>
        <w:tc>
          <w:tcPr>
            <w:tcW w:w="2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Long-term borrowings consist of the following:</w:t>
            </w: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July 28,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ind w:left="20"/>
              <w:spacing w:after="0"/>
              <w:rPr>
                <w:sz w:val="20"/>
                <w:szCs w:val="20"/>
                <w:color w:val="auto"/>
              </w:rPr>
            </w:pPr>
            <w:r>
              <w:rPr>
                <w:rFonts w:ascii="Arial" w:cs="Arial" w:eastAsia="Arial" w:hAnsi="Arial"/>
                <w:sz w:val="18"/>
                <w:szCs w:val="18"/>
                <w:b w:val="1"/>
                <w:bCs w:val="1"/>
                <w:color w:val="auto"/>
              </w:rPr>
              <w:t>October 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28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on April 1, 2016</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115,000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Capital lease obligation payable through 2018</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22,927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5.5% convertible senior notes due on October 1, 2014</w:t>
            </w:r>
          </w:p>
        </w:tc>
        <w:tc>
          <w:tcPr>
            <w:tcW w:w="2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22,054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Variable rate term loan, maturing March 1, 2017</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21,875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23,750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3.09% capital lease obligation payable through March 2016</w:t>
            </w:r>
          </w:p>
        </w:tc>
        <w:tc>
          <w:tcPr>
            <w:tcW w:w="2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15,175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4.75% financing loan with customer</w:t>
            </w:r>
          </w:p>
        </w:tc>
        <w:tc>
          <w:tcPr>
            <w:tcW w:w="2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758</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176,737</w:t>
            </w:r>
          </w:p>
        </w:tc>
        <w:tc>
          <w:tcPr>
            <w:tcW w:w="1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Less current portion</w:t>
            </w:r>
          </w:p>
        </w:tc>
        <w:tc>
          <w:tcPr>
            <w:tcW w:w="2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7,781</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6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168,956</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680" w:type="dxa"/>
            <w:vAlign w:val="bottom"/>
          </w:tcPr>
          <w:p>
            <w:pPr>
              <w:jc w:val="right"/>
              <w:ind w:right="1799"/>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960" w:type="dxa"/>
            <w:vAlign w:val="bottom"/>
            <w:shd w:val="clear" w:color="auto" w:fill="808080"/>
          </w:tcPr>
          <w:p>
            <w:pPr>
              <w:spacing w:after="0"/>
              <w:rPr>
                <w:sz w:val="5"/>
                <w:szCs w:val="5"/>
                <w:color w:val="auto"/>
              </w:rPr>
            </w:pPr>
          </w:p>
        </w:tc>
        <w:tc>
          <w:tcPr>
            <w:tcW w:w="26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2" w:right="19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340" w:firstLine="162"/>
        <w:spacing w:after="0" w:line="291" w:lineRule="auto"/>
        <w:rPr>
          <w:sz w:val="20"/>
          <w:szCs w:val="20"/>
          <w:color w:val="auto"/>
        </w:rPr>
      </w:pPr>
      <w:r>
        <w:rPr>
          <w:rFonts w:ascii="Arial" w:cs="Arial" w:eastAsia="Arial" w:hAnsi="Arial"/>
          <w:sz w:val="16"/>
          <w:szCs w:val="16"/>
          <w:color w:val="auto"/>
        </w:rPr>
        <w:t>In February 2013 the Company entered into a five year capital lease, which commenced in August 2013 for $26.4 million principal amount, to fund the purchase of a high-end lithography tool. Payments under the capital lease, which bears interest at 2.77%, are $ 0.5 million per month through July</w:t>
      </w:r>
    </w:p>
    <w:p>
      <w:pPr>
        <w:ind w:right="280"/>
        <w:spacing w:after="0" w:line="323" w:lineRule="auto"/>
        <w:rPr>
          <w:sz w:val="20"/>
          <w:szCs w:val="20"/>
          <w:color w:val="auto"/>
        </w:rPr>
      </w:pPr>
      <w:r>
        <w:rPr>
          <w:rFonts w:ascii="Arial" w:cs="Arial" w:eastAsia="Arial" w:hAnsi="Arial"/>
          <w:sz w:val="16"/>
          <w:szCs w:val="16"/>
          <w:color w:val="auto"/>
        </w:rPr>
        <w:t>2018. Progress payments totaling $22.9 million have been made by the lessor through July 28, 2013, and are included in the Company’s long-term borrowings as a non-cash capital lease obligation as of that date. Accordingly, this amount was excluded from both operating and financing cash activities.</w:t>
      </w:r>
    </w:p>
    <w:p>
      <w:pPr>
        <w:spacing w:after="0" w:line="166"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In March 2012 the Company, in connection with its purchase of the U.S. nanoFab facility (see Note 4 for further discussion), amended its credit facility ("the credit facility") to include the addition of a $25 million variable rate (2.5% at July 28, 2013) term loan maturing in March 2017 with minimum quarterly principal payments of $0.6 million (quarterly payments commenced in June 2012 and are based on a ten year repayment period). The amendment also included a twenty-five basis point reduction in the interest rate charged on any borrowings under the credit facility.</w:t>
      </w:r>
    </w:p>
    <w:p>
      <w:pPr>
        <w:spacing w:after="0" w:line="198"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The credit facility bears interest (2.5% at July 28, 2013) based on the Company's total leverage ratio, at LIBOR plus a spread, as defined in the credit facility. The credit facility is secured by substantially all of the Company's assets located in the United States, as well as common stock the Company owns in certain of its foreign subsidiaries, and is subject to the following financial covenants: minimum fixed charge ratio, total leverage ratio and minimum unrestricted cash balance. As of July 28, 2013, the Company had no outstanding borrowings under the credit facility and $30 million was available for borrowing.</w:t>
      </w:r>
    </w:p>
    <w:p>
      <w:pPr>
        <w:spacing w:after="0" w:line="215" w:lineRule="exact"/>
        <w:rPr>
          <w:sz w:val="20"/>
          <w:szCs w:val="20"/>
          <w:color w:val="auto"/>
        </w:rPr>
      </w:pPr>
    </w:p>
    <w:p>
      <w:pPr>
        <w:ind w:firstLine="162"/>
        <w:spacing w:after="0" w:line="290" w:lineRule="auto"/>
        <w:rPr>
          <w:sz w:val="20"/>
          <w:szCs w:val="20"/>
          <w:color w:val="auto"/>
        </w:rPr>
      </w:pPr>
      <w:r>
        <w:rPr>
          <w:rFonts w:ascii="Arial" w:cs="Arial" w:eastAsia="Arial" w:hAnsi="Arial"/>
          <w:sz w:val="16"/>
          <w:szCs w:val="16"/>
          <w:color w:val="auto"/>
        </w:rPr>
        <w:t>In March 2011 the Company issued through a private offering, pursuant to Rule 144A under the Securities Act of 1933, as amended, $115 million aggregate principal amount of 3.25% convertible senior notes. The notes mature on April 1, 2016, and note holders may convert each $1,000 principal amount of notes to 96.3879 shares of common stock (equivalent to an initial conversion price of $10.37 per share of common stock) at any time prior to the close of business on the second scheduled trading day immediately preceding April 1, 2016. The conversion rate is subject to adjustment upon the occurrence of certain events, which are described in the indenture dated March 28, 2011. The Company is not required to redeem the notes prior to their maturity date. Interest on the notes accrues in arrears, and is paid semiannually through the notes’ maturity date. Interest payments on the notes commenced on October 1, 2011. The net proceeds of the notes were approximately $110.7 million, which were used, in part, to acquire $35.4 million of the Company’s 5.5% convertible senior notes which were to mature on October 1, 2014, and to repay, in full, its then outstanding obligations under capital leases of $19.8 million.</w:t>
      </w:r>
    </w:p>
    <w:p>
      <w:pPr>
        <w:spacing w:after="0" w:line="193"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In September 2009 the Company issued, through a public offering, $57.5 million aggregate principal amount of 5.5% convertible senior notes, which were to mature on October 1, 2014. Under the terms of the offering, the note holders could convert each $1,000 principal amount of notes to 196.7052 shares of common stock (equivalent to an initial conversion price of $5.08 per share of common stock) on, or before, September 30, 2014. The conversion rate is subject to adjustment upon the occurrence of certain events which are described in the indenture dated September 16, 2009. The Company is not required to redeem the notes prior to their maturity. The net proceeds of this offering were approximately $54.9 million, which were used to reduce amounts outstanding under the Company’s credit facility. A portion of the notes from this issuance having an aggregate principal amount of $35.4 million were acquired by the Company during fiscal year 2011.</w:t>
      </w:r>
    </w:p>
    <w:p>
      <w:pPr>
        <w:spacing w:after="0" w:line="216" w:lineRule="exact"/>
        <w:rPr>
          <w:sz w:val="20"/>
          <w:szCs w:val="20"/>
          <w:color w:val="auto"/>
        </w:rPr>
      </w:pPr>
    </w:p>
    <w:p>
      <w:pPr>
        <w:ind w:right="160" w:firstLine="162"/>
        <w:spacing w:after="0" w:line="257" w:lineRule="auto"/>
        <w:rPr>
          <w:sz w:val="20"/>
          <w:szCs w:val="20"/>
          <w:color w:val="auto"/>
        </w:rPr>
      </w:pPr>
      <w:r>
        <w:rPr>
          <w:rFonts w:ascii="Arial" w:cs="Arial" w:eastAsia="Arial" w:hAnsi="Arial"/>
          <w:sz w:val="18"/>
          <w:szCs w:val="18"/>
          <w:color w:val="auto"/>
        </w:rPr>
        <w:t>In April 2011 the Company entered into a five year, $21.2 million capital lease for manufacturing equipment. Payments under the lease, which bears interest at 3.09%, are $0.4 million per month through March 2016. The lease agreement provides that the Company must maintain the equipment in good working order, and includes a cross default with cross acceleration provision related to certain non-financial covenants incorporated in the Company's credit facility agreement. As of July 28, 2013, the total amount payable through the end of the lease term was $12.6 million, of which $12.1 million represented principal and $0.5 million represented interest.</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January 2010 the Company borrowed $3.7 million from a customer to purchase manufacturing equipment. This loan, which bore interest at 4.75%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was fully repaid during the three month period ended July 28, 2013, was repaid with product supplied to the customer. Product valued at $0.2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$0.8 million was shipped to the customer and applied against the loan during the three and nine month periods ended July 28, 2013, respectively, and product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valued at $0.4 million and $0.9 million was applied against the loan in the respective prior year periods.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COMMON STOCK WARRANTS</w:t>
      </w:r>
    </w:p>
    <w:p>
      <w:pPr>
        <w:spacing w:after="0" w:line="256" w:lineRule="exact"/>
        <w:rPr>
          <w:sz w:val="20"/>
          <w:szCs w:val="20"/>
          <w:color w:val="auto"/>
        </w:rPr>
      </w:pPr>
    </w:p>
    <w:p>
      <w:pPr>
        <w:ind w:right="60" w:firstLine="162"/>
        <w:spacing w:after="0" w:line="270" w:lineRule="auto"/>
        <w:rPr>
          <w:sz w:val="20"/>
          <w:szCs w:val="20"/>
          <w:color w:val="auto"/>
        </w:rPr>
      </w:pPr>
      <w:r>
        <w:rPr>
          <w:rFonts w:ascii="Arial" w:cs="Arial" w:eastAsia="Arial" w:hAnsi="Arial"/>
          <w:sz w:val="17"/>
          <w:szCs w:val="17"/>
          <w:color w:val="auto"/>
        </w:rPr>
        <w:t>In September 2009 the Company entered into two warrant agreements with Intel Capital Corporation to purchase a total of 750,000 shares of the Company's common stock. Under one warrant agreement 500,000 shares of the Company's common stock could be purchased at an exercise price of $4.15 per share and under the second warrant agreement 250,000 shares of the Company's common stock could be purchased at an exercise price of $5.08 per share. Also in September 2009, the Company and Intel Corporation entered into an agreement to share technical and operations information regarding the development of the Company's products, the capabilities of the Company's photomask manufacturing lines and the alignment of photomask toolsets. Intel Capital Corporation also invested in the Company's convertible debt offering of September 2009. The warrants were recorded at their fair value on their date of grant, which was determined using the Black-Scholes option pricing model. The warrant agreements were to expire in September 2014, however, in June 2013 Intel Capital Corporation exercised all of the warrants under both warrant agreements on a net share basis and received 0.3 million shares of the Company’s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SHARE-BASED COMPENSATION</w:t>
      </w:r>
    </w:p>
    <w:p>
      <w:pPr>
        <w:spacing w:after="0" w:line="256" w:lineRule="exact"/>
        <w:rPr>
          <w:sz w:val="20"/>
          <w:szCs w:val="20"/>
          <w:color w:val="auto"/>
        </w:rPr>
      </w:pPr>
    </w:p>
    <w:p>
      <w:pPr>
        <w:ind w:right="60" w:firstLine="162"/>
        <w:spacing w:after="0" w:line="288" w:lineRule="auto"/>
        <w:rPr>
          <w:sz w:val="20"/>
          <w:szCs w:val="20"/>
          <w:color w:val="auto"/>
        </w:rPr>
      </w:pPr>
      <w:r>
        <w:rPr>
          <w:rFonts w:ascii="Arial" w:cs="Arial" w:eastAsia="Arial" w:hAnsi="Arial"/>
          <w:sz w:val="16"/>
          <w:szCs w:val="16"/>
          <w:color w:val="auto"/>
        </w:rPr>
        <w:t>In March 2007 shareholders approved a new share-based compensation plan ("Plan"), under which options, restricted stock, restricted stock units, stock appreciation rights, performance stock, performance units, and other awards based on, or related to, shares of the Company's common stock may be granted from shares authorized but unissued or shares previously issued and reacquired by the Company. A maximum of six million shares of common stock may be issued under the Plan.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The Company incurred total share-based compensation costs for the three and nine month periods ended July 28, 2013, of $1.0 million and $2.8 million, respectively, and $0.9 million and $2.3 million for the three and nine month periods ended July 29, 2012, respectively. The Company received cash from option exercises of $0.1 million and $0.4 million for the three and nine month periods ended July 28, 2013, respectively, and $0.1 million and $0.3 million for the three and nine month periods ended July 29, 2012, respectively. No share-based compensation cost was capitalized as part of an asset and no related income tax benefits were recorded during the periods presented.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Option awards generally vest in one to four years, and have a ten-year contractual term. All incentive and non-qualified stock option grants have an exercise price equal to the market value of the underlying common stock on the date of grant. The grant date fair value of options are based on closing prices of the Company’s common stock on the dates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w:t>
      </w:r>
    </w:p>
    <w:p>
      <w:pPr>
        <w:spacing w:after="0" w:line="220"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The weighted-average inputs and risk-free rate of return ranges used to calculate the grant date fair value of options issued during the three and nine month periods ended July 28, 2013 and July 29, 2012, are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16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July 28,</w:t>
            </w:r>
          </w:p>
        </w:tc>
        <w:tc>
          <w:tcPr>
            <w:tcW w:w="10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July 29,</w:t>
            </w:r>
          </w:p>
        </w:tc>
        <w:tc>
          <w:tcPr>
            <w:tcW w:w="100" w:type="dxa"/>
            <w:vAlign w:val="bottom"/>
          </w:tcPr>
          <w:p>
            <w:pPr>
              <w:spacing w:after="0"/>
              <w:rPr>
                <w:sz w:val="17"/>
                <w:szCs w:val="17"/>
                <w:color w:val="auto"/>
              </w:rPr>
            </w:pPr>
          </w:p>
        </w:tc>
        <w:tc>
          <w:tcPr>
            <w:tcW w:w="10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July 28,</w:t>
            </w:r>
          </w:p>
        </w:tc>
        <w:tc>
          <w:tcPr>
            <w:tcW w:w="120" w:type="dxa"/>
            <w:vAlign w:val="bottom"/>
          </w:tcPr>
          <w:p>
            <w:pPr>
              <w:spacing w:after="0"/>
              <w:rPr>
                <w:sz w:val="17"/>
                <w:szCs w:val="17"/>
                <w:color w:val="auto"/>
              </w:rPr>
            </w:pPr>
          </w:p>
        </w:tc>
        <w:tc>
          <w:tcPr>
            <w:tcW w:w="10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July 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43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380" w:type="dxa"/>
            <w:vAlign w:val="bottom"/>
            <w:gridSpan w:val="2"/>
            <w:shd w:val="clear" w:color="auto" w:fill="CCEEFF"/>
          </w:tcPr>
          <w:p>
            <w:pPr>
              <w:jc w:val="center"/>
              <w:ind w:left="3276"/>
              <w:spacing w:after="0"/>
              <w:rPr>
                <w:sz w:val="20"/>
                <w:szCs w:val="20"/>
                <w:color w:val="auto"/>
              </w:rPr>
            </w:pPr>
            <w:r>
              <w:rPr>
                <w:rFonts w:ascii="Arial" w:cs="Arial" w:eastAsia="Arial" w:hAnsi="Arial"/>
                <w:sz w:val="18"/>
                <w:szCs w:val="18"/>
                <w:color w:val="auto"/>
                <w:w w:val="90"/>
              </w:rPr>
              <w:t>73.1%</w:t>
            </w:r>
          </w:p>
        </w:tc>
        <w:tc>
          <w:tcPr>
            <w:tcW w:w="11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102.2%</w:t>
            </w:r>
          </w:p>
        </w:tc>
        <w:tc>
          <w:tcPr>
            <w:tcW w:w="1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98.8%</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43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6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Risk free rate of return</w:t>
            </w:r>
          </w:p>
        </w:tc>
        <w:tc>
          <w:tcPr>
            <w:tcW w:w="4380" w:type="dxa"/>
            <w:vAlign w:val="bottom"/>
            <w:gridSpan w:val="2"/>
            <w:shd w:val="clear" w:color="auto" w:fill="CCEEFF"/>
          </w:tcPr>
          <w:p>
            <w:pPr>
              <w:jc w:val="center"/>
              <w:ind w:left="3276"/>
              <w:spacing w:after="0"/>
              <w:rPr>
                <w:sz w:val="20"/>
                <w:szCs w:val="20"/>
                <w:color w:val="auto"/>
              </w:rPr>
            </w:pPr>
            <w:r>
              <w:rPr>
                <w:rFonts w:ascii="Arial" w:cs="Arial" w:eastAsia="Arial" w:hAnsi="Arial"/>
                <w:sz w:val="18"/>
                <w:szCs w:val="18"/>
                <w:color w:val="auto"/>
                <w:w w:val="92"/>
              </w:rPr>
              <w:t>0.8%</w:t>
            </w:r>
          </w:p>
        </w:tc>
        <w:tc>
          <w:tcPr>
            <w:tcW w:w="11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0.6%</w:t>
            </w:r>
          </w:p>
        </w:tc>
        <w:tc>
          <w:tcPr>
            <w:tcW w:w="2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0.5% - 0.8%   0.6% - 0.9%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3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336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4.3 years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4.3 years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 years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360" w:type="dxa"/>
            <w:vAlign w:val="bottom"/>
          </w:tcPr>
          <w:p>
            <w:pPr>
              <w:jc w:val="right"/>
              <w:ind w:right="1136"/>
              <w:spacing w:after="0"/>
              <w:rPr>
                <w:sz w:val="20"/>
                <w:szCs w:val="20"/>
                <w:color w:val="auto"/>
              </w:rPr>
            </w:pPr>
            <w:r>
              <w:rPr>
                <w:rFonts w:ascii="Arial" w:cs="Arial" w:eastAsia="Arial" w:hAnsi="Arial"/>
                <w:sz w:val="14"/>
                <w:szCs w:val="14"/>
                <w:color w:val="auto"/>
              </w:rPr>
              <w:t>13</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6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620" w:type="dxa"/>
            <w:vAlign w:val="bottom"/>
            <w:shd w:val="clear" w:color="auto" w:fill="808080"/>
          </w:tcPr>
          <w:p>
            <w:pPr>
              <w:spacing w:after="0"/>
              <w:rPr>
                <w:sz w:val="5"/>
                <w:szCs w:val="5"/>
                <w:color w:val="auto"/>
              </w:rPr>
            </w:pPr>
          </w:p>
        </w:tc>
        <w:tc>
          <w:tcPr>
            <w:tcW w:w="33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2" w:right="19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1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40" w:type="dxa"/>
            <w:vAlign w:val="bottom"/>
            <w:gridSpan w:val="5"/>
          </w:tcPr>
          <w:p>
            <w:pPr>
              <w:jc w:val="right"/>
              <w:ind w:right="220"/>
              <w:spacing w:after="0"/>
              <w:rPr>
                <w:sz w:val="20"/>
                <w:szCs w:val="20"/>
                <w:color w:val="auto"/>
              </w:rPr>
            </w:pPr>
            <w:r>
              <w:rPr>
                <w:rFonts w:ascii="Arial" w:cs="Arial" w:eastAsia="Arial" w:hAnsi="Arial"/>
                <w:sz w:val="18"/>
                <w:szCs w:val="18"/>
                <w:color w:val="auto"/>
                <w:w w:val="92"/>
              </w:rPr>
              <w:t>Information on outstanding and exercisable option awards as of July 28, 2013, is presented below.</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40" w:type="dxa"/>
            <w:vAlign w:val="bottom"/>
          </w:tcPr>
          <w:p>
            <w:pPr>
              <w:ind w:left="236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Life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50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July 28, 2013</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4,180,227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 years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50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July 28, 2013</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2,703,657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 years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162"/>
        <w:spacing w:after="0" w:line="273" w:lineRule="auto"/>
        <w:rPr>
          <w:sz w:val="20"/>
          <w:szCs w:val="20"/>
          <w:color w:val="auto"/>
        </w:rPr>
      </w:pPr>
      <w:r>
        <w:rPr>
          <w:rFonts w:ascii="Arial" w:cs="Arial" w:eastAsia="Arial" w:hAnsi="Arial"/>
          <w:sz w:val="17"/>
          <w:szCs w:val="17"/>
          <w:color w:val="auto"/>
        </w:rPr>
        <w:t>There were 17,500 share options granted during the three month period ended July 28, 2013, with a weighted-average grant date fair value of $4.35 per share, and there were 30,000 share options granted during the three month period ended July 29, 2012, with a grant date fair value of $4.37 per share. There were 601,500 share options granted during the nine month period ended July 28, 2013, with a weighted-average grant date fair value of $4.00 per share and 554,500 share options granted during the nine month period ended July 29, 2012, with a weighted-average grant date fair value of $4.47 per share. As of July 28, 2013, the total unrecognized compensation cost related to unvested option awards was approximately $4.4 million. That cost is expected to be recognized over a weighted-average amortization period of 2.5 years.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The Company periodically grants restricted stock awards. The restrictions on these awards lapse over a service period that has ranged from less-than-one to eight years. There were no restricted stock awards granted during the three month period ended July 28, 2013, and 209,500 restricted stock awards were issued during the nine month period ended July 28, 2013, with a weighted-average grant date fair value of $5.48 per share. No restricted stock awards were granted during the three month period ended July 29, 2012, and 168,750 restricted stock awards were issued during the nine month period ended July 29, 2012, with a weighted-average grant date fair value of $6.28 per share. As of July 28, 2013, there were 328,252 shares of restricted stock outstanding and the total compensation cost not yet recognized related to these awards was approximately $1.5 million. That cost is expected to be recognized over a weighted-average amortization period of 2.0 years.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CONSOLIDATION, RESTRUCTURING AND RELATED CHARGES</w:t>
      </w:r>
    </w:p>
    <w:p>
      <w:pPr>
        <w:spacing w:after="0" w:line="256" w:lineRule="exact"/>
        <w:rPr>
          <w:sz w:val="20"/>
          <w:szCs w:val="20"/>
          <w:color w:val="auto"/>
        </w:rPr>
      </w:pPr>
    </w:p>
    <w:p>
      <w:pPr>
        <w:ind w:right="140" w:firstLine="162"/>
        <w:spacing w:after="0" w:line="264" w:lineRule="auto"/>
        <w:rPr>
          <w:sz w:val="20"/>
          <w:szCs w:val="20"/>
          <w:color w:val="auto"/>
        </w:rPr>
      </w:pPr>
      <w:r>
        <w:rPr>
          <w:rFonts w:ascii="Arial" w:cs="Arial" w:eastAsia="Arial" w:hAnsi="Arial"/>
          <w:sz w:val="18"/>
          <w:szCs w:val="18"/>
          <w:color w:val="auto"/>
        </w:rPr>
        <w:t>In the first quarter of fiscal 2012 the Company ceased the manufacture of photomasks at its Singapore facility and, in connection therewith, recorded charges of $1.2 million during the nine month period ended July 29, 2012. This restructuring, which was comprised primarily of employee termination costs, was substantially completed in fiscal 2012 at a cost of $1.4 million.</w:t>
      </w:r>
    </w:p>
    <w:p>
      <w:pPr>
        <w:spacing w:after="0" w:line="208"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The following table sets forth the Company’s restructuring reserve, primarily related to its Singapore facility, as of July 28, 2013 and July 29, 2012, and reflects the activity affecting the reserve for the three month period and nine month periods then ended.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5"/>
              </w:rPr>
              <w:t>Three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7"/>
              </w:rPr>
              <w:t>Nine 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rPr>
              <w:t>July 28, 2013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b w:val="1"/>
                <w:bCs w:val="1"/>
                <w:color w:val="auto"/>
              </w:rPr>
              <w:t>July 28, 2013</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April 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July 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October 29,</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3"/>
              </w:rPr>
              <w:t>July 28,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Charges</w:t>
            </w:r>
          </w:p>
        </w:tc>
        <w:tc>
          <w:tcPr>
            <w:tcW w:w="2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Utilized</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Charges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Utilized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ind w:right="660"/>
              <w:spacing w:after="0"/>
              <w:rPr>
                <w:sz w:val="20"/>
                <w:szCs w:val="20"/>
                <w:color w:val="auto"/>
              </w:rPr>
            </w:pPr>
            <w:r>
              <w:rPr>
                <w:rFonts w:ascii="Arial" w:cs="Arial" w:eastAsia="Arial" w:hAnsi="Arial"/>
                <w:sz w:val="15"/>
                <w:szCs w:val="15"/>
                <w:color w:val="auto"/>
                <w:w w:val="71"/>
              </w:rPr>
              <w:t>$</w:t>
            </w:r>
          </w:p>
        </w:tc>
        <w:tc>
          <w:tcPr>
            <w:tcW w:w="100" w:type="dxa"/>
            <w:vAlign w:val="bottom"/>
          </w:tcPr>
          <w:p>
            <w:pPr>
              <w:ind w:left="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0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4" w:right="19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5"/>
              </w:rPr>
              <w:t>Three Months Ended</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7"/>
              </w:rPr>
              <w:t>Nine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8"/>
                <w:szCs w:val="18"/>
                <w:b w:val="1"/>
                <w:bCs w:val="1"/>
                <w:color w:val="auto"/>
              </w:rPr>
              <w:t>July 29, 2012</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b w:val="1"/>
                <w:bCs w:val="1"/>
                <w:color w:val="auto"/>
              </w:rPr>
              <w:t>July 29, 2012</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5"/>
              </w:rPr>
              <w:t>April 30,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July 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October 31,</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3"/>
              </w:rPr>
              <w:t>July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Charges</w:t>
            </w:r>
          </w:p>
        </w:tc>
        <w:tc>
          <w:tcPr>
            <w:tcW w:w="12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Utilized</w:t>
            </w:r>
          </w:p>
        </w:tc>
        <w:tc>
          <w:tcPr>
            <w:tcW w:w="12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Charges</w:t>
            </w:r>
          </w:p>
        </w:tc>
        <w:tc>
          <w:tcPr>
            <w:tcW w:w="12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Utilized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Employee terminations and</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Asset write-downs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56" w:lineRule="exact"/>
        <w:rPr>
          <w:sz w:val="20"/>
          <w:szCs w:val="20"/>
          <w:color w:val="auto"/>
        </w:rPr>
      </w:pPr>
    </w:p>
    <w:p>
      <w:pPr>
        <w:ind w:right="560" w:firstLine="162"/>
        <w:spacing w:after="0" w:line="342" w:lineRule="auto"/>
        <w:rPr>
          <w:sz w:val="20"/>
          <w:szCs w:val="20"/>
          <w:color w:val="auto"/>
        </w:rPr>
      </w:pPr>
      <w:r>
        <w:rPr>
          <w:rFonts w:ascii="Arial" w:cs="Arial" w:eastAsia="Arial" w:hAnsi="Arial"/>
          <w:sz w:val="16"/>
          <w:szCs w:val="16"/>
          <w:color w:val="auto"/>
        </w:rPr>
        <w:t>The effective income tax rates for the three and nine month periods ended July 28, 2013 and July 29, 2012, differ from the U.S. statutory rate of 35% primarily due to foreign tax rate differences, as well as the existence of valuation allowances in jurisdictions with historical and continuing tax losses.</w:t>
      </w:r>
    </w:p>
    <w:p>
      <w:pPr>
        <w:spacing w:after="0" w:line="151" w:lineRule="exact"/>
        <w:rPr>
          <w:sz w:val="20"/>
          <w:szCs w:val="20"/>
          <w:color w:val="auto"/>
        </w:rPr>
      </w:pPr>
    </w:p>
    <w:p>
      <w:pPr>
        <w:ind w:right="160" w:firstLine="162"/>
        <w:spacing w:after="0" w:line="259" w:lineRule="auto"/>
        <w:rPr>
          <w:sz w:val="20"/>
          <w:szCs w:val="20"/>
          <w:color w:val="auto"/>
        </w:rPr>
      </w:pPr>
      <w:r>
        <w:rPr>
          <w:rFonts w:ascii="Arial" w:cs="Arial" w:eastAsia="Arial" w:hAnsi="Arial"/>
          <w:sz w:val="18"/>
          <w:szCs w:val="18"/>
          <w:color w:val="auto"/>
        </w:rPr>
        <w:t>Unrecognized tax benefits related to uncertain tax positions were $3.9 million at July 28, 2013 and October 28, 2012, of which $1.9 million would favorably impact the Company's effective tax rate if recognized. Accrued interest and penalties related to unrecognized tax benefits were $0.1 million at July 28, 2013 and October 28, 2012. As of July 28, 2013, the total amount of unrecognized tax benefits is not expected to significantly increase or decrease in the next twelve months.</w:t>
      </w:r>
    </w:p>
    <w:p>
      <w:pPr>
        <w:spacing w:after="0" w:line="214" w:lineRule="exact"/>
        <w:rPr>
          <w:sz w:val="20"/>
          <w:szCs w:val="20"/>
          <w:color w:val="auto"/>
        </w:rPr>
      </w:pPr>
    </w:p>
    <w:p>
      <w:pPr>
        <w:ind w:right="80" w:firstLine="162"/>
        <w:spacing w:after="0" w:line="342" w:lineRule="auto"/>
        <w:rPr>
          <w:sz w:val="20"/>
          <w:szCs w:val="20"/>
          <w:color w:val="auto"/>
        </w:rPr>
      </w:pPr>
      <w:r>
        <w:rPr>
          <w:rFonts w:ascii="Arial" w:cs="Arial" w:eastAsia="Arial" w:hAnsi="Arial"/>
          <w:sz w:val="16"/>
          <w:szCs w:val="16"/>
          <w:color w:val="auto"/>
        </w:rPr>
        <w:t>PKLT, the Company's FPD manufacturing facility in Taiwan, is accorded a tax holiday which commenced in 2012 and expires in 2017. The tax holiday had no dollar or per share effect in the three and nine month periods ended July 28, 2013 or the three and nine month periods ended July 29,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EARNINGS PER SHARE</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calculation of basic and diluted earnings per share is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3620" w:type="dxa"/>
            <w:vAlign w:val="bottom"/>
            <w:gridSpan w:val="6"/>
          </w:tcPr>
          <w:p>
            <w:pPr>
              <w:ind w:left="3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80"/>
              <w:spacing w:after="0" w:line="198" w:lineRule="exact"/>
              <w:rPr>
                <w:sz w:val="20"/>
                <w:szCs w:val="20"/>
                <w:color w:val="auto"/>
              </w:rPr>
            </w:pPr>
            <w:r>
              <w:rPr>
                <w:rFonts w:ascii="Arial" w:cs="Arial" w:eastAsia="Arial" w:hAnsi="Arial"/>
                <w:sz w:val="18"/>
                <w:szCs w:val="18"/>
                <w:b w:val="1"/>
                <w:bCs w:val="1"/>
                <w:color w:val="auto"/>
              </w:rPr>
              <w:t>July 28,</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29,</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w w:val="99"/>
              </w:rPr>
              <w:t>July 28,</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July 29,</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24,035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Interest expense on convertible notes, net of related tax effects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w w:val="98"/>
              </w:rPr>
              <w:t>Gain related to common stock warrants fair value adjustment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for diluted earnings per share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28,567</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Weighted-average common shares computations: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Weighted-average common shares used for basic earnings per</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60,746</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60,121</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60,505</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60,008</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Convertible notes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15,423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15,423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80"/>
              <w:spacing w:after="0"/>
              <w:rPr>
                <w:sz w:val="20"/>
                <w:szCs w:val="20"/>
                <w:color w:val="auto"/>
              </w:rPr>
            </w:pPr>
            <w:r>
              <w:rPr>
                <w:rFonts w:ascii="Arial" w:cs="Arial" w:eastAsia="Arial" w:hAnsi="Arial"/>
                <w:sz w:val="18"/>
                <w:szCs w:val="18"/>
                <w:color w:val="auto"/>
              </w:rPr>
              <w:t>Share-based payment awards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707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783</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789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Common stock warrants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Potentially dilutive common shares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5,431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16,452</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Weighted-average common shares used for diluted earnings per</w:t>
            </w: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66,177</w:t>
            </w: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76,436</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61,478</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76,460</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0.37</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231"/>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9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4" w:right="19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360" w:firstLine="162"/>
        <w:spacing w:after="0" w:line="264" w:lineRule="auto"/>
        <w:rPr>
          <w:sz w:val="20"/>
          <w:szCs w:val="20"/>
          <w:color w:val="auto"/>
        </w:rPr>
      </w:pPr>
      <w:r>
        <w:rPr>
          <w:rFonts w:ascii="Arial" w:cs="Arial" w:eastAsia="Arial" w:hAnsi="Arial"/>
          <w:sz w:val="18"/>
          <w:szCs w:val="18"/>
          <w:color w:val="auto"/>
        </w:rPr>
        <w:t>The table below shows the outstanding weighted-average convertible notes and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74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600" w:type="dxa"/>
            <w:vAlign w:val="bottom"/>
            <w:gridSpan w:val="4"/>
          </w:tcPr>
          <w:p>
            <w:pPr>
              <w:ind w:lef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400" w:type="dxa"/>
            <w:vAlign w:val="bottom"/>
            <w:tcBorders>
              <w:top w:val="single" w:sz="8" w:color="auto"/>
            </w:tcBorders>
            <w:gridSpan w:val="2"/>
          </w:tcPr>
          <w:p>
            <w:pPr>
              <w:ind w:left="280"/>
              <w:spacing w:after="0" w:line="198" w:lineRule="exact"/>
              <w:rPr>
                <w:sz w:val="20"/>
                <w:szCs w:val="20"/>
                <w:color w:val="auto"/>
              </w:rPr>
            </w:pPr>
            <w:r>
              <w:rPr>
                <w:rFonts w:ascii="Arial" w:cs="Arial" w:eastAsia="Arial" w:hAnsi="Arial"/>
                <w:sz w:val="18"/>
                <w:szCs w:val="18"/>
                <w:b w:val="1"/>
                <w:bCs w:val="1"/>
                <w:color w:val="auto"/>
              </w:rPr>
              <w:t>July 28,</w:t>
            </w:r>
          </w:p>
        </w:tc>
        <w:tc>
          <w:tcPr>
            <w:tcW w:w="114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July 29,</w:t>
            </w:r>
          </w:p>
        </w:tc>
        <w:tc>
          <w:tcPr>
            <w:tcW w:w="20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July 28,</w:t>
            </w:r>
          </w:p>
        </w:tc>
        <w:tc>
          <w:tcPr>
            <w:tcW w:w="114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July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15,423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Share-based payment awards</w:t>
            </w:r>
          </w:p>
        </w:tc>
        <w:tc>
          <w:tcPr>
            <w:tcW w:w="1160" w:type="dxa"/>
            <w:vAlign w:val="bottom"/>
          </w:tcPr>
          <w:p>
            <w:pPr>
              <w:jc w:val="right"/>
              <w:spacing w:after="0"/>
              <w:rPr>
                <w:sz w:val="20"/>
                <w:szCs w:val="20"/>
                <w:color w:val="auto"/>
              </w:rPr>
            </w:pPr>
            <w:r>
              <w:rPr>
                <w:rFonts w:ascii="Arial" w:cs="Arial" w:eastAsia="Arial" w:hAnsi="Arial"/>
                <w:sz w:val="18"/>
                <w:szCs w:val="18"/>
                <w:color w:val="auto"/>
              </w:rPr>
              <w:t>2,856</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2,616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potentially dilutive shares excluded</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13,941</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18,323</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CHANGES IN ACCUMULATED OTHER COMPREHENSIVE INCOME BY COMPONENT</w:t>
      </w:r>
    </w:p>
    <w:p>
      <w:pPr>
        <w:spacing w:after="0" w:line="256" w:lineRule="exact"/>
        <w:rPr>
          <w:sz w:val="20"/>
          <w:szCs w:val="20"/>
          <w:color w:val="auto"/>
        </w:rPr>
      </w:pPr>
    </w:p>
    <w:p>
      <w:pPr>
        <w:ind w:right="340" w:firstLine="162"/>
        <w:spacing w:after="0" w:line="277" w:lineRule="auto"/>
        <w:rPr>
          <w:sz w:val="20"/>
          <w:szCs w:val="20"/>
          <w:color w:val="auto"/>
        </w:rPr>
      </w:pPr>
      <w:r>
        <w:rPr>
          <w:rFonts w:ascii="Arial" w:cs="Arial" w:eastAsia="Arial" w:hAnsi="Arial"/>
          <w:sz w:val="18"/>
          <w:szCs w:val="18"/>
          <w:color w:val="auto"/>
        </w:rPr>
        <w:t>The following tables set forth the changes in the Company's accumulated other comprehensive income by component (net of tax of $0) for the three and nine month periods ended July 28,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w w:val="91"/>
              </w:rPr>
              <w:t>Three Months Ended July 28, 2013</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0"/>
              </w:rPr>
              <w:t>Foreign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Currency</w:t>
            </w:r>
          </w:p>
        </w:tc>
        <w:tc>
          <w:tcPr>
            <w:tcW w:w="1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Translation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of Cash</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Adjustments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Flow Hedge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29, 2013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current period other comprehensive income (loss)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5"/>
              </w:rPr>
              <w:t>Less: other comprehensive loss attributable to noncontrolling interests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Purchase of common stock of subsidiary</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28, 2013</w:t>
            </w: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720" w:type="dxa"/>
            <w:vAlign w:val="bottom"/>
          </w:tcPr>
          <w:p>
            <w:pPr>
              <w:jc w:val="right"/>
              <w:ind w:right="219"/>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3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2" w:right="19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b w:val="1"/>
                <w:bCs w:val="1"/>
                <w:color w:val="auto"/>
                <w:w w:val="92"/>
              </w:rPr>
              <w:t>Nine Months Ended July 28, 2013</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0"/>
              </w:rPr>
              <w:t>Foreign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Translation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of Cash</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Flow Hedge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29, 2012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(6,602)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(6,602)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Less: other comprehensive loss attributable to noncontrolling interests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Purchase of common stock of subsidiary</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July 28, 2013</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amortization of the cash flow hedge is included in Cost of sales in the condensed consolidated statements of income for all periods presented.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GEOGRAPHIC INFORMATION</w:t>
      </w:r>
    </w:p>
    <w:p>
      <w:pPr>
        <w:spacing w:after="0" w:line="256" w:lineRule="exact"/>
        <w:rPr>
          <w:sz w:val="20"/>
          <w:szCs w:val="20"/>
          <w:color w:val="auto"/>
        </w:rPr>
      </w:pPr>
    </w:p>
    <w:p>
      <w:pPr>
        <w:jc w:val="both"/>
        <w:ind w:right="300" w:firstLine="162"/>
        <w:spacing w:after="0" w:line="264" w:lineRule="auto"/>
        <w:rPr>
          <w:sz w:val="20"/>
          <w:szCs w:val="20"/>
          <w:color w:val="auto"/>
        </w:rPr>
      </w:pPr>
      <w:r>
        <w:rPr>
          <w:rFonts w:ascii="Arial" w:cs="Arial" w:eastAsia="Arial" w:hAnsi="Arial"/>
          <w:sz w:val="18"/>
          <w:szCs w:val="18"/>
          <w:color w:val="auto"/>
        </w:rPr>
        <w:t>The Company operates as a single operating segment as a manufacturer of photomasks, which are high precision quartz plates containing microscopic images of electronic circuits for use in the fabrication of ICs and FPDs. Geographic net sales are based primarily on where the Company's manufacturing facility is located.</w:t>
      </w:r>
    </w:p>
    <w:p>
      <w:pPr>
        <w:spacing w:after="0" w:line="208" w:lineRule="exact"/>
        <w:rPr>
          <w:sz w:val="20"/>
          <w:szCs w:val="20"/>
          <w:color w:val="auto"/>
        </w:rPr>
      </w:pPr>
    </w:p>
    <w:p>
      <w:pPr>
        <w:jc w:val="both"/>
        <w:ind w:right="320" w:firstLine="162"/>
        <w:spacing w:after="0" w:line="277" w:lineRule="auto"/>
        <w:rPr>
          <w:sz w:val="20"/>
          <w:szCs w:val="20"/>
          <w:color w:val="auto"/>
        </w:rPr>
      </w:pPr>
      <w:r>
        <w:rPr>
          <w:rFonts w:ascii="Arial" w:cs="Arial" w:eastAsia="Arial" w:hAnsi="Arial"/>
          <w:sz w:val="18"/>
          <w:szCs w:val="18"/>
          <w:color w:val="auto"/>
        </w:rPr>
        <w:t>The Company's net sales by geographic area and for ICs and FPDs for the three and nine month periods ended July 28, 2013 and July 29, 2012, and its long-lived assets by geographic area as of July 28, 2013 and October 28, 2012, are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44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49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0"/>
              </w:rPr>
              <w:t>July 28,</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0"/>
              </w:rPr>
              <w:t>July 29,</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99"/>
              </w:rPr>
              <w:t>July 28,</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July 29,</w:t>
            </w:r>
          </w:p>
        </w:tc>
        <w:tc>
          <w:tcPr>
            <w:tcW w:w="120" w:type="dxa"/>
            <w:vAlign w:val="bottom"/>
          </w:tcPr>
          <w:p>
            <w:pPr>
              <w:spacing w:after="0"/>
              <w:rPr>
                <w:sz w:val="17"/>
                <w:szCs w:val="17"/>
                <w:color w:val="auto"/>
              </w:rPr>
            </w:pPr>
          </w:p>
        </w:tc>
      </w:tr>
      <w:tr>
        <w:trPr>
          <w:trHeight w:val="241"/>
        </w:trPr>
        <w:tc>
          <w:tcPr>
            <w:tcW w:w="4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Korea</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42,986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100,138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126,413</w:t>
            </w: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34,270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98,980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102,968</w:t>
            </w: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Taiwan</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27,863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82,021</w:t>
            </w: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10,639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28,970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31,372</w:t>
            </w: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3,446</w:t>
            </w:r>
          </w:p>
        </w:tc>
      </w:tr>
      <w:tr>
        <w:trPr>
          <w:trHeight w:val="27"/>
        </w:trPr>
        <w:tc>
          <w:tcPr>
            <w:tcW w:w="49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49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109,652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116,616</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316,171</w:t>
            </w: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346,220</w:t>
            </w:r>
          </w:p>
        </w:tc>
      </w:tr>
      <w:tr>
        <w:trPr>
          <w:trHeight w:val="21"/>
        </w:trPr>
        <w:tc>
          <w:tcPr>
            <w:tcW w:w="4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IC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84,144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90,269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240,733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266,185</w:t>
            </w: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FPD</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80,035</w:t>
            </w:r>
          </w:p>
        </w:tc>
      </w:tr>
      <w:tr>
        <w:trPr>
          <w:trHeight w:val="27"/>
        </w:trPr>
        <w:tc>
          <w:tcPr>
            <w:tcW w:w="49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49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109,652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116,616</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316,171</w:t>
            </w: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346,220</w:t>
            </w:r>
          </w:p>
        </w:tc>
      </w:tr>
      <w:tr>
        <w:trPr>
          <w:trHeight w:val="21"/>
        </w:trPr>
        <w:tc>
          <w:tcPr>
            <w:tcW w:w="4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3"/>
        </w:trPr>
        <w:tc>
          <w:tcPr>
            <w:tcW w:w="4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8"/>
        </w:trPr>
        <w:tc>
          <w:tcPr>
            <w:tcW w:w="4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0"/>
              </w:rPr>
              <w:t>July 28,</w:t>
            </w:r>
          </w:p>
        </w:tc>
        <w:tc>
          <w:tcPr>
            <w:tcW w:w="120" w:type="dxa"/>
            <w:vAlign w:val="bottom"/>
          </w:tcPr>
          <w:p>
            <w:pPr>
              <w:spacing w:after="0"/>
              <w:rPr>
                <w:sz w:val="17"/>
                <w:szCs w:val="17"/>
                <w:color w:val="auto"/>
              </w:rPr>
            </w:pPr>
          </w:p>
        </w:tc>
        <w:tc>
          <w:tcPr>
            <w:tcW w:w="104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October 28,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1"/>
        </w:trPr>
        <w:tc>
          <w:tcPr>
            <w:tcW w:w="4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Long-lived 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Korea</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150,015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120,628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Taiwan</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94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420,535</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300" w:firstLine="162"/>
        <w:spacing w:after="0" w:line="264" w:lineRule="auto"/>
        <w:rPr>
          <w:sz w:val="20"/>
          <w:szCs w:val="20"/>
          <w:color w:val="auto"/>
        </w:rPr>
      </w:pPr>
      <w:r>
        <w:rPr>
          <w:rFonts w:ascii="Arial" w:cs="Arial" w:eastAsia="Arial" w:hAnsi="Arial"/>
          <w:sz w:val="18"/>
          <w:szCs w:val="18"/>
          <w:color w:val="auto"/>
        </w:rPr>
        <w:t>The Company is typically impacted during its first fiscal quarter by the North American and European holiday periods, as some customers reduce their effective workdays and orders during these periods. Additionally, the Company can be impacted during its first or second quarter by the Asian New Year holiday period, which may also reduce customer orders.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w:t>
      </w:r>
    </w:p>
    <w:p>
      <w:pPr>
        <w:spacing w:after="0" w:line="256" w:lineRule="exact"/>
        <w:rPr>
          <w:sz w:val="20"/>
          <w:szCs w:val="20"/>
          <w:color w:val="auto"/>
        </w:rPr>
      </w:pPr>
    </w:p>
    <w:p>
      <w:pPr>
        <w:ind w:firstLine="162"/>
        <w:spacing w:after="0" w:line="279" w:lineRule="auto"/>
        <w:rPr>
          <w:sz w:val="20"/>
          <w:szCs w:val="20"/>
          <w:color w:val="auto"/>
        </w:rPr>
      </w:pPr>
      <w:r>
        <w:rPr>
          <w:rFonts w:ascii="Arial" w:cs="Arial" w:eastAsia="Arial" w:hAnsi="Arial"/>
          <w:sz w:val="17"/>
          <w:szCs w:val="17"/>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securities; Level 2, defined as inputs other than Level 1 that are observable, either directly or indirectly; and Level 3, defined as unobservable inputs that are not corroborated by market data.</w:t>
      </w:r>
    </w:p>
    <w:p>
      <w:pPr>
        <w:spacing w:after="0" w:line="19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The Company did not have any assets or liabilities measured at fair value, on a recurring or a nonrecurring basis, at July 28, 2013 or October 28, 2012.</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52" w:lineRule="exact"/>
        <w:rPr>
          <w:sz w:val="20"/>
          <w:szCs w:val="20"/>
          <w:color w:val="auto"/>
        </w:rPr>
      </w:pPr>
    </w:p>
    <w:p>
      <w:pPr>
        <w:ind w:right="80" w:firstLine="162"/>
        <w:spacing w:after="0" w:line="276" w:lineRule="auto"/>
        <w:rPr>
          <w:sz w:val="20"/>
          <w:szCs w:val="20"/>
          <w:color w:val="auto"/>
        </w:rPr>
      </w:pPr>
      <w:r>
        <w:rPr>
          <w:rFonts w:ascii="Arial" w:cs="Arial" w:eastAsia="Arial" w:hAnsi="Arial"/>
          <w:sz w:val="17"/>
          <w:szCs w:val="17"/>
          <w:color w:val="auto"/>
        </w:rPr>
        <w:t>The fair values of the Company's cash and cash equivalents (Level 1 measurements), accounts receivable, accounts payable, and certain other current assets and current liabilities (Level 2 measurements) approximate their carrying value due to their short-term maturities. The fair value of the Company's financing loan with a customer is a Level 2 measurement that approximates its carrying value due to its short-term maturity. The fair value of the Company's variable rate term loan is a Level 2 measurement and approximates its carrying value due to the variable nature of the underlying interest rates. The fair value of the Company's convertible senior notes is a Level 2 measurement that is determined using recent bid prices.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presents the fair and carrying values of the Company's convertible senior notes at July 28, 2013 and October 28, 2012.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July 28, 2013</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October 28, 2012</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4"/>
              </w:rPr>
              <w:t>Carrying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19"/>
                <w:szCs w:val="19"/>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5"/>
              </w:rPr>
              <w:t>Carrying Value</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126,903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110,239</w:t>
            </w:r>
          </w:p>
        </w:tc>
        <w:tc>
          <w:tcPr>
            <w:tcW w:w="680" w:type="dxa"/>
            <w:vAlign w:val="bottom"/>
            <w:shd w:val="clear" w:color="auto" w:fill="CCEEFF"/>
          </w:tcPr>
          <w:p>
            <w:pPr>
              <w:jc w:val="right"/>
              <w:ind w:right="52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5.5% convertible senior notes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36,749</w:t>
            </w:r>
          </w:p>
        </w:tc>
        <w:tc>
          <w:tcPr>
            <w:tcW w:w="68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22,054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27,755</w:t>
            </w:r>
          </w:p>
        </w:tc>
        <w:tc>
          <w:tcPr>
            <w:tcW w:w="680" w:type="dxa"/>
            <w:vAlign w:val="bottom"/>
          </w:tcPr>
          <w:p>
            <w:pPr>
              <w:jc w:val="right"/>
              <w:ind w:right="52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SUBSIDIARY SHARE REPURCHASE AND TENDER OFFER</w:t>
      </w:r>
    </w:p>
    <w:p>
      <w:pPr>
        <w:spacing w:after="0" w:line="256" w:lineRule="exact"/>
        <w:rPr>
          <w:sz w:val="20"/>
          <w:szCs w:val="20"/>
          <w:color w:val="auto"/>
        </w:rPr>
      </w:pPr>
    </w:p>
    <w:p>
      <w:pPr>
        <w:ind w:right="160" w:firstLine="162"/>
        <w:spacing w:after="0" w:line="273" w:lineRule="auto"/>
        <w:rPr>
          <w:sz w:val="20"/>
          <w:szCs w:val="20"/>
          <w:color w:val="auto"/>
        </w:rPr>
      </w:pPr>
      <w:r>
        <w:rPr>
          <w:rFonts w:ascii="Arial" w:cs="Arial" w:eastAsia="Arial" w:hAnsi="Arial"/>
          <w:sz w:val="17"/>
          <w:szCs w:val="17"/>
          <w:color w:val="auto"/>
        </w:rPr>
        <w:t>Since the second quarter of fiscal 2011, the board of directors of PSMC, a subsidiary of the Company based in Taiwan, has authorized several share repurchase programs for PSMC to purchase for retirement shares of its outstanding common stock. The last of these repurchase programs concluded in the first quarter of fiscal 2013. During the nine month period ended July 28, 2013, PSMC purchased 9.2 million shares at a cost of $4.2 million. PSMC did not purchase any shares during the three month period ended July 28, 2013. PSMC purchased 9.1 million shares at a cost of $4.1 million and 27.1 million shares at a cost of $11.7 million during the three and nine month periods ended July 29, 2012, respectively. These repurchase programs increased the Company's ownership in PSMC to 69.40% at July 29, 2012, 72.09% at October 28, 2012, and 75.11% at January 27, 2013.</w:t>
      </w:r>
    </w:p>
    <w:p>
      <w:pPr>
        <w:spacing w:after="0" w:line="178"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In June 2013 the Company completed a tender offer, that had commenced in April 2013, for the outstanding shares of PSMC. A total of 50.3 million shares were purchased at the offering price of 16.30 NTD, equivalent to a total of $27.4 million, which increased the Company’s ownership interest in PSMC to 98.13%.</w:t>
      </w:r>
    </w:p>
    <w:p>
      <w:pPr>
        <w:spacing w:after="0" w:line="208" w:lineRule="exact"/>
        <w:rPr>
          <w:sz w:val="20"/>
          <w:szCs w:val="20"/>
          <w:color w:val="auto"/>
        </w:rPr>
      </w:pPr>
    </w:p>
    <w:p>
      <w:pPr>
        <w:jc w:val="both"/>
        <w:ind w:right="380" w:firstLine="162"/>
        <w:spacing w:after="0" w:line="264" w:lineRule="auto"/>
        <w:rPr>
          <w:sz w:val="20"/>
          <w:szCs w:val="20"/>
          <w:color w:val="auto"/>
        </w:rPr>
      </w:pPr>
      <w:r>
        <w:rPr>
          <w:rFonts w:ascii="Arial" w:cs="Arial" w:eastAsia="Arial" w:hAnsi="Arial"/>
          <w:sz w:val="18"/>
          <w:szCs w:val="18"/>
          <w:color w:val="auto"/>
        </w:rPr>
        <w:t>The table below presents the effect of the change in the Company’s ownership interest in PSMC on the Company's equity for the three and nine month periods ended July 28, 2013 (50.3 million and 59.4 million shares of common stock of PSMC purchased, respectively) and July 29, 2012 (9.1 million and 27.1 million shares of common stock of PSMC purchased, respectively).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4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July 28,</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29,</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0"/>
              </w:rPr>
              <w:t>July 28,</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13,126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Increase in Photronics, Inc.'s additional paid-in capital</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accumulated other comprehensive income</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59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Change from net income attributable to Photronics, Inc. shareholders and transfer</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960" w:type="dxa"/>
            <w:vAlign w:val="bottom"/>
            <w:shd w:val="clear" w:color="auto" w:fill="CCEEFF"/>
          </w:tcPr>
          <w:p>
            <w:pPr>
              <w:jc w:val="right"/>
              <w:ind w:right="3733"/>
              <w:spacing w:after="0"/>
              <w:rPr>
                <w:sz w:val="20"/>
                <w:szCs w:val="20"/>
                <w:color w:val="auto"/>
              </w:rPr>
            </w:pPr>
            <w:r>
              <w:rPr>
                <w:rFonts w:ascii="Arial" w:cs="Arial" w:eastAsia="Arial" w:hAnsi="Arial"/>
                <w:sz w:val="18"/>
                <w:szCs w:val="18"/>
                <w:color w:val="auto"/>
                <w:w w:val="97"/>
              </w:rPr>
              <w:t>from noncontrolling interest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13,836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25,482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960" w:type="dxa"/>
            <w:vAlign w:val="bottom"/>
            <w:tcBorders>
              <w:top w:val="single" w:sz="8" w:color="CCEEFF"/>
            </w:tcBorders>
          </w:tcPr>
          <w:p>
            <w:pPr>
              <w:jc w:val="right"/>
              <w:ind w:right="113"/>
              <w:spacing w:after="0"/>
              <w:rPr>
                <w:sz w:val="20"/>
                <w:szCs w:val="20"/>
                <w:color w:val="auto"/>
              </w:rPr>
            </w:pPr>
            <w:r>
              <w:rPr>
                <w:rFonts w:ascii="Arial" w:cs="Arial" w:eastAsia="Arial" w:hAnsi="Arial"/>
                <w:sz w:val="14"/>
                <w:szCs w:val="14"/>
                <w:color w:val="auto"/>
              </w:rPr>
              <w:t>19</w:t>
            </w: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5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2" w:right="19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July 28, 2013, the Company had commitments outstanding for capital expenditures of approximately $35 million.</w:t>
      </w:r>
    </w:p>
    <w:p>
      <w:pPr>
        <w:spacing w:after="0" w:line="252"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effect on its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RECENT ACCOUNTING PRONOUNCEMENTS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There have been no recent accounting pronouncements whose adoption would affect the Company’s financial statements or related disclosures.</w:t>
      </w:r>
    </w:p>
    <w:p>
      <w:pPr>
        <w:spacing w:after="0" w:line="26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00" w:firstLine="162"/>
        <w:spacing w:after="0" w:line="302"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2012 year), that may cause actual results to materially differ from these expectations.</w:t>
      </w:r>
    </w:p>
    <w:p>
      <w:pPr>
        <w:spacing w:after="0" w:line="181" w:lineRule="exact"/>
        <w:rPr>
          <w:sz w:val="20"/>
          <w:szCs w:val="20"/>
          <w:color w:val="auto"/>
        </w:rPr>
      </w:pPr>
    </w:p>
    <w:p>
      <w:pPr>
        <w:ind w:firstLine="162"/>
        <w:spacing w:after="0" w:line="287" w:lineRule="auto"/>
        <w:rPr>
          <w:sz w:val="20"/>
          <w:szCs w:val="20"/>
          <w:color w:val="auto"/>
        </w:rPr>
      </w:pPr>
      <w:r>
        <w:rPr>
          <w:rFonts w:ascii="Arial" w:cs="Arial" w:eastAsia="Arial" w:hAnsi="Arial"/>
          <w:sz w:val="16"/>
          <w:szCs w:val="16"/>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FPD and photomask design and semiconductor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200" w:lineRule="exact"/>
        <w:rPr>
          <w:sz w:val="20"/>
          <w:szCs w:val="20"/>
          <w:color w:val="auto"/>
        </w:rPr>
      </w:pPr>
    </w:p>
    <w:p>
      <w:pPr>
        <w:ind w:right="100" w:firstLine="162"/>
        <w:spacing w:after="0" w:line="271" w:lineRule="auto"/>
        <w:rPr>
          <w:sz w:val="20"/>
          <w:szCs w:val="20"/>
          <w:color w:val="auto"/>
        </w:rPr>
      </w:pPr>
      <w:r>
        <w:rPr>
          <w:rFonts w:ascii="Arial" w:cs="Arial" w:eastAsia="Arial" w:hAnsi="Arial"/>
          <w:sz w:val="17"/>
          <w:szCs w:val="17"/>
          <w:color w:val="auto"/>
        </w:rPr>
        <w:t>The global semiconductor industry is driven by end markets which have been closely tied to consumer driven applications of high performance semiconductor devices including, but not limited to, mobile communications and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 believes its ability to remain successful in these environments is dependent upon achieving its goals of being a service and technology leader and efficient solutions supplier, which it believes should enable it to continually reinvest in its global infrastructure.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July 28, 2013 and July 29, 2012</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represents selected operating information expressed as a percentage of net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72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74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rPr>
              <w:t>July 28,</w:t>
            </w:r>
          </w:p>
        </w:tc>
        <w:tc>
          <w:tcPr>
            <w:tcW w:w="112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July 29,</w:t>
            </w:r>
          </w:p>
        </w:tc>
        <w:tc>
          <w:tcPr>
            <w:tcW w:w="26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rPr>
              <w:t>July 28,</w:t>
            </w:r>
          </w:p>
        </w:tc>
        <w:tc>
          <w:tcPr>
            <w:tcW w:w="11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July 29,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Cost of sales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(75.3)</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(72.3)</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(76.9)</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60" w:type="dxa"/>
            <w:vAlign w:val="bottom"/>
            <w:tcBorders>
              <w:lef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Consolidation, restructuring and related charges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60" w:type="dxa"/>
            <w:vAlign w:val="bottom"/>
            <w:tcBorders>
              <w:lef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expense, net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tcBorders>
              <w:lef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 provision</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tcBorders>
              <w:lef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Note: All of the following tabular comparisons, unless otherwise indicated, are for the three months ended July 28, 2013 (Q3-13) and July 29, 2012 (Q3-12) and for the nine months ended July 28, 2013 (YTD-13) and July 29, 2012 (YTD-12), in millions of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ind w:left="840"/>
              <w:spacing w:after="0"/>
              <w:rPr>
                <w:sz w:val="20"/>
                <w:szCs w:val="20"/>
                <w:color w:val="auto"/>
              </w:rPr>
            </w:pPr>
            <w:r>
              <w:rPr>
                <w:rFonts w:ascii="Arial" w:cs="Arial" w:eastAsia="Arial" w:hAnsi="Arial"/>
                <w:sz w:val="18"/>
                <w:szCs w:val="18"/>
                <w:b w:val="1"/>
                <w:bCs w:val="1"/>
                <w:color w:val="auto"/>
                <w:w w:val="97"/>
              </w:rPr>
              <w:t>Three Months Ended</w:t>
            </w:r>
          </w:p>
        </w:tc>
        <w:tc>
          <w:tcPr>
            <w:tcW w:w="9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0"/>
              </w:rPr>
              <w:t>Nine Months Ended</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ind w:left="10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Q3-13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Q3-12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YTD-12</w:t>
            </w:r>
          </w:p>
        </w:tc>
        <w:tc>
          <w:tcPr>
            <w:tcW w:w="200" w:type="dxa"/>
            <w:vAlign w:val="bottom"/>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4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FPD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Net sales for Q3-13 decreased 6.0% to $109.7 million as compared to $116.6 million for Q3-12. The decrease was primarily a result of general softness within the semiconductor industry compared to Q3-12. Revenues attributable to high-end products decreased by $5.1 million to $39.6 million in Q3-13 as compared to $44.7 million in Q3-12. High-end photomask applications include mask sets for 45 nanometer and below for IC products, and G8 and above and active matrix organic light-emitting diode (AMOLED) display screen technologies for FPD products. By geographic area, net sales in Q3-13 as compared to Q3-12 decreased by $9.1 million or 21.3% in Korea and $0.6 million or 1.6% in the United States, increased by $2.7 million or 9.7% in Taiwan and $0.3 million or 3.2% in Europe and decreased by $0.3 million at other international locations.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0" w:firstLine="162"/>
        <w:spacing w:after="0" w:line="342" w:lineRule="auto"/>
        <w:rPr>
          <w:sz w:val="20"/>
          <w:szCs w:val="20"/>
          <w:color w:val="auto"/>
        </w:rPr>
      </w:pPr>
      <w:r>
        <w:rPr>
          <w:rFonts w:ascii="Arial" w:cs="Arial" w:eastAsia="Arial" w:hAnsi="Arial"/>
          <w:sz w:val="16"/>
          <w:szCs w:val="16"/>
          <w:color w:val="auto"/>
        </w:rPr>
        <w:t>For YTD-13 as compared to YTD-12, net sales decreased 8.7% to $316.2 million from $346.2 million, and revenues attributable to high-end products decreased by $23.3 million to $114.8 million from $138.1 million, primarily due to a general softness in the semiconductor industry for high-end IC products.</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Company’s quarterly revenues can be affected by the seasonal purchasing of its customers.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Three Months Ended</w:t>
            </w:r>
          </w:p>
        </w:tc>
        <w:tc>
          <w:tcPr>
            <w:tcW w:w="9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Q3-13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Q3-12</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YTD-13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YTD-12</w:t>
            </w:r>
          </w:p>
        </w:tc>
        <w:tc>
          <w:tcPr>
            <w:tcW w:w="26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5"/>
              </w:rPr>
              <w:t>27.1</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(16.2)% $</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1"/>
              </w:rPr>
              <w:t>73.0</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87.6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20" w:type="dxa"/>
            <w:vAlign w:val="bottom"/>
          </w:tcPr>
          <w:p>
            <w:pPr>
              <w:spacing w:after="0"/>
              <w:rPr>
                <w:sz w:val="20"/>
                <w:szCs w:val="20"/>
                <w:color w:val="auto"/>
              </w:rPr>
            </w:pPr>
          </w:p>
        </w:tc>
        <w:tc>
          <w:tcPr>
            <w:tcW w:w="1140" w:type="dxa"/>
            <w:vAlign w:val="bottom"/>
            <w:gridSpan w:val="3"/>
          </w:tcPr>
          <w:p>
            <w:pPr>
              <w:ind w:left="560"/>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20"/>
                <w:szCs w:val="20"/>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ind w:left="620"/>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0"/>
                <w:szCs w:val="20"/>
                <w:color w:val="auto"/>
              </w:rPr>
            </w:pP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rPr>
              <w:t>25.3%</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20" w:firstLine="162"/>
        <w:spacing w:after="0" w:line="259" w:lineRule="auto"/>
        <w:rPr>
          <w:sz w:val="20"/>
          <w:szCs w:val="20"/>
          <w:color w:val="auto"/>
        </w:rPr>
      </w:pPr>
      <w:r>
        <w:rPr>
          <w:rFonts w:ascii="Arial" w:cs="Arial" w:eastAsia="Arial" w:hAnsi="Arial"/>
          <w:sz w:val="18"/>
          <w:szCs w:val="18"/>
          <w:color w:val="auto"/>
        </w:rPr>
        <w:t>Gross margin percentage decreased to 24.7% in Q3-13 from 27.7% in Q3-12 and decreased to 23.1% in YTD-13 from 25.3% in YTD-12. These decreases were a result of decreased sales in Q3-13 as compared to Q3-12 and for the first nine months of 2013 as compared to the same period in FY2012. The Company operates in a high fixed cost environment and, to the extent that the Company's revenues and utilization increase or decrease, gross margin will generally be positively or negatively impacted.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0"/>
              </w:rPr>
              <w:t>Three Months Ended</w:t>
            </w: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1"/>
              </w:rPr>
              <w:t>Nine Months Ended</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ind w:left="280"/>
              <w:spacing w:after="0" w:line="198" w:lineRule="exact"/>
              <w:rPr>
                <w:sz w:val="20"/>
                <w:szCs w:val="20"/>
                <w:color w:val="auto"/>
              </w:rPr>
            </w:pPr>
            <w:r>
              <w:rPr>
                <w:rFonts w:ascii="Arial" w:cs="Arial" w:eastAsia="Arial" w:hAnsi="Arial"/>
                <w:sz w:val="18"/>
                <w:szCs w:val="18"/>
                <w:b w:val="1"/>
                <w:bCs w:val="1"/>
                <w:color w:val="auto"/>
                <w:w w:val="87"/>
              </w:rPr>
              <w:t>Percent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Q3-13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Q3-12</w:t>
            </w:r>
          </w:p>
        </w:tc>
        <w:tc>
          <w:tcPr>
            <w:tcW w:w="880" w:type="dxa"/>
            <w:vAlign w:val="bottom"/>
          </w:tcPr>
          <w:p>
            <w:pPr>
              <w:ind w:left="26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YTD-13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YTD-12</w:t>
            </w: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5"/>
              </w:rPr>
              <w:t>12.1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5"/>
              </w:rPr>
              <w:t>11.8</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2.4%  $</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6"/>
              </w:rPr>
              <w:t>35.3</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35.3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0"/>
                <w:szCs w:val="20"/>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10.1%</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ind w:left="64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10.2%</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Selling, general and administrative expenses increased to $12.1 million in Q3-13 from $11.8 in Q3-12 primarily due to increased selling-related expenses, and were $35.3 million in both YTD-13 and YTD-12.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7"/>
              </w:rPr>
              <w:t>Three Months Ended</w:t>
            </w:r>
          </w:p>
        </w:tc>
        <w:tc>
          <w:tcPr>
            <w:tcW w:w="9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1"/>
              </w:rPr>
              <w:t>Nine Months Ended</w:t>
            </w: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ind w:left="260"/>
              <w:spacing w:after="0" w:line="198"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Q3-13</w:t>
            </w:r>
          </w:p>
        </w:tc>
        <w:tc>
          <w:tcPr>
            <w:tcW w:w="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Q3-12</w:t>
            </w:r>
          </w:p>
        </w:tc>
        <w:tc>
          <w:tcPr>
            <w:tcW w:w="2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YTD-13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YTD-12</w:t>
            </w:r>
          </w:p>
        </w:tc>
        <w:tc>
          <w:tcPr>
            <w:tcW w:w="28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5.0</w:t>
            </w:r>
          </w:p>
        </w:tc>
        <w:tc>
          <w:tcPr>
            <w:tcW w:w="112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5.2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 $</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860" w:type="dxa"/>
            <w:vAlign w:val="bottom"/>
          </w:tcPr>
          <w:p>
            <w:pPr>
              <w:spacing w:after="0"/>
              <w:rPr>
                <w:sz w:val="20"/>
                <w:szCs w:val="20"/>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4.5%</w:t>
            </w:r>
          </w:p>
        </w:tc>
        <w:tc>
          <w:tcPr>
            <w:tcW w:w="860" w:type="dxa"/>
            <w:vAlign w:val="bottom"/>
          </w:tcPr>
          <w:p>
            <w:pPr>
              <w:spacing w:after="0"/>
              <w:rPr>
                <w:sz w:val="20"/>
                <w:szCs w:val="20"/>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80" w:firstLine="162"/>
        <w:spacing w:after="0" w:line="279" w:lineRule="auto"/>
        <w:rPr>
          <w:sz w:val="20"/>
          <w:szCs w:val="20"/>
          <w:color w:val="auto"/>
        </w:rPr>
      </w:pPr>
      <w:r>
        <w:rPr>
          <w:rFonts w:ascii="Arial" w:cs="Arial" w:eastAsia="Arial" w:hAnsi="Arial"/>
          <w:sz w:val="17"/>
          <w:szCs w:val="17"/>
          <w:color w:val="auto"/>
        </w:rPr>
        <w:t>Research and development expenses consist primarily of global development efforts related to high-end process technologies for advanced sub-wavelength reticle solutions for IC technologies. Research and development expenses decreased by $0.2 million to $5.0 million in Q3-13, as compared to $5.2 million in Q3-12, and increased by $0.3 million to $14.4 million in YTD-13, as compared to $14.1 million in YTD-12. Activities at advanced technology nodes for IC photomasks decreased in Q3-13 as compared to Q3-12, however increased in YTD-13 as compared to YTD-12.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43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3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Consolidation, Restructuring and Related Charges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Q3-13</w:t>
            </w:r>
          </w:p>
        </w:tc>
        <w:tc>
          <w:tcPr>
            <w:tcW w:w="1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Q3-12</w:t>
            </w:r>
          </w:p>
        </w:tc>
        <w:tc>
          <w:tcPr>
            <w:tcW w:w="20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YTD-13</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terminations and other</w:t>
            </w:r>
          </w:p>
        </w:tc>
        <w:tc>
          <w:tcPr>
            <w:tcW w:w="1520" w:type="dxa"/>
            <w:vAlign w:val="bottom"/>
            <w:gridSpan w:val="2"/>
            <w:shd w:val="clear" w:color="auto" w:fill="CCEEFF"/>
          </w:tcPr>
          <w:p>
            <w:pPr>
              <w:jc w:val="right"/>
              <w:ind w:right="79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Asset write-downs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consolidation, restructuring and related charges</w:t>
            </w:r>
          </w:p>
        </w:tc>
        <w:tc>
          <w:tcPr>
            <w:tcW w:w="5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9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In the first quarter of fiscal 2012 the Company ceased the manufacture of photomasks at its Singapore facility and, in connection therewith, recorded charges of $1.2 million during the nine month period ended July 29, 2012. This restructuring, which was comprised primarily of employee termination costs, was substantially completed in fiscal 2012 at a total cost of $1.4 million.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1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Q3-13</w:t>
            </w:r>
          </w:p>
        </w:tc>
        <w:tc>
          <w:tcPr>
            <w:tcW w:w="3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Q3-12</w:t>
            </w:r>
          </w:p>
        </w:tc>
        <w:tc>
          <w:tcPr>
            <w:tcW w:w="2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60" w:type="dxa"/>
            <w:vAlign w:val="bottom"/>
            <w:gridSpan w:val="2"/>
            <w:shd w:val="clear" w:color="auto" w:fill="CCEEFF"/>
          </w:tcPr>
          <w:p>
            <w:pPr>
              <w:jc w:val="right"/>
              <w:ind w:right="675"/>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(1.9)</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7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(1.0)</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(0.8)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162"/>
        <w:spacing w:after="0" w:line="264" w:lineRule="auto"/>
        <w:rPr>
          <w:sz w:val="20"/>
          <w:szCs w:val="20"/>
          <w:color w:val="auto"/>
        </w:rPr>
      </w:pPr>
      <w:r>
        <w:rPr>
          <w:rFonts w:ascii="Arial" w:cs="Arial" w:eastAsia="Arial" w:hAnsi="Arial"/>
          <w:sz w:val="18"/>
          <w:szCs w:val="18"/>
          <w:color w:val="auto"/>
        </w:rPr>
        <w:t>Interest expense decreased slightly in Q3-13 as compared to Q3-12 due to lower deferred financing fees expense. Interest expense increased slightly in YTD-13 as compared to YTD-12, primarily as a result of increased outstanding debt during the nine months ended July 28, 2013, as compared to the same period in the prior year.</w:t>
      </w:r>
    </w:p>
    <w:p>
      <w:pPr>
        <w:spacing w:after="0" w:line="208" w:lineRule="exact"/>
        <w:rPr>
          <w:sz w:val="20"/>
          <w:szCs w:val="20"/>
          <w:color w:val="auto"/>
        </w:rPr>
      </w:pPr>
    </w:p>
    <w:p>
      <w:pPr>
        <w:ind w:right="460" w:firstLine="162"/>
        <w:spacing w:after="0" w:line="277" w:lineRule="auto"/>
        <w:rPr>
          <w:sz w:val="20"/>
          <w:szCs w:val="20"/>
          <w:color w:val="auto"/>
        </w:rPr>
      </w:pPr>
      <w:r>
        <w:rPr>
          <w:rFonts w:ascii="Arial" w:cs="Arial" w:eastAsia="Arial" w:hAnsi="Arial"/>
          <w:sz w:val="18"/>
          <w:szCs w:val="18"/>
          <w:color w:val="auto"/>
        </w:rPr>
        <w:t>Interest and other income (expense), net decreased in Q3-13 as compared to Q3-12 by $0.3 million, and in YTD-13 as compared to YTD-12 by $0.2 million as a result of reduced foreign currency exchange gains.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Q3-13</w:t>
            </w:r>
          </w:p>
        </w:tc>
        <w:tc>
          <w:tcPr>
            <w:tcW w:w="2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Q3-12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YTD-13</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162"/>
        <w:spacing w:after="0" w:line="286" w:lineRule="auto"/>
        <w:rPr>
          <w:sz w:val="20"/>
          <w:szCs w:val="20"/>
          <w:color w:val="auto"/>
        </w:rPr>
      </w:pPr>
      <w:r>
        <w:rPr>
          <w:rFonts w:ascii="Arial" w:cs="Arial" w:eastAsia="Arial" w:hAnsi="Arial"/>
          <w:sz w:val="17"/>
          <w:szCs w:val="17"/>
          <w:color w:val="auto"/>
        </w:rPr>
        <w:t>The effective income tax rate increased in Q3-13 as compared to Q3-12, and in YTD-13 as compared to YTD-12, primarily due to higher income tax provisions recorded in jurisdictions in which the Company generated income before income taxes which, due to valuation allowances, were not significantly offset by income tax benefits recorded in jurisdictions in which the Company incurred losses before income taxes.</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114"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52"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Net income attributable to noncontrolling interests increased $0.1 million to $0.4 million in Q3-13, as compared to $0.3 million in Q3-12 primarily as a result of increased net income at PSMC, offset in part by the effect of shares of PSMC purchased under the tender offer and share repurchase programs discussed in Note 14 to the condensed consolidated financial statements. Net income attributable to noncontrolling interests decreased $0.1 million to $1.5 million in YTD-13, as compared to $1.6 million in YTD-12, primarily as a result of share repurchase programs at PSMC, offset in part by increased net income at PSMC. As a result of these repurchase programs and shares purchased under the tender offer, the Company’s ownership percentage in PSMC increased from 69.40% at the end of Q3-12 to 98.13% as of July 28, 2013. The Company’s ownership percentage in its subsidiary in Korea was 99.7% in Q3-13 and Q3-12.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firstLine="162"/>
        <w:spacing w:after="0" w:line="269" w:lineRule="auto"/>
        <w:rPr>
          <w:sz w:val="20"/>
          <w:szCs w:val="20"/>
          <w:color w:val="auto"/>
        </w:rPr>
      </w:pPr>
      <w:r>
        <w:rPr>
          <w:rFonts w:ascii="Arial" w:cs="Arial" w:eastAsia="Arial" w:hAnsi="Arial"/>
          <w:sz w:val="17"/>
          <w:szCs w:val="17"/>
          <w:color w:val="auto"/>
        </w:rPr>
        <w:t>The Company's working capital was $191.9 million at July 28, 2013 and $234.3 million at October 28, 2012. The decrease in working capital was primarily the result of payments to acquire additional shares of PSMC under the aforementioned tender offer and share repurchase programs, and increased accounts payable related to the purchase of equipment. Cash and cash equivalents were $197.3 million at July 28, 2013 and $218.0 million at October 28, 2012. The decrease in cash and cash equivalents was primarily the result of the payments to acquire additional shares of PSMC. Net cash provided by operating activities was $67.6 million for the nine month period ended July 28, 2013, a decrease from $107.5 million for the nine month period ended July 29, 2012, which was primarily due to reduced net income and increased accounts receivable, offset by lower depreciation and amortization in the nine month period ended July 28, 2013, as compared to the same period in the prior year. Net cash used in investing activities for the nine month period ended July 28, 2013, was $49.9 million, which was comprised primarily of capital expenditure payments. Net cash used in financing activities of $35.9 million for the nine month period ended July 28, 2013, was primarily comprised of payments to acquire additional shares of PSMC and repayments of long-term borrowings. The Company may use its cash available on hand for operations, capital expenditures, debt repayments, strategic opportunities, stock repurchases, or other corporate uses, any of which may be material.</w:t>
      </w:r>
    </w:p>
    <w:p>
      <w:pPr>
        <w:spacing w:after="0" w:line="210"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The Company's credit facility bears interest (2.5% at July 28, 2013), based on the Company's total leverage ratio, at LIBOR plus a spread, as defined in the credit facility. The credit facility is secured by substantially all of the Company's assets located in the United States, as well as common stock the Company owns in certain of its foreign subsidiaries, and is subject to the following financial covenants: minimum fixed charge ratio, total leverage ratio and minimum unrestricted cash balance. As of July 28, 2013, the Company was in compliance with the covenants of its credit facility, had no outstanding borrowings under the credit facility and $30 million was available for borrowing.</w:t>
      </w:r>
    </w:p>
    <w:p>
      <w:pPr>
        <w:spacing w:after="0" w:line="215" w:lineRule="exact"/>
        <w:rPr>
          <w:sz w:val="20"/>
          <w:szCs w:val="20"/>
          <w:color w:val="auto"/>
        </w:rPr>
      </w:pPr>
    </w:p>
    <w:p>
      <w:pPr>
        <w:ind w:right="320" w:firstLine="162"/>
        <w:spacing w:after="0" w:line="259" w:lineRule="auto"/>
        <w:rPr>
          <w:sz w:val="20"/>
          <w:szCs w:val="20"/>
          <w:color w:val="auto"/>
        </w:rPr>
      </w:pPr>
      <w:r>
        <w:rPr>
          <w:rFonts w:ascii="Arial" w:cs="Arial" w:eastAsia="Arial" w:hAnsi="Arial"/>
          <w:sz w:val="18"/>
          <w:szCs w:val="18"/>
          <w:color w:val="auto"/>
        </w:rPr>
        <w:t>In February 2013 the Company entered into a five year capital lease, which commenced in August 2013 for $26.4 million principal amount, to fund the purchase of a high-end lithography tool. Payments under the capital lease, which bears interest at 2.77%, are $ 0.5 million per month through July 2018. Progress payments totaling $22.9 million have been made by the lessor through July 28, 2013, and are included in the Company’s long-term borrowings amount as of that date.</w:t>
      </w:r>
    </w:p>
    <w:p>
      <w:pPr>
        <w:spacing w:after="0" w:line="214" w:lineRule="exact"/>
        <w:rPr>
          <w:sz w:val="20"/>
          <w:szCs w:val="20"/>
          <w:color w:val="auto"/>
        </w:rPr>
      </w:pPr>
    </w:p>
    <w:p>
      <w:pPr>
        <w:ind w:firstLine="162"/>
        <w:spacing w:after="0" w:line="290" w:lineRule="auto"/>
        <w:rPr>
          <w:sz w:val="20"/>
          <w:szCs w:val="20"/>
          <w:color w:val="auto"/>
        </w:rPr>
      </w:pPr>
      <w:r>
        <w:rPr>
          <w:rFonts w:ascii="Arial" w:cs="Arial" w:eastAsia="Arial" w:hAnsi="Arial"/>
          <w:sz w:val="16"/>
          <w:szCs w:val="16"/>
          <w:color w:val="auto"/>
        </w:rPr>
        <w:t>Since the second quarter of fiscal 2011, the board of directors of PSMC, a subsidiary of the Company based in Taiwan, has authorized several share repurchase programs for PSMC to purchase for retirement shares of its outstanding common stock. The last of these repurchase programs concluded in the first quarter of fiscal 2013. During the nine month period ended July 28, 2013, PSMC purchased 9.2 million shares at a cost of $4.2 million. PSMC did not purchase any shares during the three month period ended July 28, 2013. PSMC purchased 9.1 million shares at a cost of $4.1 million and 27.1 million shares at a cost of $11.7 million during the three and nine month periods ended July 29, 2012, respectively. These repurchase programs increased the Company's ownership in PSMC to 69.40% at July 29, 2012, 72.09% at October 28, 2012, and 75.11% at January 27, 2013. In June 2013 the Company completed a tender offer, that had commenced in April 2013, for the outstanding shares of PSMC. A total of 50.3 million shares were purchased at the offering price of 16.30 NTD , equivalent to a total of $27.4 million, which increased the Company’s ownership interest in PSMC to 98.13%.</w:t>
      </w:r>
    </w:p>
    <w:p>
      <w:pPr>
        <w:spacing w:after="0" w:line="166"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At July 28, 2013, the Company had capital commitments outstanding of approximately $35 million. The Company believes that its currently available resources, together with its capacity for growth, and its access to equity and other financing sources, will be sufficient to satisfy its currently planned capital expenditures, as well as its anticipated working capital requirements for the next twelve months. However, the Company cannot assure that additional sources of financing would be available to the Company on commercially favorable terms, should the Company's capital requirements exceed cash available from operations, existing cash, and cash available under its credit facility.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20" w:firstLine="162"/>
        <w:spacing w:after="0" w:line="291" w:lineRule="auto"/>
        <w:rPr>
          <w:sz w:val="20"/>
          <w:szCs w:val="20"/>
          <w:color w:val="auto"/>
        </w:rPr>
      </w:pPr>
      <w:r>
        <w:rPr>
          <w:rFonts w:ascii="Arial" w:cs="Arial" w:eastAsia="Arial" w:hAnsi="Arial"/>
          <w:sz w:val="16"/>
          <w:szCs w:val="16"/>
          <w:color w:val="auto"/>
        </w:rPr>
        <w:t>The Company's liquidity is highly dependent on its sales volume, cash conversion cycle,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cash requirements exceed cash available from operations, existing cash, and cash available under its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40" w:firstLine="162"/>
        <w:spacing w:after="0" w:line="312" w:lineRule="auto"/>
        <w:rPr>
          <w:sz w:val="20"/>
          <w:szCs w:val="20"/>
          <w:color w:val="auto"/>
        </w:rPr>
      </w:pPr>
      <w:r>
        <w:rPr>
          <w:rFonts w:ascii="Arial" w:cs="Arial" w:eastAsia="Arial" w:hAnsi="Arial"/>
          <w:sz w:val="16"/>
          <w:szCs w:val="16"/>
          <w:color w:val="auto"/>
        </w:rPr>
        <w:t>Under the MP Mask joint venture operating agreement, in order to maintain its 49.99% ownership interest, the Company may be required to make additional capital contributions to the joint venture up to the maximum amount specified in the operating agreement. Cumulatively through July 28, 2013, the Company has made additional contributions of $32.5 million to the joint venture, and has received distributions from the joint venture totaling $10.0 million.</w:t>
      </w:r>
    </w:p>
    <w:p>
      <w:pPr>
        <w:spacing w:after="0" w:line="174" w:lineRule="exact"/>
        <w:rPr>
          <w:sz w:val="20"/>
          <w:szCs w:val="20"/>
          <w:color w:val="auto"/>
        </w:rPr>
      </w:pPr>
    </w:p>
    <w:p>
      <w:pPr>
        <w:ind w:right="300" w:firstLine="162"/>
        <w:spacing w:after="0" w:line="308" w:lineRule="auto"/>
        <w:rPr>
          <w:sz w:val="20"/>
          <w:szCs w:val="20"/>
          <w:color w:val="auto"/>
        </w:rPr>
      </w:pPr>
      <w:r>
        <w:rPr>
          <w:rFonts w:ascii="Arial" w:cs="Arial" w:eastAsia="Arial" w:hAnsi="Arial"/>
          <w:sz w:val="17"/>
          <w:szCs w:val="17"/>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right="420" w:firstLine="162"/>
        <w:spacing w:after="0" w:line="302" w:lineRule="auto"/>
        <w:rPr>
          <w:sz w:val="20"/>
          <w:szCs w:val="20"/>
          <w:color w:val="auto"/>
        </w:rPr>
      </w:pPr>
      <w:r>
        <w:rPr>
          <w:rFonts w:ascii="Arial" w:cs="Arial" w:eastAsia="Arial" w:hAnsi="Arial"/>
          <w:sz w:val="16"/>
          <w:szCs w:val="16"/>
          <w:color w:val="auto"/>
        </w:rPr>
        <w:t>A majority of the Company's revenue growth is expected to continue to come from the Asian region, as customers increase their use of manufacturing foundries located outside of North America and Europe. Additional revenue growth is also anticipated in North America, as the Company benefits from advanced technology it may utilize under its technology license with Micron. The Company's Korean and Taiwanese operations are non-wholly owned subsidiaries and, therefore, a portion of earnings generated at each of these locations is allocated to noncontrolling interests.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Business Assessments</w:t>
      </w:r>
    </w:p>
    <w:p>
      <w:pPr>
        <w:spacing w:after="0" w:line="256"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The Company continues to assess its global manufacturing strategy and monitor its market capitalization, sales volume and cash flows from operations. This ongoing assessment could result in future facility closures, asset redeployments, impairments of intangible or long-lived assets, workforce reductions, or the addition of increased manufacturing facilities as well as acquisitions, divestitures and joint ventures, any of which could be material. The undertaking of such transactions would be based on business and capital market conditions, financial impact, customer requirements, and business opportunities and needs, regulatory conditions and other relevant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6"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There have been no recent accounting pronouncements whose adoption would affect the Company’s condensed consolidated financial statements or related disclosures.</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firstLine="162"/>
        <w:spacing w:after="0" w:line="302" w:lineRule="auto"/>
        <w:rPr>
          <w:sz w:val="20"/>
          <w:szCs w:val="20"/>
          <w:color w:val="auto"/>
        </w:rPr>
      </w:pPr>
      <w:r>
        <w:rPr>
          <w:rFonts w:ascii="Arial" w:cs="Arial" w:eastAsia="Arial" w:hAnsi="Arial"/>
          <w:sz w:val="16"/>
          <w:szCs w:val="16"/>
          <w:color w:val="auto"/>
        </w:rPr>
        <w:t>The Company conducts business in several major international currencies through its worldwide operations and its financial position, financial performance and cash flows may be affected by fluctuations in the exchange rates of these currencies. Changes in exchange rates can positively or negatively affect the Company's sales, operating margins, assets, liabilities, and equity. The functional currencies of the Company's Asian subsidiaries are the Korean won, the New Taiwan dollar, and the Singapore dollar. The functional currencies of the Company's European subsidiaries are the British pound and the euro.</w:t>
      </w:r>
    </w:p>
    <w:p>
      <w:pPr>
        <w:spacing w:after="0" w:line="181" w:lineRule="exact"/>
        <w:rPr>
          <w:sz w:val="20"/>
          <w:szCs w:val="20"/>
          <w:color w:val="auto"/>
        </w:rPr>
      </w:pPr>
    </w:p>
    <w:p>
      <w:pPr>
        <w:jc w:val="both"/>
        <w:ind w:right="100" w:firstLine="162"/>
        <w:spacing w:after="0" w:line="302" w:lineRule="auto"/>
        <w:rPr>
          <w:sz w:val="20"/>
          <w:szCs w:val="20"/>
          <w:color w:val="auto"/>
        </w:rPr>
      </w:pPr>
      <w:r>
        <w:rPr>
          <w:rFonts w:ascii="Arial" w:cs="Arial" w:eastAsia="Arial" w:hAnsi="Arial"/>
          <w:sz w:val="16"/>
          <w:szCs w:val="16"/>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In some instances, the Company may sell or purchase products in a currency other than the functional currency of the country where it was produced. There can be no assurance that this approach will continue to be successful, especially in the event of a significant adverse movement in the value of any foreign currencies against the U.S. dollar.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 w:firstLine="162"/>
        <w:spacing w:after="0" w:line="279" w:lineRule="auto"/>
        <w:rPr>
          <w:sz w:val="20"/>
          <w:szCs w:val="20"/>
          <w:color w:val="auto"/>
        </w:rPr>
      </w:pPr>
      <w:r>
        <w:rPr>
          <w:rFonts w:ascii="Arial" w:cs="Arial" w:eastAsia="Arial" w:hAnsi="Arial"/>
          <w:sz w:val="17"/>
          <w:szCs w:val="17"/>
          <w:color w:val="auto"/>
        </w:rPr>
        <w:t>The Company's primary net foreign currency exposures as of July 28, 2013, included the Korean won, the Japanese yen, the New Taiwan dollar, the Singapore dollar, the British pound, and the euro. As of July 28, 2013, a 10% adverse movement in the value of these currencies against the U.S. dollar would have resulted in a net unrealized pre-tax loss of $2.4 million. The Company does not believe that a 10% change in the exchange rates of other non-U.S. dollar currencies would have a material effect on its consolidated financial position, results of operations, or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At July 28, 2013, the Company had $21.9 million in variable rate borrowings. A 10% change in interest rates would not have had a material effect on the Company's consolidated financial position, results of operations, or cash flows in the three and nine month periods ended July 28, 2013.</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60" w:firstLine="162"/>
        <w:spacing w:after="0" w:line="254" w:lineRule="auto"/>
        <w:rPr>
          <w:sz w:val="20"/>
          <w:szCs w:val="20"/>
          <w:color w:val="auto"/>
        </w:rPr>
      </w:pPr>
      <w:r>
        <w:rPr>
          <w:rFonts w:ascii="Arial" w:cs="Arial" w:eastAsia="Arial" w:hAnsi="Arial"/>
          <w:sz w:val="18"/>
          <w:szCs w:val="18"/>
          <w:color w:val="auto"/>
        </w:rPr>
        <w:t>The Company has established and currently maintains disclosure controls and procedures, as such term is defined in Rules 13a-15(e) and 15d-15(e) of the Securities Exchange Act of 1934, as amended (the "Exchange Act"), designed to ensure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19" w:lineRule="exact"/>
        <w:rPr>
          <w:sz w:val="20"/>
          <w:szCs w:val="20"/>
          <w:color w:val="auto"/>
        </w:rPr>
      </w:pPr>
    </w:p>
    <w:p>
      <w:pPr>
        <w:ind w:firstLine="162"/>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540" w:firstLine="162"/>
        <w:spacing w:after="0" w:line="277" w:lineRule="auto"/>
        <w:rPr>
          <w:sz w:val="20"/>
          <w:szCs w:val="20"/>
          <w:color w:val="auto"/>
        </w:rPr>
      </w:pPr>
      <w:r>
        <w:rPr>
          <w:rFonts w:ascii="Arial" w:cs="Arial" w:eastAsia="Arial" w:hAnsi="Arial"/>
          <w:sz w:val="18"/>
          <w:szCs w:val="18"/>
          <w:color w:val="auto"/>
        </w:rPr>
        <w:t>There was no change in the Company's internal control over financial reporting during the Company's third quarter of fiscal 2013 that has materially affected, or is reasonably likely to materially affect, the Company's internal control over financial reporting.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There have been no material changes to risks relating to the Company's business as disclosed in Part 1, Item 1A of the Company's Form 10-K for the year ended October 28, 2012</w:t>
      </w:r>
      <w:r>
        <w:rPr>
          <w:rFonts w:ascii="Arial" w:cs="Arial" w:eastAsia="Arial" w:hAnsi="Arial"/>
          <w:sz w:val="18"/>
          <w:szCs w:val="18"/>
          <w:b w:val="1"/>
          <w:bCs w:val="1"/>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720" w:type="dxa"/>
            <w:vAlign w:val="bottom"/>
            <w:gridSpan w:val="4"/>
          </w:tcPr>
          <w:p>
            <w:pPr>
              <w:ind w:left="180"/>
              <w:spacing w:after="0"/>
              <w:rPr>
                <w:sz w:val="20"/>
                <w:szCs w:val="20"/>
                <w:color w:val="auto"/>
              </w:rPr>
            </w:pPr>
            <w:r>
              <w:rPr>
                <w:rFonts w:ascii="Arial" w:cs="Arial" w:eastAsia="Arial" w:hAnsi="Arial"/>
                <w:sz w:val="18"/>
                <w:szCs w:val="18"/>
                <w:b w:val="1"/>
                <w:bCs w:val="1"/>
                <w:color w:val="auto"/>
              </w:rPr>
              <w:t>EXHIBITS</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459"/>
        </w:trPr>
        <w:tc>
          <w:tcPr>
            <w:tcW w:w="740" w:type="dxa"/>
            <w:vAlign w:val="bottom"/>
          </w:tcPr>
          <w:p>
            <w:pPr>
              <w:spacing w:after="0"/>
              <w:rPr>
                <w:sz w:val="24"/>
                <w:szCs w:val="24"/>
                <w:color w:val="auto"/>
              </w:rPr>
            </w:pPr>
          </w:p>
        </w:tc>
        <w:tc>
          <w:tcPr>
            <w:tcW w:w="1720" w:type="dxa"/>
            <w:vAlign w:val="bottom"/>
            <w:gridSpan w:val="4"/>
          </w:tcPr>
          <w:p>
            <w:pPr>
              <w:ind w:left="260"/>
              <w:spacing w:after="0"/>
              <w:rPr>
                <w:sz w:val="20"/>
                <w:szCs w:val="20"/>
                <w:color w:val="auto"/>
              </w:rPr>
            </w:pPr>
            <w:r>
              <w:rPr>
                <w:rFonts w:ascii="Arial" w:cs="Arial" w:eastAsia="Arial" w:hAnsi="Arial"/>
                <w:sz w:val="18"/>
                <w:szCs w:val="18"/>
                <w:color w:val="auto"/>
              </w:rPr>
              <w:t>(a)   Exhibits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60" w:type="dxa"/>
            <w:vAlign w:val="bottom"/>
          </w:tcPr>
          <w:p>
            <w:pPr>
              <w:spacing w:after="0"/>
              <w:rPr>
                <w:sz w:val="24"/>
                <w:szCs w:val="24"/>
                <w:color w:val="auto"/>
              </w:rPr>
            </w:pPr>
          </w:p>
        </w:tc>
      </w:tr>
      <w:tr>
        <w:trPr>
          <w:trHeight w:val="414"/>
        </w:trPr>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60" w:type="dxa"/>
            <w:vAlign w:val="bottom"/>
          </w:tcPr>
          <w:p>
            <w:pPr>
              <w:spacing w:after="0"/>
              <w:rPr>
                <w:sz w:val="24"/>
                <w:szCs w:val="24"/>
                <w:color w:val="auto"/>
              </w:rPr>
            </w:pPr>
          </w:p>
        </w:tc>
      </w:tr>
      <w:tr>
        <w:trPr>
          <w:trHeight w:val="194"/>
        </w:trPr>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Number</w:t>
            </w:r>
          </w:p>
        </w:tc>
        <w:tc>
          <w:tcPr>
            <w:tcW w:w="8960" w:type="dxa"/>
            <w:vAlign w:val="bottom"/>
            <w:gridSpan w:val="3"/>
          </w:tcPr>
          <w:p>
            <w:pPr>
              <w:ind w:left="320"/>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37"/>
        </w:trPr>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7760" w:type="dxa"/>
            <w:vAlign w:val="bottom"/>
          </w:tcPr>
          <w:p>
            <w:pPr>
              <w:spacing w:after="0"/>
              <w:rPr>
                <w:sz w:val="20"/>
                <w:szCs w:val="20"/>
                <w:color w:val="auto"/>
              </w:rPr>
            </w:pPr>
          </w:p>
        </w:tc>
      </w:tr>
      <w:tr>
        <w:trPr>
          <w:trHeight w:val="176"/>
        </w:trPr>
        <w:tc>
          <w:tcPr>
            <w:tcW w:w="74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ind w:left="740"/>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340" w:type="dxa"/>
            <w:vAlign w:val="bottom"/>
            <w:shd w:val="clear" w:color="auto" w:fill="CCEEFF"/>
          </w:tcPr>
          <w:p>
            <w:pPr>
              <w:spacing w:after="0"/>
              <w:rPr>
                <w:sz w:val="15"/>
                <w:szCs w:val="15"/>
                <w:color w:val="auto"/>
              </w:rPr>
            </w:pPr>
          </w:p>
        </w:tc>
        <w:tc>
          <w:tcPr>
            <w:tcW w:w="8960" w:type="dxa"/>
            <w:vAlign w:val="bottom"/>
            <w:gridSpan w:val="3"/>
            <w:shd w:val="clear" w:color="auto" w:fill="CCEEFF"/>
          </w:tcPr>
          <w:p>
            <w:pPr>
              <w:ind w:left="320"/>
              <w:spacing w:after="0" w:line="176" w:lineRule="exact"/>
              <w:rPr>
                <w:sz w:val="20"/>
                <w:szCs w:val="20"/>
                <w:color w:val="auto"/>
              </w:rPr>
            </w:pPr>
            <w:r>
              <w:rPr>
                <w:rFonts w:ascii="Arial" w:cs="Arial" w:eastAsia="Arial" w:hAnsi="Arial"/>
                <w:sz w:val="18"/>
                <w:szCs w:val="18"/>
                <w:color w:val="auto"/>
                <w:w w:val="93"/>
              </w:rPr>
              <w:t>Certification of Chief Executive Officer pursuant to Rule 13a-14(a)/15d-14(a) of the Securities Exchange Act of 1934,</w:t>
            </w:r>
          </w:p>
        </w:tc>
      </w:tr>
      <w:tr>
        <w:trPr>
          <w:trHeight w:val="237"/>
        </w:trPr>
        <w:tc>
          <w:tcPr>
            <w:tcW w:w="74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896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216"/>
        </w:trPr>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760" w:type="dxa"/>
            <w:vAlign w:val="bottom"/>
          </w:tcPr>
          <w:p>
            <w:pPr>
              <w:spacing w:after="0"/>
              <w:rPr>
                <w:sz w:val="18"/>
                <w:szCs w:val="18"/>
                <w:color w:val="auto"/>
              </w:rPr>
            </w:pPr>
          </w:p>
        </w:tc>
      </w:tr>
      <w:tr>
        <w:trPr>
          <w:trHeight w:val="176"/>
        </w:trPr>
        <w:tc>
          <w:tcPr>
            <w:tcW w:w="74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ind w:left="740"/>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340" w:type="dxa"/>
            <w:vAlign w:val="bottom"/>
            <w:shd w:val="clear" w:color="auto" w:fill="CCEEFF"/>
          </w:tcPr>
          <w:p>
            <w:pPr>
              <w:spacing w:after="0"/>
              <w:rPr>
                <w:sz w:val="15"/>
                <w:szCs w:val="15"/>
                <w:color w:val="auto"/>
              </w:rPr>
            </w:pPr>
          </w:p>
        </w:tc>
        <w:tc>
          <w:tcPr>
            <w:tcW w:w="8960" w:type="dxa"/>
            <w:vAlign w:val="bottom"/>
            <w:gridSpan w:val="3"/>
            <w:shd w:val="clear" w:color="auto" w:fill="CCEEFF"/>
          </w:tcPr>
          <w:p>
            <w:pPr>
              <w:ind w:left="320"/>
              <w:spacing w:after="0" w:line="176" w:lineRule="exact"/>
              <w:rPr>
                <w:sz w:val="20"/>
                <w:szCs w:val="20"/>
                <w:color w:val="auto"/>
              </w:rPr>
            </w:pPr>
            <w:r>
              <w:rPr>
                <w:rFonts w:ascii="Arial" w:cs="Arial" w:eastAsia="Arial" w:hAnsi="Arial"/>
                <w:sz w:val="18"/>
                <w:szCs w:val="18"/>
                <w:color w:val="auto"/>
                <w:w w:val="93"/>
              </w:rPr>
              <w:t>Certification of Chief Financial Officer pursuant to Rule 13a-14(a)/15d-14(a) of the Securities Exchange Act of 1934,</w:t>
            </w:r>
          </w:p>
        </w:tc>
      </w:tr>
      <w:tr>
        <w:trPr>
          <w:trHeight w:val="237"/>
        </w:trPr>
        <w:tc>
          <w:tcPr>
            <w:tcW w:w="74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896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216"/>
        </w:trPr>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760" w:type="dxa"/>
            <w:vAlign w:val="bottom"/>
          </w:tcPr>
          <w:p>
            <w:pPr>
              <w:spacing w:after="0"/>
              <w:rPr>
                <w:sz w:val="18"/>
                <w:szCs w:val="18"/>
                <w:color w:val="auto"/>
              </w:rPr>
            </w:pPr>
          </w:p>
        </w:tc>
      </w:tr>
      <w:tr>
        <w:trPr>
          <w:trHeight w:val="176"/>
        </w:trPr>
        <w:tc>
          <w:tcPr>
            <w:tcW w:w="74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ind w:left="740"/>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340" w:type="dxa"/>
            <w:vAlign w:val="bottom"/>
            <w:shd w:val="clear" w:color="auto" w:fill="CCEEFF"/>
          </w:tcPr>
          <w:p>
            <w:pPr>
              <w:spacing w:after="0"/>
              <w:rPr>
                <w:sz w:val="15"/>
                <w:szCs w:val="15"/>
                <w:color w:val="auto"/>
              </w:rPr>
            </w:pPr>
          </w:p>
        </w:tc>
        <w:tc>
          <w:tcPr>
            <w:tcW w:w="8960" w:type="dxa"/>
            <w:vAlign w:val="bottom"/>
            <w:gridSpan w:val="3"/>
            <w:shd w:val="clear" w:color="auto" w:fill="CCEEFF"/>
          </w:tcPr>
          <w:p>
            <w:pPr>
              <w:ind w:left="320"/>
              <w:spacing w:after="0" w:line="176" w:lineRule="exact"/>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w:t>
            </w:r>
          </w:p>
        </w:tc>
      </w:tr>
      <w:tr>
        <w:trPr>
          <w:trHeight w:val="237"/>
        </w:trPr>
        <w:tc>
          <w:tcPr>
            <w:tcW w:w="74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896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Sarbanes-Oxley Act of 2002.</w:t>
            </w:r>
          </w:p>
        </w:tc>
      </w:tr>
      <w:tr>
        <w:trPr>
          <w:trHeight w:val="216"/>
        </w:trPr>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760" w:type="dxa"/>
            <w:vAlign w:val="bottom"/>
          </w:tcPr>
          <w:p>
            <w:pPr>
              <w:spacing w:after="0"/>
              <w:rPr>
                <w:sz w:val="18"/>
                <w:szCs w:val="18"/>
                <w:color w:val="auto"/>
              </w:rPr>
            </w:pPr>
          </w:p>
        </w:tc>
      </w:tr>
      <w:tr>
        <w:trPr>
          <w:trHeight w:val="176"/>
        </w:trPr>
        <w:tc>
          <w:tcPr>
            <w:tcW w:w="74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ind w:left="740"/>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340" w:type="dxa"/>
            <w:vAlign w:val="bottom"/>
            <w:shd w:val="clear" w:color="auto" w:fill="CCEEFF"/>
          </w:tcPr>
          <w:p>
            <w:pPr>
              <w:spacing w:after="0"/>
              <w:rPr>
                <w:sz w:val="15"/>
                <w:szCs w:val="15"/>
                <w:color w:val="auto"/>
              </w:rPr>
            </w:pPr>
          </w:p>
        </w:tc>
        <w:tc>
          <w:tcPr>
            <w:tcW w:w="8960" w:type="dxa"/>
            <w:vAlign w:val="bottom"/>
            <w:gridSpan w:val="3"/>
            <w:shd w:val="clear" w:color="auto" w:fill="CCEEFF"/>
          </w:tcPr>
          <w:p>
            <w:pPr>
              <w:ind w:left="320"/>
              <w:spacing w:after="0" w:line="176" w:lineRule="exact"/>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 of the</w:t>
            </w:r>
          </w:p>
        </w:tc>
      </w:tr>
      <w:tr>
        <w:trPr>
          <w:trHeight w:val="237"/>
        </w:trPr>
        <w:tc>
          <w:tcPr>
            <w:tcW w:w="74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896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Sarbanes-Oxley Act of 2002.</w:t>
            </w:r>
          </w:p>
        </w:tc>
      </w:tr>
      <w:tr>
        <w:trPr>
          <w:trHeight w:val="216"/>
        </w:trPr>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7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89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XBRL Instance Document</w:t>
            </w:r>
          </w:p>
        </w:tc>
      </w:tr>
      <w:tr>
        <w:trPr>
          <w:trHeight w:val="216"/>
        </w:trPr>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7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89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7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89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7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89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7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89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7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89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59"/>
        </w:trPr>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60" w:type="dxa"/>
            <w:vAlign w:val="bottom"/>
          </w:tcPr>
          <w:p>
            <w:pPr>
              <w:ind w:left="1480"/>
              <w:spacing w:after="0"/>
              <w:rPr>
                <w:sz w:val="20"/>
                <w:szCs w:val="20"/>
                <w:color w:val="auto"/>
              </w:rPr>
            </w:pPr>
            <w:r>
              <w:rPr>
                <w:rFonts w:ascii="Arial" w:cs="Arial" w:eastAsia="Arial" w:hAnsi="Arial"/>
                <w:sz w:val="18"/>
                <w:szCs w:val="18"/>
                <w:b w:val="1"/>
                <w:bCs w:val="1"/>
                <w:color w:val="auto"/>
              </w:rPr>
              <w:t>SIGNATURES</w:t>
            </w:r>
          </w:p>
        </w:tc>
      </w:tr>
    </w:tbl>
    <w:p>
      <w:pPr>
        <w:spacing w:after="0" w:line="229" w:lineRule="exact"/>
        <w:rPr>
          <w:sz w:val="20"/>
          <w:szCs w:val="20"/>
          <w:color w:val="auto"/>
        </w:rPr>
      </w:pPr>
    </w:p>
    <w:p>
      <w:pPr>
        <w:ind w:right="92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right="822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jc w:val="center"/>
        <w:ind w:right="82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157797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17" w:lineRule="exact"/>
        <w:rPr>
          <w:sz w:val="20"/>
          <w:szCs w:val="20"/>
          <w:color w:val="auto"/>
        </w:rPr>
      </w:pPr>
    </w:p>
    <w:p>
      <w:pPr>
        <w:jc w:val="center"/>
        <w:ind w:right="8220"/>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jc w:val="center"/>
        <w:ind w:right="82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jc w:val="center"/>
        <w:ind w:right="82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8220"/>
        <w:spacing w:after="0"/>
        <w:rPr>
          <w:sz w:val="20"/>
          <w:szCs w:val="20"/>
          <w:color w:val="auto"/>
        </w:rPr>
      </w:pPr>
      <w:r>
        <w:rPr>
          <w:rFonts w:ascii="Arial" w:cs="Arial" w:eastAsia="Arial" w:hAnsi="Arial"/>
          <w:sz w:val="18"/>
          <w:szCs w:val="18"/>
          <w:color w:val="auto"/>
        </w:rPr>
        <w:t>(Duly Authorized Officer and</w:t>
      </w:r>
    </w:p>
    <w:p>
      <w:pPr>
        <w:spacing w:after="0" w:line="9" w:lineRule="exact"/>
        <w:rPr>
          <w:sz w:val="20"/>
          <w:szCs w:val="20"/>
          <w:color w:val="auto"/>
        </w:rPr>
      </w:pPr>
    </w:p>
    <w:p>
      <w:pPr>
        <w:jc w:val="center"/>
        <w:ind w:right="82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4, 2013</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Constantine S. Macricostas, certify that:</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25" w:lineRule="exact"/>
        <w:rPr>
          <w:rFonts w:ascii="Arial" w:cs="Arial" w:eastAsia="Arial" w:hAnsi="Arial"/>
          <w:sz w:val="18"/>
          <w:szCs w:val="18"/>
          <w:color w:val="auto"/>
        </w:rPr>
      </w:pPr>
    </w:p>
    <w:p>
      <w:pPr>
        <w:jc w:val="both"/>
        <w:ind w:left="660" w:right="200" w:hanging="652"/>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80" w:hanging="652"/>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80" w:hanging="644"/>
        <w:spacing w:after="0" w:line="342"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hanging="644"/>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00" w:hanging="652"/>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280" w:hanging="644"/>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CONSTANTINE S. MACRICOSTAS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20"/>
          </w:cols>
          <w:pgMar w:left="240" w:top="29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Sean T. Smith, certify that:</w:t>
      </w:r>
    </w:p>
    <w:p>
      <w:pPr>
        <w:spacing w:after="0" w:line="22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25" w:lineRule="exact"/>
        <w:rPr>
          <w:rFonts w:ascii="Arial" w:cs="Arial" w:eastAsia="Arial" w:hAnsi="Arial"/>
          <w:sz w:val="18"/>
          <w:szCs w:val="18"/>
          <w:color w:val="auto"/>
        </w:rPr>
      </w:pPr>
    </w:p>
    <w:p>
      <w:pPr>
        <w:jc w:val="both"/>
        <w:ind w:left="660" w:right="20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8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80" w:hanging="644"/>
        <w:spacing w:after="0" w:line="342"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00" w:hanging="652"/>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28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20"/>
          </w:cols>
          <w:pgMar w:left="240" w:top="29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 Constantine S. Macricostas, Chief Executive Officer of Photronics, Inc. (the "Company"), certify, to my knowledge, pursuant to Section 906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w:t>
      </w:r>
    </w:p>
    <w:p>
      <w:pPr>
        <w:spacing w:after="0" w:line="238" w:lineRule="exact"/>
        <w:rPr>
          <w:sz w:val="20"/>
          <w:szCs w:val="20"/>
          <w:color w:val="auto"/>
        </w:rPr>
      </w:pPr>
    </w:p>
    <w:p>
      <w:pPr>
        <w:ind w:left="500" w:right="48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July 28, 2013,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CONSTANTINE S. MACRICOSTAS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97"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 Sean T. Smith, Chief Financial Officer of Photronics, Inc. (the "Company"), certify, to my knowledge, pursuant to Section 906 of the Sarbanes-Oxley Act of 2002, 18 U.S.C. Section 1350, that:</w:t>
      </w:r>
    </w:p>
    <w:p>
      <w:pPr>
        <w:spacing w:after="0" w:line="197" w:lineRule="exact"/>
        <w:rPr>
          <w:sz w:val="20"/>
          <w:szCs w:val="20"/>
          <w:color w:val="auto"/>
        </w:rPr>
      </w:pPr>
    </w:p>
    <w:p>
      <w:pPr>
        <w:ind w:left="500" w:right="48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July 28, 2013,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80"/>
      </w:cols>
      <w:pgMar w:left="240" w:top="29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2019-12-06T00:23:14Z</dcterms:created>
  <dcterms:modified xsi:type="dcterms:W3CDTF">2019-12-06T00:23:14Z</dcterms:modified>
</cp:coreProperties>
</file>