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left="3460" w:hanging="3384"/>
        <w:spacing w:after="0" w:line="256" w:lineRule="auto"/>
        <w:tabs>
          <w:tab w:leader="none" w:pos="3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 (d) OF THE SECURITIES EXCHANGE ACT OF 1934 For the quarterly period ended January 27, 2008</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jc w:val="center"/>
        <w:ind w:left="3940" w:hanging="3864"/>
        <w:spacing w:after="0" w:line="256" w:lineRule="auto"/>
        <w:tabs>
          <w:tab w:leader="none" w:pos="29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TRANSITION REPORT PURSUANT TO SECTION 13 OR 15 (d) OF THE SECURITIES EXCHANGE ACT OF 1934 </w:t>
      </w:r>
      <w:r>
        <w:rPr>
          <w:rFonts w:ascii="Arial" w:cs="Arial" w:eastAsia="Arial" w:hAnsi="Arial"/>
          <w:sz w:val="22"/>
          <w:szCs w:val="22"/>
          <w:color w:val="auto"/>
        </w:rPr>
        <w:t>For the transition period from ___ to ___</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 xml:space="preserve">Commission file number </w:t>
      </w:r>
      <w:r>
        <w:rPr>
          <w:rFonts w:ascii="Arial" w:cs="Arial" w:eastAsia="Arial" w:hAnsi="Arial"/>
          <w:sz w:val="22"/>
          <w:szCs w:val="22"/>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440055</wp:posOffset>
            </wp:positionV>
            <wp:extent cx="685800" cy="746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PHOTRONICS, INC.</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205" w:lineRule="exact"/>
        <w:rPr>
          <w:sz w:val="24"/>
          <w:szCs w:val="24"/>
          <w:color w:val="auto"/>
        </w:rPr>
      </w:pPr>
    </w:p>
    <w:tbl>
      <w:tblPr>
        <w:tblLayout w:type="fixed"/>
        <w:tblInd w:w="1520" w:type="dxa"/>
        <w:tblCellMar>
          <w:top w:w="0" w:type="dxa"/>
          <w:left w:w="0" w:type="dxa"/>
          <w:bottom w:w="0" w:type="dxa"/>
          <w:right w:w="0" w:type="dxa"/>
        </w:tblCellMar>
      </w:tblPr>
      <w:tr>
        <w:trPr>
          <w:trHeight w:val="253"/>
        </w:trPr>
        <w:tc>
          <w:tcPr>
            <w:tcW w:w="4640" w:type="dxa"/>
            <w:vAlign w:val="bottom"/>
          </w:tcPr>
          <w:p>
            <w:pPr>
              <w:jc w:val="center"/>
              <w:ind w:right="1652"/>
              <w:spacing w:after="0"/>
              <w:rPr>
                <w:sz w:val="20"/>
                <w:szCs w:val="20"/>
                <w:color w:val="auto"/>
              </w:rPr>
            </w:pPr>
            <w:r>
              <w:rPr>
                <w:rFonts w:ascii="Arial" w:cs="Arial" w:eastAsia="Arial" w:hAnsi="Arial"/>
                <w:sz w:val="22"/>
                <w:szCs w:val="22"/>
                <w:b w:val="1"/>
                <w:bCs w:val="1"/>
                <w:color w:val="auto"/>
                <w:w w:val="88"/>
              </w:rPr>
              <w:t>Connecticut</w:t>
            </w:r>
          </w:p>
        </w:tc>
        <w:tc>
          <w:tcPr>
            <w:tcW w:w="3760" w:type="dxa"/>
            <w:vAlign w:val="bottom"/>
          </w:tcPr>
          <w:p>
            <w:pPr>
              <w:jc w:val="center"/>
              <w:ind w:left="1652"/>
              <w:spacing w:after="0"/>
              <w:rPr>
                <w:sz w:val="20"/>
                <w:szCs w:val="20"/>
                <w:color w:val="auto"/>
              </w:rPr>
            </w:pPr>
            <w:r>
              <w:rPr>
                <w:rFonts w:ascii="Arial" w:cs="Arial" w:eastAsia="Arial" w:hAnsi="Arial"/>
                <w:sz w:val="22"/>
                <w:szCs w:val="22"/>
                <w:b w:val="1"/>
                <w:bCs w:val="1"/>
                <w:color w:val="auto"/>
                <w:w w:val="88"/>
              </w:rPr>
              <w:t>06-0854886</w:t>
            </w:r>
          </w:p>
        </w:tc>
      </w:tr>
      <w:tr>
        <w:trPr>
          <w:trHeight w:val="243"/>
        </w:trPr>
        <w:tc>
          <w:tcPr>
            <w:tcW w:w="4640" w:type="dxa"/>
            <w:vAlign w:val="bottom"/>
          </w:tcPr>
          <w:p>
            <w:pPr>
              <w:jc w:val="center"/>
              <w:ind w:right="1652"/>
              <w:spacing w:after="0" w:line="243" w:lineRule="exact"/>
              <w:rPr>
                <w:sz w:val="20"/>
                <w:szCs w:val="20"/>
                <w:color w:val="auto"/>
              </w:rPr>
            </w:pPr>
            <w:r>
              <w:rPr>
                <w:rFonts w:ascii="Arial" w:cs="Arial" w:eastAsia="Arial" w:hAnsi="Arial"/>
                <w:sz w:val="22"/>
                <w:szCs w:val="22"/>
                <w:i w:val="1"/>
                <w:iCs w:val="1"/>
                <w:color w:val="auto"/>
                <w:w w:val="92"/>
              </w:rPr>
              <w:t>(State or other jurisdiction</w:t>
            </w:r>
          </w:p>
        </w:tc>
        <w:tc>
          <w:tcPr>
            <w:tcW w:w="3760" w:type="dxa"/>
            <w:vAlign w:val="bottom"/>
          </w:tcPr>
          <w:p>
            <w:pPr>
              <w:jc w:val="center"/>
              <w:ind w:left="1652"/>
              <w:spacing w:after="0" w:line="243" w:lineRule="exact"/>
              <w:rPr>
                <w:sz w:val="20"/>
                <w:szCs w:val="20"/>
                <w:color w:val="auto"/>
              </w:rPr>
            </w:pPr>
            <w:r>
              <w:rPr>
                <w:rFonts w:ascii="Arial" w:cs="Arial" w:eastAsia="Arial" w:hAnsi="Arial"/>
                <w:sz w:val="22"/>
                <w:szCs w:val="22"/>
                <w:i w:val="1"/>
                <w:iCs w:val="1"/>
                <w:color w:val="auto"/>
                <w:w w:val="89"/>
              </w:rPr>
              <w:t>(IRS Employer</w:t>
            </w:r>
          </w:p>
        </w:tc>
      </w:tr>
      <w:tr>
        <w:trPr>
          <w:trHeight w:val="275"/>
        </w:trPr>
        <w:tc>
          <w:tcPr>
            <w:tcW w:w="4640" w:type="dxa"/>
            <w:vAlign w:val="bottom"/>
          </w:tcPr>
          <w:p>
            <w:pPr>
              <w:jc w:val="center"/>
              <w:ind w:right="1652"/>
              <w:spacing w:after="0"/>
              <w:rPr>
                <w:sz w:val="20"/>
                <w:szCs w:val="20"/>
                <w:color w:val="auto"/>
              </w:rPr>
            </w:pPr>
            <w:r>
              <w:rPr>
                <w:rFonts w:ascii="Arial" w:cs="Arial" w:eastAsia="Arial" w:hAnsi="Arial"/>
                <w:sz w:val="22"/>
                <w:szCs w:val="22"/>
                <w:i w:val="1"/>
                <w:iCs w:val="1"/>
                <w:color w:val="auto"/>
                <w:w w:val="92"/>
              </w:rPr>
              <w:t>of incorporation or organization)</w:t>
            </w:r>
          </w:p>
        </w:tc>
        <w:tc>
          <w:tcPr>
            <w:tcW w:w="3760" w:type="dxa"/>
            <w:vAlign w:val="bottom"/>
          </w:tcPr>
          <w:p>
            <w:pPr>
              <w:jc w:val="center"/>
              <w:ind w:left="1652"/>
              <w:spacing w:after="0"/>
              <w:rPr>
                <w:sz w:val="20"/>
                <w:szCs w:val="20"/>
                <w:color w:val="auto"/>
              </w:rPr>
            </w:pPr>
            <w:r>
              <w:rPr>
                <w:rFonts w:ascii="Arial" w:cs="Arial" w:eastAsia="Arial" w:hAnsi="Arial"/>
                <w:sz w:val="22"/>
                <w:szCs w:val="22"/>
                <w:i w:val="1"/>
                <w:iCs w:val="1"/>
                <w:color w:val="auto"/>
                <w:w w:val="92"/>
              </w:rPr>
              <w:t>Identification Number)</w:t>
            </w:r>
          </w:p>
        </w:tc>
      </w:tr>
    </w:tbl>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15 Secor Road, Brookfield, Connecticut 06804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(Address of principal executive offices and zip code)</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(203) 775-9000</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 xml:space="preserve">Securities registered pursuant to Section 12(b) of the Act: </w:t>
      </w:r>
      <w:r>
        <w:rPr>
          <w:rFonts w:ascii="Arial" w:cs="Arial" w:eastAsia="Arial" w:hAnsi="Arial"/>
          <w:sz w:val="22"/>
          <w:szCs w:val="22"/>
          <w:b w:val="1"/>
          <w:bCs w:val="1"/>
          <w:color w:val="auto"/>
        </w:rPr>
        <w:t>Common Stock, $0.01 par value per share - NASDAQ</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 xml:space="preserve">Securities registered pursuant to Section 12(g) of the Act: </w:t>
      </w:r>
      <w:r>
        <w:rPr>
          <w:rFonts w:ascii="Arial" w:cs="Arial" w:eastAsia="Arial" w:hAnsi="Arial"/>
          <w:sz w:val="22"/>
          <w:szCs w:val="22"/>
          <w:b w:val="1"/>
          <w:bCs w:val="1"/>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right="180"/>
        <w:spacing w:after="0" w:line="238"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 x No o</w:t>
      </w:r>
    </w:p>
    <w:p>
      <w:pPr>
        <w:spacing w:after="0" w:line="185" w:lineRule="exact"/>
        <w:rPr>
          <w:sz w:val="24"/>
          <w:szCs w:val="24"/>
          <w:color w:val="auto"/>
        </w:rPr>
      </w:pPr>
    </w:p>
    <w:p>
      <w:pPr>
        <w:ind w:right="740"/>
        <w:spacing w:after="0" w:line="250" w:lineRule="auto"/>
        <w:rPr>
          <w:sz w:val="20"/>
          <w:szCs w:val="20"/>
          <w:color w:val="auto"/>
        </w:rPr>
      </w:pPr>
      <w:r>
        <w:rPr>
          <w:rFonts w:ascii="Arial" w:cs="Arial" w:eastAsia="Arial" w:hAnsi="Arial"/>
          <w:sz w:val="21"/>
          <w:szCs w:val="2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Large Accelerated Filer o Accelerated Filer x Non-Accelerated Filer o  Smaller Reporting Company o</w:t>
      </w:r>
    </w:p>
    <w:p>
      <w:pPr>
        <w:spacing w:after="0" w:line="188" w:lineRule="exact"/>
        <w:rPr>
          <w:sz w:val="24"/>
          <w:szCs w:val="24"/>
          <w:color w:val="auto"/>
        </w:rPr>
      </w:pPr>
    </w:p>
    <w:p>
      <w:pPr>
        <w:ind w:right="1520"/>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173"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ectPr>
          <w:pgSz w:w="11900" w:h="16838" w:orient="portrait"/>
          <w:cols w:equalWidth="0" w:num="1">
            <w:col w:w="11340"/>
          </w:cols>
          <w:pgMar w:left="240" w:top="1138" w:right="319" w:bottom="0" w:gutter="0" w:footer="0" w:header="0"/>
        </w:sectPr>
      </w:pPr>
    </w:p>
    <w:p>
      <w:pPr>
        <w:spacing w:after="0" w:line="241" w:lineRule="exact"/>
        <w:rPr>
          <w:sz w:val="24"/>
          <w:szCs w:val="24"/>
          <w:color w:val="auto"/>
        </w:rPr>
      </w:pPr>
    </w:p>
    <w:p>
      <w:pPr>
        <w:jc w:val="center"/>
        <w:ind w:right="2360"/>
        <w:spacing w:after="0"/>
        <w:rPr>
          <w:sz w:val="20"/>
          <w:szCs w:val="20"/>
          <w:color w:val="auto"/>
        </w:rPr>
      </w:pPr>
      <w:r>
        <w:rPr>
          <w:rFonts w:ascii="Arial" w:cs="Arial" w:eastAsia="Arial" w:hAnsi="Arial"/>
          <w:sz w:val="22"/>
          <w:szCs w:val="22"/>
          <w:color w:val="auto"/>
        </w:rPr>
        <w:t>Class</w:t>
      </w:r>
    </w:p>
    <w:p>
      <w:pPr>
        <w:spacing w:after="0" w:line="8" w:lineRule="exact"/>
        <w:rPr>
          <w:sz w:val="24"/>
          <w:szCs w:val="24"/>
          <w:color w:val="auto"/>
        </w:rPr>
      </w:pPr>
    </w:p>
    <w:p>
      <w:pPr>
        <w:jc w:val="center"/>
        <w:ind w:right="2360"/>
        <w:spacing w:after="0"/>
        <w:rPr>
          <w:sz w:val="20"/>
          <w:szCs w:val="20"/>
          <w:color w:val="auto"/>
        </w:rPr>
      </w:pPr>
      <w:r>
        <w:rPr>
          <w:rFonts w:ascii="Arial" w:cs="Arial" w:eastAsia="Arial" w:hAnsi="Arial"/>
          <w:sz w:val="19"/>
          <w:szCs w:val="19"/>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jc w:val="center"/>
        <w:ind w:right="860"/>
        <w:spacing w:after="0"/>
        <w:rPr>
          <w:sz w:val="20"/>
          <w:szCs w:val="20"/>
          <w:color w:val="auto"/>
        </w:rPr>
      </w:pPr>
      <w:r>
        <w:rPr>
          <w:rFonts w:ascii="Arial" w:cs="Arial" w:eastAsia="Arial" w:hAnsi="Arial"/>
          <w:sz w:val="19"/>
          <w:szCs w:val="19"/>
          <w:color w:val="auto"/>
        </w:rPr>
        <w:t>Outstanding at March 3, 2008</w:t>
      </w:r>
    </w:p>
    <w:p>
      <w:pPr>
        <w:spacing w:after="0" w:line="43"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41,886,362Shares</w:t>
      </w:r>
    </w:p>
    <w:p>
      <w:pPr>
        <w:sectPr>
          <w:pgSz w:w="11900" w:h="16838" w:orient="portrait"/>
          <w:cols w:equalWidth="0" w:num="2">
            <w:col w:w="7180" w:space="720"/>
            <w:col w:w="3440"/>
          </w:cols>
          <w:pgMar w:left="240" w:top="1138" w:right="319" w:bottom="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Information</w:t>
      </w:r>
    </w:p>
    <w:p>
      <w:pPr>
        <w:spacing w:after="0" w:line="212" w:lineRule="exact"/>
        <w:rPr>
          <w:sz w:val="20"/>
          <w:szCs w:val="20"/>
          <w:color w:val="auto"/>
        </w:rPr>
      </w:pPr>
    </w:p>
    <w:p>
      <w:pPr>
        <w:ind w:firstLine="266"/>
        <w:spacing w:after="0" w:line="269" w:lineRule="auto"/>
        <w:rPr>
          <w:sz w:val="20"/>
          <w:szCs w:val="20"/>
          <w:color w:val="auto"/>
        </w:rPr>
      </w:pPr>
      <w:r>
        <w:rPr>
          <w:rFonts w:ascii="Arial" w:cs="Arial" w:eastAsia="Arial" w:hAnsi="Arial"/>
          <w:sz w:val="19"/>
          <w:szCs w:val="19"/>
          <w:color w:val="auto"/>
        </w:rPr>
        <w:t>The Private Securities Litigation Reform Act of 1995 provides a "safe harbor" for forward-looking statements made by or on behalf of Photronics, Inc. (the "Company").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and conference calls, regarding the consummation and benefits of future acquisitions, expectations with respect to future sales, financial performance, operating efficiencies and product expansion, are subject to known and unknown risks, uncertainties and contingencies, many of which are beyond the control of the Company. These factors may cause actual results, performance or achievements to differ materially from anticipated results, performances or achievements. Factors that might affect such forward-looking statements include, but are not limited to, overall economic and business conditions; the demand and receipt of orders for the Company's products; competitive factors in the industries and geographic markets in which the Company competes; changes in federal, state and international tax requirements (including tax rate changes, new tax laws and revised tax law interpretations); the Company's ability to place new equipment in service on a timely basis; interest rate fluctuations and other capital market conditions, including foreign currency rate fluctuations; economic and political conditions in international markets; the ability to obtain additional financings; the ability to achieve anticipated synergies and other cost savings in connection with acquisitions and productivity programs; uncertainties with respect to the integration and management of MP Mask Technology Center, LLC ("MP Mask"); delays in the ramp up of production of the state-of-the-art nanofab facility ("U.S. Nanofab"); the timing, impact and other uncertainties of future acquisitions; the seasonal and cyclical nature of the semiconductor and flat panel display industries; the availability of capital; management changes; damage or destruction to the Company's facilities by natural disasters, labor strikes, political unrest or terrorist activity; the ability to fully utilize its tools; the ability of the Company to receive desired yields, pricing, product mix, and market acceptance of its products; changes in technology; and the ability of the Company to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PHOTRONICS, INC.</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AND SUBSIDIARIES</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49" w:lineRule="exact"/>
        <w:rPr>
          <w:sz w:val="20"/>
          <w:szCs w:val="20"/>
          <w:color w:val="auto"/>
        </w:rPr>
      </w:pPr>
    </w:p>
    <w:tbl>
      <w:tblPr>
        <w:tblLayout w:type="fixed"/>
        <w:tblInd w:w="1880" w:type="dxa"/>
        <w:tblCellMar>
          <w:top w:w="0" w:type="dxa"/>
          <w:left w:w="0" w:type="dxa"/>
          <w:bottom w:w="0" w:type="dxa"/>
          <w:right w:w="0" w:type="dxa"/>
        </w:tblCellMar>
      </w:tblPr>
      <w:tr>
        <w:trPr>
          <w:trHeight w:val="281"/>
        </w:trPr>
        <w:tc>
          <w:tcPr>
            <w:tcW w:w="1400" w:type="dxa"/>
            <w:vAlign w:val="bottom"/>
          </w:tcPr>
          <w:p>
            <w:pPr>
              <w:spacing w:after="0"/>
              <w:rPr>
                <w:sz w:val="20"/>
                <w:szCs w:val="20"/>
                <w:color w:val="auto"/>
              </w:rPr>
            </w:pPr>
            <w:r>
              <w:rPr>
                <w:rFonts w:ascii="Arial" w:cs="Arial" w:eastAsia="Arial" w:hAnsi="Arial"/>
                <w:sz w:val="22"/>
                <w:szCs w:val="22"/>
                <w:b w:val="1"/>
                <w:bCs w:val="1"/>
                <w:color w:val="auto"/>
              </w:rPr>
              <w:t>PART I.</w:t>
            </w:r>
          </w:p>
        </w:tc>
        <w:tc>
          <w:tcPr>
            <w:tcW w:w="5840" w:type="dxa"/>
            <w:vAlign w:val="bottom"/>
            <w:gridSpan w:val="10"/>
          </w:tcPr>
          <w:p>
            <w:pPr>
              <w:spacing w:after="0"/>
              <w:rPr>
                <w:sz w:val="20"/>
                <w:szCs w:val="20"/>
                <w:color w:val="auto"/>
              </w:rPr>
            </w:pPr>
            <w:r>
              <w:rPr>
                <w:rFonts w:ascii="Arial" w:cs="Arial" w:eastAsia="Arial" w:hAnsi="Arial"/>
                <w:sz w:val="22"/>
                <w:szCs w:val="22"/>
                <w:b w:val="1"/>
                <w:bCs w:val="1"/>
                <w:color w:val="auto"/>
              </w:rPr>
              <w:t>FINANCIAL INFORMATION</w:t>
            </w:r>
          </w:p>
        </w:tc>
        <w:tc>
          <w:tcPr>
            <w:tcW w:w="440" w:type="dxa"/>
            <w:vAlign w:val="bottom"/>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98"/>
        </w:trPr>
        <w:tc>
          <w:tcPr>
            <w:tcW w:w="1400" w:type="dxa"/>
            <w:vAlign w:val="bottom"/>
            <w:vMerge w:val="restart"/>
          </w:tcPr>
          <w:p>
            <w:pPr>
              <w:spacing w:after="0"/>
              <w:rPr>
                <w:sz w:val="20"/>
                <w:szCs w:val="20"/>
                <w:color w:val="auto"/>
              </w:rPr>
            </w:pPr>
            <w:r>
              <w:rPr>
                <w:rFonts w:ascii="Arial" w:cs="Arial" w:eastAsia="Arial" w:hAnsi="Arial"/>
                <w:sz w:val="22"/>
                <w:szCs w:val="22"/>
                <w:color w:val="auto"/>
              </w:rPr>
              <w:t>Item 1.</w:t>
            </w:r>
          </w:p>
        </w:tc>
        <w:tc>
          <w:tcPr>
            <w:tcW w:w="5840" w:type="dxa"/>
            <w:vAlign w:val="bottom"/>
            <w:gridSpan w:val="10"/>
            <w:vMerge w:val="restart"/>
          </w:tcPr>
          <w:p>
            <w:pPr>
              <w:spacing w:after="0"/>
              <w:rPr>
                <w:sz w:val="20"/>
                <w:szCs w:val="20"/>
                <w:color w:val="auto"/>
              </w:rPr>
            </w:pPr>
            <w:r>
              <w:rPr>
                <w:rFonts w:ascii="Arial" w:cs="Arial" w:eastAsia="Arial" w:hAnsi="Arial"/>
                <w:sz w:val="22"/>
                <w:szCs w:val="22"/>
                <w:color w:val="auto"/>
              </w:rPr>
              <w:t>Condensed Consolidated Financial Statements</w:t>
            </w: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1400" w:type="dxa"/>
            <w:vAlign w:val="bottom"/>
            <w:vMerge w:val="continue"/>
          </w:tcPr>
          <w:p>
            <w:pPr>
              <w:spacing w:after="0"/>
              <w:rPr>
                <w:sz w:val="24"/>
                <w:szCs w:val="24"/>
                <w:color w:val="auto"/>
              </w:rPr>
            </w:pPr>
          </w:p>
        </w:tc>
        <w:tc>
          <w:tcPr>
            <w:tcW w:w="5840" w:type="dxa"/>
            <w:vAlign w:val="bottom"/>
            <w:gridSpan w:val="10"/>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400" w:type="dxa"/>
            <w:vAlign w:val="bottom"/>
          </w:tcPr>
          <w:p>
            <w:pPr>
              <w:spacing w:after="0"/>
              <w:rPr>
                <w:sz w:val="24"/>
                <w:szCs w:val="24"/>
                <w:color w:val="auto"/>
              </w:rPr>
            </w:pPr>
          </w:p>
        </w:tc>
        <w:tc>
          <w:tcPr>
            <w:tcW w:w="5840" w:type="dxa"/>
            <w:vAlign w:val="bottom"/>
            <w:gridSpan w:val="10"/>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Condensed Consolidated Balance Sheets at</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720" w:type="dxa"/>
            <w:vAlign w:val="bottom"/>
            <w:tcBorders>
              <w:top w:val="single" w:sz="8" w:color="0000EE"/>
            </w:tcBorders>
            <w:gridSpan w:val="4"/>
          </w:tcPr>
          <w:p>
            <w:pPr>
              <w:spacing w:after="0" w:line="223" w:lineRule="exact"/>
              <w:rPr>
                <w:rFonts w:ascii="Arial" w:cs="Arial" w:eastAsia="Arial" w:hAnsi="Arial"/>
                <w:sz w:val="22"/>
                <w:szCs w:val="22"/>
                <w:color w:val="0000EE"/>
                <w:w w:val="95"/>
              </w:rPr>
            </w:pPr>
            <w:hyperlink r:id="rId11">
              <w:r>
                <w:rPr>
                  <w:rFonts w:ascii="Arial" w:cs="Arial" w:eastAsia="Arial" w:hAnsi="Arial"/>
                  <w:sz w:val="22"/>
                  <w:szCs w:val="22"/>
                  <w:color w:val="0000EE"/>
                  <w:w w:val="95"/>
                </w:rPr>
                <w:t>January 27, 2008 and October 28, 2007</w:t>
              </w:r>
            </w:hyperlink>
          </w:p>
        </w:tc>
        <w:tc>
          <w:tcPr>
            <w:tcW w:w="2120" w:type="dxa"/>
            <w:vAlign w:val="bottom"/>
            <w:gridSpan w:val="6"/>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4"/>
                <w:szCs w:val="24"/>
                <w:color w:val="auto"/>
              </w:rPr>
            </w:pPr>
          </w:p>
        </w:tc>
        <w:tc>
          <w:tcPr>
            <w:tcW w:w="5840" w:type="dxa"/>
            <w:vAlign w:val="bottom"/>
            <w:gridSpan w:val="10"/>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Condensed Consolidated Statements of Operations</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4380" w:type="dxa"/>
            <w:vAlign w:val="bottom"/>
            <w:tcBorders>
              <w:top w:val="single" w:sz="8" w:color="0000EE"/>
            </w:tcBorders>
            <w:gridSpan w:val="6"/>
          </w:tcPr>
          <w:p>
            <w:pPr>
              <w:spacing w:after="0" w:line="223" w:lineRule="exact"/>
              <w:rPr>
                <w:rFonts w:ascii="Arial" w:cs="Arial" w:eastAsia="Arial" w:hAnsi="Arial"/>
                <w:sz w:val="22"/>
                <w:szCs w:val="22"/>
                <w:color w:val="0000EE"/>
              </w:rPr>
            </w:pPr>
            <w:hyperlink r:id="rId12">
              <w:r>
                <w:rPr>
                  <w:rFonts w:ascii="Arial" w:cs="Arial" w:eastAsia="Arial" w:hAnsi="Arial"/>
                  <w:sz w:val="22"/>
                  <w:szCs w:val="22"/>
                  <w:color w:val="0000EE"/>
                </w:rPr>
                <w:t>for the Three Months Ended</w:t>
              </w:r>
            </w:hyperlink>
          </w:p>
        </w:tc>
        <w:tc>
          <w:tcPr>
            <w:tcW w:w="1460" w:type="dxa"/>
            <w:vAlign w:val="bottom"/>
            <w:gridSpan w:val="4"/>
          </w:tcPr>
          <w:p>
            <w:pPr>
              <w:spacing w:after="0"/>
              <w:rPr>
                <w:sz w:val="19"/>
                <w:szCs w:val="19"/>
                <w:color w:val="auto"/>
              </w:rPr>
            </w:pPr>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0"/>
          </w:tcPr>
          <w:p>
            <w:pPr>
              <w:spacing w:after="0" w:line="223" w:lineRule="exact"/>
              <w:rPr>
                <w:rFonts w:ascii="Arial" w:cs="Arial" w:eastAsia="Arial" w:hAnsi="Arial"/>
                <w:sz w:val="22"/>
                <w:szCs w:val="22"/>
                <w:color w:val="0000EE"/>
              </w:rPr>
            </w:pPr>
            <w:hyperlink r:id="rId12">
              <w:r>
                <w:rPr>
                  <w:rFonts w:ascii="Arial" w:cs="Arial" w:eastAsia="Arial" w:hAnsi="Arial"/>
                  <w:sz w:val="22"/>
                  <w:szCs w:val="22"/>
                  <w:color w:val="0000EE"/>
                </w:rPr>
                <w:t>January 27, 2008 and January 28, 2007</w:t>
              </w:r>
            </w:hyperlink>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4"/>
                <w:szCs w:val="24"/>
                <w:color w:val="auto"/>
              </w:rPr>
            </w:pPr>
          </w:p>
        </w:tc>
        <w:tc>
          <w:tcPr>
            <w:tcW w:w="4460" w:type="dxa"/>
            <w:vAlign w:val="bottom"/>
            <w:tcBorders>
              <w:bottom w:val="single" w:sz="8" w:color="0000EE"/>
            </w:tcBorders>
            <w:gridSpan w:val="7"/>
          </w:tcPr>
          <w:p>
            <w:pPr>
              <w:spacing w:after="0"/>
              <w:rPr>
                <w:rFonts w:ascii="Arial" w:cs="Arial" w:eastAsia="Arial" w:hAnsi="Arial"/>
                <w:sz w:val="22"/>
                <w:szCs w:val="22"/>
                <w:color w:val="0000EE"/>
                <w:w w:val="87"/>
              </w:rPr>
            </w:pPr>
            <w:hyperlink r:id="rId13">
              <w:r>
                <w:rPr>
                  <w:rFonts w:ascii="Arial" w:cs="Arial" w:eastAsia="Arial" w:hAnsi="Arial"/>
                  <w:sz w:val="22"/>
                  <w:szCs w:val="22"/>
                  <w:color w:val="0000EE"/>
                  <w:w w:val="87"/>
                </w:rPr>
                <w:t>Condensed Consolidated Statements of Cash Flows</w:t>
              </w:r>
            </w:hyperlink>
          </w:p>
        </w:tc>
        <w:tc>
          <w:tcPr>
            <w:tcW w:w="138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0"/>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for the Three Months Ended</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0"/>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January 27, 2008 and January 28, 2007</w:t>
              </w:r>
            </w:hyperlink>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4"/>
                <w:szCs w:val="24"/>
                <w:color w:val="auto"/>
              </w:rPr>
            </w:pPr>
          </w:p>
        </w:tc>
        <w:tc>
          <w:tcPr>
            <w:tcW w:w="4800" w:type="dxa"/>
            <w:vAlign w:val="bottom"/>
            <w:tcBorders>
              <w:bottom w:val="single" w:sz="8" w:color="0000EE"/>
            </w:tcBorders>
            <w:gridSpan w:val="8"/>
          </w:tcPr>
          <w:p>
            <w:pPr>
              <w:spacing w:after="0"/>
              <w:rPr>
                <w:rFonts w:ascii="Arial" w:cs="Arial" w:eastAsia="Arial" w:hAnsi="Arial"/>
                <w:sz w:val="22"/>
                <w:szCs w:val="22"/>
                <w:color w:val="0000EE"/>
                <w:w w:val="87"/>
              </w:rPr>
            </w:pPr>
            <w:hyperlink r:id="rId14">
              <w:r>
                <w:rPr>
                  <w:rFonts w:ascii="Arial" w:cs="Arial" w:eastAsia="Arial" w:hAnsi="Arial"/>
                  <w:sz w:val="22"/>
                  <w:szCs w:val="22"/>
                  <w:color w:val="0000EE"/>
                  <w:w w:val="87"/>
                </w:rPr>
                <w:t>Notes to Condensed Consolidated Financial Statements</w:t>
              </w:r>
            </w:hyperlink>
          </w:p>
        </w:tc>
        <w:tc>
          <w:tcPr>
            <w:tcW w:w="104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2.</w:t>
            </w:r>
          </w:p>
        </w:tc>
        <w:tc>
          <w:tcPr>
            <w:tcW w:w="5840" w:type="dxa"/>
            <w:vAlign w:val="bottom"/>
            <w:gridSpan w:val="10"/>
          </w:tcPr>
          <w:p>
            <w:pPr>
              <w:spacing w:after="0"/>
              <w:rPr>
                <w:rFonts w:ascii="Arial" w:cs="Arial" w:eastAsia="Arial" w:hAnsi="Arial"/>
                <w:sz w:val="22"/>
                <w:szCs w:val="22"/>
                <w:color w:val="0000EE"/>
              </w:rPr>
            </w:pPr>
            <w:hyperlink r:id="rId15">
              <w:r>
                <w:rPr>
                  <w:rFonts w:ascii="Arial" w:cs="Arial" w:eastAsia="Arial" w:hAnsi="Arial"/>
                  <w:sz w:val="22"/>
                  <w:szCs w:val="22"/>
                  <w:color w:val="0000EE"/>
                </w:rPr>
                <w:t>Management's Discussion and Analysis</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0"/>
          </w:tcPr>
          <w:p>
            <w:pPr>
              <w:spacing w:after="0" w:line="223" w:lineRule="exact"/>
              <w:rPr>
                <w:rFonts w:ascii="Arial" w:cs="Arial" w:eastAsia="Arial" w:hAnsi="Arial"/>
                <w:sz w:val="22"/>
                <w:szCs w:val="22"/>
                <w:color w:val="0000EE"/>
              </w:rPr>
            </w:pPr>
            <w:hyperlink r:id="rId15">
              <w:r>
                <w:rPr>
                  <w:rFonts w:ascii="Arial" w:cs="Arial" w:eastAsia="Arial" w:hAnsi="Arial"/>
                  <w:sz w:val="22"/>
                  <w:szCs w:val="22"/>
                  <w:color w:val="0000EE"/>
                </w:rPr>
                <w:t>of Results of Operations and Financial Condition</w:t>
              </w:r>
            </w:hyperlink>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3.</w:t>
            </w:r>
          </w:p>
        </w:tc>
        <w:tc>
          <w:tcPr>
            <w:tcW w:w="5840" w:type="dxa"/>
            <w:vAlign w:val="bottom"/>
            <w:gridSpan w:val="10"/>
          </w:tcPr>
          <w:p>
            <w:pPr>
              <w:spacing w:after="0"/>
              <w:rPr>
                <w:rFonts w:ascii="Arial" w:cs="Arial" w:eastAsia="Arial" w:hAnsi="Arial"/>
                <w:sz w:val="22"/>
                <w:szCs w:val="22"/>
                <w:color w:val="0000EE"/>
              </w:rPr>
            </w:pPr>
            <w:hyperlink r:id="rId16">
              <w:r>
                <w:rPr>
                  <w:rFonts w:ascii="Arial" w:cs="Arial" w:eastAsia="Arial" w:hAnsi="Arial"/>
                  <w:sz w:val="22"/>
                  <w:szCs w:val="22"/>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577"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tcPr>
          <w:p>
            <w:pPr>
              <w:ind w:left="1880"/>
              <w:spacing w:after="0"/>
              <w:rPr>
                <w:sz w:val="20"/>
                <w:szCs w:val="20"/>
                <w:color w:val="auto"/>
              </w:rPr>
            </w:pPr>
            <w:r>
              <w:rPr>
                <w:rFonts w:ascii="Arial" w:cs="Arial" w:eastAsia="Arial" w:hAnsi="Arial"/>
                <w:sz w:val="22"/>
                <w:szCs w:val="22"/>
                <w:color w:val="auto"/>
              </w:rPr>
              <w:t>Item 4.</w:t>
            </w:r>
          </w:p>
        </w:tc>
        <w:tc>
          <w:tcPr>
            <w:tcW w:w="4840" w:type="dxa"/>
            <w:vAlign w:val="bottom"/>
            <w:gridSpan w:val="4"/>
          </w:tcPr>
          <w:p>
            <w:pPr>
              <w:spacing w:after="0"/>
              <w:rPr>
                <w:rFonts w:ascii="Arial" w:cs="Arial" w:eastAsia="Arial" w:hAnsi="Arial"/>
                <w:sz w:val="22"/>
                <w:szCs w:val="22"/>
                <w:color w:val="0000EE"/>
              </w:rPr>
            </w:pPr>
            <w:hyperlink r:id="rId17">
              <w:r>
                <w:rPr>
                  <w:rFonts w:ascii="Arial" w:cs="Arial" w:eastAsia="Arial" w:hAnsi="Arial"/>
                  <w:sz w:val="22"/>
                  <w:szCs w:val="22"/>
                  <w:color w:val="0000EE"/>
                </w:rPr>
                <w:t>Controls and Procedures</w:t>
              </w:r>
            </w:hyperlink>
          </w:p>
        </w:tc>
        <w:tc>
          <w:tcPr>
            <w:tcW w:w="3320" w:type="dxa"/>
            <w:vAlign w:val="bottom"/>
          </w:tcPr>
          <w:p>
            <w:pPr>
              <w:jc w:val="right"/>
              <w:ind w:right="1792"/>
              <w:spacing w:after="0"/>
              <w:rPr>
                <w:sz w:val="20"/>
                <w:szCs w:val="20"/>
                <w:color w:val="auto"/>
              </w:rPr>
            </w:pPr>
            <w:r>
              <w:rPr>
                <w:rFonts w:ascii="Arial" w:cs="Arial" w:eastAsia="Arial" w:hAnsi="Arial"/>
                <w:sz w:val="22"/>
                <w:szCs w:val="22"/>
                <w:color w:val="auto"/>
              </w:rPr>
              <w:t>24</w:t>
            </w:r>
          </w:p>
        </w:tc>
      </w:tr>
      <w:tr>
        <w:trPr>
          <w:trHeight w:val="20"/>
        </w:trPr>
        <w:tc>
          <w:tcPr>
            <w:tcW w:w="3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760"/>
        </w:trPr>
        <w:tc>
          <w:tcPr>
            <w:tcW w:w="3280" w:type="dxa"/>
            <w:vAlign w:val="bottom"/>
          </w:tcPr>
          <w:p>
            <w:pPr>
              <w:ind w:left="1880"/>
              <w:spacing w:after="0"/>
              <w:rPr>
                <w:sz w:val="20"/>
                <w:szCs w:val="20"/>
                <w:color w:val="auto"/>
              </w:rPr>
            </w:pPr>
            <w:r>
              <w:rPr>
                <w:rFonts w:ascii="Arial" w:cs="Arial" w:eastAsia="Arial" w:hAnsi="Arial"/>
                <w:sz w:val="22"/>
                <w:szCs w:val="22"/>
                <w:b w:val="1"/>
                <w:bCs w:val="1"/>
                <w:color w:val="auto"/>
              </w:rPr>
              <w:t>PART II.</w:t>
            </w:r>
          </w:p>
        </w:tc>
        <w:tc>
          <w:tcPr>
            <w:tcW w:w="4840" w:type="dxa"/>
            <w:vAlign w:val="bottom"/>
            <w:gridSpan w:val="4"/>
          </w:tcPr>
          <w:p>
            <w:pPr>
              <w:spacing w:after="0"/>
              <w:rPr>
                <w:sz w:val="20"/>
                <w:szCs w:val="20"/>
                <w:color w:val="auto"/>
              </w:rPr>
            </w:pPr>
            <w:r>
              <w:rPr>
                <w:rFonts w:ascii="Arial" w:cs="Arial" w:eastAsia="Arial" w:hAnsi="Arial"/>
                <w:sz w:val="22"/>
                <w:szCs w:val="22"/>
                <w:b w:val="1"/>
                <w:bCs w:val="1"/>
                <w:color w:val="auto"/>
              </w:rPr>
              <w:t>OTHER INFORMATION</w:t>
            </w:r>
          </w:p>
        </w:tc>
        <w:tc>
          <w:tcPr>
            <w:tcW w:w="3320" w:type="dxa"/>
            <w:vAlign w:val="bottom"/>
          </w:tcPr>
          <w:p>
            <w:pPr>
              <w:spacing w:after="0"/>
              <w:rPr>
                <w:sz w:val="24"/>
                <w:szCs w:val="24"/>
                <w:color w:val="auto"/>
              </w:rPr>
            </w:pPr>
          </w:p>
        </w:tc>
      </w:tr>
      <w:tr>
        <w:trPr>
          <w:trHeight w:val="436"/>
        </w:trPr>
        <w:tc>
          <w:tcPr>
            <w:tcW w:w="3280" w:type="dxa"/>
            <w:vAlign w:val="bottom"/>
          </w:tcPr>
          <w:p>
            <w:pPr>
              <w:ind w:left="1880"/>
              <w:spacing w:after="0"/>
              <w:rPr>
                <w:sz w:val="20"/>
                <w:szCs w:val="20"/>
                <w:color w:val="auto"/>
              </w:rPr>
            </w:pPr>
            <w:r>
              <w:rPr>
                <w:rFonts w:ascii="Arial" w:cs="Arial" w:eastAsia="Arial" w:hAnsi="Arial"/>
                <w:sz w:val="22"/>
                <w:szCs w:val="22"/>
                <w:color w:val="auto"/>
              </w:rPr>
              <w:t>Item 1A.</w:t>
            </w:r>
          </w:p>
        </w:tc>
        <w:tc>
          <w:tcPr>
            <w:tcW w:w="4840" w:type="dxa"/>
            <w:vAlign w:val="bottom"/>
            <w:gridSpan w:val="4"/>
          </w:tcPr>
          <w:p>
            <w:pPr>
              <w:spacing w:after="0"/>
              <w:rPr>
                <w:rFonts w:ascii="Arial" w:cs="Arial" w:eastAsia="Arial" w:hAnsi="Arial"/>
                <w:sz w:val="22"/>
                <w:szCs w:val="22"/>
                <w:color w:val="0000EE"/>
              </w:rPr>
            </w:pPr>
            <w:hyperlink r:id="rId18">
              <w:r>
                <w:rPr>
                  <w:rFonts w:ascii="Arial" w:cs="Arial" w:eastAsia="Arial" w:hAnsi="Arial"/>
                  <w:sz w:val="22"/>
                  <w:szCs w:val="22"/>
                  <w:color w:val="0000EE"/>
                </w:rPr>
                <w:t>Risks Relating to the Company's Business</w:t>
              </w:r>
            </w:hyperlink>
          </w:p>
        </w:tc>
        <w:tc>
          <w:tcPr>
            <w:tcW w:w="3320" w:type="dxa"/>
            <w:vAlign w:val="bottom"/>
          </w:tcPr>
          <w:p>
            <w:pPr>
              <w:jc w:val="right"/>
              <w:ind w:right="1792"/>
              <w:spacing w:after="0"/>
              <w:rPr>
                <w:sz w:val="20"/>
                <w:szCs w:val="20"/>
                <w:color w:val="auto"/>
              </w:rPr>
            </w:pPr>
            <w:r>
              <w:rPr>
                <w:rFonts w:ascii="Arial" w:cs="Arial" w:eastAsia="Arial" w:hAnsi="Arial"/>
                <w:sz w:val="22"/>
                <w:szCs w:val="22"/>
                <w:color w:val="auto"/>
              </w:rPr>
              <w:t>24</w:t>
            </w:r>
          </w:p>
        </w:tc>
      </w:tr>
      <w:tr>
        <w:trPr>
          <w:trHeight w:val="466"/>
        </w:trPr>
        <w:tc>
          <w:tcPr>
            <w:tcW w:w="3280" w:type="dxa"/>
            <w:vAlign w:val="bottom"/>
          </w:tcPr>
          <w:p>
            <w:pPr>
              <w:ind w:left="1880"/>
              <w:spacing w:after="0"/>
              <w:rPr>
                <w:sz w:val="20"/>
                <w:szCs w:val="20"/>
                <w:color w:val="auto"/>
              </w:rPr>
            </w:pPr>
            <w:r>
              <w:rPr>
                <w:rFonts w:ascii="Arial" w:cs="Arial" w:eastAsia="Arial" w:hAnsi="Arial"/>
                <w:sz w:val="22"/>
                <w:szCs w:val="22"/>
                <w:color w:val="auto"/>
              </w:rPr>
              <w:t>Item 6.</w:t>
            </w:r>
          </w:p>
        </w:tc>
        <w:tc>
          <w:tcPr>
            <w:tcW w:w="720" w:type="dxa"/>
            <w:vAlign w:val="bottom"/>
            <w:tcBorders>
              <w:top w:val="single" w:sz="8" w:color="0000EE"/>
              <w:bottom w:val="single" w:sz="8" w:color="0000EE"/>
            </w:tcBorders>
          </w:tcPr>
          <w:p>
            <w:pPr>
              <w:spacing w:after="0"/>
              <w:rPr>
                <w:rFonts w:ascii="Arial" w:cs="Arial" w:eastAsia="Arial" w:hAnsi="Arial"/>
                <w:sz w:val="22"/>
                <w:szCs w:val="22"/>
                <w:color w:val="0000EE"/>
                <w:w w:val="90"/>
              </w:rPr>
            </w:pPr>
            <w:hyperlink r:id="rId19">
              <w:r>
                <w:rPr>
                  <w:rFonts w:ascii="Arial" w:cs="Arial" w:eastAsia="Arial" w:hAnsi="Arial"/>
                  <w:sz w:val="22"/>
                  <w:szCs w:val="22"/>
                  <w:color w:val="0000EE"/>
                  <w:w w:val="90"/>
                </w:rPr>
                <w:t>Exhibits</w:t>
              </w:r>
            </w:hyperlink>
          </w:p>
        </w:tc>
        <w:tc>
          <w:tcPr>
            <w:tcW w:w="2920" w:type="dxa"/>
            <w:vAlign w:val="bottom"/>
            <w:tcBorders>
              <w:top w:val="single" w:sz="8" w:color="0000EE"/>
            </w:tcBorders>
            <w:gridSpan w:val="2"/>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tcPr>
          <w:p>
            <w:pPr>
              <w:jc w:val="right"/>
              <w:ind w:right="1792"/>
              <w:spacing w:after="0"/>
              <w:rPr>
                <w:sz w:val="20"/>
                <w:szCs w:val="20"/>
                <w:color w:val="auto"/>
              </w:rPr>
            </w:pPr>
            <w:r>
              <w:rPr>
                <w:rFonts w:ascii="Arial" w:cs="Arial" w:eastAsia="Arial" w:hAnsi="Arial"/>
                <w:sz w:val="22"/>
                <w:szCs w:val="22"/>
                <w:color w:val="auto"/>
              </w:rPr>
              <w:t>24</w:t>
            </w:r>
          </w:p>
        </w:tc>
      </w:tr>
      <w:tr>
        <w:trPr>
          <w:trHeight w:val="733"/>
        </w:trPr>
        <w:tc>
          <w:tcPr>
            <w:tcW w:w="3280" w:type="dxa"/>
            <w:vAlign w:val="bottom"/>
          </w:tcPr>
          <w:p>
            <w:pPr>
              <w:spacing w:after="0"/>
              <w:rPr>
                <w:sz w:val="24"/>
                <w:szCs w:val="24"/>
                <w:color w:val="auto"/>
              </w:rPr>
            </w:pPr>
          </w:p>
        </w:tc>
        <w:tc>
          <w:tcPr>
            <w:tcW w:w="3640" w:type="dxa"/>
            <w:vAlign w:val="bottom"/>
            <w:gridSpan w:val="3"/>
          </w:tcPr>
          <w:p>
            <w:pPr>
              <w:ind w:left="2300"/>
              <w:spacing w:after="0"/>
              <w:rPr>
                <w:sz w:val="20"/>
                <w:szCs w:val="20"/>
                <w:color w:val="auto"/>
              </w:rPr>
            </w:pPr>
            <w:r>
              <w:rPr>
                <w:rFonts w:ascii="Arial" w:cs="Arial" w:eastAsia="Arial" w:hAnsi="Arial"/>
                <w:sz w:val="22"/>
                <w:szCs w:val="22"/>
                <w:color w:val="auto"/>
              </w:rPr>
              <w:t>-3-</w:t>
            </w: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13"/>
        </w:trPr>
        <w:tc>
          <w:tcPr>
            <w:tcW w:w="32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33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PART I.</w:t>
        <w:tab/>
        <w:t>FINANCIAL INFORMATION</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CONDENSED CONSOLIDATED FINANCIAL STATEMENTS</w:t>
      </w:r>
    </w:p>
    <w:p>
      <w:pPr>
        <w:spacing w:after="0" w:line="206"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Condensed Consolidated Balance Sheets</w:t>
      </w:r>
    </w:p>
    <w:p>
      <w:pPr>
        <w:ind w:left="3940"/>
        <w:spacing w:after="0" w:line="230" w:lineRule="auto"/>
        <w:rPr>
          <w:sz w:val="20"/>
          <w:szCs w:val="20"/>
          <w:color w:val="auto"/>
        </w:rPr>
      </w:pPr>
      <w:r>
        <w:rPr>
          <w:rFonts w:ascii="Arial" w:cs="Arial" w:eastAsia="Arial" w:hAnsi="Arial"/>
          <w:sz w:val="22"/>
          <w:szCs w:val="22"/>
          <w:i w:val="1"/>
          <w:iCs w:val="1"/>
          <w:color w:val="auto"/>
        </w:rPr>
        <w:t>(in thousands, except per share amounts)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380" w:type="dxa"/>
        <w:tblCellMar>
          <w:top w:w="0" w:type="dxa"/>
          <w:left w:w="0" w:type="dxa"/>
          <w:bottom w:w="0" w:type="dxa"/>
          <w:right w:w="0" w:type="dxa"/>
        </w:tblCellMar>
      </w:tblPr>
      <w:tr>
        <w:trPr>
          <w:trHeight w:val="253"/>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7"/>
              </w:rPr>
              <w:t>January 27,</w:t>
            </w:r>
          </w:p>
        </w:tc>
        <w:tc>
          <w:tcPr>
            <w:tcW w:w="4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22"/>
                <w:szCs w:val="22"/>
                <w:b w:val="1"/>
                <w:bCs w:val="1"/>
                <w:color w:val="auto"/>
                <w:w w:val="87"/>
              </w:rPr>
              <w:t>October 28,</w:t>
            </w:r>
          </w:p>
        </w:tc>
        <w:tc>
          <w:tcPr>
            <w:tcW w:w="0" w:type="dxa"/>
            <w:vAlign w:val="bottom"/>
          </w:tcPr>
          <w:p>
            <w:pPr>
              <w:spacing w:after="0"/>
              <w:rPr>
                <w:sz w:val="1"/>
                <w:szCs w:val="1"/>
                <w:color w:val="auto"/>
              </w:rPr>
            </w:pPr>
          </w:p>
        </w:tc>
      </w:tr>
      <w:tr>
        <w:trPr>
          <w:trHeight w:val="281"/>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ind w:right="232"/>
              <w:spacing w:after="0"/>
              <w:rPr>
                <w:sz w:val="20"/>
                <w:szCs w:val="20"/>
                <w:color w:val="auto"/>
              </w:rPr>
            </w:pPr>
            <w:r>
              <w:rPr>
                <w:rFonts w:ascii="Arial" w:cs="Arial" w:eastAsia="Arial" w:hAnsi="Arial"/>
                <w:sz w:val="22"/>
                <w:szCs w:val="22"/>
                <w:b w:val="1"/>
                <w:bCs w:val="1"/>
                <w:color w:val="auto"/>
                <w:w w:val="89"/>
              </w:rPr>
              <w:t>2007</w:t>
            </w:r>
          </w:p>
        </w:tc>
        <w:tc>
          <w:tcPr>
            <w:tcW w:w="0" w:type="dxa"/>
            <w:vAlign w:val="bottom"/>
          </w:tcPr>
          <w:p>
            <w:pPr>
              <w:spacing w:after="0"/>
              <w:rPr>
                <w:sz w:val="1"/>
                <w:szCs w:val="1"/>
                <w:color w:val="auto"/>
              </w:rPr>
            </w:pPr>
          </w:p>
        </w:tc>
      </w:tr>
      <w:tr>
        <w:trPr>
          <w:trHeight w:val="98"/>
        </w:trPr>
        <w:tc>
          <w:tcPr>
            <w:tcW w:w="608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ASSETS</w:t>
            </w:r>
          </w:p>
        </w:tc>
        <w:tc>
          <w:tcPr>
            <w:tcW w:w="11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0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080" w:type="dxa"/>
            <w:vAlign w:val="bottom"/>
            <w:gridSpan w:val="2"/>
          </w:tcPr>
          <w:p>
            <w:pPr>
              <w:spacing w:after="0"/>
              <w:rPr>
                <w:sz w:val="20"/>
                <w:szCs w:val="20"/>
                <w:color w:val="auto"/>
              </w:rPr>
            </w:pPr>
            <w:r>
              <w:rPr>
                <w:rFonts w:ascii="Arial" w:cs="Arial" w:eastAsia="Arial" w:hAnsi="Arial"/>
                <w:sz w:val="22"/>
                <w:szCs w:val="22"/>
                <w:color w:val="auto"/>
              </w:rPr>
              <w:t>Current assets: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Cash and cash equivalents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  89,129</w:t>
            </w:r>
          </w:p>
        </w:tc>
        <w:tc>
          <w:tcPr>
            <w:tcW w:w="7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w w:val="87"/>
              </w:rPr>
              <w:t>146,049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Short-term investments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5,912</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5,657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Accounts receivable, net of allowance of $3,697 in 2008</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and $3,721 in 2007</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72,077</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68,248</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Inventories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16,506</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17,716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Deferred income taxes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2,604</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3,071</w:t>
            </w:r>
          </w:p>
        </w:tc>
        <w:tc>
          <w:tcPr>
            <w:tcW w:w="0" w:type="dxa"/>
            <w:vAlign w:val="bottom"/>
          </w:tcPr>
          <w:p>
            <w:pPr>
              <w:spacing w:after="0"/>
              <w:rPr>
                <w:sz w:val="1"/>
                <w:szCs w:val="1"/>
                <w:color w:val="auto"/>
              </w:rPr>
            </w:pPr>
          </w:p>
        </w:tc>
      </w:tr>
      <w:tr>
        <w:trPr>
          <w:trHeight w:val="275"/>
        </w:trPr>
        <w:tc>
          <w:tcPr>
            <w:tcW w:w="6080" w:type="dxa"/>
            <w:vAlign w:val="bottom"/>
            <w:gridSpan w:val="2"/>
          </w:tcPr>
          <w:p>
            <w:pPr>
              <w:ind w:left="100"/>
              <w:spacing w:after="0"/>
              <w:rPr>
                <w:sz w:val="20"/>
                <w:szCs w:val="20"/>
                <w:color w:val="auto"/>
              </w:rPr>
            </w:pPr>
            <w:r>
              <w:rPr>
                <w:rFonts w:ascii="Arial" w:cs="Arial" w:eastAsia="Arial" w:hAnsi="Arial"/>
                <w:sz w:val="22"/>
                <w:szCs w:val="22"/>
                <w:color w:val="auto"/>
              </w:rPr>
              <w:t>Other current assets</w:t>
            </w:r>
          </w:p>
        </w:tc>
        <w:tc>
          <w:tcPr>
            <w:tcW w:w="1120" w:type="dxa"/>
            <w:vAlign w:val="bottom"/>
          </w:tcPr>
          <w:p>
            <w:pPr>
              <w:jc w:val="right"/>
              <w:spacing w:after="0"/>
              <w:rPr>
                <w:sz w:val="20"/>
                <w:szCs w:val="20"/>
                <w:color w:val="auto"/>
              </w:rPr>
            </w:pPr>
            <w:r>
              <w:rPr>
                <w:rFonts w:ascii="Arial" w:cs="Arial" w:eastAsia="Arial" w:hAnsi="Arial"/>
                <w:sz w:val="22"/>
                <w:szCs w:val="22"/>
                <w:color w:val="auto"/>
              </w:rPr>
              <w:t>7,137</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6,244</w:t>
            </w:r>
          </w:p>
        </w:tc>
        <w:tc>
          <w:tcPr>
            <w:tcW w:w="0" w:type="dxa"/>
            <w:vAlign w:val="bottom"/>
          </w:tcPr>
          <w:p>
            <w:pPr>
              <w:spacing w:after="0"/>
              <w:rPr>
                <w:sz w:val="1"/>
                <w:szCs w:val="1"/>
                <w:color w:val="auto"/>
              </w:rPr>
            </w:pPr>
          </w:p>
        </w:tc>
      </w:tr>
      <w:tr>
        <w:trPr>
          <w:trHeight w:val="98"/>
        </w:trPr>
        <w:tc>
          <w:tcPr>
            <w:tcW w:w="6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336699"/>
            </w:tcBorders>
          </w:tcPr>
          <w:p>
            <w:pPr>
              <w:spacing w:after="0"/>
              <w:rPr>
                <w:sz w:val="8"/>
                <w:szCs w:val="8"/>
                <w:color w:val="auto"/>
              </w:rPr>
            </w:pPr>
          </w:p>
        </w:tc>
        <w:tc>
          <w:tcPr>
            <w:tcW w:w="8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080" w:type="dxa"/>
            <w:vAlign w:val="bottom"/>
            <w:gridSpan w:val="2"/>
          </w:tcPr>
          <w:p>
            <w:pPr>
              <w:ind w:left="100"/>
              <w:spacing w:after="0"/>
              <w:rPr>
                <w:sz w:val="20"/>
                <w:szCs w:val="20"/>
                <w:color w:val="auto"/>
              </w:rPr>
            </w:pPr>
            <w:r>
              <w:rPr>
                <w:rFonts w:ascii="Arial" w:cs="Arial" w:eastAsia="Arial" w:hAnsi="Arial"/>
                <w:sz w:val="22"/>
                <w:szCs w:val="22"/>
                <w:color w:val="auto"/>
              </w:rPr>
              <w:t>Total current assets</w:t>
            </w:r>
          </w:p>
        </w:tc>
        <w:tc>
          <w:tcPr>
            <w:tcW w:w="1120" w:type="dxa"/>
            <w:vAlign w:val="bottom"/>
          </w:tcPr>
          <w:p>
            <w:pPr>
              <w:jc w:val="right"/>
              <w:spacing w:after="0"/>
              <w:rPr>
                <w:sz w:val="20"/>
                <w:szCs w:val="20"/>
                <w:color w:val="auto"/>
              </w:rPr>
            </w:pPr>
            <w:r>
              <w:rPr>
                <w:rFonts w:ascii="Arial" w:cs="Arial" w:eastAsia="Arial" w:hAnsi="Arial"/>
                <w:sz w:val="22"/>
                <w:szCs w:val="22"/>
                <w:color w:val="auto"/>
              </w:rPr>
              <w:t>193,365</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w w:val="87"/>
              </w:rPr>
              <w:t>246,985</w:t>
            </w:r>
          </w:p>
        </w:tc>
        <w:tc>
          <w:tcPr>
            <w:tcW w:w="0" w:type="dxa"/>
            <w:vAlign w:val="bottom"/>
          </w:tcPr>
          <w:p>
            <w:pPr>
              <w:spacing w:after="0"/>
              <w:rPr>
                <w:sz w:val="1"/>
                <w:szCs w:val="1"/>
                <w:color w:val="auto"/>
              </w:rPr>
            </w:pPr>
          </w:p>
        </w:tc>
      </w:tr>
      <w:tr>
        <w:trPr>
          <w:trHeight w:val="455"/>
        </w:trPr>
        <w:tc>
          <w:tcPr>
            <w:tcW w:w="6080" w:type="dxa"/>
            <w:vAlign w:val="bottom"/>
            <w:gridSpan w:val="2"/>
          </w:tcPr>
          <w:p>
            <w:pPr>
              <w:spacing w:after="0"/>
              <w:rPr>
                <w:sz w:val="20"/>
                <w:szCs w:val="20"/>
                <w:color w:val="auto"/>
              </w:rPr>
            </w:pPr>
            <w:r>
              <w:rPr>
                <w:rFonts w:ascii="Arial" w:cs="Arial" w:eastAsia="Arial" w:hAnsi="Arial"/>
                <w:sz w:val="22"/>
                <w:szCs w:val="22"/>
                <w:color w:val="auto"/>
              </w:rPr>
              <w:t>Property, plant and equipment, net</w:t>
            </w:r>
          </w:p>
        </w:tc>
        <w:tc>
          <w:tcPr>
            <w:tcW w:w="1120" w:type="dxa"/>
            <w:vAlign w:val="bottom"/>
          </w:tcPr>
          <w:p>
            <w:pPr>
              <w:jc w:val="right"/>
              <w:spacing w:after="0"/>
              <w:rPr>
                <w:sz w:val="20"/>
                <w:szCs w:val="20"/>
                <w:color w:val="auto"/>
              </w:rPr>
            </w:pPr>
            <w:r>
              <w:rPr>
                <w:rFonts w:ascii="Arial" w:cs="Arial" w:eastAsia="Arial" w:hAnsi="Arial"/>
                <w:sz w:val="22"/>
                <w:szCs w:val="22"/>
                <w:color w:val="auto"/>
              </w:rPr>
              <w:t>604,706</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w w:val="87"/>
              </w:rPr>
              <w:t>531,578</w:t>
            </w:r>
          </w:p>
        </w:tc>
        <w:tc>
          <w:tcPr>
            <w:tcW w:w="0" w:type="dxa"/>
            <w:vAlign w:val="bottom"/>
          </w:tcPr>
          <w:p>
            <w:pPr>
              <w:spacing w:after="0"/>
              <w:rPr>
                <w:sz w:val="1"/>
                <w:szCs w:val="1"/>
                <w:color w:val="auto"/>
              </w:rPr>
            </w:pPr>
          </w:p>
        </w:tc>
      </w:tr>
      <w:tr>
        <w:trPr>
          <w:trHeight w:val="243"/>
        </w:trPr>
        <w:tc>
          <w:tcPr>
            <w:tcW w:w="6080" w:type="dxa"/>
            <w:vAlign w:val="bottom"/>
            <w:gridSpan w:val="2"/>
          </w:tcPr>
          <w:p>
            <w:pPr>
              <w:spacing w:after="0" w:line="243" w:lineRule="exact"/>
              <w:rPr>
                <w:sz w:val="20"/>
                <w:szCs w:val="20"/>
                <w:color w:val="auto"/>
              </w:rPr>
            </w:pPr>
            <w:r>
              <w:rPr>
                <w:rFonts w:ascii="Arial" w:cs="Arial" w:eastAsia="Arial" w:hAnsi="Arial"/>
                <w:sz w:val="22"/>
                <w:szCs w:val="22"/>
                <w:color w:val="auto"/>
              </w:rPr>
              <w:t>Goodwill</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138,534</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w w:val="87"/>
              </w:rPr>
              <w:t>138,534</w:t>
            </w:r>
          </w:p>
        </w:tc>
        <w:tc>
          <w:tcPr>
            <w:tcW w:w="0" w:type="dxa"/>
            <w:vAlign w:val="bottom"/>
          </w:tcPr>
          <w:p>
            <w:pPr>
              <w:spacing w:after="0"/>
              <w:rPr>
                <w:sz w:val="1"/>
                <w:szCs w:val="1"/>
                <w:color w:val="auto"/>
              </w:rPr>
            </w:pPr>
          </w:p>
        </w:tc>
      </w:tr>
      <w:tr>
        <w:trPr>
          <w:trHeight w:val="243"/>
        </w:trPr>
        <w:tc>
          <w:tcPr>
            <w:tcW w:w="6080" w:type="dxa"/>
            <w:vAlign w:val="bottom"/>
            <w:gridSpan w:val="2"/>
          </w:tcPr>
          <w:p>
            <w:pPr>
              <w:spacing w:after="0" w:line="243" w:lineRule="exact"/>
              <w:rPr>
                <w:sz w:val="20"/>
                <w:szCs w:val="20"/>
                <w:color w:val="auto"/>
              </w:rPr>
            </w:pPr>
            <w:r>
              <w:rPr>
                <w:rFonts w:ascii="Arial" w:cs="Arial" w:eastAsia="Arial" w:hAnsi="Arial"/>
                <w:sz w:val="22"/>
                <w:szCs w:val="22"/>
                <w:color w:val="auto"/>
              </w:rPr>
              <w:t>Investment in joint venture</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70,345</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67,900</w:t>
            </w:r>
          </w:p>
        </w:tc>
        <w:tc>
          <w:tcPr>
            <w:tcW w:w="0" w:type="dxa"/>
            <w:vAlign w:val="bottom"/>
          </w:tcPr>
          <w:p>
            <w:pPr>
              <w:spacing w:after="0"/>
              <w:rPr>
                <w:sz w:val="1"/>
                <w:szCs w:val="1"/>
                <w:color w:val="auto"/>
              </w:rPr>
            </w:pPr>
          </w:p>
        </w:tc>
      </w:tr>
      <w:tr>
        <w:trPr>
          <w:trHeight w:val="243"/>
        </w:trPr>
        <w:tc>
          <w:tcPr>
            <w:tcW w:w="6080" w:type="dxa"/>
            <w:vAlign w:val="bottom"/>
            <w:gridSpan w:val="2"/>
          </w:tcPr>
          <w:p>
            <w:pPr>
              <w:spacing w:after="0" w:line="243" w:lineRule="exact"/>
              <w:rPr>
                <w:sz w:val="20"/>
                <w:szCs w:val="20"/>
                <w:color w:val="auto"/>
              </w:rPr>
            </w:pPr>
            <w:r>
              <w:rPr>
                <w:rFonts w:ascii="Arial" w:cs="Arial" w:eastAsia="Arial" w:hAnsi="Arial"/>
                <w:sz w:val="22"/>
                <w:szCs w:val="22"/>
                <w:color w:val="auto"/>
              </w:rPr>
              <w:t>Other intangibles, net</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67,532</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68,835</w:t>
            </w:r>
          </w:p>
        </w:tc>
        <w:tc>
          <w:tcPr>
            <w:tcW w:w="0" w:type="dxa"/>
            <w:vAlign w:val="bottom"/>
          </w:tcPr>
          <w:p>
            <w:pPr>
              <w:spacing w:after="0"/>
              <w:rPr>
                <w:sz w:val="1"/>
                <w:szCs w:val="1"/>
                <w:color w:val="auto"/>
              </w:rPr>
            </w:pPr>
          </w:p>
        </w:tc>
      </w:tr>
      <w:tr>
        <w:trPr>
          <w:trHeight w:val="275"/>
        </w:trPr>
        <w:tc>
          <w:tcPr>
            <w:tcW w:w="6080" w:type="dxa"/>
            <w:vAlign w:val="bottom"/>
            <w:gridSpan w:val="2"/>
          </w:tcPr>
          <w:p>
            <w:pPr>
              <w:spacing w:after="0"/>
              <w:rPr>
                <w:sz w:val="20"/>
                <w:szCs w:val="20"/>
                <w:color w:val="auto"/>
              </w:rPr>
            </w:pPr>
            <w:r>
              <w:rPr>
                <w:rFonts w:ascii="Arial" w:cs="Arial" w:eastAsia="Arial" w:hAnsi="Arial"/>
                <w:sz w:val="22"/>
                <w:szCs w:val="22"/>
                <w:color w:val="auto"/>
              </w:rPr>
              <w:t>Other assets</w:t>
            </w:r>
          </w:p>
        </w:tc>
        <w:tc>
          <w:tcPr>
            <w:tcW w:w="1120" w:type="dxa"/>
            <w:vAlign w:val="bottom"/>
          </w:tcPr>
          <w:p>
            <w:pPr>
              <w:jc w:val="right"/>
              <w:spacing w:after="0"/>
              <w:rPr>
                <w:sz w:val="20"/>
                <w:szCs w:val="20"/>
                <w:color w:val="auto"/>
              </w:rPr>
            </w:pPr>
            <w:r>
              <w:rPr>
                <w:rFonts w:ascii="Arial" w:cs="Arial" w:eastAsia="Arial" w:hAnsi="Arial"/>
                <w:sz w:val="22"/>
                <w:szCs w:val="22"/>
                <w:color w:val="auto"/>
              </w:rPr>
              <w:t>5,541</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5,948</w:t>
            </w:r>
          </w:p>
        </w:tc>
        <w:tc>
          <w:tcPr>
            <w:tcW w:w="0" w:type="dxa"/>
            <w:vAlign w:val="bottom"/>
          </w:tcPr>
          <w:p>
            <w:pPr>
              <w:spacing w:after="0"/>
              <w:rPr>
                <w:sz w:val="1"/>
                <w:szCs w:val="1"/>
                <w:color w:val="auto"/>
              </w:rPr>
            </w:pPr>
          </w:p>
        </w:tc>
      </w:tr>
      <w:tr>
        <w:trPr>
          <w:trHeight w:val="98"/>
        </w:trPr>
        <w:tc>
          <w:tcPr>
            <w:tcW w:w="6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Borders>
              <w:bottom w:val="single" w:sz="8" w:color="336699"/>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90"/>
              </w:rPr>
              <w:t>$1,080,023</w:t>
            </w:r>
          </w:p>
        </w:tc>
        <w:tc>
          <w:tcPr>
            <w:tcW w:w="1500" w:type="dxa"/>
            <w:vAlign w:val="bottom"/>
            <w:gridSpan w:val="3"/>
          </w:tcPr>
          <w:p>
            <w:pPr>
              <w:jc w:val="right"/>
              <w:spacing w:after="0"/>
              <w:rPr>
                <w:sz w:val="20"/>
                <w:szCs w:val="20"/>
                <w:color w:val="auto"/>
              </w:rPr>
            </w:pPr>
            <w:r>
              <w:rPr>
                <w:rFonts w:ascii="Arial" w:cs="Arial" w:eastAsia="Arial" w:hAnsi="Arial"/>
                <w:sz w:val="22"/>
                <w:szCs w:val="22"/>
                <w:color w:val="auto"/>
              </w:rPr>
              <w:t>$1,059,780</w:t>
            </w:r>
          </w:p>
        </w:tc>
        <w:tc>
          <w:tcPr>
            <w:tcW w:w="0" w:type="dxa"/>
            <w:vAlign w:val="bottom"/>
          </w:tcPr>
          <w:p>
            <w:pPr>
              <w:spacing w:after="0"/>
              <w:rPr>
                <w:sz w:val="1"/>
                <w:szCs w:val="1"/>
                <w:color w:val="auto"/>
              </w:rPr>
            </w:pPr>
          </w:p>
        </w:tc>
      </w:tr>
      <w:tr>
        <w:trPr>
          <w:trHeight w:val="122"/>
        </w:trPr>
        <w:tc>
          <w:tcPr>
            <w:tcW w:w="60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Borders>
              <w:bottom w:val="single" w:sz="8" w:color="336699"/>
            </w:tcBorders>
          </w:tcPr>
          <w:p>
            <w:pPr>
              <w:spacing w:after="0"/>
              <w:rPr>
                <w:sz w:val="10"/>
                <w:szCs w:val="10"/>
                <w:color w:val="auto"/>
              </w:rPr>
            </w:pPr>
          </w:p>
        </w:tc>
        <w:tc>
          <w:tcPr>
            <w:tcW w:w="8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6080" w:type="dxa"/>
            <w:vAlign w:val="bottom"/>
            <w:gridSpan w:val="2"/>
          </w:tcPr>
          <w:p>
            <w:pPr>
              <w:spacing w:after="0"/>
              <w:rPr>
                <w:sz w:val="20"/>
                <w:szCs w:val="20"/>
                <w:color w:val="auto"/>
              </w:rPr>
            </w:pPr>
            <w:r>
              <w:rPr>
                <w:rFonts w:ascii="Arial" w:cs="Arial" w:eastAsia="Arial" w:hAnsi="Arial"/>
                <w:sz w:val="22"/>
                <w:szCs w:val="22"/>
                <w:b w:val="1"/>
                <w:bCs w:val="1"/>
                <w:color w:val="auto"/>
              </w:rPr>
              <w:t>LIABILITIES AND SHAREHOLDERS' EQUITY</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080" w:type="dxa"/>
            <w:vAlign w:val="bottom"/>
            <w:gridSpan w:val="2"/>
          </w:tcPr>
          <w:p>
            <w:pPr>
              <w:spacing w:after="0"/>
              <w:rPr>
                <w:sz w:val="20"/>
                <w:szCs w:val="20"/>
                <w:color w:val="auto"/>
              </w:rPr>
            </w:pPr>
            <w:r>
              <w:rPr>
                <w:rFonts w:ascii="Arial" w:cs="Arial" w:eastAsia="Arial" w:hAnsi="Arial"/>
                <w:sz w:val="22"/>
                <w:szCs w:val="22"/>
                <w:color w:val="auto"/>
              </w:rPr>
              <w:t>Current liabilities: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Current portion of long-term borrowings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$ 16,019</w:t>
            </w:r>
          </w:p>
        </w:tc>
        <w:tc>
          <w:tcPr>
            <w:tcW w:w="7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4,482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Accounts payable</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82,556</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w w:val="87"/>
              </w:rPr>
              <w:t>114,221</w:t>
            </w:r>
          </w:p>
        </w:tc>
        <w:tc>
          <w:tcPr>
            <w:tcW w:w="0" w:type="dxa"/>
            <w:vAlign w:val="bottom"/>
          </w:tcPr>
          <w:p>
            <w:pPr>
              <w:spacing w:after="0"/>
              <w:rPr>
                <w:sz w:val="1"/>
                <w:szCs w:val="1"/>
                <w:color w:val="auto"/>
              </w:rPr>
            </w:pPr>
          </w:p>
        </w:tc>
      </w:tr>
      <w:tr>
        <w:trPr>
          <w:trHeight w:val="275"/>
        </w:trPr>
        <w:tc>
          <w:tcPr>
            <w:tcW w:w="6080" w:type="dxa"/>
            <w:vAlign w:val="bottom"/>
            <w:gridSpan w:val="2"/>
          </w:tcPr>
          <w:p>
            <w:pPr>
              <w:ind w:left="80"/>
              <w:spacing w:after="0"/>
              <w:rPr>
                <w:sz w:val="20"/>
                <w:szCs w:val="20"/>
                <w:color w:val="auto"/>
              </w:rPr>
            </w:pPr>
            <w:r>
              <w:rPr>
                <w:rFonts w:ascii="Arial" w:cs="Arial" w:eastAsia="Arial" w:hAnsi="Arial"/>
                <w:sz w:val="22"/>
                <w:szCs w:val="22"/>
                <w:color w:val="auto"/>
              </w:rPr>
              <w:t>Accrued liabilities</w:t>
            </w:r>
          </w:p>
        </w:tc>
        <w:tc>
          <w:tcPr>
            <w:tcW w:w="1120" w:type="dxa"/>
            <w:vAlign w:val="bottom"/>
          </w:tcPr>
          <w:p>
            <w:pPr>
              <w:jc w:val="right"/>
              <w:spacing w:after="0"/>
              <w:rPr>
                <w:sz w:val="20"/>
                <w:szCs w:val="20"/>
                <w:color w:val="auto"/>
              </w:rPr>
            </w:pPr>
            <w:r>
              <w:rPr>
                <w:rFonts w:ascii="Arial" w:cs="Arial" w:eastAsia="Arial" w:hAnsi="Arial"/>
                <w:sz w:val="22"/>
                <w:szCs w:val="22"/>
                <w:color w:val="auto"/>
              </w:rPr>
              <w:t>32,631</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31,676</w:t>
            </w:r>
          </w:p>
        </w:tc>
        <w:tc>
          <w:tcPr>
            <w:tcW w:w="0" w:type="dxa"/>
            <w:vAlign w:val="bottom"/>
          </w:tcPr>
          <w:p>
            <w:pPr>
              <w:spacing w:after="0"/>
              <w:rPr>
                <w:sz w:val="1"/>
                <w:szCs w:val="1"/>
                <w:color w:val="auto"/>
              </w:rPr>
            </w:pPr>
          </w:p>
        </w:tc>
      </w:tr>
      <w:tr>
        <w:trPr>
          <w:trHeight w:val="98"/>
        </w:trPr>
        <w:tc>
          <w:tcPr>
            <w:tcW w:w="6080" w:type="dxa"/>
            <w:vAlign w:val="bottom"/>
            <w:gridSpan w:val="2"/>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336699"/>
            </w:tcBorders>
          </w:tcPr>
          <w:p>
            <w:pPr>
              <w:spacing w:after="0"/>
              <w:rPr>
                <w:sz w:val="8"/>
                <w:szCs w:val="8"/>
                <w:color w:val="auto"/>
              </w:rPr>
            </w:pPr>
          </w:p>
        </w:tc>
        <w:tc>
          <w:tcPr>
            <w:tcW w:w="8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080" w:type="dxa"/>
            <w:vAlign w:val="bottom"/>
            <w:gridSpan w:val="2"/>
          </w:tcPr>
          <w:p>
            <w:pPr>
              <w:ind w:left="100"/>
              <w:spacing w:after="0"/>
              <w:rPr>
                <w:sz w:val="20"/>
                <w:szCs w:val="20"/>
                <w:color w:val="auto"/>
              </w:rPr>
            </w:pPr>
            <w:r>
              <w:rPr>
                <w:rFonts w:ascii="Arial" w:cs="Arial" w:eastAsia="Arial" w:hAnsi="Arial"/>
                <w:sz w:val="22"/>
                <w:szCs w:val="22"/>
                <w:color w:val="auto"/>
              </w:rPr>
              <w:t>Total current liabilities</w:t>
            </w:r>
          </w:p>
        </w:tc>
        <w:tc>
          <w:tcPr>
            <w:tcW w:w="1120" w:type="dxa"/>
            <w:vAlign w:val="bottom"/>
          </w:tcPr>
          <w:p>
            <w:pPr>
              <w:jc w:val="right"/>
              <w:spacing w:after="0"/>
              <w:rPr>
                <w:sz w:val="20"/>
                <w:szCs w:val="20"/>
                <w:color w:val="auto"/>
              </w:rPr>
            </w:pPr>
            <w:r>
              <w:rPr>
                <w:rFonts w:ascii="Arial" w:cs="Arial" w:eastAsia="Arial" w:hAnsi="Arial"/>
                <w:sz w:val="22"/>
                <w:szCs w:val="22"/>
                <w:color w:val="auto"/>
              </w:rPr>
              <w:t>131,206</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w w:val="87"/>
              </w:rPr>
              <w:t>150,379</w:t>
            </w:r>
          </w:p>
        </w:tc>
        <w:tc>
          <w:tcPr>
            <w:tcW w:w="0" w:type="dxa"/>
            <w:vAlign w:val="bottom"/>
          </w:tcPr>
          <w:p>
            <w:pPr>
              <w:spacing w:after="0"/>
              <w:rPr>
                <w:sz w:val="1"/>
                <w:szCs w:val="1"/>
                <w:color w:val="auto"/>
              </w:rPr>
            </w:pPr>
          </w:p>
        </w:tc>
      </w:tr>
      <w:tr>
        <w:trPr>
          <w:trHeight w:val="455"/>
        </w:trPr>
        <w:tc>
          <w:tcPr>
            <w:tcW w:w="6080" w:type="dxa"/>
            <w:vAlign w:val="bottom"/>
            <w:gridSpan w:val="2"/>
          </w:tcPr>
          <w:p>
            <w:pPr>
              <w:spacing w:after="0"/>
              <w:rPr>
                <w:sz w:val="20"/>
                <w:szCs w:val="20"/>
                <w:color w:val="auto"/>
              </w:rPr>
            </w:pPr>
            <w:r>
              <w:rPr>
                <w:rFonts w:ascii="Arial" w:cs="Arial" w:eastAsia="Arial" w:hAnsi="Arial"/>
                <w:sz w:val="22"/>
                <w:szCs w:val="22"/>
                <w:color w:val="auto"/>
              </w:rPr>
              <w:t>Long-term borrowings</w:t>
            </w:r>
          </w:p>
        </w:tc>
        <w:tc>
          <w:tcPr>
            <w:tcW w:w="1120" w:type="dxa"/>
            <w:vAlign w:val="bottom"/>
          </w:tcPr>
          <w:p>
            <w:pPr>
              <w:jc w:val="right"/>
              <w:spacing w:after="0"/>
              <w:rPr>
                <w:sz w:val="20"/>
                <w:szCs w:val="20"/>
                <w:color w:val="auto"/>
              </w:rPr>
            </w:pPr>
            <w:r>
              <w:rPr>
                <w:rFonts w:ascii="Arial" w:cs="Arial" w:eastAsia="Arial" w:hAnsi="Arial"/>
                <w:sz w:val="22"/>
                <w:szCs w:val="22"/>
                <w:color w:val="auto"/>
              </w:rPr>
              <w:t>242,737</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w w:val="87"/>
              </w:rPr>
              <w:t>191,253</w:t>
            </w:r>
          </w:p>
        </w:tc>
        <w:tc>
          <w:tcPr>
            <w:tcW w:w="0" w:type="dxa"/>
            <w:vAlign w:val="bottom"/>
          </w:tcPr>
          <w:p>
            <w:pPr>
              <w:spacing w:after="0"/>
              <w:rPr>
                <w:sz w:val="1"/>
                <w:szCs w:val="1"/>
                <w:color w:val="auto"/>
              </w:rPr>
            </w:pPr>
          </w:p>
        </w:tc>
      </w:tr>
      <w:tr>
        <w:trPr>
          <w:trHeight w:val="243"/>
        </w:trPr>
        <w:tc>
          <w:tcPr>
            <w:tcW w:w="6080" w:type="dxa"/>
            <w:vAlign w:val="bottom"/>
            <w:gridSpan w:val="2"/>
          </w:tcPr>
          <w:p>
            <w:pPr>
              <w:spacing w:after="0" w:line="243" w:lineRule="exact"/>
              <w:rPr>
                <w:sz w:val="20"/>
                <w:szCs w:val="20"/>
                <w:color w:val="auto"/>
              </w:rPr>
            </w:pPr>
            <w:r>
              <w:rPr>
                <w:rFonts w:ascii="Arial" w:cs="Arial" w:eastAsia="Arial" w:hAnsi="Arial"/>
                <w:sz w:val="22"/>
                <w:szCs w:val="22"/>
                <w:color w:val="auto"/>
              </w:rPr>
              <w:t>Deferred income taxes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7,902</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8,143</w:t>
            </w:r>
          </w:p>
        </w:tc>
        <w:tc>
          <w:tcPr>
            <w:tcW w:w="0" w:type="dxa"/>
            <w:vAlign w:val="bottom"/>
          </w:tcPr>
          <w:p>
            <w:pPr>
              <w:spacing w:after="0"/>
              <w:rPr>
                <w:sz w:val="1"/>
                <w:szCs w:val="1"/>
                <w:color w:val="auto"/>
              </w:rPr>
            </w:pPr>
          </w:p>
        </w:tc>
      </w:tr>
      <w:tr>
        <w:trPr>
          <w:trHeight w:val="275"/>
        </w:trPr>
        <w:tc>
          <w:tcPr>
            <w:tcW w:w="6080" w:type="dxa"/>
            <w:vAlign w:val="bottom"/>
            <w:gridSpan w:val="2"/>
          </w:tcPr>
          <w:p>
            <w:pPr>
              <w:spacing w:after="0"/>
              <w:rPr>
                <w:sz w:val="20"/>
                <w:szCs w:val="20"/>
                <w:color w:val="auto"/>
              </w:rPr>
            </w:pPr>
            <w:r>
              <w:rPr>
                <w:rFonts w:ascii="Arial" w:cs="Arial" w:eastAsia="Arial" w:hAnsi="Arial"/>
                <w:sz w:val="22"/>
                <w:szCs w:val="22"/>
                <w:color w:val="auto"/>
              </w:rPr>
              <w:t>Other liabilities</w:t>
            </w:r>
          </w:p>
        </w:tc>
        <w:tc>
          <w:tcPr>
            <w:tcW w:w="1120" w:type="dxa"/>
            <w:vAlign w:val="bottom"/>
          </w:tcPr>
          <w:p>
            <w:pPr>
              <w:jc w:val="right"/>
              <w:spacing w:after="0"/>
              <w:rPr>
                <w:sz w:val="20"/>
                <w:szCs w:val="20"/>
                <w:color w:val="auto"/>
              </w:rPr>
            </w:pPr>
            <w:r>
              <w:rPr>
                <w:rFonts w:ascii="Arial" w:cs="Arial" w:eastAsia="Arial" w:hAnsi="Arial"/>
                <w:sz w:val="22"/>
                <w:szCs w:val="22"/>
                <w:color w:val="auto"/>
              </w:rPr>
              <w:t>5,334</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6,256</w:t>
            </w:r>
          </w:p>
        </w:tc>
        <w:tc>
          <w:tcPr>
            <w:tcW w:w="0" w:type="dxa"/>
            <w:vAlign w:val="bottom"/>
          </w:tcPr>
          <w:p>
            <w:pPr>
              <w:spacing w:after="0"/>
              <w:rPr>
                <w:sz w:val="1"/>
                <w:szCs w:val="1"/>
                <w:color w:val="auto"/>
              </w:rPr>
            </w:pPr>
          </w:p>
        </w:tc>
      </w:tr>
      <w:tr>
        <w:trPr>
          <w:trHeight w:val="98"/>
        </w:trPr>
        <w:tc>
          <w:tcPr>
            <w:tcW w:w="6080" w:type="dxa"/>
            <w:vAlign w:val="bottom"/>
            <w:gridSpan w:val="2"/>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336699"/>
            </w:tcBorders>
          </w:tcPr>
          <w:p>
            <w:pPr>
              <w:spacing w:after="0"/>
              <w:rPr>
                <w:sz w:val="8"/>
                <w:szCs w:val="8"/>
                <w:color w:val="auto"/>
              </w:rPr>
            </w:pPr>
          </w:p>
        </w:tc>
        <w:tc>
          <w:tcPr>
            <w:tcW w:w="8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080" w:type="dxa"/>
            <w:vAlign w:val="bottom"/>
            <w:gridSpan w:val="2"/>
          </w:tcPr>
          <w:p>
            <w:pPr>
              <w:ind w:left="100"/>
              <w:spacing w:after="0"/>
              <w:rPr>
                <w:sz w:val="20"/>
                <w:szCs w:val="20"/>
                <w:color w:val="auto"/>
              </w:rPr>
            </w:pPr>
            <w:r>
              <w:rPr>
                <w:rFonts w:ascii="Arial" w:cs="Arial" w:eastAsia="Arial" w:hAnsi="Arial"/>
                <w:sz w:val="22"/>
                <w:szCs w:val="22"/>
                <w:color w:val="auto"/>
              </w:rPr>
              <w:t>Total liabilities</w:t>
            </w:r>
          </w:p>
        </w:tc>
        <w:tc>
          <w:tcPr>
            <w:tcW w:w="1120" w:type="dxa"/>
            <w:vAlign w:val="bottom"/>
          </w:tcPr>
          <w:p>
            <w:pPr>
              <w:jc w:val="right"/>
              <w:spacing w:after="0"/>
              <w:rPr>
                <w:sz w:val="20"/>
                <w:szCs w:val="20"/>
                <w:color w:val="auto"/>
              </w:rPr>
            </w:pPr>
            <w:r>
              <w:rPr>
                <w:rFonts w:ascii="Arial" w:cs="Arial" w:eastAsia="Arial" w:hAnsi="Arial"/>
                <w:sz w:val="22"/>
                <w:szCs w:val="22"/>
                <w:color w:val="auto"/>
              </w:rPr>
              <w:t>387,179</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w w:val="87"/>
              </w:rPr>
              <w:t>356,031</w:t>
            </w:r>
          </w:p>
        </w:tc>
        <w:tc>
          <w:tcPr>
            <w:tcW w:w="0" w:type="dxa"/>
            <w:vAlign w:val="bottom"/>
          </w:tcPr>
          <w:p>
            <w:pPr>
              <w:spacing w:after="0"/>
              <w:rPr>
                <w:sz w:val="1"/>
                <w:szCs w:val="1"/>
                <w:color w:val="auto"/>
              </w:rPr>
            </w:pPr>
          </w:p>
        </w:tc>
      </w:tr>
      <w:tr>
        <w:trPr>
          <w:trHeight w:val="486"/>
        </w:trPr>
        <w:tc>
          <w:tcPr>
            <w:tcW w:w="6080" w:type="dxa"/>
            <w:vAlign w:val="bottom"/>
            <w:gridSpan w:val="2"/>
          </w:tcPr>
          <w:p>
            <w:pPr>
              <w:spacing w:after="0"/>
              <w:rPr>
                <w:sz w:val="20"/>
                <w:szCs w:val="20"/>
                <w:color w:val="auto"/>
              </w:rPr>
            </w:pPr>
            <w:r>
              <w:rPr>
                <w:rFonts w:ascii="Arial" w:cs="Arial" w:eastAsia="Arial" w:hAnsi="Arial"/>
                <w:sz w:val="22"/>
                <w:szCs w:val="22"/>
                <w:color w:val="auto"/>
              </w:rPr>
              <w:t>Minority interest</w:t>
            </w:r>
          </w:p>
        </w:tc>
        <w:tc>
          <w:tcPr>
            <w:tcW w:w="1120" w:type="dxa"/>
            <w:vAlign w:val="bottom"/>
          </w:tcPr>
          <w:p>
            <w:pPr>
              <w:jc w:val="right"/>
              <w:spacing w:after="0"/>
              <w:rPr>
                <w:sz w:val="20"/>
                <w:szCs w:val="20"/>
                <w:color w:val="auto"/>
              </w:rPr>
            </w:pPr>
            <w:r>
              <w:rPr>
                <w:rFonts w:ascii="Arial" w:cs="Arial" w:eastAsia="Arial" w:hAnsi="Arial"/>
                <w:sz w:val="22"/>
                <w:szCs w:val="22"/>
                <w:color w:val="auto"/>
              </w:rPr>
              <w:t>49,887</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49,465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-2726055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-2726055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-2726055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-2726055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40"/>
          </w:cols>
          <w:pgMar w:left="240" w:top="332" w:right="219" w:bottom="0" w:gutter="0" w:footer="0" w:header="0"/>
        </w:sectPr>
      </w:pPr>
    </w:p>
    <w:bookmarkStart w:id="3" w:name="page4"/>
    <w:bookmarkEnd w:id="3"/>
    <w:tbl>
      <w:tblPr>
        <w:tblLayout w:type="fixed"/>
        <w:tblInd w:w="180" w:type="dxa"/>
        <w:tblCellMar>
          <w:top w:w="0" w:type="dxa"/>
          <w:left w:w="0" w:type="dxa"/>
          <w:bottom w:w="0" w:type="dxa"/>
          <w:right w:w="0" w:type="dxa"/>
        </w:tblCellMar>
      </w:tblPr>
      <w:tr>
        <w:trPr>
          <w:trHeight w:val="253"/>
        </w:trPr>
        <w:tc>
          <w:tcPr>
            <w:tcW w:w="6060" w:type="dxa"/>
            <w:vAlign w:val="bottom"/>
          </w:tcPr>
          <w:p>
            <w:pPr>
              <w:spacing w:after="0"/>
              <w:rPr>
                <w:sz w:val="20"/>
                <w:szCs w:val="20"/>
                <w:color w:val="auto"/>
              </w:rPr>
            </w:pPr>
            <w:r>
              <w:rPr>
                <w:rFonts w:ascii="Arial" w:cs="Arial" w:eastAsia="Arial" w:hAnsi="Arial"/>
                <w:sz w:val="22"/>
                <w:szCs w:val="22"/>
                <w:color w:val="auto"/>
              </w:rPr>
              <w:t>Shareholders' equity:</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6060" w:type="dxa"/>
            <w:vAlign w:val="bottom"/>
          </w:tcPr>
          <w:p>
            <w:pPr>
              <w:ind w:left="100"/>
              <w:spacing w:after="0" w:line="243" w:lineRule="exact"/>
              <w:rPr>
                <w:sz w:val="20"/>
                <w:szCs w:val="20"/>
                <w:color w:val="auto"/>
              </w:rPr>
            </w:pPr>
            <w:r>
              <w:rPr>
                <w:rFonts w:ascii="Arial" w:cs="Arial" w:eastAsia="Arial" w:hAnsi="Arial"/>
                <w:sz w:val="22"/>
                <w:szCs w:val="22"/>
                <w:color w:val="auto"/>
              </w:rPr>
              <w:t>Preferred stock, $0.01 par value,</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6060" w:type="dxa"/>
            <w:vAlign w:val="bottom"/>
          </w:tcPr>
          <w:p>
            <w:pPr>
              <w:ind w:left="160"/>
              <w:spacing w:after="0" w:line="243" w:lineRule="exact"/>
              <w:rPr>
                <w:sz w:val="20"/>
                <w:szCs w:val="20"/>
                <w:color w:val="auto"/>
              </w:rPr>
            </w:pPr>
            <w:r>
              <w:rPr>
                <w:rFonts w:ascii="Arial" w:cs="Arial" w:eastAsia="Arial" w:hAnsi="Arial"/>
                <w:sz w:val="22"/>
                <w:szCs w:val="22"/>
                <w:color w:val="auto"/>
              </w:rPr>
              <w:t>2,000 shares authorized, none issued and outstanding</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 -</w:t>
            </w:r>
          </w:p>
        </w:tc>
        <w:tc>
          <w:tcPr>
            <w:tcW w:w="15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 -</w:t>
            </w:r>
          </w:p>
        </w:tc>
      </w:tr>
      <w:tr>
        <w:trPr>
          <w:trHeight w:val="243"/>
        </w:trPr>
        <w:tc>
          <w:tcPr>
            <w:tcW w:w="6060" w:type="dxa"/>
            <w:vAlign w:val="bottom"/>
          </w:tcPr>
          <w:p>
            <w:pPr>
              <w:ind w:left="100"/>
              <w:spacing w:after="0" w:line="243" w:lineRule="exact"/>
              <w:rPr>
                <w:sz w:val="20"/>
                <w:szCs w:val="20"/>
                <w:color w:val="auto"/>
              </w:rPr>
            </w:pPr>
            <w:r>
              <w:rPr>
                <w:rFonts w:ascii="Arial" w:cs="Arial" w:eastAsia="Arial" w:hAnsi="Arial"/>
                <w:sz w:val="22"/>
                <w:szCs w:val="22"/>
                <w:color w:val="auto"/>
              </w:rPr>
              <w:t>Common stock, $0.01 par value,</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6060" w:type="dxa"/>
            <w:vAlign w:val="bottom"/>
          </w:tcPr>
          <w:p>
            <w:pPr>
              <w:ind w:left="160"/>
              <w:spacing w:after="0" w:line="243" w:lineRule="exact"/>
              <w:rPr>
                <w:sz w:val="20"/>
                <w:szCs w:val="20"/>
                <w:color w:val="auto"/>
              </w:rPr>
            </w:pPr>
            <w:r>
              <w:rPr>
                <w:rFonts w:ascii="Arial" w:cs="Arial" w:eastAsia="Arial" w:hAnsi="Arial"/>
                <w:sz w:val="22"/>
                <w:szCs w:val="22"/>
                <w:color w:val="auto"/>
                <w:w w:val="91"/>
              </w:rPr>
              <w:t>150,000 shares authorized, 41,635 shares issued and outstanding</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6060" w:type="dxa"/>
            <w:vAlign w:val="bottom"/>
          </w:tcPr>
          <w:p>
            <w:pPr>
              <w:ind w:left="200"/>
              <w:spacing w:after="0" w:line="243" w:lineRule="exact"/>
              <w:rPr>
                <w:sz w:val="20"/>
                <w:szCs w:val="20"/>
                <w:color w:val="auto"/>
              </w:rPr>
            </w:pPr>
            <w:r>
              <w:rPr>
                <w:rFonts w:ascii="Arial" w:cs="Arial" w:eastAsia="Arial" w:hAnsi="Arial"/>
                <w:sz w:val="22"/>
                <w:szCs w:val="22"/>
                <w:color w:val="auto"/>
              </w:rPr>
              <w:t>at January 27, 2008 and October 28, 2007</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416</w:t>
            </w:r>
          </w:p>
        </w:tc>
        <w:tc>
          <w:tcPr>
            <w:tcW w:w="15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416</w:t>
            </w:r>
          </w:p>
        </w:tc>
      </w:tr>
      <w:tr>
        <w:trPr>
          <w:trHeight w:val="243"/>
        </w:trPr>
        <w:tc>
          <w:tcPr>
            <w:tcW w:w="6060" w:type="dxa"/>
            <w:vAlign w:val="bottom"/>
          </w:tcPr>
          <w:p>
            <w:pPr>
              <w:ind w:left="80"/>
              <w:spacing w:after="0" w:line="243" w:lineRule="exact"/>
              <w:rPr>
                <w:sz w:val="20"/>
                <w:szCs w:val="20"/>
                <w:color w:val="auto"/>
              </w:rPr>
            </w:pPr>
            <w:r>
              <w:rPr>
                <w:rFonts w:ascii="Arial" w:cs="Arial" w:eastAsia="Arial" w:hAnsi="Arial"/>
                <w:sz w:val="22"/>
                <w:szCs w:val="22"/>
                <w:color w:val="auto"/>
              </w:rPr>
              <w:t>Additional paid-in capital</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382,336</w:t>
            </w:r>
          </w:p>
        </w:tc>
        <w:tc>
          <w:tcPr>
            <w:tcW w:w="15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381,876</w:t>
            </w:r>
          </w:p>
        </w:tc>
      </w:tr>
      <w:tr>
        <w:trPr>
          <w:trHeight w:val="243"/>
        </w:trPr>
        <w:tc>
          <w:tcPr>
            <w:tcW w:w="6060" w:type="dxa"/>
            <w:vAlign w:val="bottom"/>
          </w:tcPr>
          <w:p>
            <w:pPr>
              <w:ind w:left="100"/>
              <w:spacing w:after="0" w:line="243" w:lineRule="exact"/>
              <w:rPr>
                <w:sz w:val="20"/>
                <w:szCs w:val="20"/>
                <w:color w:val="auto"/>
              </w:rPr>
            </w:pPr>
            <w:r>
              <w:rPr>
                <w:rFonts w:ascii="Arial" w:cs="Arial" w:eastAsia="Arial" w:hAnsi="Arial"/>
                <w:sz w:val="22"/>
                <w:szCs w:val="22"/>
                <w:color w:val="auto"/>
              </w:rPr>
              <w:t>Retained earnings</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222,791</w:t>
            </w:r>
          </w:p>
        </w:tc>
        <w:tc>
          <w:tcPr>
            <w:tcW w:w="15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227,175</w:t>
            </w:r>
          </w:p>
        </w:tc>
      </w:tr>
      <w:tr>
        <w:trPr>
          <w:trHeight w:val="275"/>
        </w:trPr>
        <w:tc>
          <w:tcPr>
            <w:tcW w:w="6060" w:type="dxa"/>
            <w:vAlign w:val="bottom"/>
          </w:tcPr>
          <w:p>
            <w:pPr>
              <w:ind w:left="80"/>
              <w:spacing w:after="0"/>
              <w:rPr>
                <w:sz w:val="20"/>
                <w:szCs w:val="20"/>
                <w:color w:val="auto"/>
              </w:rPr>
            </w:pPr>
            <w:r>
              <w:rPr>
                <w:rFonts w:ascii="Arial" w:cs="Arial" w:eastAsia="Arial" w:hAnsi="Arial"/>
                <w:sz w:val="22"/>
                <w:szCs w:val="22"/>
                <w:color w:val="auto"/>
              </w:rPr>
              <w:t>Accumulated other comprehensive income</w:t>
            </w:r>
          </w:p>
        </w:tc>
        <w:tc>
          <w:tcPr>
            <w:tcW w:w="1140" w:type="dxa"/>
            <w:vAlign w:val="bottom"/>
          </w:tcPr>
          <w:p>
            <w:pPr>
              <w:jc w:val="right"/>
              <w:spacing w:after="0"/>
              <w:rPr>
                <w:sz w:val="20"/>
                <w:szCs w:val="20"/>
                <w:color w:val="auto"/>
              </w:rPr>
            </w:pPr>
            <w:r>
              <w:rPr>
                <w:rFonts w:ascii="Arial" w:cs="Arial" w:eastAsia="Arial" w:hAnsi="Arial"/>
                <w:sz w:val="22"/>
                <w:szCs w:val="22"/>
                <w:color w:val="auto"/>
              </w:rPr>
              <w:t>37,414</w:t>
            </w:r>
          </w:p>
        </w:tc>
        <w:tc>
          <w:tcPr>
            <w:tcW w:w="1500" w:type="dxa"/>
            <w:vAlign w:val="bottom"/>
            <w:gridSpan w:val="2"/>
          </w:tcPr>
          <w:p>
            <w:pPr>
              <w:jc w:val="right"/>
              <w:ind w:right="80"/>
              <w:spacing w:after="0"/>
              <w:rPr>
                <w:sz w:val="20"/>
                <w:szCs w:val="20"/>
                <w:color w:val="auto"/>
              </w:rPr>
            </w:pPr>
            <w:r>
              <w:rPr>
                <w:rFonts w:ascii="Arial" w:cs="Arial" w:eastAsia="Arial" w:hAnsi="Arial"/>
                <w:sz w:val="22"/>
                <w:szCs w:val="22"/>
                <w:color w:val="auto"/>
              </w:rPr>
              <w:t>44,817</w:t>
            </w:r>
          </w:p>
        </w:tc>
      </w:tr>
      <w:tr>
        <w:trPr>
          <w:trHeight w:val="98"/>
        </w:trPr>
        <w:tc>
          <w:tcPr>
            <w:tcW w:w="6060" w:type="dxa"/>
            <w:vAlign w:val="bottom"/>
          </w:tcPr>
          <w:p>
            <w:pPr>
              <w:spacing w:after="0"/>
              <w:rPr>
                <w:sz w:val="8"/>
                <w:szCs w:val="8"/>
                <w:color w:val="auto"/>
              </w:rPr>
            </w:pPr>
          </w:p>
        </w:tc>
        <w:tc>
          <w:tcPr>
            <w:tcW w:w="114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r>
      <w:tr>
        <w:trPr>
          <w:trHeight w:val="368"/>
        </w:trPr>
        <w:tc>
          <w:tcPr>
            <w:tcW w:w="6060" w:type="dxa"/>
            <w:vAlign w:val="bottom"/>
          </w:tcPr>
          <w:p>
            <w:pPr>
              <w:ind w:left="200"/>
              <w:spacing w:after="0"/>
              <w:rPr>
                <w:sz w:val="20"/>
                <w:szCs w:val="20"/>
                <w:color w:val="auto"/>
              </w:rPr>
            </w:pPr>
            <w:r>
              <w:rPr>
                <w:rFonts w:ascii="Arial" w:cs="Arial" w:eastAsia="Arial" w:hAnsi="Arial"/>
                <w:sz w:val="22"/>
                <w:szCs w:val="22"/>
                <w:color w:val="auto"/>
              </w:rPr>
              <w:t>Total shareholders' equity</w:t>
            </w:r>
          </w:p>
        </w:tc>
        <w:tc>
          <w:tcPr>
            <w:tcW w:w="1140" w:type="dxa"/>
            <w:vAlign w:val="bottom"/>
          </w:tcPr>
          <w:p>
            <w:pPr>
              <w:jc w:val="right"/>
              <w:spacing w:after="0"/>
              <w:rPr>
                <w:sz w:val="20"/>
                <w:szCs w:val="20"/>
                <w:color w:val="auto"/>
              </w:rPr>
            </w:pPr>
            <w:r>
              <w:rPr>
                <w:rFonts w:ascii="Arial" w:cs="Arial" w:eastAsia="Arial" w:hAnsi="Arial"/>
                <w:sz w:val="22"/>
                <w:szCs w:val="22"/>
                <w:color w:val="auto"/>
              </w:rPr>
              <w:t>642,957</w:t>
            </w:r>
          </w:p>
        </w:tc>
        <w:tc>
          <w:tcPr>
            <w:tcW w:w="1500" w:type="dxa"/>
            <w:vAlign w:val="bottom"/>
            <w:gridSpan w:val="2"/>
          </w:tcPr>
          <w:p>
            <w:pPr>
              <w:jc w:val="right"/>
              <w:ind w:right="80"/>
              <w:spacing w:after="0"/>
              <w:rPr>
                <w:sz w:val="20"/>
                <w:szCs w:val="20"/>
                <w:color w:val="auto"/>
              </w:rPr>
            </w:pPr>
            <w:r>
              <w:rPr>
                <w:rFonts w:ascii="Arial" w:cs="Arial" w:eastAsia="Arial" w:hAnsi="Arial"/>
                <w:sz w:val="22"/>
                <w:szCs w:val="22"/>
                <w:color w:val="auto"/>
              </w:rPr>
              <w:t>654,284</w:t>
            </w:r>
          </w:p>
        </w:tc>
      </w:tr>
      <w:tr>
        <w:trPr>
          <w:trHeight w:val="98"/>
        </w:trPr>
        <w:tc>
          <w:tcPr>
            <w:tcW w:w="6060" w:type="dxa"/>
            <w:vAlign w:val="bottom"/>
          </w:tcPr>
          <w:p>
            <w:pPr>
              <w:spacing w:after="0"/>
              <w:rPr>
                <w:sz w:val="8"/>
                <w:szCs w:val="8"/>
                <w:color w:val="auto"/>
              </w:rPr>
            </w:pPr>
          </w:p>
        </w:tc>
        <w:tc>
          <w:tcPr>
            <w:tcW w:w="114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r>
      <w:tr>
        <w:trPr>
          <w:trHeight w:val="368"/>
        </w:trPr>
        <w:tc>
          <w:tcPr>
            <w:tcW w:w="60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w w:val="92"/>
              </w:rPr>
              <w:t>$1,080,023</w:t>
            </w:r>
          </w:p>
        </w:tc>
        <w:tc>
          <w:tcPr>
            <w:tcW w:w="1500" w:type="dxa"/>
            <w:vAlign w:val="bottom"/>
            <w:gridSpan w:val="2"/>
          </w:tcPr>
          <w:p>
            <w:pPr>
              <w:jc w:val="right"/>
              <w:ind w:right="80"/>
              <w:spacing w:after="0"/>
              <w:rPr>
                <w:sz w:val="20"/>
                <w:szCs w:val="20"/>
                <w:color w:val="auto"/>
              </w:rPr>
            </w:pPr>
            <w:r>
              <w:rPr>
                <w:rFonts w:ascii="Arial" w:cs="Arial" w:eastAsia="Arial" w:hAnsi="Arial"/>
                <w:sz w:val="22"/>
                <w:szCs w:val="22"/>
                <w:color w:val="auto"/>
              </w:rPr>
              <w:t>$1,059,780</w:t>
            </w:r>
          </w:p>
        </w:tc>
      </w:tr>
      <w:tr>
        <w:trPr>
          <w:trHeight w:val="122"/>
        </w:trPr>
        <w:tc>
          <w:tcPr>
            <w:tcW w:w="6060" w:type="dxa"/>
            <w:vAlign w:val="bottom"/>
          </w:tcPr>
          <w:p>
            <w:pPr>
              <w:spacing w:after="0"/>
              <w:rPr>
                <w:sz w:val="10"/>
                <w:szCs w:val="10"/>
                <w:color w:val="auto"/>
              </w:rPr>
            </w:pPr>
          </w:p>
        </w:tc>
        <w:tc>
          <w:tcPr>
            <w:tcW w:w="1140" w:type="dxa"/>
            <w:vAlign w:val="bottom"/>
            <w:tcBorders>
              <w:bottom w:val="single" w:sz="8" w:color="336699"/>
            </w:tcBorders>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5629910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Condensed Consolidated Statements of Operations</w:t>
      </w:r>
    </w:p>
    <w:p>
      <w:pPr>
        <w:jc w:val="center"/>
        <w:ind w:right="-20"/>
        <w:spacing w:after="0" w:line="230" w:lineRule="auto"/>
        <w:rPr>
          <w:sz w:val="20"/>
          <w:szCs w:val="20"/>
          <w:color w:val="auto"/>
        </w:rPr>
      </w:pPr>
      <w:r>
        <w:rPr>
          <w:rFonts w:ascii="Arial" w:cs="Arial" w:eastAsia="Arial" w:hAnsi="Arial"/>
          <w:sz w:val="22"/>
          <w:szCs w:val="22"/>
          <w:i w:val="1"/>
          <w:iCs w:val="1"/>
          <w:color w:val="auto"/>
        </w:rPr>
        <w:t>(in thousands, except per share amounts)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520" w:type="dxa"/>
        <w:tblCellMar>
          <w:top w:w="0" w:type="dxa"/>
          <w:left w:w="0" w:type="dxa"/>
          <w:bottom w:w="0" w:type="dxa"/>
          <w:right w:w="0" w:type="dxa"/>
        </w:tblCellMar>
      </w:tblPr>
      <w:tr>
        <w:trPr>
          <w:trHeight w:val="281"/>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3"/>
          </w:tcPr>
          <w:p>
            <w:pPr>
              <w:jc w:val="right"/>
              <w:ind w:right="32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98"/>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526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22"/>
                <w:szCs w:val="22"/>
                <w:b w:val="1"/>
                <w:bCs w:val="1"/>
                <w:color w:val="auto"/>
              </w:rPr>
              <w:t>January 27,</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January 28,</w:t>
            </w:r>
          </w:p>
        </w:tc>
        <w:tc>
          <w:tcPr>
            <w:tcW w:w="0" w:type="dxa"/>
            <w:vAlign w:val="bottom"/>
          </w:tcPr>
          <w:p>
            <w:pPr>
              <w:spacing w:after="0"/>
              <w:rPr>
                <w:sz w:val="1"/>
                <w:szCs w:val="1"/>
                <w:color w:val="auto"/>
              </w:rPr>
            </w:pPr>
          </w:p>
        </w:tc>
      </w:tr>
      <w:tr>
        <w:trPr>
          <w:trHeight w:val="281"/>
        </w:trPr>
        <w:tc>
          <w:tcPr>
            <w:tcW w:w="5260" w:type="dxa"/>
            <w:vAlign w:val="bottom"/>
          </w:tcPr>
          <w:p>
            <w:pPr>
              <w:spacing w:after="0"/>
              <w:rPr>
                <w:sz w:val="24"/>
                <w:szCs w:val="24"/>
                <w:color w:val="auto"/>
              </w:rPr>
            </w:pPr>
          </w:p>
        </w:tc>
        <w:tc>
          <w:tcPr>
            <w:tcW w:w="1300" w:type="dxa"/>
            <w:vAlign w:val="bottom"/>
            <w:gridSpan w:val="3"/>
          </w:tcPr>
          <w:p>
            <w:pPr>
              <w:jc w:val="right"/>
              <w:ind w:right="272"/>
              <w:spacing w:after="0"/>
              <w:rPr>
                <w:sz w:val="20"/>
                <w:szCs w:val="20"/>
                <w:color w:val="auto"/>
              </w:rPr>
            </w:pPr>
            <w:r>
              <w:rPr>
                <w:rFonts w:ascii="Arial" w:cs="Arial" w:eastAsia="Arial" w:hAnsi="Arial"/>
                <w:sz w:val="22"/>
                <w:szCs w:val="22"/>
                <w:b w:val="1"/>
                <w:bCs w:val="1"/>
                <w:color w:val="auto"/>
              </w:rPr>
              <w:t>2008</w:t>
            </w:r>
          </w:p>
        </w:tc>
        <w:tc>
          <w:tcPr>
            <w:tcW w:w="1460" w:type="dxa"/>
            <w:vAlign w:val="bottom"/>
            <w:gridSpan w:val="2"/>
          </w:tcPr>
          <w:p>
            <w:pPr>
              <w:jc w:val="right"/>
              <w:ind w:right="360"/>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5260" w:type="dxa"/>
            <w:vAlign w:val="bottom"/>
          </w:tcPr>
          <w:p>
            <w:pPr>
              <w:spacing w:after="0"/>
              <w:rPr>
                <w:sz w:val="20"/>
                <w:szCs w:val="20"/>
                <w:color w:val="auto"/>
              </w:rPr>
            </w:pPr>
            <w:r>
              <w:rPr>
                <w:rFonts w:ascii="Arial" w:cs="Arial" w:eastAsia="Arial" w:hAnsi="Arial"/>
                <w:sz w:val="22"/>
                <w:szCs w:val="22"/>
                <w:color w:val="auto"/>
              </w:rPr>
              <w:t>Net sales</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$103,215</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$105,981</w:t>
            </w:r>
          </w:p>
        </w:tc>
        <w:tc>
          <w:tcPr>
            <w:tcW w:w="0" w:type="dxa"/>
            <w:vAlign w:val="bottom"/>
          </w:tcPr>
          <w:p>
            <w:pPr>
              <w:spacing w:after="0"/>
              <w:rPr>
                <w:sz w:val="1"/>
                <w:szCs w:val="1"/>
                <w:color w:val="auto"/>
              </w:rPr>
            </w:pPr>
          </w:p>
        </w:tc>
      </w:tr>
      <w:tr>
        <w:trPr>
          <w:trHeight w:val="486"/>
        </w:trPr>
        <w:tc>
          <w:tcPr>
            <w:tcW w:w="5260" w:type="dxa"/>
            <w:vAlign w:val="bottom"/>
          </w:tcPr>
          <w:p>
            <w:pPr>
              <w:spacing w:after="0"/>
              <w:rPr>
                <w:sz w:val="20"/>
                <w:szCs w:val="20"/>
                <w:color w:val="auto"/>
              </w:rPr>
            </w:pPr>
            <w:r>
              <w:rPr>
                <w:rFonts w:ascii="Arial" w:cs="Arial" w:eastAsia="Arial" w:hAnsi="Arial"/>
                <w:sz w:val="22"/>
                <w:szCs w:val="22"/>
                <w:color w:val="auto"/>
              </w:rPr>
              <w:t>Costs and expenses: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260" w:type="dxa"/>
            <w:vAlign w:val="bottom"/>
          </w:tcPr>
          <w:p>
            <w:pPr>
              <w:ind w:left="100"/>
              <w:spacing w:after="0"/>
              <w:rPr>
                <w:sz w:val="20"/>
                <w:szCs w:val="20"/>
                <w:color w:val="auto"/>
              </w:rPr>
            </w:pPr>
            <w:r>
              <w:rPr>
                <w:rFonts w:ascii="Arial" w:cs="Arial" w:eastAsia="Arial" w:hAnsi="Arial"/>
                <w:sz w:val="22"/>
                <w:szCs w:val="22"/>
                <w:color w:val="auto"/>
              </w:rPr>
              <w:t>Cost of sales</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(82,619)</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(76,316)</w:t>
            </w:r>
          </w:p>
        </w:tc>
        <w:tc>
          <w:tcPr>
            <w:tcW w:w="0" w:type="dxa"/>
            <w:vAlign w:val="bottom"/>
          </w:tcPr>
          <w:p>
            <w:pPr>
              <w:spacing w:after="0"/>
              <w:rPr>
                <w:sz w:val="1"/>
                <w:szCs w:val="1"/>
                <w:color w:val="auto"/>
              </w:rPr>
            </w:pPr>
          </w:p>
        </w:tc>
      </w:tr>
      <w:tr>
        <w:trPr>
          <w:trHeight w:val="486"/>
        </w:trPr>
        <w:tc>
          <w:tcPr>
            <w:tcW w:w="5260" w:type="dxa"/>
            <w:vAlign w:val="bottom"/>
          </w:tcPr>
          <w:p>
            <w:pPr>
              <w:ind w:left="100"/>
              <w:spacing w:after="0"/>
              <w:rPr>
                <w:sz w:val="20"/>
                <w:szCs w:val="20"/>
                <w:color w:val="auto"/>
              </w:rPr>
            </w:pPr>
            <w:r>
              <w:rPr>
                <w:rFonts w:ascii="Arial" w:cs="Arial" w:eastAsia="Arial" w:hAnsi="Arial"/>
                <w:sz w:val="22"/>
                <w:szCs w:val="22"/>
                <w:color w:val="auto"/>
              </w:rPr>
              <w:t>Selling, general and administrative</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(16,302)</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(16,442)</w:t>
            </w:r>
          </w:p>
        </w:tc>
        <w:tc>
          <w:tcPr>
            <w:tcW w:w="0" w:type="dxa"/>
            <w:vAlign w:val="bottom"/>
          </w:tcPr>
          <w:p>
            <w:pPr>
              <w:spacing w:after="0"/>
              <w:rPr>
                <w:sz w:val="1"/>
                <w:szCs w:val="1"/>
                <w:color w:val="auto"/>
              </w:rPr>
            </w:pPr>
          </w:p>
        </w:tc>
      </w:tr>
      <w:tr>
        <w:trPr>
          <w:trHeight w:val="486"/>
        </w:trPr>
        <w:tc>
          <w:tcPr>
            <w:tcW w:w="5260" w:type="dxa"/>
            <w:vAlign w:val="bottom"/>
          </w:tcPr>
          <w:p>
            <w:pPr>
              <w:ind w:left="100"/>
              <w:spacing w:after="0"/>
              <w:rPr>
                <w:sz w:val="20"/>
                <w:szCs w:val="20"/>
                <w:color w:val="auto"/>
              </w:rPr>
            </w:pPr>
            <w:r>
              <w:rPr>
                <w:rFonts w:ascii="Arial" w:cs="Arial" w:eastAsia="Arial" w:hAnsi="Arial"/>
                <w:sz w:val="22"/>
                <w:szCs w:val="22"/>
                <w:color w:val="auto"/>
              </w:rPr>
              <w:t>Research and development</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(4,238)</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(4,720)</w:t>
            </w:r>
          </w:p>
        </w:tc>
        <w:tc>
          <w:tcPr>
            <w:tcW w:w="0" w:type="dxa"/>
            <w:vAlign w:val="bottom"/>
          </w:tcPr>
          <w:p>
            <w:pPr>
              <w:spacing w:after="0"/>
              <w:rPr>
                <w:sz w:val="1"/>
                <w:szCs w:val="1"/>
                <w:color w:val="auto"/>
              </w:rPr>
            </w:pPr>
          </w:p>
        </w:tc>
      </w:tr>
      <w:tr>
        <w:trPr>
          <w:trHeight w:val="486"/>
        </w:trPr>
        <w:tc>
          <w:tcPr>
            <w:tcW w:w="5260" w:type="dxa"/>
            <w:vAlign w:val="bottom"/>
          </w:tcPr>
          <w:p>
            <w:pPr>
              <w:spacing w:after="0"/>
              <w:rPr>
                <w:sz w:val="20"/>
                <w:szCs w:val="20"/>
                <w:color w:val="auto"/>
              </w:rPr>
            </w:pPr>
            <w:r>
              <w:rPr>
                <w:rFonts w:ascii="Arial" w:cs="Arial" w:eastAsia="Arial" w:hAnsi="Arial"/>
                <w:sz w:val="22"/>
                <w:szCs w:val="22"/>
                <w:color w:val="auto"/>
              </w:rPr>
              <w:t>Gain on sale of facility</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2,254</w:t>
            </w:r>
          </w:p>
        </w:tc>
        <w:tc>
          <w:tcPr>
            <w:tcW w:w="0" w:type="dxa"/>
            <w:vAlign w:val="bottom"/>
          </w:tcPr>
          <w:p>
            <w:pPr>
              <w:spacing w:after="0"/>
              <w:rPr>
                <w:sz w:val="1"/>
                <w:szCs w:val="1"/>
                <w:color w:val="auto"/>
              </w:rPr>
            </w:pPr>
          </w:p>
        </w:tc>
      </w:tr>
      <w:tr>
        <w:trPr>
          <w:trHeight w:val="98"/>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260" w:type="dxa"/>
            <w:vAlign w:val="bottom"/>
          </w:tcPr>
          <w:p>
            <w:pPr>
              <w:spacing w:after="0"/>
              <w:rPr>
                <w:sz w:val="20"/>
                <w:szCs w:val="20"/>
                <w:color w:val="auto"/>
              </w:rPr>
            </w:pPr>
            <w:r>
              <w:rPr>
                <w:rFonts w:ascii="Arial" w:cs="Arial" w:eastAsia="Arial" w:hAnsi="Arial"/>
                <w:sz w:val="22"/>
                <w:szCs w:val="22"/>
                <w:color w:val="auto"/>
              </w:rPr>
              <w:t>Operating income</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56</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10,757</w:t>
            </w:r>
          </w:p>
        </w:tc>
        <w:tc>
          <w:tcPr>
            <w:tcW w:w="0" w:type="dxa"/>
            <w:vAlign w:val="bottom"/>
          </w:tcPr>
          <w:p>
            <w:pPr>
              <w:spacing w:after="0"/>
              <w:rPr>
                <w:sz w:val="1"/>
                <w:szCs w:val="1"/>
                <w:color w:val="auto"/>
              </w:rPr>
            </w:pPr>
          </w:p>
        </w:tc>
      </w:tr>
      <w:tr>
        <w:trPr>
          <w:trHeight w:val="455"/>
        </w:trPr>
        <w:tc>
          <w:tcPr>
            <w:tcW w:w="5260" w:type="dxa"/>
            <w:vAlign w:val="bottom"/>
          </w:tcPr>
          <w:p>
            <w:pPr>
              <w:spacing w:after="0"/>
              <w:rPr>
                <w:sz w:val="20"/>
                <w:szCs w:val="20"/>
                <w:color w:val="auto"/>
              </w:rPr>
            </w:pPr>
            <w:r>
              <w:rPr>
                <w:rFonts w:ascii="Arial" w:cs="Arial" w:eastAsia="Arial" w:hAnsi="Arial"/>
                <w:sz w:val="22"/>
                <w:szCs w:val="22"/>
                <w:color w:val="auto"/>
              </w:rPr>
              <w:t>Other income (expense)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60"/>
              <w:spacing w:after="0" w:line="243" w:lineRule="exact"/>
              <w:rPr>
                <w:sz w:val="20"/>
                <w:szCs w:val="20"/>
                <w:color w:val="auto"/>
              </w:rPr>
            </w:pPr>
            <w:r>
              <w:rPr>
                <w:rFonts w:ascii="Arial" w:cs="Arial" w:eastAsia="Arial" w:hAnsi="Arial"/>
                <w:sz w:val="22"/>
                <w:szCs w:val="22"/>
                <w:color w:val="auto"/>
              </w:rPr>
              <w:t>Interest expense</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(2,134)</w:t>
            </w:r>
          </w:p>
        </w:tc>
        <w:tc>
          <w:tcPr>
            <w:tcW w:w="1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(2,095)</w:t>
            </w:r>
          </w:p>
        </w:tc>
        <w:tc>
          <w:tcPr>
            <w:tcW w:w="0" w:type="dxa"/>
            <w:vAlign w:val="bottom"/>
          </w:tcPr>
          <w:p>
            <w:pPr>
              <w:spacing w:after="0"/>
              <w:rPr>
                <w:sz w:val="1"/>
                <w:szCs w:val="1"/>
                <w:color w:val="auto"/>
              </w:rPr>
            </w:pPr>
          </w:p>
        </w:tc>
      </w:tr>
      <w:tr>
        <w:trPr>
          <w:trHeight w:val="275"/>
        </w:trPr>
        <w:tc>
          <w:tcPr>
            <w:tcW w:w="5260" w:type="dxa"/>
            <w:vAlign w:val="bottom"/>
          </w:tcPr>
          <w:p>
            <w:pPr>
              <w:ind w:left="260"/>
              <w:spacing w:after="0"/>
              <w:rPr>
                <w:sz w:val="20"/>
                <w:szCs w:val="20"/>
                <w:color w:val="auto"/>
              </w:rPr>
            </w:pPr>
            <w:r>
              <w:rPr>
                <w:rFonts w:ascii="Arial" w:cs="Arial" w:eastAsia="Arial" w:hAnsi="Arial"/>
                <w:sz w:val="22"/>
                <w:szCs w:val="22"/>
                <w:color w:val="auto"/>
              </w:rPr>
              <w:t>Investment and other income, net</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1,566</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1,811</w:t>
            </w:r>
          </w:p>
        </w:tc>
        <w:tc>
          <w:tcPr>
            <w:tcW w:w="0" w:type="dxa"/>
            <w:vAlign w:val="bottom"/>
          </w:tcPr>
          <w:p>
            <w:pPr>
              <w:spacing w:after="0"/>
              <w:rPr>
                <w:sz w:val="1"/>
                <w:szCs w:val="1"/>
                <w:color w:val="auto"/>
              </w:rPr>
            </w:pPr>
          </w:p>
        </w:tc>
      </w:tr>
      <w:tr>
        <w:trPr>
          <w:trHeight w:val="98"/>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260" w:type="dxa"/>
            <w:vAlign w:val="bottom"/>
          </w:tcPr>
          <w:p>
            <w:pPr>
              <w:ind w:left="260"/>
              <w:spacing w:after="0"/>
              <w:rPr>
                <w:sz w:val="20"/>
                <w:szCs w:val="20"/>
                <w:color w:val="auto"/>
              </w:rPr>
            </w:pPr>
            <w:r>
              <w:rPr>
                <w:rFonts w:ascii="Arial" w:cs="Arial" w:eastAsia="Arial" w:hAnsi="Arial"/>
                <w:sz w:val="22"/>
                <w:szCs w:val="22"/>
                <w:color w:val="auto"/>
                <w:w w:val="92"/>
              </w:rPr>
              <w:t>Income (loss) before income taxes and minority interest</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(512)</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10,473</w:t>
            </w:r>
          </w:p>
        </w:tc>
        <w:tc>
          <w:tcPr>
            <w:tcW w:w="0" w:type="dxa"/>
            <w:vAlign w:val="bottom"/>
          </w:tcPr>
          <w:p>
            <w:pPr>
              <w:spacing w:after="0"/>
              <w:rPr>
                <w:sz w:val="1"/>
                <w:szCs w:val="1"/>
                <w:color w:val="auto"/>
              </w:rPr>
            </w:pPr>
          </w:p>
        </w:tc>
      </w:tr>
      <w:tr>
        <w:trPr>
          <w:trHeight w:val="486"/>
        </w:trPr>
        <w:tc>
          <w:tcPr>
            <w:tcW w:w="5260" w:type="dxa"/>
            <w:vAlign w:val="bottom"/>
          </w:tcPr>
          <w:p>
            <w:pPr>
              <w:spacing w:after="0"/>
              <w:rPr>
                <w:sz w:val="20"/>
                <w:szCs w:val="20"/>
                <w:color w:val="auto"/>
              </w:rPr>
            </w:pPr>
            <w:r>
              <w:rPr>
                <w:rFonts w:ascii="Arial" w:cs="Arial" w:eastAsia="Arial" w:hAnsi="Arial"/>
                <w:sz w:val="22"/>
                <w:szCs w:val="22"/>
                <w:color w:val="auto"/>
              </w:rPr>
              <w:t>Income tax provision</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(1,873)</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(1,312)</w:t>
            </w:r>
          </w:p>
        </w:tc>
        <w:tc>
          <w:tcPr>
            <w:tcW w:w="0" w:type="dxa"/>
            <w:vAlign w:val="bottom"/>
          </w:tcPr>
          <w:p>
            <w:pPr>
              <w:spacing w:after="0"/>
              <w:rPr>
                <w:sz w:val="1"/>
                <w:szCs w:val="1"/>
                <w:color w:val="auto"/>
              </w:rPr>
            </w:pPr>
          </w:p>
        </w:tc>
      </w:tr>
      <w:tr>
        <w:trPr>
          <w:trHeight w:val="98"/>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260" w:type="dxa"/>
            <w:vAlign w:val="bottom"/>
          </w:tcPr>
          <w:p>
            <w:pPr>
              <w:ind w:left="260"/>
              <w:spacing w:after="0"/>
              <w:rPr>
                <w:sz w:val="20"/>
                <w:szCs w:val="20"/>
                <w:color w:val="auto"/>
              </w:rPr>
            </w:pPr>
            <w:r>
              <w:rPr>
                <w:rFonts w:ascii="Arial" w:cs="Arial" w:eastAsia="Arial" w:hAnsi="Arial"/>
                <w:sz w:val="22"/>
                <w:szCs w:val="22"/>
                <w:color w:val="auto"/>
              </w:rPr>
              <w:t>Income (loss) before minority interest</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(2,385)</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9,161</w:t>
            </w:r>
          </w:p>
        </w:tc>
        <w:tc>
          <w:tcPr>
            <w:tcW w:w="0" w:type="dxa"/>
            <w:vAlign w:val="bottom"/>
          </w:tcPr>
          <w:p>
            <w:pPr>
              <w:spacing w:after="0"/>
              <w:rPr>
                <w:sz w:val="1"/>
                <w:szCs w:val="1"/>
                <w:color w:val="auto"/>
              </w:rPr>
            </w:pPr>
          </w:p>
        </w:tc>
      </w:tr>
      <w:tr>
        <w:trPr>
          <w:trHeight w:val="486"/>
        </w:trPr>
        <w:tc>
          <w:tcPr>
            <w:tcW w:w="5260" w:type="dxa"/>
            <w:vAlign w:val="bottom"/>
          </w:tcPr>
          <w:p>
            <w:pPr>
              <w:spacing w:after="0"/>
              <w:rPr>
                <w:sz w:val="20"/>
                <w:szCs w:val="20"/>
                <w:color w:val="auto"/>
              </w:rPr>
            </w:pPr>
            <w:r>
              <w:rPr>
                <w:rFonts w:ascii="Arial" w:cs="Arial" w:eastAsia="Arial" w:hAnsi="Arial"/>
                <w:sz w:val="22"/>
                <w:szCs w:val="22"/>
                <w:color w:val="auto"/>
              </w:rPr>
              <w:t>Minority interest</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(955)</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(1,304)</w:t>
            </w:r>
          </w:p>
        </w:tc>
        <w:tc>
          <w:tcPr>
            <w:tcW w:w="0" w:type="dxa"/>
            <w:vAlign w:val="bottom"/>
          </w:tcPr>
          <w:p>
            <w:pPr>
              <w:spacing w:after="0"/>
              <w:rPr>
                <w:sz w:val="1"/>
                <w:szCs w:val="1"/>
                <w:color w:val="auto"/>
              </w:rPr>
            </w:pPr>
          </w:p>
        </w:tc>
      </w:tr>
      <w:tr>
        <w:trPr>
          <w:trHeight w:val="98"/>
        </w:trPr>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260" w:type="dxa"/>
            <w:vAlign w:val="bottom"/>
          </w:tcPr>
          <w:p>
            <w:pPr>
              <w:spacing w:after="0"/>
              <w:rPr>
                <w:sz w:val="20"/>
                <w:szCs w:val="20"/>
                <w:color w:val="auto"/>
              </w:rPr>
            </w:pPr>
            <w:r>
              <w:rPr>
                <w:rFonts w:ascii="Arial" w:cs="Arial" w:eastAsia="Arial" w:hAnsi="Arial"/>
                <w:sz w:val="22"/>
                <w:szCs w:val="22"/>
                <w:color w:val="auto"/>
              </w:rPr>
              <w:t>Net income (loss)</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 (3,340)</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$ 7,857</w:t>
            </w:r>
          </w:p>
        </w:tc>
        <w:tc>
          <w:tcPr>
            <w:tcW w:w="0" w:type="dxa"/>
            <w:vAlign w:val="bottom"/>
          </w:tcPr>
          <w:p>
            <w:pPr>
              <w:spacing w:after="0"/>
              <w:rPr>
                <w:sz w:val="1"/>
                <w:szCs w:val="1"/>
                <w:color w:val="auto"/>
              </w:rPr>
            </w:pPr>
          </w:p>
        </w:tc>
      </w:tr>
      <w:tr>
        <w:trPr>
          <w:trHeight w:val="122"/>
        </w:trPr>
        <w:tc>
          <w:tcPr>
            <w:tcW w:w="5260" w:type="dxa"/>
            <w:vAlign w:val="bottom"/>
            <w:vMerge w:val="restart"/>
          </w:tcPr>
          <w:p>
            <w:pPr>
              <w:spacing w:after="0"/>
              <w:rPr>
                <w:sz w:val="20"/>
                <w:szCs w:val="20"/>
                <w:color w:val="auto"/>
              </w:rPr>
            </w:pPr>
            <w:r>
              <w:rPr>
                <w:rFonts w:ascii="Arial" w:cs="Arial" w:eastAsia="Arial" w:hAnsi="Arial"/>
                <w:sz w:val="22"/>
                <w:szCs w:val="22"/>
                <w:color w:val="auto"/>
              </w:rPr>
              <w:t>Earnings (loss) per share:</w:t>
            </w:r>
          </w:p>
        </w:tc>
        <w:tc>
          <w:tcPr>
            <w:tcW w:w="1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5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-256540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-256540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-256540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-256540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9019"/>
          </w:cols>
          <w:pgMar w:left="1440" w:top="351" w:right="1440" w:bottom="0" w:gutter="0" w:footer="0" w:header="0"/>
        </w:sectPr>
      </w:pPr>
    </w:p>
    <w:bookmarkStart w:id="4" w:name="page5"/>
    <w:bookmarkEnd w:id="4"/>
    <w:tbl>
      <w:tblPr>
        <w:tblLayout w:type="fixed"/>
        <w:tblInd w:w="520" w:type="dxa"/>
        <w:tblCellMar>
          <w:top w:w="0" w:type="dxa"/>
          <w:left w:w="0" w:type="dxa"/>
          <w:bottom w:w="0" w:type="dxa"/>
          <w:right w:w="0" w:type="dxa"/>
        </w:tblCellMar>
      </w:tblPr>
      <w:tr>
        <w:trPr>
          <w:trHeight w:val="275"/>
        </w:trPr>
        <w:tc>
          <w:tcPr>
            <w:tcW w:w="5420" w:type="dxa"/>
            <w:vAlign w:val="bottom"/>
          </w:tcPr>
          <w:p>
            <w:pPr>
              <w:ind w:left="260"/>
              <w:spacing w:after="0"/>
              <w:rPr>
                <w:sz w:val="20"/>
                <w:szCs w:val="20"/>
                <w:color w:val="auto"/>
              </w:rPr>
            </w:pPr>
            <w:r>
              <w:rPr>
                <w:rFonts w:ascii="Arial" w:cs="Arial" w:eastAsia="Arial" w:hAnsi="Arial"/>
                <w:sz w:val="22"/>
                <w:szCs w:val="22"/>
                <w:color w:val="auto"/>
              </w:rPr>
              <w:t>Basic</w:t>
            </w:r>
          </w:p>
        </w:tc>
        <w:tc>
          <w:tcPr>
            <w:tcW w:w="1140" w:type="dxa"/>
            <w:vAlign w:val="bottom"/>
          </w:tcPr>
          <w:p>
            <w:pPr>
              <w:ind w:left="460"/>
              <w:spacing w:after="0"/>
              <w:rPr>
                <w:sz w:val="20"/>
                <w:szCs w:val="20"/>
                <w:color w:val="auto"/>
              </w:rPr>
            </w:pPr>
            <w:r>
              <w:rPr>
                <w:rFonts w:ascii="Arial" w:cs="Arial" w:eastAsia="Arial" w:hAnsi="Arial"/>
                <w:sz w:val="22"/>
                <w:szCs w:val="22"/>
                <w:color w:val="auto"/>
                <w:w w:val="94"/>
              </w:rPr>
              <w:t>$(0.08)</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$0.19</w:t>
            </w:r>
          </w:p>
        </w:tc>
        <w:tc>
          <w:tcPr>
            <w:tcW w:w="0" w:type="dxa"/>
            <w:vAlign w:val="bottom"/>
          </w:tcPr>
          <w:p>
            <w:pPr>
              <w:spacing w:after="0"/>
              <w:rPr>
                <w:sz w:val="1"/>
                <w:szCs w:val="1"/>
                <w:color w:val="auto"/>
              </w:rPr>
            </w:pPr>
          </w:p>
        </w:tc>
      </w:tr>
      <w:tr>
        <w:trPr>
          <w:trHeight w:val="122"/>
        </w:trPr>
        <w:tc>
          <w:tcPr>
            <w:tcW w:w="5420" w:type="dxa"/>
            <w:vAlign w:val="bottom"/>
          </w:tcPr>
          <w:p>
            <w:pPr>
              <w:spacing w:after="0"/>
              <w:rPr>
                <w:sz w:val="10"/>
                <w:szCs w:val="10"/>
                <w:color w:val="auto"/>
              </w:rPr>
            </w:pPr>
          </w:p>
        </w:tc>
        <w:tc>
          <w:tcPr>
            <w:tcW w:w="1140" w:type="dxa"/>
            <w:vAlign w:val="bottom"/>
            <w:tcBorders>
              <w:bottom w:val="single" w:sz="8" w:color="336699"/>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5420" w:type="dxa"/>
            <w:vAlign w:val="bottom"/>
          </w:tcPr>
          <w:p>
            <w:pPr>
              <w:ind w:left="260"/>
              <w:spacing w:after="0"/>
              <w:rPr>
                <w:sz w:val="20"/>
                <w:szCs w:val="20"/>
                <w:color w:val="auto"/>
              </w:rPr>
            </w:pPr>
            <w:r>
              <w:rPr>
                <w:rFonts w:ascii="Arial" w:cs="Arial" w:eastAsia="Arial" w:hAnsi="Arial"/>
                <w:sz w:val="22"/>
                <w:szCs w:val="22"/>
                <w:color w:val="auto"/>
              </w:rPr>
              <w:t>Diluted</w:t>
            </w:r>
          </w:p>
        </w:tc>
        <w:tc>
          <w:tcPr>
            <w:tcW w:w="1140" w:type="dxa"/>
            <w:vAlign w:val="bottom"/>
          </w:tcPr>
          <w:p>
            <w:pPr>
              <w:ind w:left="460"/>
              <w:spacing w:after="0"/>
              <w:rPr>
                <w:sz w:val="20"/>
                <w:szCs w:val="20"/>
                <w:color w:val="auto"/>
              </w:rPr>
            </w:pPr>
            <w:r>
              <w:rPr>
                <w:rFonts w:ascii="Arial" w:cs="Arial" w:eastAsia="Arial" w:hAnsi="Arial"/>
                <w:sz w:val="22"/>
                <w:szCs w:val="22"/>
                <w:color w:val="auto"/>
                <w:w w:val="94"/>
              </w:rPr>
              <w:t>$(0.08)</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$0.17</w:t>
            </w:r>
          </w:p>
        </w:tc>
        <w:tc>
          <w:tcPr>
            <w:tcW w:w="0" w:type="dxa"/>
            <w:vAlign w:val="bottom"/>
          </w:tcPr>
          <w:p>
            <w:pPr>
              <w:spacing w:after="0"/>
              <w:rPr>
                <w:sz w:val="1"/>
                <w:szCs w:val="1"/>
                <w:color w:val="auto"/>
              </w:rPr>
            </w:pPr>
          </w:p>
        </w:tc>
      </w:tr>
      <w:tr>
        <w:trPr>
          <w:trHeight w:val="122"/>
        </w:trPr>
        <w:tc>
          <w:tcPr>
            <w:tcW w:w="5420" w:type="dxa"/>
            <w:vAlign w:val="bottom"/>
            <w:vMerge w:val="restart"/>
          </w:tcPr>
          <w:p>
            <w:pPr>
              <w:spacing w:after="0"/>
              <w:rPr>
                <w:sz w:val="20"/>
                <w:szCs w:val="20"/>
                <w:color w:val="auto"/>
              </w:rPr>
            </w:pPr>
            <w:r>
              <w:rPr>
                <w:rFonts w:ascii="Arial" w:cs="Arial" w:eastAsia="Arial" w:hAnsi="Arial"/>
                <w:sz w:val="22"/>
                <w:szCs w:val="22"/>
                <w:color w:val="auto"/>
                <w:w w:val="94"/>
              </w:rPr>
              <w:t>Weighted average number of common shares outstanding:</w:t>
            </w:r>
          </w:p>
        </w:tc>
        <w:tc>
          <w:tcPr>
            <w:tcW w:w="1140" w:type="dxa"/>
            <w:vAlign w:val="bottom"/>
            <w:tcBorders>
              <w:bottom w:val="single" w:sz="8" w:color="336699"/>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54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20" w:type="dxa"/>
            <w:vAlign w:val="bottom"/>
          </w:tcPr>
          <w:p>
            <w:pPr>
              <w:ind w:left="260"/>
              <w:spacing w:after="0"/>
              <w:rPr>
                <w:sz w:val="20"/>
                <w:szCs w:val="20"/>
                <w:color w:val="auto"/>
              </w:rPr>
            </w:pPr>
            <w:r>
              <w:rPr>
                <w:rFonts w:ascii="Arial" w:cs="Arial" w:eastAsia="Arial" w:hAnsi="Arial"/>
                <w:sz w:val="22"/>
                <w:szCs w:val="22"/>
                <w:color w:val="auto"/>
              </w:rPr>
              <w:t>Basic</w:t>
            </w:r>
          </w:p>
        </w:tc>
        <w:tc>
          <w:tcPr>
            <w:tcW w:w="1140" w:type="dxa"/>
            <w:vAlign w:val="bottom"/>
          </w:tcPr>
          <w:p>
            <w:pPr>
              <w:ind w:left="460"/>
              <w:spacing w:after="0"/>
              <w:rPr>
                <w:sz w:val="20"/>
                <w:szCs w:val="20"/>
                <w:color w:val="auto"/>
              </w:rPr>
            </w:pPr>
            <w:r>
              <w:rPr>
                <w:rFonts w:ascii="Arial" w:cs="Arial" w:eastAsia="Arial" w:hAnsi="Arial"/>
                <w:sz w:val="22"/>
                <w:szCs w:val="22"/>
                <w:color w:val="auto"/>
                <w:w w:val="98"/>
              </w:rPr>
              <w:t>41,626</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41,475</w:t>
            </w:r>
          </w:p>
        </w:tc>
        <w:tc>
          <w:tcPr>
            <w:tcW w:w="0" w:type="dxa"/>
            <w:vAlign w:val="bottom"/>
          </w:tcPr>
          <w:p>
            <w:pPr>
              <w:spacing w:after="0"/>
              <w:rPr>
                <w:sz w:val="1"/>
                <w:szCs w:val="1"/>
                <w:color w:val="auto"/>
              </w:rPr>
            </w:pPr>
          </w:p>
        </w:tc>
      </w:tr>
      <w:tr>
        <w:trPr>
          <w:trHeight w:val="122"/>
        </w:trPr>
        <w:tc>
          <w:tcPr>
            <w:tcW w:w="5420" w:type="dxa"/>
            <w:vAlign w:val="bottom"/>
          </w:tcPr>
          <w:p>
            <w:pPr>
              <w:spacing w:after="0"/>
              <w:rPr>
                <w:sz w:val="10"/>
                <w:szCs w:val="10"/>
                <w:color w:val="auto"/>
              </w:rPr>
            </w:pPr>
          </w:p>
        </w:tc>
        <w:tc>
          <w:tcPr>
            <w:tcW w:w="1140" w:type="dxa"/>
            <w:vAlign w:val="bottom"/>
            <w:tcBorders>
              <w:bottom w:val="single" w:sz="8" w:color="336699"/>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5420" w:type="dxa"/>
            <w:vAlign w:val="bottom"/>
          </w:tcPr>
          <w:p>
            <w:pPr>
              <w:ind w:left="260"/>
              <w:spacing w:after="0"/>
              <w:rPr>
                <w:sz w:val="20"/>
                <w:szCs w:val="20"/>
                <w:color w:val="auto"/>
              </w:rPr>
            </w:pPr>
            <w:r>
              <w:rPr>
                <w:rFonts w:ascii="Arial" w:cs="Arial" w:eastAsia="Arial" w:hAnsi="Arial"/>
                <w:sz w:val="22"/>
                <w:szCs w:val="22"/>
                <w:color w:val="auto"/>
              </w:rPr>
              <w:t>Diluted</w:t>
            </w:r>
          </w:p>
        </w:tc>
        <w:tc>
          <w:tcPr>
            <w:tcW w:w="1140" w:type="dxa"/>
            <w:vAlign w:val="bottom"/>
          </w:tcPr>
          <w:p>
            <w:pPr>
              <w:ind w:left="460"/>
              <w:spacing w:after="0"/>
              <w:rPr>
                <w:sz w:val="20"/>
                <w:szCs w:val="20"/>
                <w:color w:val="auto"/>
              </w:rPr>
            </w:pPr>
            <w:r>
              <w:rPr>
                <w:rFonts w:ascii="Arial" w:cs="Arial" w:eastAsia="Arial" w:hAnsi="Arial"/>
                <w:sz w:val="22"/>
                <w:szCs w:val="22"/>
                <w:color w:val="auto"/>
                <w:w w:val="98"/>
              </w:rPr>
              <w:t>41,626</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51,361</w:t>
            </w:r>
          </w:p>
        </w:tc>
        <w:tc>
          <w:tcPr>
            <w:tcW w:w="0" w:type="dxa"/>
            <w:vAlign w:val="bottom"/>
          </w:tcPr>
          <w:p>
            <w:pPr>
              <w:spacing w:after="0"/>
              <w:rPr>
                <w:sz w:val="1"/>
                <w:szCs w:val="1"/>
                <w:color w:val="auto"/>
              </w:rPr>
            </w:pPr>
          </w:p>
        </w:tc>
      </w:tr>
      <w:tr>
        <w:trPr>
          <w:trHeight w:val="122"/>
        </w:trPr>
        <w:tc>
          <w:tcPr>
            <w:tcW w:w="5420" w:type="dxa"/>
            <w:vAlign w:val="bottom"/>
          </w:tcPr>
          <w:p>
            <w:pPr>
              <w:spacing w:after="0"/>
              <w:rPr>
                <w:sz w:val="10"/>
                <w:szCs w:val="10"/>
                <w:color w:val="auto"/>
              </w:rPr>
            </w:pPr>
          </w:p>
        </w:tc>
        <w:tc>
          <w:tcPr>
            <w:tcW w:w="1140" w:type="dxa"/>
            <w:vAlign w:val="bottom"/>
            <w:tcBorders>
              <w:bottom w:val="single" w:sz="8" w:color="336699"/>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-1289685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-1289685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-1289685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-1289685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-972820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-972820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-972820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-972820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-346710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-346710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-346710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-346710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52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Condensed Consolidated Statements of Cash Flows</w:t>
      </w:r>
    </w:p>
    <w:p>
      <w:pPr>
        <w:jc w:val="center"/>
        <w:spacing w:after="0" w:line="230" w:lineRule="auto"/>
        <w:rPr>
          <w:sz w:val="20"/>
          <w:szCs w:val="20"/>
          <w:color w:val="auto"/>
        </w:rPr>
      </w:pPr>
      <w:r>
        <w:rPr>
          <w:rFonts w:ascii="Arial" w:cs="Arial" w:eastAsia="Arial" w:hAnsi="Arial"/>
          <w:sz w:val="22"/>
          <w:szCs w:val="22"/>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80" w:type="dxa"/>
        <w:tblCellMar>
          <w:top w:w="0" w:type="dxa"/>
          <w:left w:w="0" w:type="dxa"/>
          <w:bottom w:w="0" w:type="dxa"/>
          <w:right w:w="0" w:type="dxa"/>
        </w:tblCellMar>
      </w:tblPr>
      <w:tr>
        <w:trPr>
          <w:trHeight w:val="281"/>
        </w:trPr>
        <w:tc>
          <w:tcPr>
            <w:tcW w:w="5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3"/>
          </w:tcPr>
          <w:p>
            <w:pPr>
              <w:jc w:val="right"/>
              <w:ind w:right="32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57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b w:val="1"/>
                <w:bCs w:val="1"/>
                <w:color w:val="auto"/>
              </w:rPr>
              <w:t>January 27,</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January 28,</w:t>
            </w:r>
          </w:p>
        </w:tc>
        <w:tc>
          <w:tcPr>
            <w:tcW w:w="0" w:type="dxa"/>
            <w:vAlign w:val="bottom"/>
          </w:tcPr>
          <w:p>
            <w:pPr>
              <w:spacing w:after="0"/>
              <w:rPr>
                <w:sz w:val="1"/>
                <w:szCs w:val="1"/>
                <w:color w:val="auto"/>
              </w:rPr>
            </w:pPr>
          </w:p>
        </w:tc>
      </w:tr>
      <w:tr>
        <w:trPr>
          <w:trHeight w:val="281"/>
        </w:trPr>
        <w:tc>
          <w:tcPr>
            <w:tcW w:w="5720" w:type="dxa"/>
            <w:vAlign w:val="bottom"/>
          </w:tcPr>
          <w:p>
            <w:pPr>
              <w:spacing w:after="0"/>
              <w:rPr>
                <w:sz w:val="24"/>
                <w:szCs w:val="24"/>
                <w:color w:val="auto"/>
              </w:rPr>
            </w:pPr>
          </w:p>
        </w:tc>
        <w:tc>
          <w:tcPr>
            <w:tcW w:w="1320" w:type="dxa"/>
            <w:vAlign w:val="bottom"/>
            <w:gridSpan w:val="2"/>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1460" w:type="dxa"/>
            <w:vAlign w:val="bottom"/>
            <w:gridSpan w:val="2"/>
          </w:tcPr>
          <w:p>
            <w:pPr>
              <w:jc w:val="right"/>
              <w:ind w:right="360"/>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5720" w:type="dxa"/>
            <w:vAlign w:val="bottom"/>
            <w:vMerge w:val="restart"/>
          </w:tcPr>
          <w:p>
            <w:pPr>
              <w:spacing w:after="0"/>
              <w:rPr>
                <w:sz w:val="20"/>
                <w:szCs w:val="20"/>
                <w:color w:val="auto"/>
              </w:rPr>
            </w:pPr>
            <w:r>
              <w:rPr>
                <w:rFonts w:ascii="Arial" w:cs="Arial" w:eastAsia="Arial" w:hAnsi="Arial"/>
                <w:sz w:val="22"/>
                <w:szCs w:val="22"/>
                <w:color w:val="auto"/>
              </w:rPr>
              <w:t>Cash flows from operating activities:</w:t>
            </w:r>
          </w:p>
        </w:tc>
        <w:tc>
          <w:tcPr>
            <w:tcW w:w="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5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0"/>
              <w:spacing w:after="0" w:line="243" w:lineRule="exact"/>
              <w:rPr>
                <w:sz w:val="20"/>
                <w:szCs w:val="20"/>
                <w:color w:val="auto"/>
              </w:rPr>
            </w:pPr>
            <w:r>
              <w:rPr>
                <w:rFonts w:ascii="Arial" w:cs="Arial" w:eastAsia="Arial" w:hAnsi="Arial"/>
                <w:sz w:val="22"/>
                <w:szCs w:val="22"/>
                <w:color w:val="auto"/>
              </w:rPr>
              <w:t>Net income (loss)</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$(3,340)</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$ 7,857</w:t>
            </w:r>
          </w:p>
        </w:tc>
        <w:tc>
          <w:tcPr>
            <w:tcW w:w="0" w:type="dxa"/>
            <w:vAlign w:val="bottom"/>
          </w:tcPr>
          <w:p>
            <w:pPr>
              <w:spacing w:after="0"/>
              <w:rPr>
                <w:sz w:val="1"/>
                <w:szCs w:val="1"/>
                <w:color w:val="auto"/>
              </w:rPr>
            </w:pPr>
          </w:p>
        </w:tc>
      </w:tr>
      <w:tr>
        <w:trPr>
          <w:trHeight w:val="243"/>
        </w:trPr>
        <w:tc>
          <w:tcPr>
            <w:tcW w:w="5720" w:type="dxa"/>
            <w:vAlign w:val="bottom"/>
          </w:tcPr>
          <w:p>
            <w:pPr>
              <w:ind w:left="200"/>
              <w:spacing w:after="0" w:line="243" w:lineRule="exact"/>
              <w:rPr>
                <w:sz w:val="20"/>
                <w:szCs w:val="20"/>
                <w:color w:val="auto"/>
              </w:rPr>
            </w:pPr>
            <w:r>
              <w:rPr>
                <w:rFonts w:ascii="Arial" w:cs="Arial" w:eastAsia="Arial" w:hAnsi="Arial"/>
                <w:sz w:val="22"/>
                <w:szCs w:val="22"/>
                <w:color w:val="auto"/>
              </w:rPr>
              <w:t>Adjustments to reconcile net income (loss)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line="243" w:lineRule="exact"/>
              <w:rPr>
                <w:sz w:val="20"/>
                <w:szCs w:val="20"/>
                <w:color w:val="auto"/>
              </w:rPr>
            </w:pPr>
            <w:r>
              <w:rPr>
                <w:rFonts w:ascii="Arial" w:cs="Arial" w:eastAsia="Arial" w:hAnsi="Arial"/>
                <w:sz w:val="22"/>
                <w:szCs w:val="22"/>
                <w:color w:val="auto"/>
              </w:rPr>
              <w:t>to net cash provided by operating activities: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700"/>
              <w:spacing w:after="0" w:line="243" w:lineRule="exact"/>
              <w:rPr>
                <w:sz w:val="20"/>
                <w:szCs w:val="20"/>
                <w:color w:val="auto"/>
              </w:rPr>
            </w:pPr>
            <w:r>
              <w:rPr>
                <w:rFonts w:ascii="Arial" w:cs="Arial" w:eastAsia="Arial" w:hAnsi="Arial"/>
                <w:sz w:val="22"/>
                <w:szCs w:val="22"/>
                <w:color w:val="auto"/>
              </w:rPr>
              <w:t>Depreciation and amortization</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24,721</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22,383</w:t>
            </w:r>
          </w:p>
        </w:tc>
        <w:tc>
          <w:tcPr>
            <w:tcW w:w="0" w:type="dxa"/>
            <w:vAlign w:val="bottom"/>
          </w:tcPr>
          <w:p>
            <w:pPr>
              <w:spacing w:after="0"/>
              <w:rPr>
                <w:sz w:val="1"/>
                <w:szCs w:val="1"/>
                <w:color w:val="auto"/>
              </w:rPr>
            </w:pPr>
          </w:p>
        </w:tc>
      </w:tr>
      <w:tr>
        <w:trPr>
          <w:trHeight w:val="243"/>
        </w:trPr>
        <w:tc>
          <w:tcPr>
            <w:tcW w:w="5720" w:type="dxa"/>
            <w:vAlign w:val="bottom"/>
          </w:tcPr>
          <w:p>
            <w:pPr>
              <w:ind w:left="700"/>
              <w:spacing w:after="0" w:line="243" w:lineRule="exact"/>
              <w:rPr>
                <w:sz w:val="20"/>
                <w:szCs w:val="20"/>
                <w:color w:val="auto"/>
              </w:rPr>
            </w:pPr>
            <w:r>
              <w:rPr>
                <w:rFonts w:ascii="Arial" w:cs="Arial" w:eastAsia="Arial" w:hAnsi="Arial"/>
                <w:sz w:val="22"/>
                <w:szCs w:val="22"/>
                <w:color w:val="auto"/>
              </w:rPr>
              <w:t>Gain on sale of facility</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(2,254)</w:t>
            </w:r>
          </w:p>
        </w:tc>
        <w:tc>
          <w:tcPr>
            <w:tcW w:w="0" w:type="dxa"/>
            <w:vAlign w:val="bottom"/>
          </w:tcPr>
          <w:p>
            <w:pPr>
              <w:spacing w:after="0"/>
              <w:rPr>
                <w:sz w:val="1"/>
                <w:szCs w:val="1"/>
                <w:color w:val="auto"/>
              </w:rPr>
            </w:pPr>
          </w:p>
        </w:tc>
      </w:tr>
      <w:tr>
        <w:trPr>
          <w:trHeight w:val="243"/>
        </w:trPr>
        <w:tc>
          <w:tcPr>
            <w:tcW w:w="5720" w:type="dxa"/>
            <w:vAlign w:val="bottom"/>
          </w:tcPr>
          <w:p>
            <w:pPr>
              <w:ind w:left="700"/>
              <w:spacing w:after="0" w:line="243" w:lineRule="exact"/>
              <w:rPr>
                <w:sz w:val="20"/>
                <w:szCs w:val="20"/>
                <w:color w:val="auto"/>
              </w:rPr>
            </w:pPr>
            <w:r>
              <w:rPr>
                <w:rFonts w:ascii="Arial" w:cs="Arial" w:eastAsia="Arial" w:hAnsi="Arial"/>
                <w:sz w:val="22"/>
                <w:szCs w:val="22"/>
                <w:color w:val="auto"/>
                <w:w w:val="94"/>
              </w:rPr>
              <w:t>Minority interest in income of consolidated subsidiaries</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955</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1,304</w:t>
            </w:r>
          </w:p>
        </w:tc>
        <w:tc>
          <w:tcPr>
            <w:tcW w:w="0" w:type="dxa"/>
            <w:vAlign w:val="bottom"/>
          </w:tcPr>
          <w:p>
            <w:pPr>
              <w:spacing w:after="0"/>
              <w:rPr>
                <w:sz w:val="1"/>
                <w:szCs w:val="1"/>
                <w:color w:val="auto"/>
              </w:rPr>
            </w:pPr>
          </w:p>
        </w:tc>
      </w:tr>
      <w:tr>
        <w:trPr>
          <w:trHeight w:val="243"/>
        </w:trPr>
        <w:tc>
          <w:tcPr>
            <w:tcW w:w="5720" w:type="dxa"/>
            <w:vAlign w:val="bottom"/>
          </w:tcPr>
          <w:p>
            <w:pPr>
              <w:ind w:left="700"/>
              <w:spacing w:after="0" w:line="243" w:lineRule="exact"/>
              <w:rPr>
                <w:sz w:val="20"/>
                <w:szCs w:val="20"/>
                <w:color w:val="auto"/>
              </w:rPr>
            </w:pPr>
            <w:r>
              <w:rPr>
                <w:rFonts w:ascii="Arial" w:cs="Arial" w:eastAsia="Arial" w:hAnsi="Arial"/>
                <w:sz w:val="22"/>
                <w:szCs w:val="22"/>
                <w:color w:val="auto"/>
              </w:rPr>
              <w:t>Changes in assets and liabilities: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960"/>
              <w:spacing w:after="0" w:line="243" w:lineRule="exact"/>
              <w:rPr>
                <w:sz w:val="20"/>
                <w:szCs w:val="20"/>
                <w:color w:val="auto"/>
              </w:rPr>
            </w:pPr>
            <w:r>
              <w:rPr>
                <w:rFonts w:ascii="Arial" w:cs="Arial" w:eastAsia="Arial" w:hAnsi="Arial"/>
                <w:sz w:val="22"/>
                <w:szCs w:val="22"/>
                <w:color w:val="auto"/>
              </w:rPr>
              <w:t>Accounts receivable</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(4,506)</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8,958</w:t>
            </w:r>
          </w:p>
        </w:tc>
        <w:tc>
          <w:tcPr>
            <w:tcW w:w="0" w:type="dxa"/>
            <w:vAlign w:val="bottom"/>
          </w:tcPr>
          <w:p>
            <w:pPr>
              <w:spacing w:after="0"/>
              <w:rPr>
                <w:sz w:val="1"/>
                <w:szCs w:val="1"/>
                <w:color w:val="auto"/>
              </w:rPr>
            </w:pPr>
          </w:p>
        </w:tc>
      </w:tr>
      <w:tr>
        <w:trPr>
          <w:trHeight w:val="243"/>
        </w:trPr>
        <w:tc>
          <w:tcPr>
            <w:tcW w:w="5720" w:type="dxa"/>
            <w:vAlign w:val="bottom"/>
          </w:tcPr>
          <w:p>
            <w:pPr>
              <w:ind w:left="960"/>
              <w:spacing w:after="0" w:line="243" w:lineRule="exact"/>
              <w:rPr>
                <w:sz w:val="20"/>
                <w:szCs w:val="20"/>
                <w:color w:val="auto"/>
              </w:rPr>
            </w:pPr>
            <w:r>
              <w:rPr>
                <w:rFonts w:ascii="Arial" w:cs="Arial" w:eastAsia="Arial" w:hAnsi="Arial"/>
                <w:sz w:val="22"/>
                <w:szCs w:val="22"/>
                <w:color w:val="auto"/>
              </w:rPr>
              <w:t>Inventories</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893</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3,348</w:t>
            </w:r>
          </w:p>
        </w:tc>
        <w:tc>
          <w:tcPr>
            <w:tcW w:w="0" w:type="dxa"/>
            <w:vAlign w:val="bottom"/>
          </w:tcPr>
          <w:p>
            <w:pPr>
              <w:spacing w:after="0"/>
              <w:rPr>
                <w:sz w:val="1"/>
                <w:szCs w:val="1"/>
                <w:color w:val="auto"/>
              </w:rPr>
            </w:pPr>
          </w:p>
        </w:tc>
      </w:tr>
      <w:tr>
        <w:trPr>
          <w:trHeight w:val="243"/>
        </w:trPr>
        <w:tc>
          <w:tcPr>
            <w:tcW w:w="5720" w:type="dxa"/>
            <w:vAlign w:val="bottom"/>
          </w:tcPr>
          <w:p>
            <w:pPr>
              <w:ind w:left="960"/>
              <w:spacing w:after="0" w:line="243" w:lineRule="exact"/>
              <w:rPr>
                <w:sz w:val="20"/>
                <w:szCs w:val="20"/>
                <w:color w:val="auto"/>
              </w:rPr>
            </w:pPr>
            <w:r>
              <w:rPr>
                <w:rFonts w:ascii="Arial" w:cs="Arial" w:eastAsia="Arial" w:hAnsi="Arial"/>
                <w:sz w:val="22"/>
                <w:szCs w:val="22"/>
                <w:color w:val="auto"/>
              </w:rPr>
              <w:t>Other current assets</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(1,093)</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7,358</w:t>
            </w:r>
          </w:p>
        </w:tc>
        <w:tc>
          <w:tcPr>
            <w:tcW w:w="0" w:type="dxa"/>
            <w:vAlign w:val="bottom"/>
          </w:tcPr>
          <w:p>
            <w:pPr>
              <w:spacing w:after="0"/>
              <w:rPr>
                <w:sz w:val="1"/>
                <w:szCs w:val="1"/>
                <w:color w:val="auto"/>
              </w:rPr>
            </w:pPr>
          </w:p>
        </w:tc>
      </w:tr>
      <w:tr>
        <w:trPr>
          <w:trHeight w:val="275"/>
        </w:trPr>
        <w:tc>
          <w:tcPr>
            <w:tcW w:w="5720" w:type="dxa"/>
            <w:vAlign w:val="bottom"/>
          </w:tcPr>
          <w:p>
            <w:pPr>
              <w:ind w:left="960"/>
              <w:spacing w:after="0"/>
              <w:rPr>
                <w:sz w:val="20"/>
                <w:szCs w:val="20"/>
                <w:color w:val="auto"/>
              </w:rPr>
            </w:pPr>
            <w:r>
              <w:rPr>
                <w:rFonts w:ascii="Arial" w:cs="Arial" w:eastAsia="Arial" w:hAnsi="Arial"/>
                <w:sz w:val="22"/>
                <w:szCs w:val="22"/>
                <w:color w:val="auto"/>
              </w:rPr>
              <w:t>Accounts payable, accrued liabilities, and other</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(5,955)</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(30,354)</w:t>
            </w: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0"/>
                <w:szCs w:val="20"/>
                <w:color w:val="auto"/>
              </w:rPr>
            </w:pPr>
            <w:r>
              <w:rPr>
                <w:rFonts w:ascii="Arial" w:cs="Arial" w:eastAsia="Arial" w:hAnsi="Arial"/>
                <w:sz w:val="22"/>
                <w:szCs w:val="22"/>
                <w:color w:val="auto"/>
              </w:rPr>
              <w:t>Net cash provided by operating activities</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11,675</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18,600</w:t>
            </w:r>
          </w:p>
        </w:tc>
        <w:tc>
          <w:tcPr>
            <w:tcW w:w="0" w:type="dxa"/>
            <w:vAlign w:val="bottom"/>
          </w:tcPr>
          <w:p>
            <w:pPr>
              <w:spacing w:after="0"/>
              <w:rPr>
                <w:sz w:val="1"/>
                <w:szCs w:val="1"/>
                <w:color w:val="auto"/>
              </w:rPr>
            </w:pPr>
          </w:p>
        </w:tc>
      </w:tr>
      <w:tr>
        <w:trPr>
          <w:trHeight w:val="98"/>
        </w:trPr>
        <w:tc>
          <w:tcPr>
            <w:tcW w:w="5720" w:type="dxa"/>
            <w:vAlign w:val="bottom"/>
            <w:vMerge w:val="restart"/>
          </w:tcPr>
          <w:p>
            <w:pPr>
              <w:spacing w:after="0"/>
              <w:rPr>
                <w:sz w:val="20"/>
                <w:szCs w:val="20"/>
                <w:color w:val="auto"/>
              </w:rPr>
            </w:pPr>
            <w:r>
              <w:rPr>
                <w:rFonts w:ascii="Arial" w:cs="Arial" w:eastAsia="Arial" w:hAnsi="Arial"/>
                <w:sz w:val="22"/>
                <w:szCs w:val="22"/>
                <w:color w:val="auto"/>
              </w:rPr>
              <w:t>Cash flows from investing activities:</w:t>
            </w:r>
          </w:p>
        </w:tc>
        <w:tc>
          <w:tcPr>
            <w:tcW w:w="2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Purchases of property, plant and equipment</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(65,932)</w:t>
            </w:r>
          </w:p>
        </w:tc>
        <w:tc>
          <w:tcPr>
            <w:tcW w:w="1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(5,601)</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Investment in joint venture</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(2,598)</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Proceeds from sales of short-term investments</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38,400</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Proceeds from sale of facility and other</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5,011</w:t>
            </w:r>
          </w:p>
        </w:tc>
        <w:tc>
          <w:tcPr>
            <w:tcW w:w="0" w:type="dxa"/>
            <w:vAlign w:val="bottom"/>
          </w:tcPr>
          <w:p>
            <w:pPr>
              <w:spacing w:after="0"/>
              <w:rPr>
                <w:sz w:val="1"/>
                <w:szCs w:val="1"/>
                <w:color w:val="auto"/>
              </w:rPr>
            </w:pPr>
          </w:p>
        </w:tc>
      </w:tr>
      <w:tr>
        <w:trPr>
          <w:trHeight w:val="275"/>
        </w:trPr>
        <w:tc>
          <w:tcPr>
            <w:tcW w:w="5720" w:type="dxa"/>
            <w:vAlign w:val="bottom"/>
          </w:tcPr>
          <w:p>
            <w:pPr>
              <w:ind w:left="260"/>
              <w:spacing w:after="0"/>
              <w:rPr>
                <w:sz w:val="20"/>
                <w:szCs w:val="20"/>
                <w:color w:val="auto"/>
              </w:rPr>
            </w:pPr>
            <w:r>
              <w:rPr>
                <w:rFonts w:ascii="Arial" w:cs="Arial" w:eastAsia="Arial" w:hAnsi="Arial"/>
                <w:sz w:val="22"/>
                <w:szCs w:val="22"/>
                <w:color w:val="auto"/>
              </w:rPr>
              <w:t>Purchases of short-term investments</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(253)</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0"/>
                <w:szCs w:val="20"/>
                <w:color w:val="auto"/>
              </w:rPr>
            </w:pPr>
            <w:r>
              <w:rPr>
                <w:rFonts w:ascii="Arial" w:cs="Arial" w:eastAsia="Arial" w:hAnsi="Arial"/>
                <w:sz w:val="22"/>
                <w:szCs w:val="22"/>
                <w:color w:val="auto"/>
              </w:rPr>
              <w:t>Net cash (used in) provided by investing activities</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(68,718)</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37,810</w:t>
            </w:r>
          </w:p>
        </w:tc>
        <w:tc>
          <w:tcPr>
            <w:tcW w:w="0" w:type="dxa"/>
            <w:vAlign w:val="bottom"/>
          </w:tcPr>
          <w:p>
            <w:pPr>
              <w:spacing w:after="0"/>
              <w:rPr>
                <w:sz w:val="1"/>
                <w:szCs w:val="1"/>
                <w:color w:val="auto"/>
              </w:rPr>
            </w:pPr>
          </w:p>
        </w:tc>
      </w:tr>
      <w:tr>
        <w:trPr>
          <w:trHeight w:val="98"/>
        </w:trPr>
        <w:tc>
          <w:tcPr>
            <w:tcW w:w="5720" w:type="dxa"/>
            <w:vAlign w:val="bottom"/>
            <w:vMerge w:val="restart"/>
          </w:tcPr>
          <w:p>
            <w:pPr>
              <w:spacing w:after="0"/>
              <w:rPr>
                <w:sz w:val="20"/>
                <w:szCs w:val="20"/>
                <w:color w:val="auto"/>
              </w:rPr>
            </w:pPr>
            <w:r>
              <w:rPr>
                <w:rFonts w:ascii="Arial" w:cs="Arial" w:eastAsia="Arial" w:hAnsi="Arial"/>
                <w:sz w:val="22"/>
                <w:szCs w:val="22"/>
                <w:color w:val="auto"/>
              </w:rPr>
              <w:t>Cash flows from financing activities:</w:t>
            </w:r>
          </w:p>
        </w:tc>
        <w:tc>
          <w:tcPr>
            <w:tcW w:w="2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Repayments of long-term borrowings</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(577)</w:t>
            </w:r>
          </w:p>
        </w:tc>
        <w:tc>
          <w:tcPr>
            <w:tcW w:w="14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(87,087)</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Proceeds from long-term borrowings</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942</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1,926</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line="243" w:lineRule="exact"/>
              <w:rPr>
                <w:sz w:val="20"/>
                <w:szCs w:val="20"/>
                <w:color w:val="auto"/>
              </w:rPr>
            </w:pPr>
            <w:r>
              <w:rPr>
                <w:rFonts w:ascii="Arial" w:cs="Arial" w:eastAsia="Arial" w:hAnsi="Arial"/>
                <w:sz w:val="22"/>
                <w:szCs w:val="22"/>
                <w:color w:val="auto"/>
              </w:rPr>
              <w:t>Proceeds from issuance of common stock</w:t>
            </w:r>
          </w:p>
        </w:tc>
        <w:tc>
          <w:tcPr>
            <w:tcW w:w="13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4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189</w:t>
            </w:r>
          </w:p>
        </w:tc>
        <w:tc>
          <w:tcPr>
            <w:tcW w:w="0" w:type="dxa"/>
            <w:vAlign w:val="bottom"/>
          </w:tcPr>
          <w:p>
            <w:pPr>
              <w:spacing w:after="0"/>
              <w:rPr>
                <w:sz w:val="1"/>
                <w:szCs w:val="1"/>
                <w:color w:val="auto"/>
              </w:rPr>
            </w:pPr>
          </w:p>
        </w:tc>
      </w:tr>
      <w:tr>
        <w:trPr>
          <w:trHeight w:val="275"/>
        </w:trPr>
        <w:tc>
          <w:tcPr>
            <w:tcW w:w="5720" w:type="dxa"/>
            <w:vAlign w:val="bottom"/>
          </w:tcPr>
          <w:p>
            <w:pPr>
              <w:ind w:left="260"/>
              <w:spacing w:after="0"/>
              <w:rPr>
                <w:sz w:val="20"/>
                <w:szCs w:val="20"/>
                <w:color w:val="auto"/>
              </w:rPr>
            </w:pPr>
            <w:r>
              <w:rPr>
                <w:rFonts w:ascii="Arial" w:cs="Arial" w:eastAsia="Arial" w:hAnsi="Arial"/>
                <w:sz w:val="22"/>
                <w:szCs w:val="22"/>
                <w:color w:val="auto"/>
              </w:rPr>
              <w:t>Other</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(71)</w:t>
            </w:r>
          </w:p>
        </w:tc>
        <w:tc>
          <w:tcPr>
            <w:tcW w:w="146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0"/>
                <w:szCs w:val="20"/>
                <w:color w:val="auto"/>
              </w:rPr>
            </w:pPr>
            <w:r>
              <w:rPr>
                <w:rFonts w:ascii="Arial" w:cs="Arial" w:eastAsia="Arial" w:hAnsi="Arial"/>
                <w:sz w:val="22"/>
                <w:szCs w:val="22"/>
                <w:color w:val="auto"/>
              </w:rPr>
              <w:t>Net cash provided by (used in) financing activities</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294</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(84,972)</w:t>
            </w: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(171)</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(227)</w:t>
            </w:r>
          </w:p>
        </w:tc>
        <w:tc>
          <w:tcPr>
            <w:tcW w:w="0" w:type="dxa"/>
            <w:vAlign w:val="bottom"/>
          </w:tcPr>
          <w:p>
            <w:pPr>
              <w:spacing w:after="0"/>
              <w:rPr>
                <w:sz w:val="1"/>
                <w:szCs w:val="1"/>
                <w:color w:val="auto"/>
              </w:rPr>
            </w:pPr>
          </w:p>
        </w:tc>
      </w:tr>
      <w:tr>
        <w:trPr>
          <w:trHeight w:val="98"/>
        </w:trPr>
        <w:tc>
          <w:tcPr>
            <w:tcW w:w="5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720" w:type="dxa"/>
            <w:vAlign w:val="bottom"/>
          </w:tcPr>
          <w:p>
            <w:pPr>
              <w:spacing w:after="0"/>
              <w:rPr>
                <w:sz w:val="20"/>
                <w:szCs w:val="20"/>
                <w:color w:val="auto"/>
              </w:rPr>
            </w:pPr>
            <w:r>
              <w:rPr>
                <w:rFonts w:ascii="Arial" w:cs="Arial" w:eastAsia="Arial" w:hAnsi="Arial"/>
                <w:sz w:val="22"/>
                <w:szCs w:val="22"/>
                <w:color w:val="auto"/>
              </w:rPr>
              <w:t>Net decrease in cash and cash equivalents</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(56,920)</w:t>
            </w:r>
          </w:p>
        </w:tc>
        <w:tc>
          <w:tcPr>
            <w:tcW w:w="1460" w:type="dxa"/>
            <w:vAlign w:val="bottom"/>
            <w:gridSpan w:val="2"/>
          </w:tcPr>
          <w:p>
            <w:pPr>
              <w:jc w:val="right"/>
              <w:ind w:right="20"/>
              <w:spacing w:after="0"/>
              <w:rPr>
                <w:sz w:val="20"/>
                <w:szCs w:val="20"/>
                <w:color w:val="auto"/>
              </w:rPr>
            </w:pPr>
            <w:r>
              <w:rPr>
                <w:rFonts w:ascii="Arial" w:cs="Arial" w:eastAsia="Arial" w:hAnsi="Arial"/>
                <w:sz w:val="22"/>
                <w:szCs w:val="22"/>
                <w:color w:val="auto"/>
              </w:rPr>
              <w:t>(28,789)</w:t>
            </w:r>
          </w:p>
        </w:tc>
        <w:tc>
          <w:tcPr>
            <w:tcW w:w="0" w:type="dxa"/>
            <w:vAlign w:val="bottom"/>
          </w:tcPr>
          <w:p>
            <w:pPr>
              <w:spacing w:after="0"/>
              <w:rPr>
                <w:sz w:val="1"/>
                <w:szCs w:val="1"/>
                <w:color w:val="auto"/>
              </w:rPr>
            </w:pPr>
          </w:p>
        </w:tc>
      </w:tr>
    </w:tbl>
    <w:p>
      <w:pPr>
        <w:sectPr>
          <w:pgSz w:w="11900" w:h="16838" w:orient="portrait"/>
          <w:cols w:equalWidth="0" w:num="1">
            <w:col w:w="9019"/>
          </w:cols>
          <w:pgMar w:left="1440" w:top="118" w:right="1440" w:bottom="0" w:gutter="0" w:footer="0" w:header="0"/>
        </w:sectPr>
      </w:pPr>
    </w:p>
    <w:bookmarkStart w:id="5" w:name="page6"/>
    <w:bookmarkEnd w:id="5"/>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275"/>
        </w:trPr>
        <w:tc>
          <w:tcPr>
            <w:tcW w:w="5920" w:type="dxa"/>
            <w:vAlign w:val="bottom"/>
          </w:tcPr>
          <w:p>
            <w:pPr>
              <w:spacing w:after="0"/>
              <w:rPr>
                <w:sz w:val="20"/>
                <w:szCs w:val="20"/>
                <w:color w:val="auto"/>
              </w:rPr>
            </w:pPr>
            <w:r>
              <w:rPr>
                <w:rFonts w:ascii="Arial" w:cs="Arial" w:eastAsia="Arial" w:hAnsi="Arial"/>
                <w:sz w:val="22"/>
                <w:szCs w:val="22"/>
                <w:color w:val="auto"/>
              </w:rPr>
              <w:t>Cash and cash equivalents at beginning of period</w:t>
            </w:r>
          </w:p>
        </w:tc>
        <w:tc>
          <w:tcPr>
            <w:tcW w:w="1120" w:type="dxa"/>
            <w:vAlign w:val="bottom"/>
          </w:tcPr>
          <w:p>
            <w:pPr>
              <w:jc w:val="right"/>
              <w:spacing w:after="0"/>
              <w:rPr>
                <w:sz w:val="20"/>
                <w:szCs w:val="20"/>
                <w:color w:val="auto"/>
              </w:rPr>
            </w:pPr>
            <w:r>
              <w:rPr>
                <w:rFonts w:ascii="Arial" w:cs="Arial" w:eastAsia="Arial" w:hAnsi="Arial"/>
                <w:sz w:val="22"/>
                <w:szCs w:val="22"/>
                <w:color w:val="auto"/>
              </w:rPr>
              <w:t>146,049</w:t>
            </w: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w w:val="85"/>
              </w:rPr>
              <w:t>129,425</w:t>
            </w:r>
          </w:p>
        </w:tc>
        <w:tc>
          <w:tcPr>
            <w:tcW w:w="20" w:type="dxa"/>
            <w:vAlign w:val="bottom"/>
          </w:tcPr>
          <w:p>
            <w:pPr>
              <w:spacing w:after="0"/>
              <w:rPr>
                <w:sz w:val="23"/>
                <w:szCs w:val="23"/>
                <w:color w:val="auto"/>
              </w:rPr>
            </w:pPr>
          </w:p>
        </w:tc>
      </w:tr>
      <w:tr>
        <w:trPr>
          <w:trHeight w:val="98"/>
        </w:trPr>
        <w:tc>
          <w:tcPr>
            <w:tcW w:w="59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336699"/>
            </w:tcBorders>
          </w:tcPr>
          <w:p>
            <w:pPr>
              <w:spacing w:after="0"/>
              <w:rPr>
                <w:sz w:val="8"/>
                <w:szCs w:val="8"/>
                <w:color w:val="auto"/>
              </w:rPr>
            </w:pPr>
          </w:p>
        </w:tc>
        <w:tc>
          <w:tcPr>
            <w:tcW w:w="7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5920" w:type="dxa"/>
            <w:vAlign w:val="bottom"/>
          </w:tcPr>
          <w:p>
            <w:pPr>
              <w:spacing w:after="0"/>
              <w:rPr>
                <w:sz w:val="20"/>
                <w:szCs w:val="20"/>
                <w:color w:val="auto"/>
              </w:rPr>
            </w:pPr>
            <w:r>
              <w:rPr>
                <w:rFonts w:ascii="Arial" w:cs="Arial" w:eastAsia="Arial" w:hAnsi="Arial"/>
                <w:sz w:val="22"/>
                <w:szCs w:val="22"/>
                <w:color w:val="auto"/>
              </w:rPr>
              <w:t>Cash and cash equivalents at end of period</w:t>
            </w:r>
          </w:p>
        </w:tc>
        <w:tc>
          <w:tcPr>
            <w:tcW w:w="1120" w:type="dxa"/>
            <w:vAlign w:val="bottom"/>
          </w:tcPr>
          <w:p>
            <w:pPr>
              <w:jc w:val="right"/>
              <w:spacing w:after="0"/>
              <w:rPr>
                <w:sz w:val="20"/>
                <w:szCs w:val="20"/>
                <w:color w:val="auto"/>
              </w:rPr>
            </w:pPr>
            <w:r>
              <w:rPr>
                <w:rFonts w:ascii="Arial" w:cs="Arial" w:eastAsia="Arial" w:hAnsi="Arial"/>
                <w:sz w:val="22"/>
                <w:szCs w:val="22"/>
                <w:color w:val="auto"/>
              </w:rPr>
              <w:t>$89,129</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w w:val="85"/>
              </w:rPr>
              <w:t>100,636</w:t>
            </w:r>
          </w:p>
        </w:tc>
        <w:tc>
          <w:tcPr>
            <w:tcW w:w="20" w:type="dxa"/>
            <w:vAlign w:val="bottom"/>
          </w:tcPr>
          <w:p>
            <w:pPr>
              <w:spacing w:after="0"/>
              <w:rPr>
                <w:sz w:val="24"/>
                <w:szCs w:val="24"/>
                <w:color w:val="auto"/>
              </w:rPr>
            </w:pPr>
          </w:p>
        </w:tc>
      </w:tr>
      <w:tr>
        <w:trPr>
          <w:trHeight w:val="122"/>
        </w:trPr>
        <w:tc>
          <w:tcPr>
            <w:tcW w:w="592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bottom w:val="single" w:sz="8" w:color="336699"/>
            </w:tcBorders>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r>
        <w:trPr>
          <w:trHeight w:val="326"/>
        </w:trPr>
        <w:tc>
          <w:tcPr>
            <w:tcW w:w="5920" w:type="dxa"/>
            <w:vAlign w:val="bottom"/>
          </w:tcPr>
          <w:p>
            <w:pPr>
              <w:ind w:left="40"/>
              <w:spacing w:after="0"/>
              <w:rPr>
                <w:sz w:val="20"/>
                <w:szCs w:val="20"/>
                <w:color w:val="auto"/>
              </w:rPr>
            </w:pPr>
            <w:r>
              <w:rPr>
                <w:rFonts w:ascii="Arial" w:cs="Arial" w:eastAsia="Arial" w:hAnsi="Arial"/>
                <w:sz w:val="22"/>
                <w:szCs w:val="22"/>
                <w:color w:val="auto"/>
              </w:rPr>
              <w:t>Supplemental disclosure of cash flow information:</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920" w:type="dxa"/>
            <w:vAlign w:val="bottom"/>
          </w:tcPr>
          <w:p>
            <w:pPr>
              <w:ind w:left="260"/>
              <w:spacing w:after="0" w:line="243" w:lineRule="exact"/>
              <w:rPr>
                <w:sz w:val="20"/>
                <w:szCs w:val="20"/>
                <w:color w:val="auto"/>
              </w:rPr>
            </w:pPr>
            <w:r>
              <w:rPr>
                <w:rFonts w:ascii="Arial" w:cs="Arial" w:eastAsia="Arial" w:hAnsi="Arial"/>
                <w:sz w:val="22"/>
                <w:szCs w:val="22"/>
                <w:color w:val="auto"/>
              </w:rPr>
              <w:t>Change in accrual for purchases of property, plant</w:t>
            </w: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920" w:type="dxa"/>
            <w:vAlign w:val="bottom"/>
          </w:tcPr>
          <w:p>
            <w:pPr>
              <w:ind w:left="380"/>
              <w:spacing w:after="0" w:line="243" w:lineRule="exact"/>
              <w:rPr>
                <w:sz w:val="20"/>
                <w:szCs w:val="20"/>
                <w:color w:val="auto"/>
              </w:rPr>
            </w:pPr>
            <w:r>
              <w:rPr>
                <w:rFonts w:ascii="Arial" w:cs="Arial" w:eastAsia="Arial" w:hAnsi="Arial"/>
                <w:sz w:val="22"/>
                <w:szCs w:val="22"/>
                <w:color w:val="auto"/>
              </w:rPr>
              <w:t>and equipment</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$(24,181)</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14,930</w:t>
            </w:r>
          </w:p>
        </w:tc>
        <w:tc>
          <w:tcPr>
            <w:tcW w:w="20" w:type="dxa"/>
            <w:vAlign w:val="bottom"/>
          </w:tcPr>
          <w:p>
            <w:pPr>
              <w:spacing w:after="0"/>
              <w:rPr>
                <w:sz w:val="21"/>
                <w:szCs w:val="21"/>
                <w:color w:val="auto"/>
              </w:rPr>
            </w:pPr>
          </w:p>
        </w:tc>
      </w:tr>
      <w:tr>
        <w:trPr>
          <w:trHeight w:val="243"/>
        </w:trPr>
        <w:tc>
          <w:tcPr>
            <w:tcW w:w="5920" w:type="dxa"/>
            <w:vAlign w:val="bottom"/>
          </w:tcPr>
          <w:p>
            <w:pPr>
              <w:ind w:left="260"/>
              <w:spacing w:after="0" w:line="243" w:lineRule="exact"/>
              <w:rPr>
                <w:sz w:val="20"/>
                <w:szCs w:val="20"/>
                <w:color w:val="auto"/>
              </w:rPr>
            </w:pPr>
            <w:r>
              <w:rPr>
                <w:rFonts w:ascii="Arial" w:cs="Arial" w:eastAsia="Arial" w:hAnsi="Arial"/>
                <w:sz w:val="22"/>
                <w:szCs w:val="22"/>
                <w:color w:val="auto"/>
              </w:rPr>
              <w:t>Capital lease obligation for purchases of property, plant</w:t>
            </w: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5920" w:type="dxa"/>
            <w:vAlign w:val="bottom"/>
          </w:tcPr>
          <w:p>
            <w:pPr>
              <w:ind w:left="380"/>
              <w:spacing w:after="0"/>
              <w:rPr>
                <w:sz w:val="20"/>
                <w:szCs w:val="20"/>
                <w:color w:val="auto"/>
              </w:rPr>
            </w:pPr>
            <w:r>
              <w:rPr>
                <w:rFonts w:ascii="Arial" w:cs="Arial" w:eastAsia="Arial" w:hAnsi="Arial"/>
                <w:sz w:val="22"/>
                <w:szCs w:val="22"/>
                <w:color w:val="auto"/>
              </w:rPr>
              <w:t>and equipment</w:t>
            </w:r>
          </w:p>
        </w:tc>
        <w:tc>
          <w:tcPr>
            <w:tcW w:w="1120" w:type="dxa"/>
            <w:vAlign w:val="bottom"/>
          </w:tcPr>
          <w:p>
            <w:pPr>
              <w:jc w:val="right"/>
              <w:spacing w:after="0"/>
              <w:rPr>
                <w:sz w:val="20"/>
                <w:szCs w:val="20"/>
                <w:color w:val="auto"/>
              </w:rPr>
            </w:pPr>
            <w:r>
              <w:rPr>
                <w:rFonts w:ascii="Arial" w:cs="Arial" w:eastAsia="Arial" w:hAnsi="Arial"/>
                <w:sz w:val="22"/>
                <w:szCs w:val="22"/>
                <w:color w:val="auto"/>
              </w:rPr>
              <w:t>$ 61,662</w:t>
            </w:r>
          </w:p>
        </w:tc>
        <w:tc>
          <w:tcPr>
            <w:tcW w:w="68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-873760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-873760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-873760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-873760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2" w:lineRule="exact"/>
        <w:rPr>
          <w:sz w:val="20"/>
          <w:szCs w:val="20"/>
          <w:color w:val="auto"/>
        </w:rPr>
      </w:pPr>
    </w:p>
    <w:p>
      <w:pPr>
        <w:ind w:left="148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Three Months Ended January 27, 2008 and January 28, 2007</w:t>
      </w:r>
    </w:p>
    <w:p>
      <w:pPr>
        <w:jc w:val="center"/>
        <w:ind w:right="-19"/>
        <w:spacing w:after="0" w:line="231" w:lineRule="auto"/>
        <w:rPr>
          <w:sz w:val="20"/>
          <w:szCs w:val="20"/>
          <w:color w:val="auto"/>
        </w:rPr>
      </w:pPr>
      <w:r>
        <w:rPr>
          <w:rFonts w:ascii="Arial" w:cs="Arial" w:eastAsia="Arial" w:hAnsi="Arial"/>
          <w:sz w:val="22"/>
          <w:szCs w:val="22"/>
          <w:b w:val="1"/>
          <w:bCs w:val="1"/>
          <w:color w:val="auto"/>
        </w:rPr>
        <w:t>(unaudited)</w:t>
      </w:r>
    </w:p>
    <w:p>
      <w:pPr>
        <w:jc w:val="center"/>
        <w:ind w:right="-19"/>
        <w:spacing w:after="0"/>
        <w:rPr>
          <w:sz w:val="20"/>
          <w:szCs w:val="20"/>
          <w:color w:val="auto"/>
        </w:rPr>
      </w:pPr>
      <w:r>
        <w:rPr>
          <w:rFonts w:ascii="Arial" w:cs="Arial" w:eastAsia="Arial" w:hAnsi="Arial"/>
          <w:sz w:val="22"/>
          <w:szCs w:val="22"/>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BASIS OF FINANCIAL STATEMENT PRESENTATION</w:t>
      </w:r>
    </w:p>
    <w:p>
      <w:pPr>
        <w:spacing w:after="0" w:line="212"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 and are used as masters to transfer circuit patterns onto semiconductor wafers and flat panel substrates during the fabrication of integrated circuits ("IC") and a variety of FPD and, to a lesser extent, other types of electrical and optical components. The Company currently operates principally from ten manufacturing facilities, two of which are located in the United States, three in Europe, two in Taiwan, and one each in Korea, Singapore, and China. Also, under a build-to-suit lease, in the three months ended January 27, 2008, a capital lease agreement commenced with Micron Technology, Inc. ("Micron") for a state-of-the-art nanofab facility ("U.S. Nanofab") in Boise, Idaho.</w:t>
      </w:r>
    </w:p>
    <w:p>
      <w:pPr>
        <w:spacing w:after="0" w:line="158" w:lineRule="exact"/>
        <w:rPr>
          <w:sz w:val="20"/>
          <w:szCs w:val="20"/>
          <w:color w:val="auto"/>
        </w:rPr>
      </w:pPr>
    </w:p>
    <w:p>
      <w:pPr>
        <w:ind w:right="280" w:firstLine="266"/>
        <w:spacing w:after="0" w:line="275"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(consisting of normal recurring accruals) considered necessary for a fair presentation have been included. Operating results for the interim period are not necessarily indicative of the results that may be expected for the fiscal year ending November 2, 2008. For further information, refer to the consolidated financial statements and footnotes thereto included in the Company's Annual Report on Form 10-K for the year ended October 28, 2007.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COMPREHENSIVE INCOME (LOSS)</w:t>
      </w:r>
    </w:p>
    <w:p>
      <w:pPr>
        <w:spacing w:after="0" w:line="212" w:lineRule="exact"/>
        <w:rPr>
          <w:sz w:val="20"/>
          <w:szCs w:val="20"/>
          <w:color w:val="auto"/>
        </w:rPr>
      </w:pPr>
    </w:p>
    <w:p>
      <w:pPr>
        <w:ind w:right="440" w:firstLine="266"/>
        <w:spacing w:after="0" w:line="251" w:lineRule="auto"/>
        <w:rPr>
          <w:sz w:val="20"/>
          <w:szCs w:val="20"/>
          <w:color w:val="auto"/>
        </w:rPr>
      </w:pPr>
      <w:r>
        <w:rPr>
          <w:rFonts w:ascii="Arial" w:cs="Arial" w:eastAsia="Arial" w:hAnsi="Arial"/>
          <w:sz w:val="22"/>
          <w:szCs w:val="22"/>
          <w:color w:val="auto"/>
        </w:rPr>
        <w:t>The following table summarizes comprehensive income (loss) for the three months ended January 27, 2008 and January 28, 2007: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80" w:type="dxa"/>
            <w:vAlign w:val="bottom"/>
          </w:tcPr>
          <w:p>
            <w:pPr>
              <w:spacing w:after="0"/>
              <w:rPr>
                <w:sz w:val="24"/>
                <w:szCs w:val="24"/>
                <w:color w:val="auto"/>
              </w:rPr>
            </w:pPr>
          </w:p>
        </w:tc>
        <w:tc>
          <w:tcPr>
            <w:tcW w:w="2640" w:type="dxa"/>
            <w:vAlign w:val="bottom"/>
            <w:gridSpan w:val="3"/>
          </w:tcPr>
          <w:p>
            <w:pPr>
              <w:jc w:val="right"/>
              <w:ind w:right="232"/>
              <w:spacing w:after="0"/>
              <w:rPr>
                <w:sz w:val="20"/>
                <w:szCs w:val="20"/>
                <w:color w:val="auto"/>
              </w:rPr>
            </w:pPr>
            <w:r>
              <w:rPr>
                <w:rFonts w:ascii="Arial" w:cs="Arial" w:eastAsia="Arial" w:hAnsi="Arial"/>
                <w:sz w:val="22"/>
                <w:szCs w:val="22"/>
                <w:b w:val="1"/>
                <w:bCs w:val="1"/>
                <w:color w:val="auto"/>
              </w:rPr>
              <w:t>Three Months Ended</w:t>
            </w:r>
          </w:p>
        </w:tc>
      </w:tr>
      <w:tr>
        <w:trPr>
          <w:trHeight w:val="98"/>
        </w:trPr>
        <w:tc>
          <w:tcPr>
            <w:tcW w:w="39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31"/>
        </w:trPr>
        <w:tc>
          <w:tcPr>
            <w:tcW w:w="39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9"/>
              </w:rPr>
              <w:t>January 27,</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9"/>
              </w:rPr>
              <w:t>January 28,</w:t>
            </w:r>
          </w:p>
        </w:tc>
      </w:tr>
      <w:tr>
        <w:trPr>
          <w:trHeight w:val="281"/>
        </w:trPr>
        <w:tc>
          <w:tcPr>
            <w:tcW w:w="3980" w:type="dxa"/>
            <w:vAlign w:val="bottom"/>
          </w:tcPr>
          <w:p>
            <w:pPr>
              <w:spacing w:after="0"/>
              <w:rPr>
                <w:sz w:val="24"/>
                <w:szCs w:val="24"/>
                <w:color w:val="auto"/>
              </w:rPr>
            </w:pPr>
          </w:p>
        </w:tc>
        <w:tc>
          <w:tcPr>
            <w:tcW w:w="1120" w:type="dxa"/>
            <w:vAlign w:val="bottom"/>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1520" w:type="dxa"/>
            <w:vAlign w:val="bottom"/>
            <w:gridSpan w:val="2"/>
          </w:tcPr>
          <w:p>
            <w:pPr>
              <w:jc w:val="right"/>
              <w:ind w:right="252"/>
              <w:spacing w:after="0"/>
              <w:rPr>
                <w:sz w:val="20"/>
                <w:szCs w:val="20"/>
                <w:color w:val="auto"/>
              </w:rPr>
            </w:pPr>
            <w:r>
              <w:rPr>
                <w:rFonts w:ascii="Arial" w:cs="Arial" w:eastAsia="Arial" w:hAnsi="Arial"/>
                <w:sz w:val="22"/>
                <w:szCs w:val="22"/>
                <w:b w:val="1"/>
                <w:bCs w:val="1"/>
                <w:color w:val="auto"/>
              </w:rPr>
              <w:t>2007</w:t>
            </w:r>
          </w:p>
        </w:tc>
      </w:tr>
      <w:tr>
        <w:trPr>
          <w:trHeight w:val="98"/>
        </w:trPr>
        <w:tc>
          <w:tcPr>
            <w:tcW w:w="39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611"/>
        </w:trPr>
        <w:tc>
          <w:tcPr>
            <w:tcW w:w="3980" w:type="dxa"/>
            <w:vAlign w:val="bottom"/>
          </w:tcPr>
          <w:p>
            <w:pPr>
              <w:spacing w:after="0"/>
              <w:rPr>
                <w:sz w:val="20"/>
                <w:szCs w:val="20"/>
                <w:color w:val="auto"/>
              </w:rPr>
            </w:pPr>
            <w:r>
              <w:rPr>
                <w:rFonts w:ascii="Arial" w:cs="Arial" w:eastAsia="Arial" w:hAnsi="Arial"/>
                <w:sz w:val="22"/>
                <w:szCs w:val="22"/>
                <w:color w:val="auto"/>
              </w:rPr>
              <w:t>Net income (loss)</w:t>
            </w:r>
          </w:p>
        </w:tc>
        <w:tc>
          <w:tcPr>
            <w:tcW w:w="1120" w:type="dxa"/>
            <w:vAlign w:val="bottom"/>
          </w:tcPr>
          <w:p>
            <w:pPr>
              <w:jc w:val="right"/>
              <w:spacing w:after="0"/>
              <w:rPr>
                <w:sz w:val="20"/>
                <w:szCs w:val="20"/>
                <w:color w:val="auto"/>
              </w:rPr>
            </w:pPr>
            <w:r>
              <w:rPr>
                <w:rFonts w:ascii="Arial" w:cs="Arial" w:eastAsia="Arial" w:hAnsi="Arial"/>
                <w:sz w:val="22"/>
                <w:szCs w:val="22"/>
                <w:color w:val="auto"/>
              </w:rPr>
              <w:t>$ (3,340)</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$ 7,857</w:t>
            </w:r>
          </w:p>
        </w:tc>
      </w:tr>
      <w:tr>
        <w:trPr>
          <w:trHeight w:val="455"/>
        </w:trPr>
        <w:tc>
          <w:tcPr>
            <w:tcW w:w="3980" w:type="dxa"/>
            <w:vAlign w:val="bottom"/>
          </w:tcPr>
          <w:p>
            <w:pPr>
              <w:spacing w:after="0"/>
              <w:rPr>
                <w:sz w:val="20"/>
                <w:szCs w:val="20"/>
                <w:color w:val="auto"/>
              </w:rPr>
            </w:pPr>
            <w:r>
              <w:rPr>
                <w:rFonts w:ascii="Arial" w:cs="Arial" w:eastAsia="Arial" w:hAnsi="Arial"/>
                <w:sz w:val="22"/>
                <w:szCs w:val="22"/>
                <w:color w:val="auto"/>
              </w:rPr>
              <w:t>Other comprehensive income:</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3980" w:type="dxa"/>
            <w:vAlign w:val="bottom"/>
          </w:tcPr>
          <w:p>
            <w:pPr>
              <w:ind w:left="180"/>
              <w:spacing w:after="0" w:line="243" w:lineRule="exact"/>
              <w:rPr>
                <w:sz w:val="20"/>
                <w:szCs w:val="20"/>
                <w:color w:val="auto"/>
              </w:rPr>
            </w:pPr>
            <w:r>
              <w:rPr>
                <w:rFonts w:ascii="Arial" w:cs="Arial" w:eastAsia="Arial" w:hAnsi="Arial"/>
                <w:sz w:val="22"/>
                <w:szCs w:val="22"/>
                <w:color w:val="auto"/>
              </w:rPr>
              <w:t>Change in unrealized net gains</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3980" w:type="dxa"/>
            <w:vAlign w:val="bottom"/>
          </w:tcPr>
          <w:p>
            <w:pPr>
              <w:ind w:left="340"/>
              <w:spacing w:after="0" w:line="243" w:lineRule="exact"/>
              <w:rPr>
                <w:sz w:val="20"/>
                <w:szCs w:val="20"/>
                <w:color w:val="auto"/>
              </w:rPr>
            </w:pPr>
            <w:r>
              <w:rPr>
                <w:rFonts w:ascii="Arial" w:cs="Arial" w:eastAsia="Arial" w:hAnsi="Arial"/>
                <w:sz w:val="22"/>
                <w:szCs w:val="22"/>
                <w:color w:val="auto"/>
              </w:rPr>
              <w:t>on investments, net of tax</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3980" w:type="dxa"/>
            <w:vAlign w:val="bottom"/>
          </w:tcPr>
          <w:p>
            <w:pPr>
              <w:ind w:left="180"/>
              <w:spacing w:after="0" w:line="243" w:lineRule="exact"/>
              <w:rPr>
                <w:sz w:val="20"/>
                <w:szCs w:val="20"/>
                <w:color w:val="auto"/>
              </w:rPr>
            </w:pPr>
            <w:r>
              <w:rPr>
                <w:rFonts w:ascii="Arial" w:cs="Arial" w:eastAsia="Arial" w:hAnsi="Arial"/>
                <w:sz w:val="22"/>
                <w:szCs w:val="22"/>
                <w:color w:val="auto"/>
                <w:w w:val="98"/>
              </w:rPr>
              <w:t>Change in fair value of cash flow hedge</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c>
          <w:tcPr>
            <w:tcW w:w="15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(1,483)</w:t>
            </w:r>
          </w:p>
        </w:tc>
      </w:tr>
      <w:tr>
        <w:trPr>
          <w:trHeight w:val="275"/>
        </w:trPr>
        <w:tc>
          <w:tcPr>
            <w:tcW w:w="3980" w:type="dxa"/>
            <w:vAlign w:val="bottom"/>
          </w:tcPr>
          <w:p>
            <w:pPr>
              <w:ind w:left="180"/>
              <w:spacing w:after="0"/>
              <w:rPr>
                <w:sz w:val="20"/>
                <w:szCs w:val="20"/>
                <w:color w:val="auto"/>
              </w:rPr>
            </w:pPr>
            <w:r>
              <w:rPr>
                <w:rFonts w:ascii="Arial" w:cs="Arial" w:eastAsia="Arial" w:hAnsi="Arial"/>
                <w:sz w:val="22"/>
                <w:szCs w:val="22"/>
                <w:color w:val="auto"/>
                <w:w w:val="95"/>
              </w:rPr>
              <w:t>Foreign currency translation adjustments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(7,382)</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6,092</w:t>
            </w:r>
          </w:p>
        </w:tc>
      </w:tr>
      <w:tr>
        <w:trPr>
          <w:trHeight w:val="98"/>
        </w:trPr>
        <w:tc>
          <w:tcPr>
            <w:tcW w:w="39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r>
      <w:tr>
        <w:trPr>
          <w:trHeight w:val="368"/>
        </w:trPr>
        <w:tc>
          <w:tcPr>
            <w:tcW w:w="39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(7,403)</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4,621</w:t>
            </w:r>
          </w:p>
        </w:tc>
      </w:tr>
      <w:tr>
        <w:trPr>
          <w:trHeight w:val="98"/>
        </w:trPr>
        <w:tc>
          <w:tcPr>
            <w:tcW w:w="398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r>
      <w:tr>
        <w:trPr>
          <w:trHeight w:val="368"/>
        </w:trPr>
        <w:tc>
          <w:tcPr>
            <w:tcW w:w="3980" w:type="dxa"/>
            <w:vAlign w:val="bottom"/>
          </w:tcPr>
          <w:p>
            <w:pPr>
              <w:spacing w:after="0"/>
              <w:rPr>
                <w:sz w:val="20"/>
                <w:szCs w:val="20"/>
                <w:color w:val="auto"/>
              </w:rPr>
            </w:pPr>
            <w:r>
              <w:rPr>
                <w:rFonts w:ascii="Arial" w:cs="Arial" w:eastAsia="Arial" w:hAnsi="Arial"/>
                <w:sz w:val="22"/>
                <w:szCs w:val="22"/>
                <w:color w:val="auto"/>
              </w:rPr>
              <w:t>Total comprehensive income (loss)</w:t>
            </w:r>
          </w:p>
        </w:tc>
        <w:tc>
          <w:tcPr>
            <w:tcW w:w="1120" w:type="dxa"/>
            <w:vAlign w:val="bottom"/>
          </w:tcPr>
          <w:p>
            <w:pPr>
              <w:jc w:val="right"/>
              <w:spacing w:after="0"/>
              <w:rPr>
                <w:sz w:val="20"/>
                <w:szCs w:val="20"/>
                <w:color w:val="auto"/>
              </w:rPr>
            </w:pPr>
            <w:r>
              <w:rPr>
                <w:rFonts w:ascii="Arial" w:cs="Arial" w:eastAsia="Arial" w:hAnsi="Arial"/>
                <w:sz w:val="22"/>
                <w:szCs w:val="22"/>
                <w:color w:val="auto"/>
              </w:rPr>
              <w:t>$(10,743)</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$12,478</w:t>
            </w:r>
          </w:p>
        </w:tc>
      </w:tr>
    </w:tbl>
    <w:p>
      <w:pPr>
        <w:sectPr>
          <w:pgSz w:w="11900" w:h="16840" w:orient="portrait"/>
          <w:cols w:equalWidth="0" w:num="1">
            <w:col w:w="11420"/>
          </w:cols>
          <w:pgMar w:left="240" w:top="118" w:right="239" w:bottom="0" w:gutter="0" w:footer="0" w:header="0"/>
        </w:sectPr>
      </w:pPr>
    </w:p>
    <w:bookmarkStart w:id="6" w:name="page7"/>
    <w:bookmarkEnd w:id="6"/>
    <w:p>
      <w:pPr>
        <w:jc w:val="center"/>
        <w:ind w:right="-59"/>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2676525</wp:posOffset>
            </wp:positionH>
            <wp:positionV relativeFrom="page">
              <wp:posOffset>88900</wp:posOffset>
            </wp:positionV>
            <wp:extent cx="1685290"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685290" cy="27940"/>
                    </a:xfrm>
                    <a:prstGeom prst="rect">
                      <a:avLst/>
                    </a:prstGeom>
                    <a:noFill/>
                  </pic:spPr>
                </pic:pic>
              </a:graphicData>
            </a:graphic>
          </wp:anchor>
        </w:drawing>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036" w:right="299" w:bottom="4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500" w:type="dxa"/>
            <w:vAlign w:val="bottom"/>
            <w:gridSpan w:val="2"/>
          </w:tcPr>
          <w:p>
            <w:pPr>
              <w:spacing w:after="0"/>
              <w:rPr>
                <w:sz w:val="20"/>
                <w:szCs w:val="20"/>
                <w:color w:val="auto"/>
              </w:rPr>
            </w:pPr>
            <w:r>
              <w:rPr>
                <w:rFonts w:ascii="Arial" w:cs="Arial" w:eastAsia="Arial" w:hAnsi="Arial"/>
                <w:sz w:val="22"/>
                <w:szCs w:val="22"/>
                <w:b w:val="1"/>
                <w:bCs w:val="1"/>
                <w:color w:val="auto"/>
              </w:rPr>
              <w:t>NOTE 3 - EARNINGS (LOSS) PER SHARE</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7620" w:type="dxa"/>
            <w:vAlign w:val="bottom"/>
            <w:gridSpan w:val="3"/>
          </w:tcPr>
          <w:p>
            <w:pPr>
              <w:ind w:left="280"/>
              <w:spacing w:after="0"/>
              <w:rPr>
                <w:sz w:val="20"/>
                <w:szCs w:val="20"/>
                <w:color w:val="auto"/>
              </w:rPr>
            </w:pPr>
            <w:r>
              <w:rPr>
                <w:rFonts w:ascii="Arial" w:cs="Arial" w:eastAsia="Arial" w:hAnsi="Arial"/>
                <w:sz w:val="22"/>
                <w:szCs w:val="22"/>
                <w:color w:val="auto"/>
                <w:w w:val="92"/>
              </w:rPr>
              <w:t>The calculation of basic and diluted earnings (loss) per share is presented below:</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gridSpan w:val="5"/>
          </w:tcPr>
          <w:p>
            <w:pPr>
              <w:jc w:val="right"/>
              <w:ind w:right="192"/>
              <w:spacing w:after="0"/>
              <w:rPr>
                <w:sz w:val="20"/>
                <w:szCs w:val="20"/>
                <w:color w:val="auto"/>
              </w:rPr>
            </w:pPr>
            <w:r>
              <w:rPr>
                <w:rFonts w:ascii="Arial" w:cs="Arial" w:eastAsia="Arial" w:hAnsi="Arial"/>
                <w:sz w:val="22"/>
                <w:szCs w:val="22"/>
                <w:b w:val="1"/>
                <w:bCs w:val="1"/>
                <w:color w:val="auto"/>
              </w:rPr>
              <w:t>Three Months Ended</w:t>
            </w:r>
          </w:p>
        </w:tc>
        <w:tc>
          <w:tcPr>
            <w:tcW w:w="20" w:type="dxa"/>
            <w:vAlign w:val="bottom"/>
          </w:tcPr>
          <w:p>
            <w:pPr>
              <w:spacing w:after="0"/>
              <w:rPr>
                <w:sz w:val="24"/>
                <w:szCs w:val="24"/>
                <w:color w:val="auto"/>
              </w:rPr>
            </w:pPr>
          </w:p>
        </w:tc>
      </w:tr>
      <w:tr>
        <w:trPr>
          <w:trHeight w:val="98"/>
        </w:trPr>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31"/>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7"/>
              </w:rPr>
              <w:t>January 27,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b w:val="1"/>
                <w:bCs w:val="1"/>
                <w:color w:val="auto"/>
                <w:w w:val="87"/>
              </w:rPr>
              <w:t>January 28,</w:t>
            </w:r>
          </w:p>
        </w:tc>
        <w:tc>
          <w:tcPr>
            <w:tcW w:w="20" w:type="dxa"/>
            <w:vAlign w:val="bottom"/>
          </w:tcPr>
          <w:p>
            <w:pPr>
              <w:spacing w:after="0"/>
              <w:rPr>
                <w:sz w:val="24"/>
                <w:szCs w:val="24"/>
                <w:color w:val="auto"/>
              </w:rPr>
            </w:pPr>
          </w:p>
        </w:tc>
      </w:tr>
      <w:tr>
        <w:trPr>
          <w:trHeight w:val="281"/>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1400" w:type="dxa"/>
            <w:vAlign w:val="bottom"/>
            <w:gridSpan w:val="4"/>
          </w:tcPr>
          <w:p>
            <w:pPr>
              <w:jc w:val="right"/>
              <w:ind w:right="232"/>
              <w:spacing w:after="0"/>
              <w:rPr>
                <w:sz w:val="20"/>
                <w:szCs w:val="20"/>
                <w:color w:val="auto"/>
              </w:rPr>
            </w:pPr>
            <w:r>
              <w:rPr>
                <w:rFonts w:ascii="Arial" w:cs="Arial" w:eastAsia="Arial" w:hAnsi="Arial"/>
                <w:sz w:val="22"/>
                <w:szCs w:val="22"/>
                <w:b w:val="1"/>
                <w:bCs w:val="1"/>
                <w:color w:val="auto"/>
              </w:rPr>
              <w:t>2007</w:t>
            </w:r>
          </w:p>
        </w:tc>
        <w:tc>
          <w:tcPr>
            <w:tcW w:w="20" w:type="dxa"/>
            <w:vAlign w:val="bottom"/>
          </w:tcPr>
          <w:p>
            <w:pPr>
              <w:spacing w:after="0"/>
              <w:rPr>
                <w:sz w:val="24"/>
                <w:szCs w:val="24"/>
                <w:color w:val="auto"/>
              </w:rPr>
            </w:pPr>
          </w:p>
        </w:tc>
      </w:tr>
      <w:tr>
        <w:trPr>
          <w:trHeight w:val="98"/>
        </w:trPr>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611"/>
        </w:trPr>
        <w:tc>
          <w:tcPr>
            <w:tcW w:w="6500" w:type="dxa"/>
            <w:vAlign w:val="bottom"/>
            <w:gridSpan w:val="2"/>
          </w:tcPr>
          <w:p>
            <w:pPr>
              <w:spacing w:after="0"/>
              <w:rPr>
                <w:sz w:val="20"/>
                <w:szCs w:val="20"/>
                <w:color w:val="auto"/>
              </w:rPr>
            </w:pPr>
            <w:r>
              <w:rPr>
                <w:rFonts w:ascii="Arial" w:cs="Arial" w:eastAsia="Arial" w:hAnsi="Arial"/>
                <w:sz w:val="22"/>
                <w:szCs w:val="22"/>
                <w:color w:val="auto"/>
              </w:rPr>
              <w:t>Net income (loss)</w:t>
            </w:r>
          </w:p>
        </w:tc>
        <w:tc>
          <w:tcPr>
            <w:tcW w:w="1120" w:type="dxa"/>
            <w:vAlign w:val="bottom"/>
          </w:tcPr>
          <w:p>
            <w:pPr>
              <w:jc w:val="right"/>
              <w:spacing w:after="0"/>
              <w:rPr>
                <w:sz w:val="20"/>
                <w:szCs w:val="20"/>
                <w:color w:val="auto"/>
              </w:rPr>
            </w:pPr>
            <w:r>
              <w:rPr>
                <w:rFonts w:ascii="Arial" w:cs="Arial" w:eastAsia="Arial" w:hAnsi="Arial"/>
                <w:sz w:val="22"/>
                <w:szCs w:val="22"/>
                <w:color w:val="auto"/>
              </w:rPr>
              <w:t>$(3,340)</w:t>
            </w:r>
          </w:p>
        </w:tc>
        <w:tc>
          <w:tcPr>
            <w:tcW w:w="1400" w:type="dxa"/>
            <w:vAlign w:val="bottom"/>
            <w:gridSpan w:val="4"/>
          </w:tcPr>
          <w:p>
            <w:pPr>
              <w:jc w:val="right"/>
              <w:spacing w:after="0"/>
              <w:rPr>
                <w:sz w:val="20"/>
                <w:szCs w:val="20"/>
                <w:color w:val="auto"/>
              </w:rPr>
            </w:pPr>
            <w:r>
              <w:rPr>
                <w:rFonts w:ascii="Arial" w:cs="Arial" w:eastAsia="Arial" w:hAnsi="Arial"/>
                <w:sz w:val="22"/>
                <w:szCs w:val="22"/>
                <w:color w:val="auto"/>
              </w:rPr>
              <w:t>$7,857</w:t>
            </w:r>
          </w:p>
        </w:tc>
        <w:tc>
          <w:tcPr>
            <w:tcW w:w="20" w:type="dxa"/>
            <w:vAlign w:val="bottom"/>
          </w:tcPr>
          <w:p>
            <w:pPr>
              <w:spacing w:after="0"/>
              <w:rPr>
                <w:sz w:val="24"/>
                <w:szCs w:val="24"/>
                <w:color w:val="auto"/>
              </w:rPr>
            </w:pPr>
          </w:p>
        </w:tc>
      </w:tr>
      <w:tr>
        <w:trPr>
          <w:trHeight w:val="455"/>
        </w:trPr>
        <w:tc>
          <w:tcPr>
            <w:tcW w:w="6500" w:type="dxa"/>
            <w:vAlign w:val="bottom"/>
            <w:gridSpan w:val="2"/>
          </w:tcPr>
          <w:p>
            <w:pPr>
              <w:spacing w:after="0"/>
              <w:rPr>
                <w:sz w:val="20"/>
                <w:szCs w:val="20"/>
                <w:color w:val="auto"/>
              </w:rPr>
            </w:pPr>
            <w:r>
              <w:rPr>
                <w:rFonts w:ascii="Arial" w:cs="Arial" w:eastAsia="Arial" w:hAnsi="Arial"/>
                <w:sz w:val="22"/>
                <w:szCs w:val="22"/>
                <w:color w:val="auto"/>
              </w:rPr>
              <w:t>Effect of dilutive securities: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6500" w:type="dxa"/>
            <w:vAlign w:val="bottom"/>
            <w:gridSpan w:val="2"/>
          </w:tcPr>
          <w:p>
            <w:pPr>
              <w:ind w:left="180"/>
              <w:spacing w:after="0"/>
              <w:rPr>
                <w:sz w:val="20"/>
                <w:szCs w:val="20"/>
                <w:color w:val="auto"/>
              </w:rPr>
            </w:pPr>
            <w:r>
              <w:rPr>
                <w:rFonts w:ascii="Arial" w:cs="Arial" w:eastAsia="Arial" w:hAnsi="Arial"/>
                <w:sz w:val="22"/>
                <w:szCs w:val="22"/>
                <w:color w:val="auto"/>
              </w:rPr>
              <w:t>Interest expense on convertible notes, net of related tax effect</w:t>
            </w: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gridSpan w:val="4"/>
          </w:tcPr>
          <w:p>
            <w:pPr>
              <w:jc w:val="right"/>
              <w:spacing w:after="0"/>
              <w:rPr>
                <w:sz w:val="20"/>
                <w:szCs w:val="20"/>
                <w:color w:val="auto"/>
              </w:rPr>
            </w:pPr>
            <w:r>
              <w:rPr>
                <w:rFonts w:ascii="Arial" w:cs="Arial" w:eastAsia="Arial" w:hAnsi="Arial"/>
                <w:sz w:val="22"/>
                <w:szCs w:val="22"/>
                <w:color w:val="auto"/>
              </w:rPr>
              <w:t>1,100</w:t>
            </w:r>
          </w:p>
        </w:tc>
        <w:tc>
          <w:tcPr>
            <w:tcW w:w="20" w:type="dxa"/>
            <w:vAlign w:val="bottom"/>
          </w:tcPr>
          <w:p>
            <w:pPr>
              <w:spacing w:after="0"/>
              <w:rPr>
                <w:sz w:val="23"/>
                <w:szCs w:val="23"/>
                <w:color w:val="auto"/>
              </w:rPr>
            </w:pPr>
          </w:p>
        </w:tc>
      </w:tr>
      <w:tr>
        <w:trPr>
          <w:trHeight w:val="98"/>
        </w:trPr>
        <w:tc>
          <w:tcPr>
            <w:tcW w:w="6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6500" w:type="dxa"/>
            <w:vAlign w:val="bottom"/>
            <w:gridSpan w:val="2"/>
          </w:tcPr>
          <w:p>
            <w:pPr>
              <w:spacing w:after="0"/>
              <w:rPr>
                <w:sz w:val="20"/>
                <w:szCs w:val="20"/>
                <w:color w:val="auto"/>
              </w:rPr>
            </w:pPr>
            <w:r>
              <w:rPr>
                <w:rFonts w:ascii="Arial" w:cs="Arial" w:eastAsia="Arial" w:hAnsi="Arial"/>
                <w:sz w:val="22"/>
                <w:szCs w:val="22"/>
                <w:color w:val="auto"/>
              </w:rPr>
              <w:t>Earnings for diluted earnings per share</w:t>
            </w:r>
          </w:p>
        </w:tc>
        <w:tc>
          <w:tcPr>
            <w:tcW w:w="1120" w:type="dxa"/>
            <w:vAlign w:val="bottom"/>
          </w:tcPr>
          <w:p>
            <w:pPr>
              <w:jc w:val="right"/>
              <w:spacing w:after="0"/>
              <w:rPr>
                <w:sz w:val="20"/>
                <w:szCs w:val="20"/>
                <w:color w:val="auto"/>
              </w:rPr>
            </w:pPr>
            <w:r>
              <w:rPr>
                <w:rFonts w:ascii="Arial" w:cs="Arial" w:eastAsia="Arial" w:hAnsi="Arial"/>
                <w:sz w:val="22"/>
                <w:szCs w:val="22"/>
                <w:color w:val="auto"/>
              </w:rPr>
              <w:t>$(3,340)</w:t>
            </w:r>
          </w:p>
        </w:tc>
        <w:tc>
          <w:tcPr>
            <w:tcW w:w="1400" w:type="dxa"/>
            <w:vAlign w:val="bottom"/>
            <w:gridSpan w:val="4"/>
          </w:tcPr>
          <w:p>
            <w:pPr>
              <w:jc w:val="right"/>
              <w:spacing w:after="0"/>
              <w:rPr>
                <w:sz w:val="20"/>
                <w:szCs w:val="20"/>
                <w:color w:val="auto"/>
              </w:rPr>
            </w:pPr>
            <w:r>
              <w:rPr>
                <w:rFonts w:ascii="Arial" w:cs="Arial" w:eastAsia="Arial" w:hAnsi="Arial"/>
                <w:sz w:val="22"/>
                <w:szCs w:val="22"/>
                <w:color w:val="auto"/>
              </w:rPr>
              <w:t>$8,957</w:t>
            </w:r>
          </w:p>
        </w:tc>
        <w:tc>
          <w:tcPr>
            <w:tcW w:w="20" w:type="dxa"/>
            <w:vAlign w:val="bottom"/>
          </w:tcPr>
          <w:p>
            <w:pPr>
              <w:spacing w:after="0"/>
              <w:rPr>
                <w:sz w:val="24"/>
                <w:szCs w:val="24"/>
                <w:color w:val="auto"/>
              </w:rPr>
            </w:pPr>
          </w:p>
        </w:tc>
      </w:tr>
      <w:tr>
        <w:trPr>
          <w:trHeight w:val="122"/>
        </w:trPr>
        <w:tc>
          <w:tcPr>
            <w:tcW w:w="64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r>
        <w:trPr>
          <w:trHeight w:val="326"/>
        </w:trPr>
        <w:tc>
          <w:tcPr>
            <w:tcW w:w="6500" w:type="dxa"/>
            <w:vAlign w:val="bottom"/>
            <w:gridSpan w:val="2"/>
          </w:tcPr>
          <w:p>
            <w:pPr>
              <w:spacing w:after="0"/>
              <w:rPr>
                <w:sz w:val="20"/>
                <w:szCs w:val="20"/>
                <w:color w:val="auto"/>
              </w:rPr>
            </w:pPr>
            <w:r>
              <w:rPr>
                <w:rFonts w:ascii="Arial" w:cs="Arial" w:eastAsia="Arial" w:hAnsi="Arial"/>
                <w:sz w:val="22"/>
                <w:szCs w:val="22"/>
                <w:color w:val="auto"/>
              </w:rPr>
              <w:t>Weighted average common shares computations: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500" w:type="dxa"/>
            <w:vAlign w:val="bottom"/>
            <w:gridSpan w:val="2"/>
          </w:tcPr>
          <w:p>
            <w:pPr>
              <w:ind w:left="320"/>
              <w:spacing w:after="0" w:line="243" w:lineRule="exact"/>
              <w:rPr>
                <w:sz w:val="20"/>
                <w:szCs w:val="20"/>
                <w:color w:val="auto"/>
              </w:rPr>
            </w:pPr>
            <w:r>
              <w:rPr>
                <w:rFonts w:ascii="Arial" w:cs="Arial" w:eastAsia="Arial" w:hAnsi="Arial"/>
                <w:sz w:val="22"/>
                <w:szCs w:val="22"/>
                <w:color w:val="auto"/>
                <w:w w:val="91"/>
              </w:rPr>
              <w:t>Weighted average common shares used for basic earnings per share</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41,626</w:t>
            </w:r>
          </w:p>
        </w:tc>
        <w:tc>
          <w:tcPr>
            <w:tcW w:w="14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41,475</w:t>
            </w:r>
          </w:p>
        </w:tc>
        <w:tc>
          <w:tcPr>
            <w:tcW w:w="20" w:type="dxa"/>
            <w:vAlign w:val="bottom"/>
          </w:tcPr>
          <w:p>
            <w:pPr>
              <w:spacing w:after="0"/>
              <w:rPr>
                <w:sz w:val="21"/>
                <w:szCs w:val="21"/>
                <w:color w:val="auto"/>
              </w:rPr>
            </w:pPr>
          </w:p>
        </w:tc>
      </w:tr>
      <w:tr>
        <w:trPr>
          <w:trHeight w:val="243"/>
        </w:trPr>
        <w:tc>
          <w:tcPr>
            <w:tcW w:w="650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Effect of dilutive securities:</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00" w:type="dxa"/>
            <w:vAlign w:val="bottom"/>
            <w:gridSpan w:val="2"/>
          </w:tcPr>
          <w:p>
            <w:pPr>
              <w:ind w:left="600"/>
              <w:spacing w:after="0" w:line="243" w:lineRule="exact"/>
              <w:rPr>
                <w:sz w:val="20"/>
                <w:szCs w:val="20"/>
                <w:color w:val="auto"/>
              </w:rPr>
            </w:pPr>
            <w:r>
              <w:rPr>
                <w:rFonts w:ascii="Arial" w:cs="Arial" w:eastAsia="Arial" w:hAnsi="Arial"/>
                <w:sz w:val="22"/>
                <w:szCs w:val="22"/>
                <w:color w:val="auto"/>
              </w:rPr>
              <w:t>Convertible notes</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4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9,441</w:t>
            </w:r>
          </w:p>
        </w:tc>
        <w:tc>
          <w:tcPr>
            <w:tcW w:w="20" w:type="dxa"/>
            <w:vAlign w:val="bottom"/>
          </w:tcPr>
          <w:p>
            <w:pPr>
              <w:spacing w:after="0"/>
              <w:rPr>
                <w:sz w:val="21"/>
                <w:szCs w:val="21"/>
                <w:color w:val="auto"/>
              </w:rPr>
            </w:pPr>
          </w:p>
        </w:tc>
      </w:tr>
      <w:tr>
        <w:trPr>
          <w:trHeight w:val="275"/>
        </w:trPr>
        <w:tc>
          <w:tcPr>
            <w:tcW w:w="6500" w:type="dxa"/>
            <w:vAlign w:val="bottom"/>
            <w:gridSpan w:val="2"/>
          </w:tcPr>
          <w:p>
            <w:pPr>
              <w:ind w:left="600"/>
              <w:spacing w:after="0"/>
              <w:rPr>
                <w:sz w:val="20"/>
                <w:szCs w:val="20"/>
                <w:color w:val="auto"/>
              </w:rPr>
            </w:pPr>
            <w:r>
              <w:rPr>
                <w:rFonts w:ascii="Arial" w:cs="Arial" w:eastAsia="Arial" w:hAnsi="Arial"/>
                <w:sz w:val="22"/>
                <w:szCs w:val="22"/>
                <w:color w:val="auto"/>
              </w:rPr>
              <w:t>Employee stock options</w:t>
            </w: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gridSpan w:val="4"/>
          </w:tcPr>
          <w:p>
            <w:pPr>
              <w:jc w:val="right"/>
              <w:spacing w:after="0"/>
              <w:rPr>
                <w:sz w:val="20"/>
                <w:szCs w:val="20"/>
                <w:color w:val="auto"/>
              </w:rPr>
            </w:pPr>
            <w:r>
              <w:rPr>
                <w:rFonts w:ascii="Arial" w:cs="Arial" w:eastAsia="Arial" w:hAnsi="Arial"/>
                <w:sz w:val="22"/>
                <w:szCs w:val="22"/>
                <w:color w:val="auto"/>
              </w:rPr>
              <w:t>445</w:t>
            </w:r>
          </w:p>
        </w:tc>
        <w:tc>
          <w:tcPr>
            <w:tcW w:w="20" w:type="dxa"/>
            <w:vAlign w:val="bottom"/>
          </w:tcPr>
          <w:p>
            <w:pPr>
              <w:spacing w:after="0"/>
              <w:rPr>
                <w:sz w:val="23"/>
                <w:szCs w:val="23"/>
                <w:color w:val="auto"/>
              </w:rPr>
            </w:pPr>
          </w:p>
        </w:tc>
      </w:tr>
      <w:tr>
        <w:trPr>
          <w:trHeight w:val="98"/>
        </w:trPr>
        <w:tc>
          <w:tcPr>
            <w:tcW w:w="6500" w:type="dxa"/>
            <w:vAlign w:val="bottom"/>
            <w:gridSpan w:val="2"/>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00" w:type="dxa"/>
            <w:vAlign w:val="bottom"/>
            <w:gridSpan w:val="3"/>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6500" w:type="dxa"/>
            <w:vAlign w:val="bottom"/>
            <w:gridSpan w:val="2"/>
          </w:tcPr>
          <w:p>
            <w:pPr>
              <w:ind w:left="340"/>
              <w:spacing w:after="0"/>
              <w:rPr>
                <w:sz w:val="20"/>
                <w:szCs w:val="20"/>
                <w:color w:val="auto"/>
              </w:rPr>
            </w:pPr>
            <w:r>
              <w:rPr>
                <w:rFonts w:ascii="Arial" w:cs="Arial" w:eastAsia="Arial" w:hAnsi="Arial"/>
                <w:sz w:val="22"/>
                <w:szCs w:val="22"/>
                <w:color w:val="auto"/>
              </w:rPr>
              <w:t>Dilutive potential common shares</w:t>
            </w: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gridSpan w:val="4"/>
          </w:tcPr>
          <w:p>
            <w:pPr>
              <w:jc w:val="right"/>
              <w:spacing w:after="0"/>
              <w:rPr>
                <w:sz w:val="20"/>
                <w:szCs w:val="20"/>
                <w:color w:val="auto"/>
              </w:rPr>
            </w:pPr>
            <w:r>
              <w:rPr>
                <w:rFonts w:ascii="Arial" w:cs="Arial" w:eastAsia="Arial" w:hAnsi="Arial"/>
                <w:sz w:val="22"/>
                <w:szCs w:val="22"/>
                <w:color w:val="auto"/>
              </w:rPr>
              <w:t>9,886</w:t>
            </w:r>
          </w:p>
        </w:tc>
        <w:tc>
          <w:tcPr>
            <w:tcW w:w="20" w:type="dxa"/>
            <w:vAlign w:val="bottom"/>
          </w:tcPr>
          <w:p>
            <w:pPr>
              <w:spacing w:after="0"/>
              <w:rPr>
                <w:sz w:val="24"/>
                <w:szCs w:val="24"/>
                <w:color w:val="auto"/>
              </w:rPr>
            </w:pPr>
          </w:p>
        </w:tc>
      </w:tr>
      <w:tr>
        <w:trPr>
          <w:trHeight w:val="98"/>
        </w:trPr>
        <w:tc>
          <w:tcPr>
            <w:tcW w:w="6500" w:type="dxa"/>
            <w:vAlign w:val="bottom"/>
            <w:gridSpan w:val="2"/>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00" w:type="dxa"/>
            <w:vAlign w:val="bottom"/>
            <w:gridSpan w:val="3"/>
          </w:tcPr>
          <w:p>
            <w:pPr>
              <w:spacing w:after="0"/>
              <w:rPr>
                <w:sz w:val="8"/>
                <w:szCs w:val="8"/>
                <w:color w:val="auto"/>
              </w:rPr>
            </w:pPr>
          </w:p>
        </w:tc>
        <w:tc>
          <w:tcPr>
            <w:tcW w:w="11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r>
      <w:tr>
        <w:trPr>
          <w:trHeight w:val="368"/>
        </w:trPr>
        <w:tc>
          <w:tcPr>
            <w:tcW w:w="6500" w:type="dxa"/>
            <w:vAlign w:val="bottom"/>
            <w:gridSpan w:val="2"/>
          </w:tcPr>
          <w:p>
            <w:pPr>
              <w:ind w:left="280"/>
              <w:spacing w:after="0"/>
              <w:rPr>
                <w:sz w:val="20"/>
                <w:szCs w:val="20"/>
                <w:color w:val="auto"/>
              </w:rPr>
            </w:pPr>
            <w:r>
              <w:rPr>
                <w:rFonts w:ascii="Arial" w:cs="Arial" w:eastAsia="Arial" w:hAnsi="Arial"/>
                <w:sz w:val="22"/>
                <w:szCs w:val="22"/>
                <w:color w:val="auto"/>
                <w:w w:val="90"/>
              </w:rPr>
              <w:t>Weighted average common shares used for diluted earnings per share</w:t>
            </w:r>
          </w:p>
        </w:tc>
        <w:tc>
          <w:tcPr>
            <w:tcW w:w="1120" w:type="dxa"/>
            <w:vAlign w:val="bottom"/>
          </w:tcPr>
          <w:p>
            <w:pPr>
              <w:jc w:val="right"/>
              <w:spacing w:after="0"/>
              <w:rPr>
                <w:sz w:val="20"/>
                <w:szCs w:val="20"/>
                <w:color w:val="auto"/>
              </w:rPr>
            </w:pPr>
            <w:r>
              <w:rPr>
                <w:rFonts w:ascii="Arial" w:cs="Arial" w:eastAsia="Arial" w:hAnsi="Arial"/>
                <w:sz w:val="22"/>
                <w:szCs w:val="22"/>
                <w:color w:val="auto"/>
              </w:rPr>
              <w:t>41,626</w:t>
            </w:r>
          </w:p>
        </w:tc>
        <w:tc>
          <w:tcPr>
            <w:tcW w:w="1400" w:type="dxa"/>
            <w:vAlign w:val="bottom"/>
            <w:gridSpan w:val="4"/>
          </w:tcPr>
          <w:p>
            <w:pPr>
              <w:jc w:val="right"/>
              <w:spacing w:after="0"/>
              <w:rPr>
                <w:sz w:val="20"/>
                <w:szCs w:val="20"/>
                <w:color w:val="auto"/>
              </w:rPr>
            </w:pPr>
            <w:r>
              <w:rPr>
                <w:rFonts w:ascii="Arial" w:cs="Arial" w:eastAsia="Arial" w:hAnsi="Arial"/>
                <w:sz w:val="22"/>
                <w:szCs w:val="22"/>
                <w:color w:val="auto"/>
              </w:rPr>
              <w:t>51,361</w:t>
            </w:r>
          </w:p>
        </w:tc>
        <w:tc>
          <w:tcPr>
            <w:tcW w:w="20" w:type="dxa"/>
            <w:vAlign w:val="bottom"/>
          </w:tcPr>
          <w:p>
            <w:pPr>
              <w:spacing w:after="0"/>
              <w:rPr>
                <w:sz w:val="24"/>
                <w:szCs w:val="24"/>
                <w:color w:val="auto"/>
              </w:rPr>
            </w:pPr>
          </w:p>
        </w:tc>
      </w:tr>
      <w:tr>
        <w:trPr>
          <w:trHeight w:val="122"/>
        </w:trPr>
        <w:tc>
          <w:tcPr>
            <w:tcW w:w="64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Borders>
              <w:bottom w:val="single" w:sz="8" w:color="336699"/>
            </w:tcBorders>
            <w:gridSpan w:val="2"/>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r>
        <w:trPr>
          <w:trHeight w:val="570"/>
        </w:trPr>
        <w:tc>
          <w:tcPr>
            <w:tcW w:w="6500" w:type="dxa"/>
            <w:vAlign w:val="bottom"/>
            <w:gridSpan w:val="2"/>
          </w:tcPr>
          <w:p>
            <w:pPr>
              <w:spacing w:after="0"/>
              <w:rPr>
                <w:sz w:val="20"/>
                <w:szCs w:val="20"/>
                <w:color w:val="auto"/>
              </w:rPr>
            </w:pPr>
            <w:r>
              <w:rPr>
                <w:rFonts w:ascii="Arial" w:cs="Arial" w:eastAsia="Arial" w:hAnsi="Arial"/>
                <w:sz w:val="22"/>
                <w:szCs w:val="22"/>
                <w:color w:val="auto"/>
              </w:rPr>
              <w:t>Basic earnings per share</w:t>
            </w:r>
          </w:p>
        </w:tc>
        <w:tc>
          <w:tcPr>
            <w:tcW w:w="1120" w:type="dxa"/>
            <w:vAlign w:val="bottom"/>
          </w:tcPr>
          <w:p>
            <w:pPr>
              <w:jc w:val="right"/>
              <w:spacing w:after="0"/>
              <w:rPr>
                <w:sz w:val="20"/>
                <w:szCs w:val="20"/>
                <w:color w:val="auto"/>
              </w:rPr>
            </w:pPr>
            <w:r>
              <w:rPr>
                <w:rFonts w:ascii="Arial" w:cs="Arial" w:eastAsia="Arial" w:hAnsi="Arial"/>
                <w:sz w:val="22"/>
                <w:szCs w:val="22"/>
                <w:color w:val="auto"/>
              </w:rPr>
              <w:t>$(0.08)</w:t>
            </w:r>
          </w:p>
        </w:tc>
        <w:tc>
          <w:tcPr>
            <w:tcW w:w="1400" w:type="dxa"/>
            <w:vAlign w:val="bottom"/>
            <w:gridSpan w:val="4"/>
          </w:tcPr>
          <w:p>
            <w:pPr>
              <w:jc w:val="right"/>
              <w:spacing w:after="0"/>
              <w:rPr>
                <w:sz w:val="20"/>
                <w:szCs w:val="20"/>
                <w:color w:val="auto"/>
              </w:rPr>
            </w:pPr>
            <w:r>
              <w:rPr>
                <w:rFonts w:ascii="Arial" w:cs="Arial" w:eastAsia="Arial" w:hAnsi="Arial"/>
                <w:sz w:val="22"/>
                <w:szCs w:val="22"/>
                <w:color w:val="auto"/>
              </w:rPr>
              <w:t>$0.19</w:t>
            </w:r>
          </w:p>
        </w:tc>
        <w:tc>
          <w:tcPr>
            <w:tcW w:w="20" w:type="dxa"/>
            <w:vAlign w:val="bottom"/>
          </w:tcPr>
          <w:p>
            <w:pPr>
              <w:spacing w:after="0"/>
              <w:rPr>
                <w:sz w:val="24"/>
                <w:szCs w:val="24"/>
                <w:color w:val="auto"/>
              </w:rPr>
            </w:pPr>
          </w:p>
        </w:tc>
      </w:tr>
      <w:tr>
        <w:trPr>
          <w:trHeight w:val="275"/>
        </w:trPr>
        <w:tc>
          <w:tcPr>
            <w:tcW w:w="6500" w:type="dxa"/>
            <w:vAlign w:val="bottom"/>
            <w:gridSpan w:val="2"/>
          </w:tcPr>
          <w:p>
            <w:pPr>
              <w:spacing w:after="0"/>
              <w:rPr>
                <w:sz w:val="20"/>
                <w:szCs w:val="20"/>
                <w:color w:val="auto"/>
              </w:rPr>
            </w:pPr>
            <w:r>
              <w:rPr>
                <w:rFonts w:ascii="Arial" w:cs="Arial" w:eastAsia="Arial" w:hAnsi="Arial"/>
                <w:sz w:val="22"/>
                <w:szCs w:val="22"/>
                <w:color w:val="auto"/>
              </w:rPr>
              <w:t>Diluted earnings per share</w:t>
            </w:r>
          </w:p>
        </w:tc>
        <w:tc>
          <w:tcPr>
            <w:tcW w:w="1120" w:type="dxa"/>
            <w:vAlign w:val="bottom"/>
          </w:tcPr>
          <w:p>
            <w:pPr>
              <w:jc w:val="right"/>
              <w:spacing w:after="0"/>
              <w:rPr>
                <w:sz w:val="20"/>
                <w:szCs w:val="20"/>
                <w:color w:val="auto"/>
              </w:rPr>
            </w:pPr>
            <w:r>
              <w:rPr>
                <w:rFonts w:ascii="Arial" w:cs="Arial" w:eastAsia="Arial" w:hAnsi="Arial"/>
                <w:sz w:val="22"/>
                <w:szCs w:val="22"/>
                <w:color w:val="auto"/>
              </w:rPr>
              <w:t>$(0.08)</w:t>
            </w:r>
          </w:p>
        </w:tc>
        <w:tc>
          <w:tcPr>
            <w:tcW w:w="1400" w:type="dxa"/>
            <w:vAlign w:val="bottom"/>
            <w:gridSpan w:val="4"/>
          </w:tcPr>
          <w:p>
            <w:pPr>
              <w:jc w:val="right"/>
              <w:spacing w:after="0"/>
              <w:rPr>
                <w:sz w:val="20"/>
                <w:szCs w:val="20"/>
                <w:color w:val="auto"/>
              </w:rPr>
            </w:pPr>
            <w:r>
              <w:rPr>
                <w:rFonts w:ascii="Arial" w:cs="Arial" w:eastAsia="Arial" w:hAnsi="Arial"/>
                <w:sz w:val="22"/>
                <w:szCs w:val="22"/>
                <w:color w:val="auto"/>
              </w:rPr>
              <w:t>$0.17</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-2117725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-2117725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-2117725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-2117725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-565150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-565150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-565150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-565150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66"/>
        <w:spacing w:after="0" w:line="258" w:lineRule="auto"/>
        <w:rPr>
          <w:sz w:val="20"/>
          <w:szCs w:val="20"/>
          <w:color w:val="auto"/>
        </w:rPr>
      </w:pPr>
      <w:r>
        <w:rPr>
          <w:rFonts w:ascii="Arial" w:cs="Arial" w:eastAsia="Arial" w:hAnsi="Arial"/>
          <w:sz w:val="21"/>
          <w:szCs w:val="21"/>
          <w:color w:val="auto"/>
        </w:rPr>
        <w:t>The effect of the potential conversion of some of the Company's convertible subordinated notes and the exercise of certain stock options has been antidilutive. The following table shows the amount of incremental shares outstanding that would have been added if the assumed conversion of convertible subordinated notes and stock options had been dilutive.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9"/>
              </w:rPr>
              <w:t>January 27,</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7"/>
              </w:rPr>
              <w:t>January 28,</w:t>
            </w:r>
          </w:p>
        </w:tc>
      </w:tr>
      <w:tr>
        <w:trPr>
          <w:trHeight w:val="281"/>
        </w:trPr>
        <w:tc>
          <w:tcPr>
            <w:tcW w:w="3900" w:type="dxa"/>
            <w:vAlign w:val="bottom"/>
          </w:tcPr>
          <w:p>
            <w:pPr>
              <w:spacing w:after="0"/>
              <w:rPr>
                <w:sz w:val="24"/>
                <w:szCs w:val="24"/>
                <w:color w:val="auto"/>
              </w:rPr>
            </w:pPr>
          </w:p>
        </w:tc>
        <w:tc>
          <w:tcPr>
            <w:tcW w:w="1120" w:type="dxa"/>
            <w:vAlign w:val="bottom"/>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1420" w:type="dxa"/>
            <w:vAlign w:val="bottom"/>
            <w:gridSpan w:val="2"/>
          </w:tcPr>
          <w:p>
            <w:pPr>
              <w:jc w:val="right"/>
              <w:ind w:right="252"/>
              <w:spacing w:after="0"/>
              <w:rPr>
                <w:sz w:val="20"/>
                <w:szCs w:val="20"/>
                <w:color w:val="auto"/>
              </w:rPr>
            </w:pPr>
            <w:r>
              <w:rPr>
                <w:rFonts w:ascii="Arial" w:cs="Arial" w:eastAsia="Arial" w:hAnsi="Arial"/>
                <w:sz w:val="22"/>
                <w:szCs w:val="22"/>
                <w:b w:val="1"/>
                <w:bCs w:val="1"/>
                <w:color w:val="auto"/>
              </w:rPr>
              <w:t>2007</w:t>
            </w:r>
          </w:p>
        </w:tc>
      </w:tr>
      <w:tr>
        <w:trPr>
          <w:trHeight w:val="98"/>
        </w:trPr>
        <w:tc>
          <w:tcPr>
            <w:tcW w:w="39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580"/>
        </w:trPr>
        <w:tc>
          <w:tcPr>
            <w:tcW w:w="3900" w:type="dxa"/>
            <w:vAlign w:val="bottom"/>
          </w:tcPr>
          <w:p>
            <w:pPr>
              <w:spacing w:after="0"/>
              <w:rPr>
                <w:sz w:val="20"/>
                <w:szCs w:val="20"/>
                <w:color w:val="auto"/>
              </w:rPr>
            </w:pPr>
            <w:r>
              <w:rPr>
                <w:rFonts w:ascii="Arial" w:cs="Arial" w:eastAsia="Arial" w:hAnsi="Arial"/>
                <w:sz w:val="22"/>
                <w:szCs w:val="22"/>
                <w:color w:val="auto"/>
              </w:rPr>
              <w:t>Convertible notes</w:t>
            </w:r>
          </w:p>
        </w:tc>
        <w:tc>
          <w:tcPr>
            <w:tcW w:w="1120" w:type="dxa"/>
            <w:vAlign w:val="bottom"/>
          </w:tcPr>
          <w:p>
            <w:pPr>
              <w:jc w:val="right"/>
              <w:spacing w:after="0"/>
              <w:rPr>
                <w:sz w:val="20"/>
                <w:szCs w:val="20"/>
                <w:color w:val="auto"/>
              </w:rPr>
            </w:pPr>
            <w:r>
              <w:rPr>
                <w:rFonts w:ascii="Arial" w:cs="Arial" w:eastAsia="Arial" w:hAnsi="Arial"/>
                <w:sz w:val="22"/>
                <w:szCs w:val="22"/>
                <w:color w:val="auto"/>
              </w:rPr>
              <w:t>9,441</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1,216</w:t>
            </w:r>
          </w:p>
        </w:tc>
      </w:tr>
      <w:tr>
        <w:trPr>
          <w:trHeight w:val="275"/>
        </w:trPr>
        <w:tc>
          <w:tcPr>
            <w:tcW w:w="3900" w:type="dxa"/>
            <w:vAlign w:val="bottom"/>
          </w:tcPr>
          <w:p>
            <w:pPr>
              <w:spacing w:after="0"/>
              <w:rPr>
                <w:sz w:val="20"/>
                <w:szCs w:val="20"/>
                <w:color w:val="auto"/>
              </w:rPr>
            </w:pPr>
            <w:r>
              <w:rPr>
                <w:rFonts w:ascii="Arial" w:cs="Arial" w:eastAsia="Arial" w:hAnsi="Arial"/>
                <w:sz w:val="22"/>
                <w:szCs w:val="22"/>
                <w:color w:val="auto"/>
              </w:rPr>
              <w:t>Employee stock options</w:t>
            </w:r>
          </w:p>
        </w:tc>
        <w:tc>
          <w:tcPr>
            <w:tcW w:w="1120" w:type="dxa"/>
            <w:vAlign w:val="bottom"/>
          </w:tcPr>
          <w:p>
            <w:pPr>
              <w:jc w:val="right"/>
              <w:spacing w:after="0"/>
              <w:rPr>
                <w:sz w:val="20"/>
                <w:szCs w:val="20"/>
                <w:color w:val="auto"/>
              </w:rPr>
            </w:pPr>
            <w:r>
              <w:rPr>
                <w:rFonts w:ascii="Arial" w:cs="Arial" w:eastAsia="Arial" w:hAnsi="Arial"/>
                <w:sz w:val="22"/>
                <w:szCs w:val="22"/>
                <w:color w:val="auto"/>
              </w:rPr>
              <w:t>2,648</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1,807</w:t>
            </w:r>
          </w:p>
        </w:tc>
      </w:tr>
      <w:tr>
        <w:trPr>
          <w:trHeight w:val="98"/>
        </w:trPr>
        <w:tc>
          <w:tcPr>
            <w:tcW w:w="39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r>
      <w:tr>
        <w:trPr>
          <w:trHeight w:val="368"/>
        </w:trPr>
        <w:tc>
          <w:tcPr>
            <w:tcW w:w="3900" w:type="dxa"/>
            <w:vAlign w:val="bottom"/>
          </w:tcPr>
          <w:p>
            <w:pPr>
              <w:spacing w:after="0"/>
              <w:rPr>
                <w:sz w:val="20"/>
                <w:szCs w:val="20"/>
                <w:color w:val="auto"/>
              </w:rPr>
            </w:pPr>
            <w:r>
              <w:rPr>
                <w:rFonts w:ascii="Arial" w:cs="Arial" w:eastAsia="Arial" w:hAnsi="Arial"/>
                <w:sz w:val="22"/>
                <w:szCs w:val="22"/>
                <w:color w:val="auto"/>
                <w:w w:val="98"/>
              </w:rPr>
              <w:t>Total potentially dilutive shares excluded</w:t>
            </w:r>
          </w:p>
        </w:tc>
        <w:tc>
          <w:tcPr>
            <w:tcW w:w="1120" w:type="dxa"/>
            <w:vAlign w:val="bottom"/>
          </w:tcPr>
          <w:p>
            <w:pPr>
              <w:jc w:val="right"/>
              <w:spacing w:after="0"/>
              <w:rPr>
                <w:sz w:val="20"/>
                <w:szCs w:val="20"/>
                <w:color w:val="auto"/>
              </w:rPr>
            </w:pPr>
            <w:r>
              <w:rPr>
                <w:rFonts w:ascii="Arial" w:cs="Arial" w:eastAsia="Arial" w:hAnsi="Arial"/>
                <w:sz w:val="22"/>
                <w:szCs w:val="22"/>
                <w:color w:val="auto"/>
              </w:rPr>
              <w:t>12,089</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3,023</w:t>
            </w:r>
          </w:p>
        </w:tc>
      </w:tr>
      <w:tr>
        <w:trPr>
          <w:trHeight w:val="122"/>
        </w:trPr>
        <w:tc>
          <w:tcPr>
            <w:tcW w:w="390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INVESTMENTS</w:t>
      </w:r>
    </w:p>
    <w:p>
      <w:pPr>
        <w:spacing w:after="0" w:line="212" w:lineRule="exact"/>
        <w:rPr>
          <w:sz w:val="20"/>
          <w:szCs w:val="20"/>
          <w:color w:val="auto"/>
        </w:rPr>
      </w:pPr>
    </w:p>
    <w:p>
      <w:pPr>
        <w:ind w:right="40" w:firstLine="270"/>
        <w:spacing w:after="0" w:line="238" w:lineRule="auto"/>
        <w:rPr>
          <w:sz w:val="20"/>
          <w:szCs w:val="20"/>
          <w:color w:val="auto"/>
        </w:rPr>
      </w:pPr>
      <w:r>
        <w:rPr>
          <w:rFonts w:ascii="Arial" w:cs="Arial" w:eastAsia="Arial" w:hAnsi="Arial"/>
          <w:sz w:val="22"/>
          <w:szCs w:val="22"/>
          <w:color w:val="auto"/>
        </w:rPr>
        <w:t>Short-term investments at January 27, 2008 and October 28, 2007 primarily consist of term deposit and fixed income securities. Long-term investments of $0.1 million at January 27, 2008 and October 28, 2007 included in "Other Assets" primarily consist of available-for-sale equity securities. Fair values of the Company's investments were determined based upon quoted market prices and cash values.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036" w:right="299" w:bottom="412" w:gutter="0" w:footer="0" w:header="0"/>
          <w:type w:val="continuous"/>
        </w:sectPr>
      </w:pPr>
    </w:p>
    <w:bookmarkStart w:id="7" w:name="page8"/>
    <w:bookmarkEnd w:id="7"/>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color w:val="auto"/>
        </w:rPr>
        <w:t>Investments at January 27, 2008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4"/>
              </w:rPr>
              <w:t>Gross</w:t>
            </w:r>
          </w:p>
        </w:tc>
        <w:tc>
          <w:tcPr>
            <w:tcW w:w="1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1"/>
              </w:rPr>
              <w:t>Gross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Unrealized</w:t>
            </w:r>
          </w:p>
        </w:tc>
        <w:tc>
          <w:tcPr>
            <w:tcW w:w="16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Unrealized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right"/>
              <w:ind w:right="32"/>
              <w:spacing w:after="0" w:line="243" w:lineRule="exact"/>
              <w:rPr>
                <w:sz w:val="20"/>
                <w:szCs w:val="20"/>
                <w:color w:val="auto"/>
              </w:rPr>
            </w:pPr>
            <w:r>
              <w:rPr>
                <w:rFonts w:ascii="Arial" w:cs="Arial" w:eastAsia="Arial" w:hAnsi="Arial"/>
                <w:sz w:val="22"/>
                <w:szCs w:val="22"/>
                <w:b w:val="1"/>
                <w:bCs w:val="1"/>
                <w:color w:val="auto"/>
                <w:w w:val="96"/>
              </w:rPr>
              <w:t>Estimated</w:t>
            </w:r>
          </w:p>
        </w:tc>
        <w:tc>
          <w:tcPr>
            <w:tcW w:w="0" w:type="dxa"/>
            <w:vAlign w:val="bottom"/>
          </w:tcPr>
          <w:p>
            <w:pPr>
              <w:spacing w:after="0"/>
              <w:rPr>
                <w:sz w:val="1"/>
                <w:szCs w:val="1"/>
                <w:color w:val="auto"/>
              </w:rPr>
            </w:pPr>
          </w:p>
        </w:tc>
      </w:tr>
      <w:tr>
        <w:trPr>
          <w:trHeight w:val="281"/>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7"/>
              </w:rPr>
              <w:t>Cost Basis</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8"/>
              </w:rPr>
              <w:t>Gains</w:t>
            </w: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79"/>
              </w:rPr>
              <w:t>Losses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22"/>
                <w:szCs w:val="22"/>
                <w:b w:val="1"/>
                <w:bCs w:val="1"/>
                <w:color w:val="auto"/>
                <w:w w:val="98"/>
              </w:rPr>
              <w:t>Fair Value</w:t>
            </w:r>
          </w:p>
        </w:tc>
        <w:tc>
          <w:tcPr>
            <w:tcW w:w="0" w:type="dxa"/>
            <w:vAlign w:val="bottom"/>
          </w:tcPr>
          <w:p>
            <w:pPr>
              <w:spacing w:after="0"/>
              <w:rPr>
                <w:sz w:val="1"/>
                <w:szCs w:val="1"/>
                <w:color w:val="auto"/>
              </w:rPr>
            </w:pPr>
          </w:p>
        </w:tc>
      </w:tr>
      <w:tr>
        <w:trPr>
          <w:trHeight w:val="98"/>
        </w:trPr>
        <w:tc>
          <w:tcPr>
            <w:tcW w:w="3460" w:type="dxa"/>
            <w:vAlign w:val="bottom"/>
            <w:gridSpan w:val="2"/>
            <w:vMerge w:val="restart"/>
          </w:tcPr>
          <w:p>
            <w:pPr>
              <w:spacing w:after="0"/>
              <w:rPr>
                <w:sz w:val="20"/>
                <w:szCs w:val="20"/>
                <w:color w:val="auto"/>
              </w:rPr>
            </w:pPr>
            <w:r>
              <w:rPr>
                <w:rFonts w:ascii="Arial" w:cs="Arial" w:eastAsia="Arial" w:hAnsi="Arial"/>
                <w:sz w:val="22"/>
                <w:szCs w:val="22"/>
                <w:color w:val="auto"/>
              </w:rPr>
              <w:t>Short-term investments:</w:t>
            </w:r>
          </w:p>
        </w:tc>
        <w:tc>
          <w:tcPr>
            <w:tcW w:w="1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34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460" w:type="dxa"/>
            <w:vAlign w:val="bottom"/>
            <w:gridSpan w:val="2"/>
          </w:tcPr>
          <w:p>
            <w:pPr>
              <w:ind w:left="280"/>
              <w:spacing w:after="0"/>
              <w:rPr>
                <w:sz w:val="20"/>
                <w:szCs w:val="20"/>
                <w:color w:val="auto"/>
              </w:rPr>
            </w:pPr>
            <w:r>
              <w:rPr>
                <w:rFonts w:ascii="Arial" w:cs="Arial" w:eastAsia="Arial" w:hAnsi="Arial"/>
                <w:sz w:val="22"/>
                <w:szCs w:val="22"/>
                <w:color w:val="auto"/>
              </w:rPr>
              <w:t>Term deposit</w:t>
            </w:r>
          </w:p>
        </w:tc>
        <w:tc>
          <w:tcPr>
            <w:tcW w:w="1120" w:type="dxa"/>
            <w:vAlign w:val="bottom"/>
          </w:tcPr>
          <w:p>
            <w:pPr>
              <w:jc w:val="right"/>
              <w:spacing w:after="0"/>
              <w:rPr>
                <w:sz w:val="20"/>
                <w:szCs w:val="20"/>
                <w:color w:val="auto"/>
              </w:rPr>
            </w:pPr>
            <w:r>
              <w:rPr>
                <w:rFonts w:ascii="Arial" w:cs="Arial" w:eastAsia="Arial" w:hAnsi="Arial"/>
                <w:sz w:val="22"/>
                <w:szCs w:val="22"/>
                <w:color w:val="auto"/>
              </w:rPr>
              <w:t>$3,501</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$3,501</w:t>
            </w:r>
          </w:p>
        </w:tc>
        <w:tc>
          <w:tcPr>
            <w:tcW w:w="0" w:type="dxa"/>
            <w:vAlign w:val="bottom"/>
          </w:tcPr>
          <w:p>
            <w:pPr>
              <w:spacing w:after="0"/>
              <w:rPr>
                <w:sz w:val="1"/>
                <w:szCs w:val="1"/>
                <w:color w:val="auto"/>
              </w:rPr>
            </w:pPr>
          </w:p>
        </w:tc>
      </w:tr>
      <w:tr>
        <w:trPr>
          <w:trHeight w:val="486"/>
        </w:trPr>
        <w:tc>
          <w:tcPr>
            <w:tcW w:w="3460" w:type="dxa"/>
            <w:vAlign w:val="bottom"/>
            <w:gridSpan w:val="2"/>
          </w:tcPr>
          <w:p>
            <w:pPr>
              <w:ind w:left="280"/>
              <w:spacing w:after="0"/>
              <w:rPr>
                <w:sz w:val="20"/>
                <w:szCs w:val="20"/>
                <w:color w:val="auto"/>
              </w:rPr>
            </w:pPr>
            <w:r>
              <w:rPr>
                <w:rFonts w:ascii="Arial" w:cs="Arial" w:eastAsia="Arial" w:hAnsi="Arial"/>
                <w:sz w:val="22"/>
                <w:szCs w:val="22"/>
                <w:color w:val="auto"/>
              </w:rPr>
              <w:t>Foreign bond funds</w:t>
            </w:r>
          </w:p>
        </w:tc>
        <w:tc>
          <w:tcPr>
            <w:tcW w:w="1120" w:type="dxa"/>
            <w:vAlign w:val="bottom"/>
          </w:tcPr>
          <w:p>
            <w:pPr>
              <w:jc w:val="right"/>
              <w:spacing w:after="0"/>
              <w:rPr>
                <w:sz w:val="20"/>
                <w:szCs w:val="20"/>
                <w:color w:val="auto"/>
              </w:rPr>
            </w:pPr>
            <w:r>
              <w:rPr>
                <w:rFonts w:ascii="Arial" w:cs="Arial" w:eastAsia="Arial" w:hAnsi="Arial"/>
                <w:sz w:val="22"/>
                <w:szCs w:val="22"/>
                <w:color w:val="auto"/>
              </w:rPr>
              <w:t>2,300</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111</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2,411</w:t>
            </w:r>
          </w:p>
        </w:tc>
        <w:tc>
          <w:tcPr>
            <w:tcW w:w="0" w:type="dxa"/>
            <w:vAlign w:val="bottom"/>
          </w:tcPr>
          <w:p>
            <w:pPr>
              <w:spacing w:after="0"/>
              <w:rPr>
                <w:sz w:val="1"/>
                <w:szCs w:val="1"/>
                <w:color w:val="auto"/>
              </w:rPr>
            </w:pPr>
          </w:p>
        </w:tc>
      </w:tr>
      <w:tr>
        <w:trPr>
          <w:trHeight w:val="98"/>
        </w:trPr>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460" w:type="dxa"/>
            <w:vAlign w:val="bottom"/>
            <w:gridSpan w:val="2"/>
          </w:tcPr>
          <w:p>
            <w:pPr>
              <w:ind w:left="280"/>
              <w:spacing w:after="0"/>
              <w:rPr>
                <w:sz w:val="20"/>
                <w:szCs w:val="20"/>
                <w:color w:val="auto"/>
              </w:rPr>
            </w:pPr>
            <w:r>
              <w:rPr>
                <w:rFonts w:ascii="Arial" w:cs="Arial" w:eastAsia="Arial" w:hAnsi="Arial"/>
                <w:sz w:val="22"/>
                <w:szCs w:val="22"/>
                <w:color w:val="auto"/>
              </w:rPr>
              <w:t>Total short-term investments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5,801</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111</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5,912</w:t>
            </w:r>
          </w:p>
        </w:tc>
        <w:tc>
          <w:tcPr>
            <w:tcW w:w="0" w:type="dxa"/>
            <w:vAlign w:val="bottom"/>
          </w:tcPr>
          <w:p>
            <w:pPr>
              <w:spacing w:after="0"/>
              <w:rPr>
                <w:sz w:val="1"/>
                <w:szCs w:val="1"/>
                <w:color w:val="auto"/>
              </w:rPr>
            </w:pPr>
          </w:p>
        </w:tc>
      </w:tr>
      <w:tr>
        <w:trPr>
          <w:trHeight w:val="486"/>
        </w:trPr>
        <w:tc>
          <w:tcPr>
            <w:tcW w:w="3460" w:type="dxa"/>
            <w:vAlign w:val="bottom"/>
            <w:gridSpan w:val="2"/>
          </w:tcPr>
          <w:p>
            <w:pPr>
              <w:spacing w:after="0"/>
              <w:rPr>
                <w:sz w:val="20"/>
                <w:szCs w:val="20"/>
                <w:color w:val="auto"/>
              </w:rPr>
            </w:pPr>
            <w:r>
              <w:rPr>
                <w:rFonts w:ascii="Arial" w:cs="Arial" w:eastAsia="Arial" w:hAnsi="Arial"/>
                <w:sz w:val="22"/>
                <w:szCs w:val="22"/>
                <w:color w:val="auto"/>
              </w:rPr>
              <w:t>Long-term equity investments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29</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89</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98"/>
        </w:trPr>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$5,830</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$200</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$6,030</w:t>
            </w: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Investments at October 28, 2007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4"/>
              </w:rPr>
              <w:t>Gross</w:t>
            </w:r>
          </w:p>
        </w:tc>
        <w:tc>
          <w:tcPr>
            <w:tcW w:w="1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1"/>
              </w:rPr>
              <w:t>Gross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91"/>
              </w:rPr>
              <w:t>Unrealized</w:t>
            </w:r>
          </w:p>
        </w:tc>
        <w:tc>
          <w:tcPr>
            <w:tcW w:w="16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Unrealized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right"/>
              <w:ind w:right="32"/>
              <w:spacing w:after="0" w:line="243" w:lineRule="exact"/>
              <w:rPr>
                <w:sz w:val="20"/>
                <w:szCs w:val="20"/>
                <w:color w:val="auto"/>
              </w:rPr>
            </w:pPr>
            <w:r>
              <w:rPr>
                <w:rFonts w:ascii="Arial" w:cs="Arial" w:eastAsia="Arial" w:hAnsi="Arial"/>
                <w:sz w:val="22"/>
                <w:szCs w:val="22"/>
                <w:b w:val="1"/>
                <w:bCs w:val="1"/>
                <w:color w:val="auto"/>
                <w:w w:val="96"/>
              </w:rPr>
              <w:t>Estimated</w:t>
            </w:r>
          </w:p>
        </w:tc>
        <w:tc>
          <w:tcPr>
            <w:tcW w:w="0" w:type="dxa"/>
            <w:vAlign w:val="bottom"/>
          </w:tcPr>
          <w:p>
            <w:pPr>
              <w:spacing w:after="0"/>
              <w:rPr>
                <w:sz w:val="1"/>
                <w:szCs w:val="1"/>
                <w:color w:val="auto"/>
              </w:rPr>
            </w:pPr>
          </w:p>
        </w:tc>
      </w:tr>
      <w:tr>
        <w:trPr>
          <w:trHeight w:val="281"/>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7"/>
              </w:rPr>
              <w:t>Cost Basis</w:t>
            </w:r>
          </w:p>
        </w:tc>
        <w:tc>
          <w:tcPr>
            <w:tcW w:w="16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8"/>
              </w:rPr>
              <w:t>Gains</w:t>
            </w: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79"/>
              </w:rPr>
              <w:t>Losses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22"/>
                <w:szCs w:val="22"/>
                <w:b w:val="1"/>
                <w:bCs w:val="1"/>
                <w:color w:val="auto"/>
                <w:w w:val="98"/>
              </w:rPr>
              <w:t>Fair Value</w:t>
            </w:r>
          </w:p>
        </w:tc>
        <w:tc>
          <w:tcPr>
            <w:tcW w:w="0" w:type="dxa"/>
            <w:vAlign w:val="bottom"/>
          </w:tcPr>
          <w:p>
            <w:pPr>
              <w:spacing w:after="0"/>
              <w:rPr>
                <w:sz w:val="1"/>
                <w:szCs w:val="1"/>
                <w:color w:val="auto"/>
              </w:rPr>
            </w:pPr>
          </w:p>
        </w:tc>
      </w:tr>
      <w:tr>
        <w:trPr>
          <w:trHeight w:val="98"/>
        </w:trPr>
        <w:tc>
          <w:tcPr>
            <w:tcW w:w="3460" w:type="dxa"/>
            <w:vAlign w:val="bottom"/>
            <w:gridSpan w:val="2"/>
            <w:vMerge w:val="restart"/>
          </w:tcPr>
          <w:p>
            <w:pPr>
              <w:spacing w:after="0"/>
              <w:rPr>
                <w:sz w:val="20"/>
                <w:szCs w:val="20"/>
                <w:color w:val="auto"/>
              </w:rPr>
            </w:pPr>
            <w:r>
              <w:rPr>
                <w:rFonts w:ascii="Arial" w:cs="Arial" w:eastAsia="Arial" w:hAnsi="Arial"/>
                <w:sz w:val="22"/>
                <w:szCs w:val="22"/>
                <w:color w:val="auto"/>
              </w:rPr>
              <w:t>Short-term investments:</w:t>
            </w:r>
          </w:p>
        </w:tc>
        <w:tc>
          <w:tcPr>
            <w:tcW w:w="1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34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460" w:type="dxa"/>
            <w:vAlign w:val="bottom"/>
            <w:gridSpan w:val="2"/>
          </w:tcPr>
          <w:p>
            <w:pPr>
              <w:ind w:left="280"/>
              <w:spacing w:after="0"/>
              <w:rPr>
                <w:sz w:val="20"/>
                <w:szCs w:val="20"/>
                <w:color w:val="auto"/>
              </w:rPr>
            </w:pPr>
            <w:r>
              <w:rPr>
                <w:rFonts w:ascii="Arial" w:cs="Arial" w:eastAsia="Arial" w:hAnsi="Arial"/>
                <w:sz w:val="22"/>
                <w:szCs w:val="22"/>
                <w:color w:val="auto"/>
              </w:rPr>
              <w:t>Term deposit</w:t>
            </w:r>
          </w:p>
        </w:tc>
        <w:tc>
          <w:tcPr>
            <w:tcW w:w="1120" w:type="dxa"/>
            <w:vAlign w:val="bottom"/>
          </w:tcPr>
          <w:p>
            <w:pPr>
              <w:jc w:val="right"/>
              <w:spacing w:after="0"/>
              <w:rPr>
                <w:sz w:val="20"/>
                <w:szCs w:val="20"/>
                <w:color w:val="auto"/>
              </w:rPr>
            </w:pPr>
            <w:r>
              <w:rPr>
                <w:rFonts w:ascii="Arial" w:cs="Arial" w:eastAsia="Arial" w:hAnsi="Arial"/>
                <w:sz w:val="22"/>
                <w:szCs w:val="22"/>
                <w:color w:val="auto"/>
              </w:rPr>
              <w:t>$3,260</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$3,260</w:t>
            </w:r>
          </w:p>
        </w:tc>
        <w:tc>
          <w:tcPr>
            <w:tcW w:w="0" w:type="dxa"/>
            <w:vAlign w:val="bottom"/>
          </w:tcPr>
          <w:p>
            <w:pPr>
              <w:spacing w:after="0"/>
              <w:rPr>
                <w:sz w:val="1"/>
                <w:szCs w:val="1"/>
                <w:color w:val="auto"/>
              </w:rPr>
            </w:pPr>
          </w:p>
        </w:tc>
      </w:tr>
      <w:tr>
        <w:trPr>
          <w:trHeight w:val="486"/>
        </w:trPr>
        <w:tc>
          <w:tcPr>
            <w:tcW w:w="3460" w:type="dxa"/>
            <w:vAlign w:val="bottom"/>
            <w:gridSpan w:val="2"/>
          </w:tcPr>
          <w:p>
            <w:pPr>
              <w:ind w:left="280"/>
              <w:spacing w:after="0"/>
              <w:rPr>
                <w:sz w:val="20"/>
                <w:szCs w:val="20"/>
                <w:color w:val="auto"/>
              </w:rPr>
            </w:pPr>
            <w:r>
              <w:rPr>
                <w:rFonts w:ascii="Arial" w:cs="Arial" w:eastAsia="Arial" w:hAnsi="Arial"/>
                <w:sz w:val="22"/>
                <w:szCs w:val="22"/>
                <w:color w:val="auto"/>
              </w:rPr>
              <w:t>Foreign bond funds</w:t>
            </w:r>
          </w:p>
        </w:tc>
        <w:tc>
          <w:tcPr>
            <w:tcW w:w="1120" w:type="dxa"/>
            <w:vAlign w:val="bottom"/>
          </w:tcPr>
          <w:p>
            <w:pPr>
              <w:jc w:val="right"/>
              <w:spacing w:after="0"/>
              <w:rPr>
                <w:sz w:val="20"/>
                <w:szCs w:val="20"/>
                <w:color w:val="auto"/>
              </w:rPr>
            </w:pPr>
            <w:r>
              <w:rPr>
                <w:rFonts w:ascii="Arial" w:cs="Arial" w:eastAsia="Arial" w:hAnsi="Arial"/>
                <w:sz w:val="22"/>
                <w:szCs w:val="22"/>
                <w:color w:val="auto"/>
              </w:rPr>
              <w:t>2,289</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w w:val="81"/>
              </w:rPr>
              <w:t>108</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2,397</w:t>
            </w:r>
          </w:p>
        </w:tc>
        <w:tc>
          <w:tcPr>
            <w:tcW w:w="0" w:type="dxa"/>
            <w:vAlign w:val="bottom"/>
          </w:tcPr>
          <w:p>
            <w:pPr>
              <w:spacing w:after="0"/>
              <w:rPr>
                <w:sz w:val="1"/>
                <w:szCs w:val="1"/>
                <w:color w:val="auto"/>
              </w:rPr>
            </w:pPr>
          </w:p>
        </w:tc>
      </w:tr>
      <w:tr>
        <w:trPr>
          <w:trHeight w:val="98"/>
        </w:trPr>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40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460" w:type="dxa"/>
            <w:vAlign w:val="bottom"/>
            <w:gridSpan w:val="2"/>
          </w:tcPr>
          <w:p>
            <w:pPr>
              <w:ind w:left="280"/>
              <w:spacing w:after="0"/>
              <w:rPr>
                <w:sz w:val="20"/>
                <w:szCs w:val="20"/>
                <w:color w:val="auto"/>
              </w:rPr>
            </w:pPr>
            <w:r>
              <w:rPr>
                <w:rFonts w:ascii="Arial" w:cs="Arial" w:eastAsia="Arial" w:hAnsi="Arial"/>
                <w:sz w:val="22"/>
                <w:szCs w:val="22"/>
                <w:color w:val="auto"/>
              </w:rPr>
              <w:t>Total short-term investments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5,549</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w w:val="81"/>
              </w:rPr>
              <w:t>108</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5,657</w:t>
            </w:r>
          </w:p>
        </w:tc>
        <w:tc>
          <w:tcPr>
            <w:tcW w:w="0" w:type="dxa"/>
            <w:vAlign w:val="bottom"/>
          </w:tcPr>
          <w:p>
            <w:pPr>
              <w:spacing w:after="0"/>
              <w:rPr>
                <w:sz w:val="1"/>
                <w:szCs w:val="1"/>
                <w:color w:val="auto"/>
              </w:rPr>
            </w:pPr>
          </w:p>
        </w:tc>
      </w:tr>
      <w:tr>
        <w:trPr>
          <w:trHeight w:val="486"/>
        </w:trPr>
        <w:tc>
          <w:tcPr>
            <w:tcW w:w="3460" w:type="dxa"/>
            <w:vAlign w:val="bottom"/>
            <w:gridSpan w:val="2"/>
          </w:tcPr>
          <w:p>
            <w:pPr>
              <w:spacing w:after="0"/>
              <w:rPr>
                <w:sz w:val="20"/>
                <w:szCs w:val="20"/>
                <w:color w:val="auto"/>
              </w:rPr>
            </w:pPr>
            <w:r>
              <w:rPr>
                <w:rFonts w:ascii="Arial" w:cs="Arial" w:eastAsia="Arial" w:hAnsi="Arial"/>
                <w:sz w:val="22"/>
                <w:szCs w:val="22"/>
                <w:color w:val="auto"/>
              </w:rPr>
              <w:t>Long-term equity investments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29</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w w:val="81"/>
              </w:rPr>
              <w:t>109</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138</w:t>
            </w:r>
          </w:p>
        </w:tc>
        <w:tc>
          <w:tcPr>
            <w:tcW w:w="0" w:type="dxa"/>
            <w:vAlign w:val="bottom"/>
          </w:tcPr>
          <w:p>
            <w:pPr>
              <w:spacing w:after="0"/>
              <w:rPr>
                <w:sz w:val="1"/>
                <w:szCs w:val="1"/>
                <w:color w:val="auto"/>
              </w:rPr>
            </w:pPr>
          </w:p>
        </w:tc>
      </w:tr>
      <w:tr>
        <w:trPr>
          <w:trHeight w:val="98"/>
        </w:trPr>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40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$5,578</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jc w:val="right"/>
              <w:spacing w:after="0"/>
              <w:rPr>
                <w:sz w:val="20"/>
                <w:szCs w:val="20"/>
                <w:color w:val="auto"/>
              </w:rPr>
            </w:pPr>
            <w:r>
              <w:rPr>
                <w:rFonts w:ascii="Arial" w:cs="Arial" w:eastAsia="Arial" w:hAnsi="Arial"/>
                <w:sz w:val="22"/>
                <w:szCs w:val="22"/>
                <w:color w:val="auto"/>
                <w:w w:val="81"/>
              </w:rPr>
              <w:t>217</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$5,795</w:t>
            </w: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40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400" w:firstLine="270"/>
        <w:spacing w:after="0"/>
        <w:rPr>
          <w:sz w:val="20"/>
          <w:szCs w:val="20"/>
          <w:color w:val="auto"/>
        </w:rPr>
      </w:pPr>
      <w:r>
        <w:rPr>
          <w:rFonts w:ascii="Arial" w:cs="Arial" w:eastAsia="Arial" w:hAnsi="Arial"/>
          <w:sz w:val="22"/>
          <w:szCs w:val="22"/>
          <w:color w:val="auto"/>
        </w:rPr>
        <w:t>In determining whether investment holdings are other than temporarily impaired, the Company considers the nature, cause, severity and duration of the impairment. The Company and its investment advisors used analyst reports, credit ratings or other items as part of its review. No investments were impaired as of January 27, 2008.</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maturities of short-term investments at January 27, 2008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ind w:left="160"/>
              <w:spacing w:after="0"/>
              <w:rPr>
                <w:sz w:val="20"/>
                <w:szCs w:val="20"/>
                <w:color w:val="auto"/>
              </w:rPr>
            </w:pPr>
            <w:r>
              <w:rPr>
                <w:rFonts w:ascii="Arial" w:cs="Arial" w:eastAsia="Arial" w:hAnsi="Arial"/>
                <w:sz w:val="22"/>
                <w:szCs w:val="22"/>
                <w:b w:val="1"/>
                <w:bCs w:val="1"/>
                <w:color w:val="auto"/>
              </w:rPr>
              <w:t>Estimated</w:t>
            </w:r>
          </w:p>
        </w:tc>
      </w:tr>
      <w:tr>
        <w:trPr>
          <w:trHeight w:val="281"/>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b w:val="1"/>
                <w:bCs w:val="1"/>
                <w:color w:val="auto"/>
                <w:w w:val="93"/>
              </w:rPr>
              <w:t>Cost Basis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22"/>
                <w:szCs w:val="22"/>
                <w:b w:val="1"/>
                <w:bCs w:val="1"/>
                <w:color w:val="auto"/>
              </w:rPr>
              <w:t>Fair Value</w:t>
            </w:r>
          </w:p>
        </w:tc>
      </w:tr>
      <w:tr>
        <w:trPr>
          <w:trHeight w:val="98"/>
        </w:trPr>
        <w:tc>
          <w:tcPr>
            <w:tcW w:w="2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611"/>
        </w:trPr>
        <w:tc>
          <w:tcPr>
            <w:tcW w:w="2960" w:type="dxa"/>
            <w:vAlign w:val="bottom"/>
            <w:gridSpan w:val="2"/>
          </w:tcPr>
          <w:p>
            <w:pPr>
              <w:spacing w:after="0"/>
              <w:rPr>
                <w:sz w:val="20"/>
                <w:szCs w:val="20"/>
                <w:color w:val="auto"/>
              </w:rPr>
            </w:pPr>
            <w:r>
              <w:rPr>
                <w:rFonts w:ascii="Arial" w:cs="Arial" w:eastAsia="Arial" w:hAnsi="Arial"/>
                <w:sz w:val="22"/>
                <w:szCs w:val="22"/>
                <w:color w:val="auto"/>
              </w:rPr>
              <w:t>Due in one year or less</w:t>
            </w:r>
          </w:p>
        </w:tc>
        <w:tc>
          <w:tcPr>
            <w:tcW w:w="1240" w:type="dxa"/>
            <w:vAlign w:val="bottom"/>
          </w:tcPr>
          <w:p>
            <w:pPr>
              <w:jc w:val="right"/>
              <w:spacing w:after="0"/>
              <w:rPr>
                <w:sz w:val="20"/>
                <w:szCs w:val="20"/>
                <w:color w:val="auto"/>
              </w:rPr>
            </w:pPr>
            <w:r>
              <w:rPr>
                <w:rFonts w:ascii="Arial" w:cs="Arial" w:eastAsia="Arial" w:hAnsi="Arial"/>
                <w:sz w:val="22"/>
                <w:szCs w:val="22"/>
                <w:color w:val="auto"/>
              </w:rPr>
              <w:t>$5,801</w:t>
            </w:r>
          </w:p>
        </w:tc>
        <w:tc>
          <w:tcPr>
            <w:tcW w:w="1600" w:type="dxa"/>
            <w:vAlign w:val="bottom"/>
            <w:gridSpan w:val="3"/>
          </w:tcPr>
          <w:p>
            <w:pPr>
              <w:jc w:val="right"/>
              <w:spacing w:after="0"/>
              <w:rPr>
                <w:sz w:val="20"/>
                <w:szCs w:val="20"/>
                <w:color w:val="auto"/>
              </w:rPr>
            </w:pPr>
            <w:r>
              <w:rPr>
                <w:rFonts w:ascii="Arial" w:cs="Arial" w:eastAsia="Arial" w:hAnsi="Arial"/>
                <w:sz w:val="22"/>
                <w:szCs w:val="22"/>
                <w:color w:val="auto"/>
              </w:rPr>
              <w:t>$5,912</w:t>
            </w:r>
          </w:p>
        </w:tc>
      </w:tr>
      <w:tr>
        <w:trPr>
          <w:trHeight w:val="122"/>
        </w:trPr>
        <w:tc>
          <w:tcPr>
            <w:tcW w:w="29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266"/>
        <w:spacing w:after="0"/>
        <w:rPr>
          <w:sz w:val="20"/>
          <w:szCs w:val="20"/>
          <w:color w:val="auto"/>
        </w:rPr>
      </w:pPr>
      <w:r>
        <w:rPr>
          <w:rFonts w:ascii="Arial" w:cs="Arial" w:eastAsia="Arial" w:hAnsi="Arial"/>
          <w:sz w:val="22"/>
          <w:szCs w:val="22"/>
          <w:color w:val="auto"/>
        </w:rPr>
        <w:t>There were no sales of short-term investments during the three months ended January 27, 2008. The Company sold $38.4 million of short-term investments during the three months ended January 28, 2007 in connection with the Company's repayment of its 4.75% convertible subordinated notes in December 2006.</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Gross realized gains and losses related to the Company's investments are as follows:</w:t>
      </w:r>
    </w:p>
    <w:p>
      <w:pPr>
        <w:spacing w:after="0" w:line="200"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Three Months Ended</w:t>
      </w:r>
    </w:p>
    <w:p>
      <w:pPr>
        <w:sectPr>
          <w:pgSz w:w="11900" w:h="16839" w:orient="portrait"/>
          <w:cols w:equalWidth="0" w:num="1">
            <w:col w:w="11320"/>
          </w:cols>
          <w:pgMar w:left="240" w:top="118" w:right="3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3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22"/>
                <w:szCs w:val="22"/>
                <w:b w:val="1"/>
                <w:bCs w:val="1"/>
                <w:color w:val="auto"/>
              </w:rPr>
              <w:t>January 27,</w:t>
            </w:r>
          </w:p>
        </w:tc>
        <w:tc>
          <w:tcPr>
            <w:tcW w:w="18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w w:val="89"/>
              </w:rPr>
              <w:t>January 28,</w:t>
            </w:r>
          </w:p>
        </w:tc>
      </w:tr>
      <w:tr>
        <w:trPr>
          <w:trHeight w:val="281"/>
        </w:trPr>
        <w:tc>
          <w:tcPr>
            <w:tcW w:w="3120" w:type="dxa"/>
            <w:vAlign w:val="bottom"/>
          </w:tcPr>
          <w:p>
            <w:pPr>
              <w:spacing w:after="0"/>
              <w:rPr>
                <w:sz w:val="24"/>
                <w:szCs w:val="24"/>
                <w:color w:val="auto"/>
              </w:rPr>
            </w:pPr>
          </w:p>
        </w:tc>
        <w:tc>
          <w:tcPr>
            <w:tcW w:w="1560" w:type="dxa"/>
            <w:vAlign w:val="bottom"/>
          </w:tcPr>
          <w:p>
            <w:pPr>
              <w:jc w:val="right"/>
              <w:ind w:right="472"/>
              <w:spacing w:after="0"/>
              <w:rPr>
                <w:sz w:val="20"/>
                <w:szCs w:val="20"/>
                <w:color w:val="auto"/>
              </w:rPr>
            </w:pPr>
            <w:r>
              <w:rPr>
                <w:rFonts w:ascii="Arial" w:cs="Arial" w:eastAsia="Arial" w:hAnsi="Arial"/>
                <w:sz w:val="22"/>
                <w:szCs w:val="22"/>
                <w:b w:val="1"/>
                <w:bCs w:val="1"/>
                <w:color w:val="auto"/>
              </w:rPr>
              <w:t>2008</w:t>
            </w:r>
          </w:p>
        </w:tc>
        <w:tc>
          <w:tcPr>
            <w:tcW w:w="1760" w:type="dxa"/>
            <w:vAlign w:val="bottom"/>
            <w:gridSpan w:val="2"/>
          </w:tcPr>
          <w:p>
            <w:pPr>
              <w:jc w:val="right"/>
              <w:ind w:right="472"/>
              <w:spacing w:after="0"/>
              <w:rPr>
                <w:sz w:val="20"/>
                <w:szCs w:val="20"/>
                <w:color w:val="auto"/>
              </w:rPr>
            </w:pPr>
            <w:r>
              <w:rPr>
                <w:rFonts w:ascii="Arial" w:cs="Arial" w:eastAsia="Arial" w:hAnsi="Arial"/>
                <w:sz w:val="22"/>
                <w:szCs w:val="22"/>
                <w:b w:val="1"/>
                <w:bCs w:val="1"/>
                <w:color w:val="auto"/>
              </w:rPr>
              <w:t>2007</w:t>
            </w:r>
          </w:p>
        </w:tc>
      </w:tr>
      <w:tr>
        <w:trPr>
          <w:trHeight w:val="98"/>
        </w:trPr>
        <w:tc>
          <w:tcPr>
            <w:tcW w:w="31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r>
      <w:tr>
        <w:trPr>
          <w:trHeight w:val="580"/>
        </w:trPr>
        <w:tc>
          <w:tcPr>
            <w:tcW w:w="3120" w:type="dxa"/>
            <w:vAlign w:val="bottom"/>
          </w:tcPr>
          <w:p>
            <w:pPr>
              <w:spacing w:after="0"/>
              <w:rPr>
                <w:sz w:val="20"/>
                <w:szCs w:val="20"/>
                <w:color w:val="auto"/>
              </w:rPr>
            </w:pPr>
            <w:r>
              <w:rPr>
                <w:rFonts w:ascii="Arial" w:cs="Arial" w:eastAsia="Arial" w:hAnsi="Arial"/>
                <w:sz w:val="22"/>
                <w:szCs w:val="22"/>
                <w:color w:val="auto"/>
              </w:rPr>
              <w:t>Gross realized gains</w:t>
            </w:r>
          </w:p>
        </w:tc>
        <w:tc>
          <w:tcPr>
            <w:tcW w:w="1560" w:type="dxa"/>
            <w:vAlign w:val="bottom"/>
          </w:tcPr>
          <w:p>
            <w:pPr>
              <w:jc w:val="right"/>
              <w:spacing w:after="0"/>
              <w:rPr>
                <w:sz w:val="20"/>
                <w:szCs w:val="20"/>
                <w:color w:val="auto"/>
              </w:rPr>
            </w:pPr>
            <w:r>
              <w:rPr>
                <w:rFonts w:ascii="Arial" w:cs="Arial" w:eastAsia="Arial" w:hAnsi="Arial"/>
                <w:sz w:val="22"/>
                <w:szCs w:val="22"/>
                <w:color w:val="auto"/>
              </w:rPr>
              <w:t>$ -</w:t>
            </w:r>
          </w:p>
        </w:tc>
        <w:tc>
          <w:tcPr>
            <w:tcW w:w="1760" w:type="dxa"/>
            <w:vAlign w:val="bottom"/>
            <w:gridSpan w:val="2"/>
          </w:tcPr>
          <w:p>
            <w:pPr>
              <w:ind w:left="1360"/>
              <w:spacing w:after="0"/>
              <w:rPr>
                <w:sz w:val="20"/>
                <w:szCs w:val="20"/>
                <w:color w:val="auto"/>
              </w:rPr>
            </w:pPr>
            <w:r>
              <w:rPr>
                <w:rFonts w:ascii="Arial" w:cs="Arial" w:eastAsia="Arial" w:hAnsi="Arial"/>
                <w:sz w:val="22"/>
                <w:szCs w:val="22"/>
                <w:color w:val="auto"/>
              </w:rPr>
              <w:t>$44</w:t>
            </w:r>
          </w:p>
        </w:tc>
      </w:tr>
      <w:tr>
        <w:trPr>
          <w:trHeight w:val="275"/>
        </w:trPr>
        <w:tc>
          <w:tcPr>
            <w:tcW w:w="3120" w:type="dxa"/>
            <w:vAlign w:val="bottom"/>
          </w:tcPr>
          <w:p>
            <w:pPr>
              <w:spacing w:after="0"/>
              <w:rPr>
                <w:sz w:val="20"/>
                <w:szCs w:val="20"/>
                <w:color w:val="auto"/>
              </w:rPr>
            </w:pPr>
            <w:r>
              <w:rPr>
                <w:rFonts w:ascii="Arial" w:cs="Arial" w:eastAsia="Arial" w:hAnsi="Arial"/>
                <w:sz w:val="22"/>
                <w:szCs w:val="22"/>
                <w:color w:val="auto"/>
              </w:rPr>
              <w:t>Gross realized losses</w:t>
            </w:r>
          </w:p>
        </w:tc>
        <w:tc>
          <w:tcPr>
            <w:tcW w:w="1560" w:type="dxa"/>
            <w:vAlign w:val="bottom"/>
          </w:tcPr>
          <w:p>
            <w:pPr>
              <w:jc w:val="right"/>
              <w:spacing w:after="0"/>
              <w:rPr>
                <w:sz w:val="20"/>
                <w:szCs w:val="20"/>
                <w:color w:val="auto"/>
              </w:rPr>
            </w:pPr>
            <w:r>
              <w:rPr>
                <w:rFonts w:ascii="Arial" w:cs="Arial" w:eastAsia="Arial" w:hAnsi="Arial"/>
                <w:sz w:val="22"/>
                <w:szCs w:val="22"/>
                <w:color w:val="auto"/>
              </w:rPr>
              <w:t>-</w:t>
            </w:r>
          </w:p>
        </w:tc>
        <w:tc>
          <w:tcPr>
            <w:tcW w:w="1760" w:type="dxa"/>
            <w:vAlign w:val="bottom"/>
            <w:gridSpan w:val="2"/>
          </w:tcPr>
          <w:p>
            <w:pPr>
              <w:ind w:left="1360"/>
              <w:spacing w:after="0"/>
              <w:rPr>
                <w:sz w:val="20"/>
                <w:szCs w:val="20"/>
                <w:color w:val="auto"/>
              </w:rPr>
            </w:pPr>
            <w:r>
              <w:rPr>
                <w:rFonts w:ascii="Arial" w:cs="Arial" w:eastAsia="Arial" w:hAnsi="Arial"/>
                <w:sz w:val="22"/>
                <w:szCs w:val="22"/>
                <w:color w:val="auto"/>
                <w:w w:val="97"/>
              </w:rPr>
              <w:t>(31)</w:t>
            </w:r>
          </w:p>
        </w:tc>
      </w:tr>
      <w:tr>
        <w:trPr>
          <w:trHeight w:val="98"/>
        </w:trPr>
        <w:tc>
          <w:tcPr>
            <w:tcW w:w="3120" w:type="dxa"/>
            <w:vAlign w:val="bottom"/>
          </w:tcPr>
          <w:p>
            <w:pPr>
              <w:spacing w:after="0"/>
              <w:rPr>
                <w:sz w:val="8"/>
                <w:szCs w:val="8"/>
                <w:color w:val="auto"/>
              </w:rPr>
            </w:pPr>
          </w:p>
        </w:tc>
        <w:tc>
          <w:tcPr>
            <w:tcW w:w="156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tcBorders>
              <w:bottom w:val="single" w:sz="8" w:color="336699"/>
            </w:tcBorders>
          </w:tcPr>
          <w:p>
            <w:pPr>
              <w:spacing w:after="0"/>
              <w:rPr>
                <w:sz w:val="8"/>
                <w:szCs w:val="8"/>
                <w:color w:val="auto"/>
              </w:rPr>
            </w:pPr>
          </w:p>
        </w:tc>
      </w:tr>
      <w:tr>
        <w:trPr>
          <w:trHeight w:val="368"/>
        </w:trPr>
        <w:tc>
          <w:tcPr>
            <w:tcW w:w="3120" w:type="dxa"/>
            <w:vAlign w:val="bottom"/>
          </w:tcPr>
          <w:p>
            <w:pPr>
              <w:spacing w:after="0"/>
              <w:rPr>
                <w:sz w:val="20"/>
                <w:szCs w:val="20"/>
                <w:color w:val="auto"/>
              </w:rPr>
            </w:pPr>
            <w:r>
              <w:rPr>
                <w:rFonts w:ascii="Arial" w:cs="Arial" w:eastAsia="Arial" w:hAnsi="Arial"/>
                <w:sz w:val="22"/>
                <w:szCs w:val="22"/>
                <w:color w:val="auto"/>
              </w:rPr>
              <w:t>Net realized gains</w:t>
            </w:r>
          </w:p>
        </w:tc>
        <w:tc>
          <w:tcPr>
            <w:tcW w:w="1560" w:type="dxa"/>
            <w:vAlign w:val="bottom"/>
          </w:tcPr>
          <w:p>
            <w:pPr>
              <w:jc w:val="right"/>
              <w:spacing w:after="0"/>
              <w:rPr>
                <w:sz w:val="20"/>
                <w:szCs w:val="20"/>
                <w:color w:val="auto"/>
              </w:rPr>
            </w:pPr>
            <w:r>
              <w:rPr>
                <w:rFonts w:ascii="Arial" w:cs="Arial" w:eastAsia="Arial" w:hAnsi="Arial"/>
                <w:sz w:val="22"/>
                <w:szCs w:val="22"/>
                <w:color w:val="auto"/>
              </w:rPr>
              <w:t>$ -</w:t>
            </w:r>
          </w:p>
        </w:tc>
        <w:tc>
          <w:tcPr>
            <w:tcW w:w="1760" w:type="dxa"/>
            <w:vAlign w:val="bottom"/>
            <w:gridSpan w:val="2"/>
          </w:tcPr>
          <w:p>
            <w:pPr>
              <w:ind w:left="1360"/>
              <w:spacing w:after="0"/>
              <w:rPr>
                <w:sz w:val="20"/>
                <w:szCs w:val="20"/>
                <w:color w:val="auto"/>
              </w:rPr>
            </w:pPr>
            <w:r>
              <w:rPr>
                <w:rFonts w:ascii="Arial" w:cs="Arial" w:eastAsia="Arial" w:hAnsi="Arial"/>
                <w:sz w:val="22"/>
                <w:szCs w:val="22"/>
                <w:color w:val="auto"/>
              </w:rPr>
              <w:t>$13</w:t>
            </w:r>
          </w:p>
        </w:tc>
      </w:tr>
      <w:tr>
        <w:trPr>
          <w:trHeight w:val="122"/>
        </w:trPr>
        <w:tc>
          <w:tcPr>
            <w:tcW w:w="3120" w:type="dxa"/>
            <w:vAlign w:val="bottom"/>
          </w:tcPr>
          <w:p>
            <w:pPr>
              <w:spacing w:after="0"/>
              <w:rPr>
                <w:sz w:val="10"/>
                <w:szCs w:val="10"/>
                <w:color w:val="auto"/>
              </w:rPr>
            </w:pPr>
          </w:p>
        </w:tc>
        <w:tc>
          <w:tcPr>
            <w:tcW w:w="156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2138680</wp:posOffset>
            </wp:positionH>
            <wp:positionV relativeFrom="page">
              <wp:posOffset>88900</wp:posOffset>
            </wp:positionV>
            <wp:extent cx="21012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STOCK-BASED COMPENSATION PLANS</w:t>
      </w:r>
    </w:p>
    <w:p>
      <w:pPr>
        <w:spacing w:after="0" w:line="212" w:lineRule="exact"/>
        <w:rPr>
          <w:sz w:val="20"/>
          <w:szCs w:val="20"/>
          <w:color w:val="auto"/>
        </w:rPr>
      </w:pPr>
    </w:p>
    <w:p>
      <w:pPr>
        <w:ind w:right="140" w:firstLine="270"/>
        <w:spacing w:after="0" w:line="245" w:lineRule="auto"/>
        <w:rPr>
          <w:sz w:val="20"/>
          <w:szCs w:val="20"/>
          <w:color w:val="auto"/>
        </w:rPr>
      </w:pPr>
      <w:r>
        <w:rPr>
          <w:rFonts w:ascii="Arial" w:cs="Arial" w:eastAsia="Arial" w:hAnsi="Arial"/>
          <w:sz w:val="21"/>
          <w:szCs w:val="21"/>
          <w:color w:val="auto"/>
        </w:rPr>
        <w:t>In March 2007, shareholders approved a new stock-based compensation plan ("Plan"), under which options, restricted stock, restricted stock units, stock appreciation rights, performance stock, performance units, and other awards based on, or related to shares of the Company's common stock may be granted from shares authorized but unissued, shares previously issued and reacquired by the Company or both. A maximum of three million shares of common stock may be issued under the Plan. Awards may be granted to Company officers, employees and directors, non-employee directors, consultants, advisors and independent contractors of the Company or a subsidiary of the Company. The Plan prohibits further awards from being issued under prior plans. The plans are more fully described below. The Company incurred compensation cost under the plans of $0.5 million and $0.8 million for the three months ended January 27, 2008 and January 28, 2007, respectively. No compensation cost was capitalized as part of inventory, and no income tax benefit was recorded in those periods. No equity awards were settled in cash during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212" w:lineRule="exact"/>
        <w:rPr>
          <w:sz w:val="20"/>
          <w:szCs w:val="20"/>
          <w:color w:val="auto"/>
        </w:rPr>
      </w:pPr>
    </w:p>
    <w:p>
      <w:pPr>
        <w:ind w:right="220" w:firstLine="270"/>
        <w:spacing w:after="0" w:line="297" w:lineRule="auto"/>
        <w:rPr>
          <w:sz w:val="20"/>
          <w:szCs w:val="20"/>
          <w:color w:val="auto"/>
        </w:rPr>
      </w:pPr>
      <w:r>
        <w:rPr>
          <w:rFonts w:ascii="Arial" w:cs="Arial" w:eastAsia="Arial" w:hAnsi="Arial"/>
          <w:sz w:val="19"/>
          <w:szCs w:val="19"/>
          <w:color w:val="auto"/>
        </w:rPr>
        <w:t>Option awards generally vest in one to four years, and have a ten-year contractual term. All incentive and non-qualified stock option grants must have an exercise price equal to the market value of the underlying common stock on the date of grant. The option and share awards provide for accelerated vesting if there is a change in control as defined in the Plan.</w:t>
      </w:r>
    </w:p>
    <w:p>
      <w:pPr>
        <w:spacing w:after="0" w:line="134" w:lineRule="exact"/>
        <w:rPr>
          <w:sz w:val="20"/>
          <w:szCs w:val="20"/>
          <w:color w:val="auto"/>
        </w:rPr>
      </w:pPr>
    </w:p>
    <w:p>
      <w:pPr>
        <w:ind w:firstLine="266"/>
        <w:spacing w:after="0" w:line="279" w:lineRule="auto"/>
        <w:rPr>
          <w:sz w:val="20"/>
          <w:szCs w:val="20"/>
          <w:color w:val="auto"/>
        </w:rPr>
      </w:pPr>
      <w:r>
        <w:rPr>
          <w:rFonts w:ascii="Arial" w:cs="Arial" w:eastAsia="Arial" w:hAnsi="Arial"/>
          <w:sz w:val="19"/>
          <w:szCs w:val="19"/>
          <w:color w:val="auto"/>
        </w:rPr>
        <w:t>The fair value of option grants is determined with the closing price on the day of grant using the Black-Scholes option pricing model. Expected volatility is based on the historical volatility of the Company's stock. The Company uses historical option exercise behavior and employee termination data to estimate option life, which represents the period of time that the options granted are expected to remain outstanding. The risk-free rate of return for the estimated life of the option is based on the U.S. Treasury yield curve in effect at the time of grant. There were no stock option grants during the three months ended January 27, 2008. The weighted average assumptions used for the three months ended January 28, 2007 are noted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spacing w:after="0"/>
              <w:rPr>
                <w:sz w:val="20"/>
                <w:szCs w:val="20"/>
                <w:color w:val="auto"/>
              </w:rPr>
            </w:pPr>
            <w:r>
              <w:rPr>
                <w:rFonts w:ascii="Arial" w:cs="Arial" w:eastAsia="Arial" w:hAnsi="Arial"/>
                <w:sz w:val="22"/>
                <w:szCs w:val="22"/>
                <w:color w:val="auto"/>
              </w:rPr>
              <w:t>Volatility</w:t>
            </w:r>
          </w:p>
        </w:tc>
        <w:tc>
          <w:tcPr>
            <w:tcW w:w="1680" w:type="dxa"/>
            <w:vAlign w:val="bottom"/>
          </w:tcPr>
          <w:p>
            <w:pPr>
              <w:jc w:val="center"/>
              <w:ind w:left="452"/>
              <w:spacing w:after="0"/>
              <w:rPr>
                <w:sz w:val="20"/>
                <w:szCs w:val="20"/>
                <w:color w:val="auto"/>
              </w:rPr>
            </w:pPr>
            <w:r>
              <w:rPr>
                <w:rFonts w:ascii="Arial" w:cs="Arial" w:eastAsia="Arial" w:hAnsi="Arial"/>
                <w:sz w:val="22"/>
                <w:szCs w:val="22"/>
                <w:color w:val="auto"/>
                <w:w w:val="89"/>
              </w:rPr>
              <w:t>53.0%</w:t>
            </w:r>
          </w:p>
        </w:tc>
      </w:tr>
      <w:tr>
        <w:trPr>
          <w:trHeight w:val="486"/>
        </w:trPr>
        <w:tc>
          <w:tcPr>
            <w:tcW w:w="2820" w:type="dxa"/>
            <w:vAlign w:val="bottom"/>
          </w:tcPr>
          <w:p>
            <w:pPr>
              <w:spacing w:after="0"/>
              <w:rPr>
                <w:sz w:val="20"/>
                <w:szCs w:val="20"/>
                <w:color w:val="auto"/>
              </w:rPr>
            </w:pPr>
            <w:r>
              <w:rPr>
                <w:rFonts w:ascii="Arial" w:cs="Arial" w:eastAsia="Arial" w:hAnsi="Arial"/>
                <w:sz w:val="22"/>
                <w:szCs w:val="22"/>
                <w:color w:val="auto"/>
              </w:rPr>
              <w:t>Risk free rate of return</w:t>
            </w:r>
          </w:p>
        </w:tc>
        <w:tc>
          <w:tcPr>
            <w:tcW w:w="1680" w:type="dxa"/>
            <w:vAlign w:val="bottom"/>
          </w:tcPr>
          <w:p>
            <w:pPr>
              <w:jc w:val="center"/>
              <w:ind w:left="472"/>
              <w:spacing w:after="0"/>
              <w:rPr>
                <w:sz w:val="20"/>
                <w:szCs w:val="20"/>
                <w:color w:val="auto"/>
              </w:rPr>
            </w:pPr>
            <w:r>
              <w:rPr>
                <w:rFonts w:ascii="Arial" w:cs="Arial" w:eastAsia="Arial" w:hAnsi="Arial"/>
                <w:sz w:val="22"/>
                <w:szCs w:val="22"/>
                <w:color w:val="auto"/>
                <w:w w:val="91"/>
              </w:rPr>
              <w:t>4.5%</w:t>
            </w:r>
          </w:p>
        </w:tc>
      </w:tr>
      <w:tr>
        <w:trPr>
          <w:trHeight w:val="486"/>
        </w:trPr>
        <w:tc>
          <w:tcPr>
            <w:tcW w:w="2820" w:type="dxa"/>
            <w:vAlign w:val="bottom"/>
          </w:tcPr>
          <w:p>
            <w:pPr>
              <w:spacing w:after="0"/>
              <w:rPr>
                <w:sz w:val="20"/>
                <w:szCs w:val="20"/>
                <w:color w:val="auto"/>
              </w:rPr>
            </w:pPr>
            <w:r>
              <w:rPr>
                <w:rFonts w:ascii="Arial" w:cs="Arial" w:eastAsia="Arial" w:hAnsi="Arial"/>
                <w:sz w:val="22"/>
                <w:szCs w:val="22"/>
                <w:color w:val="auto"/>
              </w:rPr>
              <w:t>Dividend yield</w:t>
            </w:r>
          </w:p>
        </w:tc>
        <w:tc>
          <w:tcPr>
            <w:tcW w:w="1680" w:type="dxa"/>
            <w:vAlign w:val="bottom"/>
          </w:tcPr>
          <w:p>
            <w:pPr>
              <w:jc w:val="center"/>
              <w:ind w:left="472"/>
              <w:spacing w:after="0"/>
              <w:rPr>
                <w:sz w:val="20"/>
                <w:szCs w:val="20"/>
                <w:color w:val="auto"/>
              </w:rPr>
            </w:pPr>
            <w:r>
              <w:rPr>
                <w:rFonts w:ascii="Arial" w:cs="Arial" w:eastAsia="Arial" w:hAnsi="Arial"/>
                <w:sz w:val="22"/>
                <w:szCs w:val="22"/>
                <w:color w:val="auto"/>
                <w:w w:val="91"/>
              </w:rPr>
              <w:t>0.0%</w:t>
            </w:r>
          </w:p>
        </w:tc>
      </w:tr>
      <w:tr>
        <w:trPr>
          <w:trHeight w:val="486"/>
        </w:trPr>
        <w:tc>
          <w:tcPr>
            <w:tcW w:w="2820" w:type="dxa"/>
            <w:vAlign w:val="bottom"/>
          </w:tcPr>
          <w:p>
            <w:pPr>
              <w:spacing w:after="0"/>
              <w:rPr>
                <w:sz w:val="20"/>
                <w:szCs w:val="20"/>
                <w:color w:val="auto"/>
              </w:rPr>
            </w:pPr>
            <w:r>
              <w:rPr>
                <w:rFonts w:ascii="Arial" w:cs="Arial" w:eastAsia="Arial" w:hAnsi="Arial"/>
                <w:sz w:val="22"/>
                <w:szCs w:val="22"/>
                <w:color w:val="auto"/>
              </w:rPr>
              <w:t>Expected average life</w:t>
            </w:r>
          </w:p>
        </w:tc>
        <w:tc>
          <w:tcPr>
            <w:tcW w:w="1680" w:type="dxa"/>
            <w:vAlign w:val="bottom"/>
          </w:tcPr>
          <w:p>
            <w:pPr>
              <w:ind w:left="900"/>
              <w:spacing w:after="0"/>
              <w:rPr>
                <w:sz w:val="20"/>
                <w:szCs w:val="20"/>
                <w:color w:val="auto"/>
              </w:rPr>
            </w:pPr>
            <w:r>
              <w:rPr>
                <w:rFonts w:ascii="Arial" w:cs="Arial" w:eastAsia="Arial" w:hAnsi="Arial"/>
                <w:sz w:val="22"/>
                <w:szCs w:val="22"/>
                <w:color w:val="auto"/>
                <w:w w:val="83"/>
              </w:rPr>
              <w:t>4.6 years</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 summary of option awards under the plan as of January 27, 2008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88"/>
              </w:rPr>
              <w:t>Weighted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Weighted</w:t>
            </w:r>
          </w:p>
        </w:tc>
        <w:tc>
          <w:tcPr>
            <w:tcW w:w="280" w:type="dxa"/>
            <w:vAlign w:val="bottom"/>
          </w:tcPr>
          <w:p>
            <w:pPr>
              <w:spacing w:after="0"/>
              <w:rPr>
                <w:sz w:val="21"/>
                <w:szCs w:val="21"/>
                <w:color w:val="auto"/>
              </w:rPr>
            </w:pPr>
          </w:p>
        </w:tc>
        <w:tc>
          <w:tcPr>
            <w:tcW w:w="1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280" w:type="dxa"/>
            <w:vAlign w:val="bottom"/>
          </w:tcPr>
          <w:p>
            <w:pPr>
              <w:spacing w:after="0"/>
              <w:rPr>
                <w:sz w:val="21"/>
                <w:szCs w:val="21"/>
                <w:color w:val="auto"/>
              </w:rPr>
            </w:pPr>
          </w:p>
        </w:tc>
        <w:tc>
          <w:tcPr>
            <w:tcW w:w="1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Remaining</w:t>
            </w:r>
          </w:p>
        </w:tc>
        <w:tc>
          <w:tcPr>
            <w:tcW w:w="3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Aggregate</w:t>
            </w:r>
          </w:p>
        </w:tc>
      </w:tr>
      <w:tr>
        <w:trPr>
          <w:trHeight w:val="243"/>
        </w:trPr>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Exercise</w:t>
            </w:r>
          </w:p>
        </w:tc>
        <w:tc>
          <w:tcPr>
            <w:tcW w:w="280" w:type="dxa"/>
            <w:vAlign w:val="bottom"/>
          </w:tcPr>
          <w:p>
            <w:pPr>
              <w:spacing w:after="0"/>
              <w:rPr>
                <w:sz w:val="21"/>
                <w:szCs w:val="21"/>
                <w:color w:val="auto"/>
              </w:rPr>
            </w:pPr>
          </w:p>
        </w:tc>
        <w:tc>
          <w:tcPr>
            <w:tcW w:w="1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Contractual</w:t>
            </w:r>
          </w:p>
        </w:tc>
        <w:tc>
          <w:tcPr>
            <w:tcW w:w="3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Intrinsic</w:t>
            </w:r>
          </w:p>
        </w:tc>
      </w:tr>
      <w:tr>
        <w:trPr>
          <w:trHeight w:val="281"/>
        </w:trPr>
        <w:tc>
          <w:tcPr>
            <w:tcW w:w="3320" w:type="dxa"/>
            <w:vAlign w:val="bottom"/>
          </w:tcPr>
          <w:p>
            <w:pPr>
              <w:ind w:left="1280"/>
              <w:spacing w:after="0"/>
              <w:rPr>
                <w:sz w:val="20"/>
                <w:szCs w:val="20"/>
                <w:color w:val="auto"/>
              </w:rPr>
            </w:pPr>
            <w:r>
              <w:rPr>
                <w:rFonts w:ascii="Arial" w:cs="Arial" w:eastAsia="Arial" w:hAnsi="Arial"/>
                <w:sz w:val="22"/>
                <w:szCs w:val="22"/>
                <w:b w:val="1"/>
                <w:bCs w:val="1"/>
                <w:color w:val="auto"/>
              </w:rPr>
              <w:t>Options</w:t>
            </w:r>
          </w:p>
        </w:tc>
        <w:tc>
          <w:tcPr>
            <w:tcW w:w="28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22"/>
                <w:szCs w:val="22"/>
                <w:b w:val="1"/>
                <w:bCs w:val="1"/>
                <w:color w:val="auto"/>
              </w:rPr>
              <w:t>Shares</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2"/>
                <w:szCs w:val="22"/>
                <w:b w:val="1"/>
                <w:bCs w:val="1"/>
                <w:color w:val="auto"/>
                <w:w w:val="89"/>
              </w:rPr>
              <w:t>Price</w:t>
            </w:r>
          </w:p>
        </w:tc>
        <w:tc>
          <w:tcPr>
            <w:tcW w:w="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91"/>
              </w:rPr>
              <w:t>Life</w:t>
            </w:r>
          </w:p>
        </w:tc>
        <w:tc>
          <w:tcPr>
            <w:tcW w:w="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8"/>
              </w:rPr>
              <w:t>Value</w:t>
            </w:r>
          </w:p>
        </w:tc>
      </w:tr>
      <w:tr>
        <w:trPr>
          <w:trHeight w:val="98"/>
        </w:trPr>
        <w:tc>
          <w:tcPr>
            <w:tcW w:w="3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580"/>
        </w:trPr>
        <w:tc>
          <w:tcPr>
            <w:tcW w:w="3320" w:type="dxa"/>
            <w:vAlign w:val="bottom"/>
          </w:tcPr>
          <w:p>
            <w:pPr>
              <w:spacing w:after="0"/>
              <w:rPr>
                <w:sz w:val="20"/>
                <w:szCs w:val="20"/>
                <w:color w:val="auto"/>
              </w:rPr>
            </w:pPr>
            <w:r>
              <w:rPr>
                <w:rFonts w:ascii="Arial" w:cs="Arial" w:eastAsia="Arial" w:hAnsi="Arial"/>
                <w:sz w:val="22"/>
                <w:szCs w:val="22"/>
                <w:color w:val="auto"/>
              </w:rPr>
              <w:t>Outstanding at January 27, 2008</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2,201,166</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$18.79</w:t>
            </w:r>
          </w:p>
        </w:tc>
        <w:tc>
          <w:tcPr>
            <w:tcW w:w="280" w:type="dxa"/>
            <w:vAlign w:val="bottom"/>
          </w:tcPr>
          <w:p>
            <w:pPr>
              <w:spacing w:after="0"/>
              <w:rPr>
                <w:sz w:val="24"/>
                <w:szCs w:val="24"/>
                <w:color w:val="auto"/>
              </w:rPr>
            </w:pPr>
          </w:p>
        </w:tc>
        <w:tc>
          <w:tcPr>
            <w:tcW w:w="1360" w:type="dxa"/>
            <w:vAlign w:val="bottom"/>
          </w:tcPr>
          <w:p>
            <w:pPr>
              <w:ind w:left="540"/>
              <w:spacing w:after="0"/>
              <w:rPr>
                <w:sz w:val="20"/>
                <w:szCs w:val="20"/>
                <w:color w:val="auto"/>
              </w:rPr>
            </w:pPr>
            <w:r>
              <w:rPr>
                <w:rFonts w:ascii="Arial" w:cs="Arial" w:eastAsia="Arial" w:hAnsi="Arial"/>
                <w:sz w:val="22"/>
                <w:szCs w:val="22"/>
                <w:color w:val="auto"/>
                <w:w w:val="88"/>
              </w:rPr>
              <w:t>6.1 years</w:t>
            </w: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 -</w:t>
            </w:r>
          </w:p>
        </w:tc>
      </w:tr>
      <w:tr>
        <w:trPr>
          <w:trHeight w:val="275"/>
        </w:trPr>
        <w:tc>
          <w:tcPr>
            <w:tcW w:w="3320" w:type="dxa"/>
            <w:vAlign w:val="bottom"/>
          </w:tcPr>
          <w:p>
            <w:pPr>
              <w:spacing w:after="0"/>
              <w:rPr>
                <w:sz w:val="20"/>
                <w:szCs w:val="20"/>
                <w:color w:val="auto"/>
              </w:rPr>
            </w:pPr>
            <w:r>
              <w:rPr>
                <w:rFonts w:ascii="Arial" w:cs="Arial" w:eastAsia="Arial" w:hAnsi="Arial"/>
                <w:sz w:val="22"/>
                <w:szCs w:val="22"/>
                <w:color w:val="auto"/>
              </w:rPr>
              <w:t>Exercisable at January 27, 2008</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1,681,921</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$19.38</w:t>
            </w:r>
          </w:p>
        </w:tc>
        <w:tc>
          <w:tcPr>
            <w:tcW w:w="280" w:type="dxa"/>
            <w:vAlign w:val="bottom"/>
          </w:tcPr>
          <w:p>
            <w:pPr>
              <w:spacing w:after="0"/>
              <w:rPr>
                <w:sz w:val="23"/>
                <w:szCs w:val="23"/>
                <w:color w:val="auto"/>
              </w:rPr>
            </w:pPr>
          </w:p>
        </w:tc>
        <w:tc>
          <w:tcPr>
            <w:tcW w:w="1360" w:type="dxa"/>
            <w:vAlign w:val="bottom"/>
          </w:tcPr>
          <w:p>
            <w:pPr>
              <w:ind w:left="540"/>
              <w:spacing w:after="0"/>
              <w:rPr>
                <w:sz w:val="20"/>
                <w:szCs w:val="20"/>
                <w:color w:val="auto"/>
              </w:rPr>
            </w:pPr>
            <w:r>
              <w:rPr>
                <w:rFonts w:ascii="Arial" w:cs="Arial" w:eastAsia="Arial" w:hAnsi="Arial"/>
                <w:sz w:val="22"/>
                <w:szCs w:val="22"/>
                <w:color w:val="auto"/>
                <w:w w:val="88"/>
              </w:rPr>
              <w:t>5.5 years</w:t>
            </w:r>
          </w:p>
        </w:tc>
        <w:tc>
          <w:tcPr>
            <w:tcW w:w="1480" w:type="dxa"/>
            <w:vAlign w:val="bottom"/>
            <w:gridSpan w:val="2"/>
          </w:tcPr>
          <w:p>
            <w:pPr>
              <w:jc w:val="right"/>
              <w:spacing w:after="0"/>
              <w:rPr>
                <w:sz w:val="20"/>
                <w:szCs w:val="20"/>
                <w:color w:val="auto"/>
              </w:rPr>
            </w:pPr>
            <w:r>
              <w:rPr>
                <w:rFonts w:ascii="Arial" w:cs="Arial" w:eastAsia="Arial" w:hAnsi="Arial"/>
                <w:sz w:val="22"/>
                <w:szCs w:val="22"/>
                <w:color w:val="auto"/>
              </w:rPr>
              <w:t>$ -</w:t>
            </w:r>
          </w:p>
        </w:tc>
      </w:tr>
    </w:tbl>
    <w:p>
      <w:pPr>
        <w:sectPr>
          <w:pgSz w:w="11900" w:h="16838" w:orient="portrait"/>
          <w:cols w:equalWidth="0" w:num="1">
            <w:col w:w="11400"/>
          </w:cols>
          <w:pgMar w:left="240" w:top="345" w:right="259" w:bottom="633" w:gutter="0" w:footer="0" w:header="0"/>
        </w:sectPr>
      </w:pPr>
    </w:p>
    <w:bookmarkStart w:id="9" w:name="page10"/>
    <w:bookmarkEnd w:id="9"/>
    <w:p>
      <w:pPr>
        <w:ind w:firstLine="266"/>
        <w:spacing w:after="0" w:line="252" w:lineRule="auto"/>
        <w:rPr>
          <w:sz w:val="20"/>
          <w:szCs w:val="20"/>
          <w:color w:val="auto"/>
        </w:rPr>
      </w:pPr>
      <w:r>
        <w:rPr>
          <w:rFonts w:ascii="Arial" w:cs="Arial" w:eastAsia="Arial" w:hAnsi="Arial"/>
          <w:sz w:val="21"/>
          <w:szCs w:val="21"/>
          <w:color w:val="auto"/>
        </w:rPr>
        <w:t>There were no share options granted during the three months ended January 27, 2008. For the comparable period last year 40,000 share options were granted with a weighted average grant date fair value of $7.24 per share. As of January 27, 2008 the total compensation cost related to non-vested option awards not yet recognized was approximately $3.3 million. That cost is expected to be recognized over a weighted average amortization period of 2.5 years.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w:t>
      </w:r>
    </w:p>
    <w:p>
      <w:pPr>
        <w:spacing w:after="0" w:line="212" w:lineRule="exact"/>
        <w:rPr>
          <w:sz w:val="20"/>
          <w:szCs w:val="20"/>
          <w:color w:val="auto"/>
        </w:rPr>
      </w:pPr>
    </w:p>
    <w:p>
      <w:pPr>
        <w:ind w:right="80" w:firstLine="266"/>
        <w:spacing w:after="0" w:line="247" w:lineRule="auto"/>
        <w:rPr>
          <w:sz w:val="20"/>
          <w:szCs w:val="20"/>
          <w:color w:val="auto"/>
        </w:rPr>
      </w:pPr>
      <w:r>
        <w:rPr>
          <w:rFonts w:ascii="Arial" w:cs="Arial" w:eastAsia="Arial" w:hAnsi="Arial"/>
          <w:sz w:val="21"/>
          <w:szCs w:val="21"/>
          <w:color w:val="auto"/>
        </w:rPr>
        <w:t>The Company also grants restricted stock awards periodically. The restrictions on these awards lapse over a service period that has ranged from less than one to eight years. During the three months ended January 27, 2008, 148,300 shares were granted with a weighted average grant date fair value of $11.79 per share. For the comparable period last year 34,000 shares were granted with a weighted average grant date fair value of $13.99 per share. As of January 27, 2008, the total compensation cost related to non-vested restricted stock awards not yet recognized was approximately $4.8 million. That cost is expected to be recognized over a weighted average amortization period of 4.9 years. A summary of the status of the Company's nonvested restricted shares as of January 27, 2008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8"/>
              </w:rPr>
              <w:t>Weighted</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2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2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Remaining</w:t>
            </w:r>
          </w:p>
        </w:tc>
        <w:tc>
          <w:tcPr>
            <w:tcW w:w="260" w:type="dxa"/>
            <w:vAlign w:val="bottom"/>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Aggregate</w:t>
            </w:r>
          </w:p>
        </w:tc>
      </w:tr>
      <w:tr>
        <w:trPr>
          <w:trHeight w:val="243"/>
        </w:trPr>
        <w:tc>
          <w:tcPr>
            <w:tcW w:w="2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Contractual</w:t>
            </w:r>
          </w:p>
        </w:tc>
        <w:tc>
          <w:tcPr>
            <w:tcW w:w="260" w:type="dxa"/>
            <w:vAlign w:val="bottom"/>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Intrinsic</w:t>
            </w:r>
          </w:p>
        </w:tc>
      </w:tr>
      <w:tr>
        <w:trPr>
          <w:trHeight w:val="281"/>
        </w:trPr>
        <w:tc>
          <w:tcPr>
            <w:tcW w:w="2840" w:type="dxa"/>
            <w:vAlign w:val="bottom"/>
          </w:tcPr>
          <w:p>
            <w:pPr>
              <w:jc w:val="center"/>
              <w:spacing w:after="0"/>
              <w:rPr>
                <w:sz w:val="20"/>
                <w:szCs w:val="20"/>
                <w:color w:val="auto"/>
              </w:rPr>
            </w:pPr>
            <w:r>
              <w:rPr>
                <w:rFonts w:ascii="Arial" w:cs="Arial" w:eastAsia="Arial" w:hAnsi="Arial"/>
                <w:sz w:val="22"/>
                <w:szCs w:val="22"/>
                <w:b w:val="1"/>
                <w:bCs w:val="1"/>
                <w:color w:val="auto"/>
                <w:w w:val="87"/>
              </w:rPr>
              <w:t>Restricted Stock</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22"/>
                <w:szCs w:val="22"/>
                <w:b w:val="1"/>
                <w:bCs w:val="1"/>
                <w:color w:val="auto"/>
                <w:w w:val="84"/>
              </w:rPr>
              <w:t>Shares</w:t>
            </w:r>
          </w:p>
        </w:tc>
        <w:tc>
          <w:tcPr>
            <w:tcW w:w="2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1"/>
              </w:rPr>
              <w:t>Life</w:t>
            </w:r>
          </w:p>
        </w:tc>
        <w:tc>
          <w:tcPr>
            <w:tcW w:w="2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88"/>
              </w:rPr>
              <w:t>Value</w:t>
            </w:r>
          </w:p>
        </w:tc>
      </w:tr>
      <w:tr>
        <w:trPr>
          <w:trHeight w:val="98"/>
        </w:trPr>
        <w:tc>
          <w:tcPr>
            <w:tcW w:w="2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611"/>
        </w:trPr>
        <w:tc>
          <w:tcPr>
            <w:tcW w:w="2840" w:type="dxa"/>
            <w:vAlign w:val="bottom"/>
          </w:tcPr>
          <w:p>
            <w:pPr>
              <w:jc w:val="center"/>
              <w:spacing w:after="0"/>
              <w:rPr>
                <w:sz w:val="20"/>
                <w:szCs w:val="20"/>
                <w:color w:val="auto"/>
              </w:rPr>
            </w:pPr>
            <w:r>
              <w:rPr>
                <w:rFonts w:ascii="Arial" w:cs="Arial" w:eastAsia="Arial" w:hAnsi="Arial"/>
                <w:sz w:val="22"/>
                <w:szCs w:val="22"/>
                <w:color w:val="auto"/>
                <w:w w:val="88"/>
              </w:rPr>
              <w:t>Outstanding at January 27, 2008</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353,053</w:t>
            </w:r>
          </w:p>
        </w:tc>
        <w:tc>
          <w:tcPr>
            <w:tcW w:w="240" w:type="dxa"/>
            <w:vAlign w:val="bottom"/>
          </w:tcPr>
          <w:p>
            <w:pPr>
              <w:spacing w:after="0"/>
              <w:rPr>
                <w:sz w:val="24"/>
                <w:szCs w:val="24"/>
                <w:color w:val="auto"/>
              </w:rPr>
            </w:pPr>
          </w:p>
        </w:tc>
        <w:tc>
          <w:tcPr>
            <w:tcW w:w="1140" w:type="dxa"/>
            <w:vAlign w:val="bottom"/>
          </w:tcPr>
          <w:p>
            <w:pPr>
              <w:ind w:left="340"/>
              <w:spacing w:after="0"/>
              <w:rPr>
                <w:sz w:val="20"/>
                <w:szCs w:val="20"/>
                <w:color w:val="auto"/>
              </w:rPr>
            </w:pPr>
            <w:r>
              <w:rPr>
                <w:rFonts w:ascii="Arial" w:cs="Arial" w:eastAsia="Arial" w:hAnsi="Arial"/>
                <w:sz w:val="22"/>
                <w:szCs w:val="22"/>
                <w:color w:val="auto"/>
                <w:w w:val="86"/>
              </w:rPr>
              <w:t>4.9 years</w:t>
            </w: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$4,102</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RESTRUCTURING</w:t>
      </w:r>
    </w:p>
    <w:p>
      <w:pPr>
        <w:spacing w:after="0" w:line="212" w:lineRule="exact"/>
        <w:rPr>
          <w:sz w:val="20"/>
          <w:szCs w:val="20"/>
          <w:color w:val="auto"/>
        </w:rPr>
      </w:pPr>
    </w:p>
    <w:p>
      <w:pPr>
        <w:ind w:right="200" w:firstLine="270"/>
        <w:spacing w:after="0" w:line="279" w:lineRule="auto"/>
        <w:rPr>
          <w:sz w:val="20"/>
          <w:szCs w:val="20"/>
          <w:color w:val="auto"/>
        </w:rPr>
      </w:pPr>
      <w:r>
        <w:rPr>
          <w:rFonts w:ascii="Arial" w:cs="Arial" w:eastAsia="Arial" w:hAnsi="Arial"/>
          <w:sz w:val="19"/>
          <w:szCs w:val="19"/>
          <w:color w:val="auto"/>
        </w:rPr>
        <w:t>Since 2001, the Company has closed manufacturing facilities in North America and in Europe due, in part, to the migration of semiconductor manufacturing to Asia, excess capacity, competitive pricing pressures and weakened demand. Decisions regarding which facilities to close were based on sales volume projections, customer base, and production qualifications. The Company continues to assess its global manufacturing strategy based on changes in market conditions. This ongoing assessment could result, in the future, in facilities closures, asset redeployment, workforce reductions, or the addition of increased manufacturing facilities, all of which would be predicated by market conditions and customer requirements.</w:t>
      </w:r>
    </w:p>
    <w:p>
      <w:pPr>
        <w:spacing w:after="0" w:line="151" w:lineRule="exact"/>
        <w:rPr>
          <w:sz w:val="20"/>
          <w:szCs w:val="20"/>
          <w:color w:val="auto"/>
        </w:rPr>
      </w:pPr>
    </w:p>
    <w:p>
      <w:pPr>
        <w:ind w:right="280" w:firstLine="270"/>
        <w:spacing w:after="0"/>
        <w:rPr>
          <w:sz w:val="20"/>
          <w:szCs w:val="20"/>
          <w:color w:val="auto"/>
        </w:rPr>
      </w:pPr>
      <w:r>
        <w:rPr>
          <w:rFonts w:ascii="Arial" w:cs="Arial" w:eastAsia="Arial" w:hAnsi="Arial"/>
          <w:sz w:val="22"/>
          <w:szCs w:val="22"/>
          <w:color w:val="auto"/>
        </w:rPr>
        <w:t>In fiscal 2006, the Company recorded total restructuring charges of $15.6 million primarily related to ceasing operations at its manufacturing and research and development facility in Austin, Texas. During the first quarter of 2007, the Company sold this facility for proceeds of $5.0 million and realized a gain of $2.3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80" w:firstLine="266"/>
        <w:spacing w:after="0" w:line="297" w:lineRule="auto"/>
        <w:rPr>
          <w:sz w:val="20"/>
          <w:szCs w:val="20"/>
          <w:color w:val="auto"/>
        </w:rPr>
      </w:pPr>
      <w:r>
        <w:rPr>
          <w:rFonts w:ascii="Arial" w:cs="Arial" w:eastAsia="Arial" w:hAnsi="Arial"/>
          <w:sz w:val="19"/>
          <w:szCs w:val="19"/>
          <w:color w:val="auto"/>
        </w:rPr>
        <w:t>The following tables set forth the Company's restructuring reserves as of January 27, 2008 and January 28, 2007 respectively, and reflect the activity affecting the reserves for the three months then ended. As of January 27, 2008, the remaining liability of $1.6 million primarily represents non-cancelable lease obligations that are due under respective lease terms through 2009.</w:t>
      </w:r>
    </w:p>
    <w:p>
      <w:pPr>
        <w:spacing w:after="0" w:line="128" w:lineRule="exact"/>
        <w:rPr>
          <w:sz w:val="20"/>
          <w:szCs w:val="20"/>
          <w:color w:val="auto"/>
        </w:rPr>
      </w:pPr>
    </w:p>
    <w:p>
      <w:pPr>
        <w:jc w:val="center"/>
        <w:ind w:right="140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right="1400"/>
        <w:spacing w:after="0"/>
        <w:rPr>
          <w:sz w:val="20"/>
          <w:szCs w:val="20"/>
          <w:color w:val="auto"/>
        </w:rPr>
      </w:pPr>
      <w:r>
        <w:rPr>
          <w:rFonts w:ascii="Arial" w:cs="Arial" w:eastAsia="Arial" w:hAnsi="Arial"/>
          <w:sz w:val="22"/>
          <w:szCs w:val="22"/>
          <w:b w:val="1"/>
          <w:bCs w:val="1"/>
          <w:color w:val="auto"/>
        </w:rPr>
        <w:t>January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64770</wp:posOffset>
            </wp:positionV>
            <wp:extent cx="30784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2"/>
                <w:szCs w:val="22"/>
                <w:b w:val="1"/>
                <w:bCs w:val="1"/>
                <w:color w:val="auto"/>
                <w:w w:val="85"/>
              </w:rPr>
              <w:t>October 28,</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9"/>
              </w:rPr>
              <w:t>January 27,</w:t>
            </w:r>
          </w:p>
        </w:tc>
        <w:tc>
          <w:tcPr>
            <w:tcW w:w="20" w:type="dxa"/>
            <w:vAlign w:val="bottom"/>
          </w:tcPr>
          <w:p>
            <w:pPr>
              <w:spacing w:after="0"/>
              <w:rPr>
                <w:sz w:val="21"/>
                <w:szCs w:val="21"/>
                <w:color w:val="auto"/>
              </w:rPr>
            </w:pPr>
          </w:p>
        </w:tc>
      </w:tr>
      <w:tr>
        <w:trPr>
          <w:trHeight w:val="281"/>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ind w:right="232"/>
              <w:spacing w:after="0"/>
              <w:rPr>
                <w:sz w:val="20"/>
                <w:szCs w:val="20"/>
                <w:color w:val="auto"/>
              </w:rPr>
            </w:pPr>
            <w:r>
              <w:rPr>
                <w:rFonts w:ascii="Arial" w:cs="Arial" w:eastAsia="Arial" w:hAnsi="Arial"/>
                <w:sz w:val="22"/>
                <w:szCs w:val="22"/>
                <w:b w:val="1"/>
                <w:bCs w:val="1"/>
                <w:color w:val="auto"/>
              </w:rPr>
              <w:t>2007</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Charges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22"/>
                <w:szCs w:val="22"/>
                <w:b w:val="1"/>
                <w:bCs w:val="1"/>
                <w:color w:val="auto"/>
                <w:w w:val="86"/>
              </w:rPr>
              <w:t>Utilized</w:t>
            </w:r>
          </w:p>
        </w:tc>
        <w:tc>
          <w:tcPr>
            <w:tcW w:w="1120" w:type="dxa"/>
            <w:vAlign w:val="bottom"/>
          </w:tcPr>
          <w:p>
            <w:pPr>
              <w:jc w:val="right"/>
              <w:ind w:right="232"/>
              <w:spacing w:after="0"/>
              <w:rPr>
                <w:sz w:val="20"/>
                <w:szCs w:val="20"/>
                <w:color w:val="auto"/>
              </w:rPr>
            </w:pPr>
            <w:r>
              <w:rPr>
                <w:rFonts w:ascii="Arial" w:cs="Arial" w:eastAsia="Arial" w:hAnsi="Arial"/>
                <w:sz w:val="22"/>
                <w:szCs w:val="22"/>
                <w:b w:val="1"/>
                <w:bCs w:val="1"/>
                <w:color w:val="auto"/>
              </w:rPr>
              <w:t>2008</w:t>
            </w:r>
          </w:p>
        </w:tc>
        <w:tc>
          <w:tcPr>
            <w:tcW w:w="20" w:type="dxa"/>
            <w:vAlign w:val="bottom"/>
          </w:tcPr>
          <w:p>
            <w:pPr>
              <w:spacing w:after="0"/>
              <w:rPr>
                <w:sz w:val="24"/>
                <w:szCs w:val="24"/>
                <w:color w:val="auto"/>
              </w:rPr>
            </w:pPr>
          </w:p>
        </w:tc>
      </w:tr>
      <w:tr>
        <w:trPr>
          <w:trHeight w:val="98"/>
        </w:trPr>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611"/>
        </w:trPr>
        <w:tc>
          <w:tcPr>
            <w:tcW w:w="2620" w:type="dxa"/>
            <w:vAlign w:val="bottom"/>
            <w:gridSpan w:val="2"/>
          </w:tcPr>
          <w:p>
            <w:pPr>
              <w:spacing w:after="0"/>
              <w:rPr>
                <w:sz w:val="20"/>
                <w:szCs w:val="20"/>
                <w:color w:val="auto"/>
              </w:rPr>
            </w:pPr>
            <w:r>
              <w:rPr>
                <w:rFonts w:ascii="Arial" w:cs="Arial" w:eastAsia="Arial" w:hAnsi="Arial"/>
                <w:sz w:val="22"/>
                <w:szCs w:val="22"/>
                <w:color w:val="auto"/>
              </w:rPr>
              <w:t>Leases and other</w:t>
            </w:r>
          </w:p>
        </w:tc>
        <w:tc>
          <w:tcPr>
            <w:tcW w:w="1080" w:type="dxa"/>
            <w:vAlign w:val="bottom"/>
          </w:tcPr>
          <w:p>
            <w:pPr>
              <w:jc w:val="right"/>
              <w:spacing w:after="0"/>
              <w:rPr>
                <w:sz w:val="20"/>
                <w:szCs w:val="20"/>
                <w:color w:val="auto"/>
              </w:rPr>
            </w:pPr>
            <w:r>
              <w:rPr>
                <w:rFonts w:ascii="Arial" w:cs="Arial" w:eastAsia="Arial" w:hAnsi="Arial"/>
                <w:sz w:val="22"/>
                <w:szCs w:val="22"/>
                <w:color w:val="auto"/>
              </w:rPr>
              <w:t>$1,687</w:t>
            </w:r>
          </w:p>
        </w:tc>
        <w:tc>
          <w:tcPr>
            <w:tcW w:w="900" w:type="dxa"/>
            <w:vAlign w:val="bottom"/>
            <w:gridSpan w:val="4"/>
          </w:tcPr>
          <w:p>
            <w:pPr>
              <w:jc w:val="center"/>
              <w:ind w:left="492"/>
              <w:spacing w:after="0"/>
              <w:rPr>
                <w:sz w:val="20"/>
                <w:szCs w:val="20"/>
                <w:color w:val="auto"/>
              </w:rPr>
            </w:pPr>
            <w:r>
              <w:rPr>
                <w:rFonts w:ascii="Arial" w:cs="Arial" w:eastAsia="Arial" w:hAnsi="Arial"/>
                <w:sz w:val="22"/>
                <w:szCs w:val="22"/>
                <w:color w:val="auto"/>
                <w:w w:val="81"/>
              </w:rPr>
              <w:t>$</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4"/>
          </w:tcPr>
          <w:p>
            <w:pPr>
              <w:jc w:val="right"/>
              <w:spacing w:after="0"/>
              <w:rPr>
                <w:sz w:val="20"/>
                <w:szCs w:val="20"/>
                <w:color w:val="auto"/>
              </w:rPr>
            </w:pPr>
            <w:r>
              <w:rPr>
                <w:rFonts w:ascii="Arial" w:cs="Arial" w:eastAsia="Arial" w:hAnsi="Arial"/>
                <w:sz w:val="22"/>
                <w:szCs w:val="22"/>
                <w:color w:val="auto"/>
              </w:rPr>
              <w:t>$(136)</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$1,551</w:t>
            </w:r>
          </w:p>
        </w:tc>
        <w:tc>
          <w:tcPr>
            <w:tcW w:w="20" w:type="dxa"/>
            <w:vAlign w:val="bottom"/>
          </w:tcPr>
          <w:p>
            <w:pPr>
              <w:spacing w:after="0"/>
              <w:rPr>
                <w:sz w:val="24"/>
                <w:szCs w:val="24"/>
                <w:color w:val="auto"/>
              </w:rPr>
            </w:pPr>
          </w:p>
        </w:tc>
      </w:tr>
      <w:tr>
        <w:trPr>
          <w:trHeight w:val="122"/>
        </w:trPr>
        <w:tc>
          <w:tcPr>
            <w:tcW w:w="26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bottom w:val="single" w:sz="8" w:color="336699"/>
            </w:tcBorders>
            <w:gridSpan w:val="3"/>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Borders>
              <w:bottom w:val="single" w:sz="8" w:color="336699"/>
            </w:tcBorders>
            <w:gridSpan w:val="2"/>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r>
        <w:trPr>
          <w:trHeight w:val="564"/>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9"/>
          </w:tcPr>
          <w:p>
            <w:pPr>
              <w:jc w:val="center"/>
              <w:ind w:right="20"/>
              <w:spacing w:after="0"/>
              <w:rPr>
                <w:sz w:val="20"/>
                <w:szCs w:val="20"/>
                <w:color w:val="auto"/>
              </w:rPr>
            </w:pPr>
            <w:r>
              <w:rPr>
                <w:rFonts w:ascii="Arial" w:cs="Arial" w:eastAsia="Arial" w:hAnsi="Arial"/>
                <w:sz w:val="22"/>
                <w:szCs w:val="22"/>
                <w:b w:val="1"/>
                <w:bCs w:val="1"/>
                <w:color w:val="auto"/>
                <w:w w:val="90"/>
              </w:rPr>
              <w:t>Three Months Ended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7"/>
          </w:tcPr>
          <w:p>
            <w:pPr>
              <w:jc w:val="center"/>
              <w:ind w:right="380"/>
              <w:spacing w:after="0"/>
              <w:rPr>
                <w:sz w:val="20"/>
                <w:szCs w:val="20"/>
                <w:color w:val="auto"/>
              </w:rPr>
            </w:pPr>
            <w:r>
              <w:rPr>
                <w:rFonts w:ascii="Arial" w:cs="Arial" w:eastAsia="Arial" w:hAnsi="Arial"/>
                <w:sz w:val="22"/>
                <w:szCs w:val="22"/>
                <w:b w:val="1"/>
                <w:bCs w:val="1"/>
                <w:color w:val="auto"/>
                <w:w w:val="89"/>
              </w:rPr>
              <w:t>January 28, 2007</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31"/>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b w:val="1"/>
                <w:bCs w:val="1"/>
                <w:color w:val="auto"/>
                <w:w w:val="85"/>
              </w:rPr>
              <w:t>October 29,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9"/>
              </w:rPr>
              <w:t>January 28,</w:t>
            </w:r>
          </w:p>
        </w:tc>
        <w:tc>
          <w:tcPr>
            <w:tcW w:w="20" w:type="dxa"/>
            <w:vAlign w:val="bottom"/>
          </w:tcPr>
          <w:p>
            <w:pPr>
              <w:spacing w:after="0"/>
              <w:rPr>
                <w:sz w:val="24"/>
                <w:szCs w:val="24"/>
                <w:color w:val="auto"/>
              </w:rPr>
            </w:pPr>
          </w:p>
        </w:tc>
      </w:tr>
      <w:tr>
        <w:trPr>
          <w:trHeight w:val="281"/>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ind w:right="232"/>
              <w:spacing w:after="0"/>
              <w:rPr>
                <w:sz w:val="20"/>
                <w:szCs w:val="20"/>
                <w:color w:val="auto"/>
              </w:rPr>
            </w:pPr>
            <w:r>
              <w:rPr>
                <w:rFonts w:ascii="Arial" w:cs="Arial" w:eastAsia="Arial" w:hAnsi="Arial"/>
                <w:sz w:val="22"/>
                <w:szCs w:val="22"/>
                <w:b w:val="1"/>
                <w:bCs w:val="1"/>
                <w:color w:val="auto"/>
              </w:rPr>
              <w:t>2006</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4"/>
              </w:rPr>
              <w:t>Charges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22"/>
                <w:szCs w:val="22"/>
                <w:b w:val="1"/>
                <w:bCs w:val="1"/>
                <w:color w:val="auto"/>
                <w:w w:val="86"/>
              </w:rPr>
              <w:t>Utilized</w:t>
            </w:r>
          </w:p>
        </w:tc>
        <w:tc>
          <w:tcPr>
            <w:tcW w:w="1120" w:type="dxa"/>
            <w:vAlign w:val="bottom"/>
          </w:tcPr>
          <w:p>
            <w:pPr>
              <w:jc w:val="right"/>
              <w:ind w:right="232"/>
              <w:spacing w:after="0"/>
              <w:rPr>
                <w:sz w:val="20"/>
                <w:szCs w:val="20"/>
                <w:color w:val="auto"/>
              </w:rPr>
            </w:pPr>
            <w:r>
              <w:rPr>
                <w:rFonts w:ascii="Arial" w:cs="Arial" w:eastAsia="Arial" w:hAnsi="Arial"/>
                <w:sz w:val="22"/>
                <w:szCs w:val="22"/>
                <w:b w:val="1"/>
                <w:bCs w:val="1"/>
                <w:color w:val="auto"/>
              </w:rPr>
              <w:t>2007</w:t>
            </w:r>
          </w:p>
        </w:tc>
        <w:tc>
          <w:tcPr>
            <w:tcW w:w="20" w:type="dxa"/>
            <w:vAlign w:val="bottom"/>
          </w:tcPr>
          <w:p>
            <w:pPr>
              <w:spacing w:after="0"/>
              <w:rPr>
                <w:sz w:val="24"/>
                <w:szCs w:val="24"/>
                <w:color w:val="auto"/>
              </w:rPr>
            </w:pPr>
          </w:p>
        </w:tc>
      </w:tr>
      <w:tr>
        <w:trPr>
          <w:trHeight w:val="98"/>
        </w:trPr>
        <w:tc>
          <w:tcPr>
            <w:tcW w:w="2620" w:type="dxa"/>
            <w:vAlign w:val="bottom"/>
            <w:gridSpan w:val="2"/>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80" w:type="dxa"/>
            <w:vAlign w:val="bottom"/>
            <w:gridSpan w:val="3"/>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gridSpan w:val="3"/>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611"/>
        </w:trPr>
        <w:tc>
          <w:tcPr>
            <w:tcW w:w="2620" w:type="dxa"/>
            <w:vAlign w:val="bottom"/>
            <w:gridSpan w:val="2"/>
          </w:tcPr>
          <w:p>
            <w:pPr>
              <w:spacing w:after="0"/>
              <w:rPr>
                <w:sz w:val="20"/>
                <w:szCs w:val="20"/>
                <w:color w:val="auto"/>
              </w:rPr>
            </w:pPr>
            <w:r>
              <w:rPr>
                <w:rFonts w:ascii="Arial" w:cs="Arial" w:eastAsia="Arial" w:hAnsi="Arial"/>
                <w:sz w:val="22"/>
                <w:szCs w:val="22"/>
                <w:color w:val="auto"/>
              </w:rPr>
              <w:t>Leases and other</w:t>
            </w:r>
          </w:p>
        </w:tc>
        <w:tc>
          <w:tcPr>
            <w:tcW w:w="1080" w:type="dxa"/>
            <w:vAlign w:val="bottom"/>
          </w:tcPr>
          <w:p>
            <w:pPr>
              <w:jc w:val="right"/>
              <w:spacing w:after="0"/>
              <w:rPr>
                <w:sz w:val="20"/>
                <w:szCs w:val="20"/>
                <w:color w:val="auto"/>
              </w:rPr>
            </w:pPr>
            <w:r>
              <w:rPr>
                <w:rFonts w:ascii="Arial" w:cs="Arial" w:eastAsia="Arial" w:hAnsi="Arial"/>
                <w:sz w:val="22"/>
                <w:szCs w:val="22"/>
                <w:color w:val="auto"/>
              </w:rPr>
              <w:t>$2,654</w:t>
            </w:r>
          </w:p>
        </w:tc>
        <w:tc>
          <w:tcPr>
            <w:tcW w:w="900" w:type="dxa"/>
            <w:vAlign w:val="bottom"/>
            <w:gridSpan w:val="4"/>
          </w:tcPr>
          <w:p>
            <w:pPr>
              <w:jc w:val="center"/>
              <w:ind w:left="452"/>
              <w:spacing w:after="0"/>
              <w:rPr>
                <w:sz w:val="20"/>
                <w:szCs w:val="20"/>
                <w:color w:val="auto"/>
              </w:rPr>
            </w:pPr>
            <w:r>
              <w:rPr>
                <w:rFonts w:ascii="Arial" w:cs="Arial" w:eastAsia="Arial" w:hAnsi="Arial"/>
                <w:sz w:val="22"/>
                <w:szCs w:val="22"/>
                <w:color w:val="auto"/>
                <w:w w:val="81"/>
              </w:rPr>
              <w:t>$</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4"/>
          </w:tcPr>
          <w:p>
            <w:pPr>
              <w:jc w:val="right"/>
              <w:spacing w:after="0"/>
              <w:rPr>
                <w:sz w:val="20"/>
                <w:szCs w:val="20"/>
                <w:color w:val="auto"/>
              </w:rPr>
            </w:pPr>
            <w:r>
              <w:rPr>
                <w:rFonts w:ascii="Arial" w:cs="Arial" w:eastAsia="Arial" w:hAnsi="Arial"/>
                <w:sz w:val="22"/>
                <w:szCs w:val="22"/>
                <w:color w:val="auto"/>
              </w:rPr>
              <w:t>$(340)</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$2,314</w:t>
            </w:r>
          </w:p>
        </w:tc>
        <w:tc>
          <w:tcPr>
            <w:tcW w:w="20" w:type="dxa"/>
            <w:vAlign w:val="bottom"/>
          </w:tcPr>
          <w:p>
            <w:pPr>
              <w:spacing w:after="0"/>
              <w:rPr>
                <w:sz w:val="24"/>
                <w:szCs w:val="24"/>
                <w:color w:val="auto"/>
              </w:rPr>
            </w:pPr>
          </w:p>
        </w:tc>
      </w:tr>
      <w:tr>
        <w:trPr>
          <w:trHeight w:val="122"/>
        </w:trPr>
        <w:tc>
          <w:tcPr>
            <w:tcW w:w="26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520" w:type="dxa"/>
            <w:vAlign w:val="bottom"/>
            <w:tcBorders>
              <w:bottom w:val="single" w:sz="8" w:color="336699"/>
            </w:tcBorders>
          </w:tcPr>
          <w:p>
            <w:pPr>
              <w:spacing w:after="0"/>
              <w:rPr>
                <w:sz w:val="10"/>
                <w:szCs w:val="10"/>
                <w:color w:val="auto"/>
              </w:rPr>
            </w:pPr>
          </w:p>
        </w:tc>
        <w:tc>
          <w:tcPr>
            <w:tcW w:w="2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-1581150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1649730</wp:posOffset>
            </wp:positionH>
            <wp:positionV relativeFrom="paragraph">
              <wp:posOffset>-1581150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-1581150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-1581150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-1581150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-1581150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-1581150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-1581150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1649730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8" w:right="239" w:bottom="222"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NOTE 7 - GEOGRAPHIC INFORMATION</w:t>
      </w:r>
    </w:p>
    <w:p>
      <w:pPr>
        <w:spacing w:after="0" w:line="213" w:lineRule="exact"/>
        <w:rPr>
          <w:sz w:val="20"/>
          <w:szCs w:val="20"/>
          <w:color w:val="auto"/>
        </w:rPr>
      </w:pPr>
    </w:p>
    <w:p>
      <w:pPr>
        <w:jc w:val="both"/>
        <w:ind w:right="160" w:firstLine="266"/>
        <w:spacing w:after="0" w:line="287" w:lineRule="auto"/>
        <w:rPr>
          <w:sz w:val="20"/>
          <w:szCs w:val="20"/>
          <w:color w:val="auto"/>
        </w:rPr>
      </w:pPr>
      <w:r>
        <w:rPr>
          <w:rFonts w:ascii="Arial" w:cs="Arial" w:eastAsia="Arial" w:hAnsi="Arial"/>
          <w:sz w:val="19"/>
          <w:szCs w:val="19"/>
          <w:color w:val="auto"/>
        </w:rPr>
        <w:t>The Company operates in a single operating segment as a manufacturer of photomasks, which are high precision quartz plates containing microscopic images of electronic circuits for use in the fabrication of semiconductors. Geographic net sales are based primarily on where the Company's facility is located. The Company's net sales, operating income, and total identifiable assets by geographic area as of and for the three months ended January 27, 2008 and January 28, 2007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2"/>
                <w:szCs w:val="22"/>
                <w:b w:val="1"/>
                <w:bCs w:val="1"/>
                <w:color w:val="auto"/>
                <w:w w:val="90"/>
              </w:rPr>
              <w:t>January 27,</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2"/>
                <w:szCs w:val="22"/>
                <w:b w:val="1"/>
                <w:bCs w:val="1"/>
                <w:color w:val="auto"/>
                <w:w w:val="92"/>
              </w:rPr>
              <w:t>January 28,</w:t>
            </w:r>
          </w:p>
        </w:tc>
        <w:tc>
          <w:tcPr>
            <w:tcW w:w="0" w:type="dxa"/>
            <w:vAlign w:val="bottom"/>
          </w:tcPr>
          <w:p>
            <w:pPr>
              <w:spacing w:after="0"/>
              <w:rPr>
                <w:sz w:val="1"/>
                <w:szCs w:val="1"/>
                <w:color w:val="auto"/>
              </w:rPr>
            </w:pPr>
          </w:p>
        </w:tc>
      </w:tr>
      <w:tr>
        <w:trPr>
          <w:trHeight w:val="281"/>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ind w:right="292"/>
              <w:spacing w:after="0"/>
              <w:rPr>
                <w:sz w:val="20"/>
                <w:szCs w:val="20"/>
                <w:color w:val="auto"/>
              </w:rPr>
            </w:pPr>
            <w:r>
              <w:rPr>
                <w:rFonts w:ascii="Arial" w:cs="Arial" w:eastAsia="Arial" w:hAnsi="Arial"/>
                <w:sz w:val="22"/>
                <w:szCs w:val="22"/>
                <w:b w:val="1"/>
                <w:bCs w:val="1"/>
                <w:color w:val="auto"/>
              </w:rPr>
              <w:t>2008</w:t>
            </w:r>
          </w:p>
        </w:tc>
        <w:tc>
          <w:tcPr>
            <w:tcW w:w="1760" w:type="dxa"/>
            <w:vAlign w:val="bottom"/>
            <w:gridSpan w:val="4"/>
          </w:tcPr>
          <w:p>
            <w:pPr>
              <w:jc w:val="right"/>
              <w:ind w:right="312"/>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31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Net sales</w:t>
            </w: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31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Asia</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$ 63,900</w:t>
            </w:r>
          </w:p>
        </w:tc>
        <w:tc>
          <w:tcPr>
            <w:tcW w:w="17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$ 58,709</w:t>
            </w:r>
          </w:p>
        </w:tc>
        <w:tc>
          <w:tcPr>
            <w:tcW w:w="0" w:type="dxa"/>
            <w:vAlign w:val="bottom"/>
          </w:tcPr>
          <w:p>
            <w:pPr>
              <w:spacing w:after="0"/>
              <w:rPr>
                <w:sz w:val="1"/>
                <w:szCs w:val="1"/>
                <w:color w:val="auto"/>
              </w:rPr>
            </w:pPr>
          </w:p>
        </w:tc>
      </w:tr>
      <w:tr>
        <w:trPr>
          <w:trHeight w:val="243"/>
        </w:trPr>
        <w:tc>
          <w:tcPr>
            <w:tcW w:w="310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Europe</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17,705</w:t>
            </w:r>
          </w:p>
        </w:tc>
        <w:tc>
          <w:tcPr>
            <w:tcW w:w="17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19,489</w:t>
            </w:r>
          </w:p>
        </w:tc>
        <w:tc>
          <w:tcPr>
            <w:tcW w:w="0" w:type="dxa"/>
            <w:vAlign w:val="bottom"/>
          </w:tcPr>
          <w:p>
            <w:pPr>
              <w:spacing w:after="0"/>
              <w:rPr>
                <w:sz w:val="1"/>
                <w:szCs w:val="1"/>
                <w:color w:val="auto"/>
              </w:rPr>
            </w:pPr>
          </w:p>
        </w:tc>
      </w:tr>
      <w:tr>
        <w:trPr>
          <w:trHeight w:val="275"/>
        </w:trPr>
        <w:tc>
          <w:tcPr>
            <w:tcW w:w="3100" w:type="dxa"/>
            <w:vAlign w:val="bottom"/>
            <w:gridSpan w:val="2"/>
          </w:tcPr>
          <w:p>
            <w:pPr>
              <w:ind w:left="180"/>
              <w:spacing w:after="0"/>
              <w:rPr>
                <w:sz w:val="20"/>
                <w:szCs w:val="20"/>
                <w:color w:val="auto"/>
              </w:rPr>
            </w:pPr>
            <w:r>
              <w:rPr>
                <w:rFonts w:ascii="Arial" w:cs="Arial" w:eastAsia="Arial" w:hAnsi="Arial"/>
                <w:sz w:val="22"/>
                <w:szCs w:val="22"/>
                <w:color w:val="auto"/>
              </w:rPr>
              <w:t>North America</w:t>
            </w:r>
          </w:p>
        </w:tc>
        <w:tc>
          <w:tcPr>
            <w:tcW w:w="1180" w:type="dxa"/>
            <w:vAlign w:val="bottom"/>
          </w:tcPr>
          <w:p>
            <w:pPr>
              <w:jc w:val="right"/>
              <w:spacing w:after="0"/>
              <w:rPr>
                <w:sz w:val="20"/>
                <w:szCs w:val="20"/>
                <w:color w:val="auto"/>
              </w:rPr>
            </w:pPr>
            <w:r>
              <w:rPr>
                <w:rFonts w:ascii="Arial" w:cs="Arial" w:eastAsia="Arial" w:hAnsi="Arial"/>
                <w:sz w:val="22"/>
                <w:szCs w:val="22"/>
                <w:color w:val="auto"/>
              </w:rPr>
              <w:t>21,610</w:t>
            </w:r>
          </w:p>
        </w:tc>
        <w:tc>
          <w:tcPr>
            <w:tcW w:w="1760" w:type="dxa"/>
            <w:vAlign w:val="bottom"/>
            <w:gridSpan w:val="4"/>
          </w:tcPr>
          <w:p>
            <w:pPr>
              <w:jc w:val="right"/>
              <w:spacing w:after="0"/>
              <w:rPr>
                <w:sz w:val="20"/>
                <w:szCs w:val="20"/>
                <w:color w:val="auto"/>
              </w:rPr>
            </w:pPr>
            <w:r>
              <w:rPr>
                <w:rFonts w:ascii="Arial" w:cs="Arial" w:eastAsia="Arial" w:hAnsi="Arial"/>
                <w:sz w:val="22"/>
                <w:szCs w:val="22"/>
                <w:color w:val="auto"/>
              </w:rPr>
              <w:t>27,783</w:t>
            </w:r>
          </w:p>
        </w:tc>
        <w:tc>
          <w:tcPr>
            <w:tcW w:w="0" w:type="dxa"/>
            <w:vAlign w:val="bottom"/>
          </w:tcPr>
          <w:p>
            <w:pPr>
              <w:spacing w:after="0"/>
              <w:rPr>
                <w:sz w:val="1"/>
                <w:szCs w:val="1"/>
                <w:color w:val="auto"/>
              </w:rPr>
            </w:pPr>
          </w:p>
        </w:tc>
      </w:tr>
      <w:tr>
        <w:trPr>
          <w:trHeight w:val="98"/>
        </w:trPr>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$103,215</w:t>
            </w:r>
          </w:p>
        </w:tc>
        <w:tc>
          <w:tcPr>
            <w:tcW w:w="1760" w:type="dxa"/>
            <w:vAlign w:val="bottom"/>
            <w:gridSpan w:val="4"/>
          </w:tcPr>
          <w:p>
            <w:pPr>
              <w:jc w:val="right"/>
              <w:spacing w:after="0"/>
              <w:rPr>
                <w:sz w:val="20"/>
                <w:szCs w:val="20"/>
                <w:color w:val="auto"/>
              </w:rPr>
            </w:pPr>
            <w:r>
              <w:rPr>
                <w:rFonts w:ascii="Arial" w:cs="Arial" w:eastAsia="Arial" w:hAnsi="Arial"/>
                <w:sz w:val="22"/>
                <w:szCs w:val="22"/>
                <w:color w:val="auto"/>
              </w:rPr>
              <w:t>$105,981</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570"/>
        </w:trPr>
        <w:tc>
          <w:tcPr>
            <w:tcW w:w="3100" w:type="dxa"/>
            <w:vAlign w:val="bottom"/>
            <w:gridSpan w:val="2"/>
          </w:tcPr>
          <w:p>
            <w:pPr>
              <w:spacing w:after="0"/>
              <w:rPr>
                <w:sz w:val="20"/>
                <w:szCs w:val="20"/>
                <w:color w:val="auto"/>
              </w:rPr>
            </w:pPr>
            <w:r>
              <w:rPr>
                <w:rFonts w:ascii="Arial" w:cs="Arial" w:eastAsia="Arial" w:hAnsi="Arial"/>
                <w:sz w:val="22"/>
                <w:szCs w:val="22"/>
                <w:b w:val="1"/>
                <w:bCs w:val="1"/>
                <w:color w:val="auto"/>
              </w:rPr>
              <w:t>Operating income (loss)</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Asia</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$4,423</w:t>
            </w:r>
          </w:p>
        </w:tc>
        <w:tc>
          <w:tcPr>
            <w:tcW w:w="17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$ 5,474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Europe</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957</w:t>
            </w:r>
          </w:p>
        </w:tc>
        <w:tc>
          <w:tcPr>
            <w:tcW w:w="17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2,598</w:t>
            </w:r>
          </w:p>
        </w:tc>
        <w:tc>
          <w:tcPr>
            <w:tcW w:w="0" w:type="dxa"/>
            <w:vAlign w:val="bottom"/>
          </w:tcPr>
          <w:p>
            <w:pPr>
              <w:spacing w:after="0"/>
              <w:rPr>
                <w:sz w:val="1"/>
                <w:szCs w:val="1"/>
                <w:color w:val="auto"/>
              </w:rPr>
            </w:pPr>
          </w:p>
        </w:tc>
      </w:tr>
      <w:tr>
        <w:trPr>
          <w:trHeight w:val="275"/>
        </w:trPr>
        <w:tc>
          <w:tcPr>
            <w:tcW w:w="3100" w:type="dxa"/>
            <w:vAlign w:val="bottom"/>
            <w:gridSpan w:val="2"/>
          </w:tcPr>
          <w:p>
            <w:pPr>
              <w:ind w:left="180"/>
              <w:spacing w:after="0"/>
              <w:rPr>
                <w:sz w:val="20"/>
                <w:szCs w:val="20"/>
                <w:color w:val="auto"/>
              </w:rPr>
            </w:pPr>
            <w:r>
              <w:rPr>
                <w:rFonts w:ascii="Arial" w:cs="Arial" w:eastAsia="Arial" w:hAnsi="Arial"/>
                <w:sz w:val="22"/>
                <w:szCs w:val="22"/>
                <w:color w:val="auto"/>
              </w:rPr>
              <w:t>North America</w:t>
            </w:r>
          </w:p>
        </w:tc>
        <w:tc>
          <w:tcPr>
            <w:tcW w:w="1180" w:type="dxa"/>
            <w:vAlign w:val="bottom"/>
          </w:tcPr>
          <w:p>
            <w:pPr>
              <w:jc w:val="right"/>
              <w:spacing w:after="0"/>
              <w:rPr>
                <w:sz w:val="20"/>
                <w:szCs w:val="20"/>
                <w:color w:val="auto"/>
              </w:rPr>
            </w:pPr>
            <w:r>
              <w:rPr>
                <w:rFonts w:ascii="Arial" w:cs="Arial" w:eastAsia="Arial" w:hAnsi="Arial"/>
                <w:sz w:val="22"/>
                <w:szCs w:val="22"/>
                <w:color w:val="auto"/>
              </w:rPr>
              <w:t>(4,863)</w:t>
            </w:r>
          </w:p>
        </w:tc>
        <w:tc>
          <w:tcPr>
            <w:tcW w:w="1760" w:type="dxa"/>
            <w:vAlign w:val="bottom"/>
            <w:gridSpan w:val="4"/>
          </w:tcPr>
          <w:p>
            <w:pPr>
              <w:jc w:val="right"/>
              <w:spacing w:after="0"/>
              <w:rPr>
                <w:sz w:val="20"/>
                <w:szCs w:val="20"/>
                <w:color w:val="auto"/>
              </w:rPr>
            </w:pPr>
            <w:r>
              <w:rPr>
                <w:rFonts w:ascii="Arial" w:cs="Arial" w:eastAsia="Arial" w:hAnsi="Arial"/>
                <w:sz w:val="22"/>
                <w:szCs w:val="22"/>
                <w:color w:val="auto"/>
              </w:rPr>
              <w:t>1,219</w:t>
            </w:r>
          </w:p>
        </w:tc>
        <w:tc>
          <w:tcPr>
            <w:tcW w:w="0" w:type="dxa"/>
            <w:vAlign w:val="bottom"/>
          </w:tcPr>
          <w:p>
            <w:pPr>
              <w:spacing w:after="0"/>
              <w:rPr>
                <w:sz w:val="1"/>
                <w:szCs w:val="1"/>
                <w:color w:val="auto"/>
              </w:rPr>
            </w:pPr>
          </w:p>
        </w:tc>
      </w:tr>
      <w:tr>
        <w:trPr>
          <w:trHeight w:val="455"/>
        </w:trPr>
        <w:tc>
          <w:tcPr>
            <w:tcW w:w="3100" w:type="dxa"/>
            <w:vAlign w:val="bottom"/>
            <w:gridSpan w:val="2"/>
          </w:tcPr>
          <w:p>
            <w:pPr>
              <w:ind w:left="180"/>
              <w:spacing w:after="0"/>
              <w:rPr>
                <w:sz w:val="20"/>
                <w:szCs w:val="20"/>
                <w:color w:val="auto"/>
              </w:rPr>
            </w:pPr>
            <w:r>
              <w:rPr>
                <w:rFonts w:ascii="Arial" w:cs="Arial" w:eastAsia="Arial" w:hAnsi="Arial"/>
                <w:sz w:val="22"/>
                <w:szCs w:val="22"/>
                <w:color w:val="auto"/>
              </w:rPr>
              <w:t>Gain on sale of facility</w:t>
            </w:r>
          </w:p>
        </w:tc>
        <w:tc>
          <w:tcPr>
            <w:tcW w:w="1180" w:type="dxa"/>
            <w:vAlign w:val="bottom"/>
          </w:tcPr>
          <w:p>
            <w:pPr>
              <w:jc w:val="right"/>
              <w:spacing w:after="0"/>
              <w:rPr>
                <w:sz w:val="20"/>
                <w:szCs w:val="20"/>
                <w:color w:val="auto"/>
              </w:rPr>
            </w:pPr>
            <w:r>
              <w:rPr>
                <w:rFonts w:ascii="Arial" w:cs="Arial" w:eastAsia="Arial" w:hAnsi="Arial"/>
                <w:sz w:val="22"/>
                <w:szCs w:val="22"/>
                <w:color w:val="auto"/>
              </w:rPr>
              <w:t>-</w:t>
            </w:r>
          </w:p>
        </w:tc>
        <w:tc>
          <w:tcPr>
            <w:tcW w:w="1760" w:type="dxa"/>
            <w:vAlign w:val="bottom"/>
            <w:gridSpan w:val="4"/>
          </w:tcPr>
          <w:p>
            <w:pPr>
              <w:jc w:val="right"/>
              <w:spacing w:after="0"/>
              <w:rPr>
                <w:sz w:val="20"/>
                <w:szCs w:val="20"/>
                <w:color w:val="auto"/>
              </w:rPr>
            </w:pPr>
            <w:r>
              <w:rPr>
                <w:rFonts w:ascii="Arial" w:cs="Arial" w:eastAsia="Arial" w:hAnsi="Arial"/>
                <w:sz w:val="22"/>
                <w:szCs w:val="22"/>
                <w:color w:val="auto"/>
              </w:rPr>
              <w:t>2,254</w:t>
            </w:r>
          </w:p>
        </w:tc>
        <w:tc>
          <w:tcPr>
            <w:tcW w:w="0" w:type="dxa"/>
            <w:vAlign w:val="bottom"/>
          </w:tcPr>
          <w:p>
            <w:pPr>
              <w:spacing w:after="0"/>
              <w:rPr>
                <w:sz w:val="1"/>
                <w:szCs w:val="1"/>
                <w:color w:val="auto"/>
              </w:rPr>
            </w:pPr>
          </w:p>
        </w:tc>
      </w:tr>
      <w:tr>
        <w:trPr>
          <w:trHeight w:val="275"/>
        </w:trPr>
        <w:tc>
          <w:tcPr>
            <w:tcW w:w="3100" w:type="dxa"/>
            <w:vAlign w:val="bottom"/>
            <w:gridSpan w:val="2"/>
          </w:tcPr>
          <w:p>
            <w:pPr>
              <w:ind w:left="180"/>
              <w:spacing w:after="0"/>
              <w:rPr>
                <w:sz w:val="20"/>
                <w:szCs w:val="20"/>
                <w:color w:val="auto"/>
              </w:rPr>
            </w:pPr>
            <w:r>
              <w:rPr>
                <w:rFonts w:ascii="Arial" w:cs="Arial" w:eastAsia="Arial" w:hAnsi="Arial"/>
                <w:sz w:val="22"/>
                <w:szCs w:val="22"/>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22"/>
                <w:szCs w:val="22"/>
                <w:color w:val="auto"/>
              </w:rPr>
              <w:t>(461)</w:t>
            </w:r>
          </w:p>
        </w:tc>
        <w:tc>
          <w:tcPr>
            <w:tcW w:w="1760" w:type="dxa"/>
            <w:vAlign w:val="bottom"/>
            <w:gridSpan w:val="4"/>
          </w:tcPr>
          <w:p>
            <w:pPr>
              <w:jc w:val="right"/>
              <w:spacing w:after="0"/>
              <w:rPr>
                <w:sz w:val="20"/>
                <w:szCs w:val="20"/>
                <w:color w:val="auto"/>
              </w:rPr>
            </w:pPr>
            <w:r>
              <w:rPr>
                <w:rFonts w:ascii="Arial" w:cs="Arial" w:eastAsia="Arial" w:hAnsi="Arial"/>
                <w:sz w:val="22"/>
                <w:szCs w:val="22"/>
                <w:color w:val="auto"/>
              </w:rPr>
              <w:t>(788)</w:t>
            </w:r>
          </w:p>
        </w:tc>
        <w:tc>
          <w:tcPr>
            <w:tcW w:w="0" w:type="dxa"/>
            <w:vAlign w:val="bottom"/>
          </w:tcPr>
          <w:p>
            <w:pPr>
              <w:spacing w:after="0"/>
              <w:rPr>
                <w:sz w:val="1"/>
                <w:szCs w:val="1"/>
                <w:color w:val="auto"/>
              </w:rPr>
            </w:pPr>
          </w:p>
        </w:tc>
      </w:tr>
      <w:tr>
        <w:trPr>
          <w:trHeight w:val="98"/>
        </w:trPr>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520" w:type="dxa"/>
            <w:vAlign w:val="bottom"/>
            <w:gridSpan w:val="3"/>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   56</w:t>
            </w:r>
          </w:p>
        </w:tc>
        <w:tc>
          <w:tcPr>
            <w:tcW w:w="1760" w:type="dxa"/>
            <w:vAlign w:val="bottom"/>
            <w:gridSpan w:val="4"/>
          </w:tcPr>
          <w:p>
            <w:pPr>
              <w:jc w:val="right"/>
              <w:spacing w:after="0"/>
              <w:rPr>
                <w:sz w:val="20"/>
                <w:szCs w:val="20"/>
                <w:color w:val="auto"/>
              </w:rPr>
            </w:pPr>
            <w:r>
              <w:rPr>
                <w:rFonts w:ascii="Arial" w:cs="Arial" w:eastAsia="Arial" w:hAnsi="Arial"/>
                <w:sz w:val="22"/>
                <w:szCs w:val="22"/>
                <w:color w:val="auto"/>
              </w:rPr>
              <w:t>$10,757</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570"/>
        </w:trPr>
        <w:tc>
          <w:tcPr>
            <w:tcW w:w="3100" w:type="dxa"/>
            <w:vAlign w:val="bottom"/>
            <w:gridSpan w:val="2"/>
          </w:tcPr>
          <w:p>
            <w:pPr>
              <w:spacing w:after="0"/>
              <w:rPr>
                <w:sz w:val="20"/>
                <w:szCs w:val="20"/>
                <w:color w:val="auto"/>
              </w:rPr>
            </w:pPr>
            <w:r>
              <w:rPr>
                <w:rFonts w:ascii="Arial" w:cs="Arial" w:eastAsia="Arial" w:hAnsi="Arial"/>
                <w:sz w:val="22"/>
                <w:szCs w:val="22"/>
                <w:b w:val="1"/>
                <w:bCs w:val="1"/>
                <w:color w:val="auto"/>
              </w:rPr>
              <w:t>Total identifiable assets</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Asia</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$ 470,283</w:t>
            </w:r>
          </w:p>
        </w:tc>
        <w:tc>
          <w:tcPr>
            <w:tcW w:w="17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$473,486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Europe</w:t>
            </w: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105,561</w:t>
            </w:r>
          </w:p>
        </w:tc>
        <w:tc>
          <w:tcPr>
            <w:tcW w:w="17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114,221</w:t>
            </w:r>
          </w:p>
        </w:tc>
        <w:tc>
          <w:tcPr>
            <w:tcW w:w="0" w:type="dxa"/>
            <w:vAlign w:val="bottom"/>
          </w:tcPr>
          <w:p>
            <w:pPr>
              <w:spacing w:after="0"/>
              <w:rPr>
                <w:sz w:val="1"/>
                <w:szCs w:val="1"/>
                <w:color w:val="auto"/>
              </w:rPr>
            </w:pPr>
          </w:p>
        </w:tc>
      </w:tr>
      <w:tr>
        <w:trPr>
          <w:trHeight w:val="275"/>
        </w:trPr>
        <w:tc>
          <w:tcPr>
            <w:tcW w:w="3100" w:type="dxa"/>
            <w:vAlign w:val="bottom"/>
            <w:gridSpan w:val="2"/>
          </w:tcPr>
          <w:p>
            <w:pPr>
              <w:ind w:left="180"/>
              <w:spacing w:after="0"/>
              <w:rPr>
                <w:sz w:val="20"/>
                <w:szCs w:val="20"/>
                <w:color w:val="auto"/>
              </w:rPr>
            </w:pPr>
            <w:r>
              <w:rPr>
                <w:rFonts w:ascii="Arial" w:cs="Arial" w:eastAsia="Arial" w:hAnsi="Arial"/>
                <w:sz w:val="22"/>
                <w:szCs w:val="22"/>
                <w:color w:val="auto"/>
              </w:rPr>
              <w:t>North America</w:t>
            </w:r>
          </w:p>
        </w:tc>
        <w:tc>
          <w:tcPr>
            <w:tcW w:w="1180" w:type="dxa"/>
            <w:vAlign w:val="bottom"/>
          </w:tcPr>
          <w:p>
            <w:pPr>
              <w:jc w:val="right"/>
              <w:spacing w:after="0"/>
              <w:rPr>
                <w:sz w:val="20"/>
                <w:szCs w:val="20"/>
                <w:color w:val="auto"/>
              </w:rPr>
            </w:pPr>
            <w:r>
              <w:rPr>
                <w:rFonts w:ascii="Arial" w:cs="Arial" w:eastAsia="Arial" w:hAnsi="Arial"/>
                <w:sz w:val="22"/>
                <w:szCs w:val="22"/>
                <w:color w:val="auto"/>
              </w:rPr>
              <w:t>504,179</w:t>
            </w:r>
          </w:p>
        </w:tc>
        <w:tc>
          <w:tcPr>
            <w:tcW w:w="1760" w:type="dxa"/>
            <w:vAlign w:val="bottom"/>
            <w:gridSpan w:val="4"/>
          </w:tcPr>
          <w:p>
            <w:pPr>
              <w:jc w:val="right"/>
              <w:spacing w:after="0"/>
              <w:rPr>
                <w:sz w:val="20"/>
                <w:szCs w:val="20"/>
                <w:color w:val="auto"/>
              </w:rPr>
            </w:pPr>
            <w:r>
              <w:rPr>
                <w:rFonts w:ascii="Arial" w:cs="Arial" w:eastAsia="Arial" w:hAnsi="Arial"/>
                <w:sz w:val="22"/>
                <w:szCs w:val="22"/>
                <w:color w:val="auto"/>
              </w:rPr>
              <w:t>375,031</w:t>
            </w:r>
          </w:p>
        </w:tc>
        <w:tc>
          <w:tcPr>
            <w:tcW w:w="0" w:type="dxa"/>
            <w:vAlign w:val="bottom"/>
          </w:tcPr>
          <w:p>
            <w:pPr>
              <w:spacing w:after="0"/>
              <w:rPr>
                <w:sz w:val="1"/>
                <w:szCs w:val="1"/>
                <w:color w:val="auto"/>
              </w:rPr>
            </w:pPr>
          </w:p>
        </w:tc>
      </w:tr>
      <w:tr>
        <w:trPr>
          <w:trHeight w:val="98"/>
        </w:trPr>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520" w:type="dxa"/>
            <w:vAlign w:val="bottom"/>
            <w:gridSpan w:val="3"/>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w w:val="98"/>
              </w:rPr>
              <w:t>$1,080,023</w:t>
            </w:r>
          </w:p>
        </w:tc>
        <w:tc>
          <w:tcPr>
            <w:tcW w:w="1760" w:type="dxa"/>
            <w:vAlign w:val="bottom"/>
            <w:gridSpan w:val="4"/>
          </w:tcPr>
          <w:p>
            <w:pPr>
              <w:jc w:val="right"/>
              <w:spacing w:after="0"/>
              <w:rPr>
                <w:sz w:val="20"/>
                <w:szCs w:val="20"/>
                <w:color w:val="auto"/>
              </w:rPr>
            </w:pPr>
            <w:r>
              <w:rPr>
                <w:rFonts w:ascii="Arial" w:cs="Arial" w:eastAsia="Arial" w:hAnsi="Arial"/>
                <w:sz w:val="22"/>
                <w:szCs w:val="22"/>
                <w:color w:val="auto"/>
              </w:rPr>
              <w:t>$962,738</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-2979420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-2979420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-2979420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-2979420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-1272540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-1272540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-1272540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-1272540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firstLine="266"/>
        <w:spacing w:after="0" w:line="251" w:lineRule="auto"/>
        <w:rPr>
          <w:sz w:val="20"/>
          <w:szCs w:val="20"/>
          <w:color w:val="auto"/>
        </w:rPr>
      </w:pPr>
      <w:r>
        <w:rPr>
          <w:rFonts w:ascii="Arial" w:cs="Arial" w:eastAsia="Arial" w:hAnsi="Arial"/>
          <w:sz w:val="22"/>
          <w:szCs w:val="22"/>
          <w:color w:val="auto"/>
        </w:rPr>
        <w:t>The Company is typically impacted during its first fiscal quarter by the North American and European holiday periods as some customers reduce their effective workdays and orders during this period.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INCOME TAXES</w:t>
      </w:r>
    </w:p>
    <w:p>
      <w:pPr>
        <w:spacing w:after="0" w:line="212" w:lineRule="exact"/>
        <w:rPr>
          <w:sz w:val="20"/>
          <w:szCs w:val="20"/>
          <w:color w:val="auto"/>
        </w:rPr>
      </w:pPr>
    </w:p>
    <w:p>
      <w:pPr>
        <w:jc w:val="both"/>
        <w:ind w:firstLine="266"/>
        <w:spacing w:after="0"/>
        <w:rPr>
          <w:sz w:val="20"/>
          <w:szCs w:val="20"/>
          <w:color w:val="auto"/>
        </w:rPr>
      </w:pPr>
      <w:r>
        <w:rPr>
          <w:rFonts w:ascii="Arial" w:cs="Arial" w:eastAsia="Arial" w:hAnsi="Arial"/>
          <w:sz w:val="22"/>
          <w:szCs w:val="22"/>
          <w:color w:val="auto"/>
        </w:rPr>
        <w:t>The income tax provision differs from the amount computed by applying the United States statutory rate of 35 percent to income before income taxes, primarily due to the Company's reduced tax rates in Korea and Taiwan and valuation allowances placed on its net deferred tax assets.</w:t>
      </w:r>
    </w:p>
    <w:p>
      <w:pPr>
        <w:spacing w:after="0" w:line="186" w:lineRule="exact"/>
        <w:rPr>
          <w:sz w:val="20"/>
          <w:szCs w:val="20"/>
          <w:color w:val="auto"/>
        </w:rPr>
      </w:pPr>
    </w:p>
    <w:p>
      <w:pPr>
        <w:ind w:right="40" w:firstLine="270"/>
        <w:spacing w:after="0" w:line="244" w:lineRule="auto"/>
        <w:rPr>
          <w:sz w:val="20"/>
          <w:szCs w:val="20"/>
          <w:color w:val="auto"/>
        </w:rPr>
      </w:pPr>
      <w:r>
        <w:rPr>
          <w:rFonts w:ascii="Arial" w:cs="Arial" w:eastAsia="Arial" w:hAnsi="Arial"/>
          <w:sz w:val="21"/>
          <w:szCs w:val="21"/>
          <w:color w:val="auto"/>
        </w:rPr>
        <w:t>In June 2006, the FASB issued FASB Interpretation Number 48 ("FIN 48"), "Accounting for Uncertainty in Income Taxes - an Interpretation of FASB Statement No. 109." The interpretation contains a two 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as of the beginning of its 2008 fiscal year. Prior to adoption, the Company's pre-existing policy was to establish reserves, including interest and penalties, for uncertain tax positions that reflected the probable outcome of known tax contingencies. As of the date of adoption of FIN 48, the Company has elected to recognize interest, and penalties if applicable, related to uncertain tax positions in the income tax provision in its condensed consolidated statements of operations. As compared to the Company's historical approach, the application of FIN 48 resulted in a net increase to accrued income taxes payable of approximately $1.0 million (including interest and penalties of approximately $0.2 million), and a decrease to retained earnings of the same amount. There were no significant changes to the liability for uncertain tax positions (or accrued interest and penalties) during the three months ended January 27, 2008.</w:t>
      </w:r>
    </w:p>
    <w:p>
      <w:pPr>
        <w:sectPr>
          <w:pgSz w:w="11900" w:h="16838" w:orient="portrait"/>
          <w:cols w:equalWidth="0" w:num="1">
            <w:col w:w="11400"/>
          </w:cols>
          <w:pgMar w:left="240" w:top="112" w:right="259" w:bottom="37" w:gutter="0" w:footer="0" w:header="0"/>
        </w:sectPr>
      </w:pPr>
    </w:p>
    <w:bookmarkStart w:id="11" w:name="page12"/>
    <w:bookmarkEnd w:id="11"/>
    <w:p>
      <w:pPr>
        <w:ind w:firstLine="258"/>
        <w:spacing w:after="0" w:line="241" w:lineRule="auto"/>
        <w:rPr>
          <w:sz w:val="20"/>
          <w:szCs w:val="20"/>
          <w:color w:val="auto"/>
        </w:rPr>
      </w:pPr>
      <w:r>
        <w:rPr>
          <w:rFonts w:ascii="Arial" w:cs="Arial" w:eastAsia="Arial" w:hAnsi="Arial"/>
          <w:sz w:val="22"/>
          <w:szCs w:val="22"/>
          <w:color w:val="auto"/>
        </w:rPr>
        <w:t>As of the date of adoption of FIN 48 the gross unrecognized tax benefits for income taxes associated with uncertain tax positions totaled approximately $3.5 million. If recognized, the benefits would favorably affect the Company’s effective rate in future periods.</w:t>
      </w:r>
    </w:p>
    <w:p>
      <w:pPr>
        <w:spacing w:after="0" w:line="184" w:lineRule="exact"/>
        <w:rPr>
          <w:sz w:val="20"/>
          <w:szCs w:val="20"/>
          <w:color w:val="auto"/>
        </w:rPr>
      </w:pPr>
    </w:p>
    <w:p>
      <w:pPr>
        <w:ind w:right="60" w:firstLine="270"/>
        <w:spacing w:after="0" w:line="238" w:lineRule="auto"/>
        <w:rPr>
          <w:sz w:val="20"/>
          <w:szCs w:val="20"/>
          <w:color w:val="auto"/>
        </w:rPr>
      </w:pPr>
      <w:r>
        <w:rPr>
          <w:rFonts w:ascii="Arial" w:cs="Arial" w:eastAsia="Arial" w:hAnsi="Arial"/>
          <w:sz w:val="22"/>
          <w:szCs w:val="22"/>
          <w:color w:val="auto"/>
        </w:rPr>
        <w:t>It is possible that material changes to the gross unrecognized tax benefits may be required during fiscal year 2008. These changes relate to possible settlements in the U.K., Korea and Germany during fiscal year 2008. Though the Company expects these items may result in a net reduction of its unrecognized tax benefits, an estimate of the expected reduction and related income tax benefit cannot be made at this time.</w:t>
      </w:r>
    </w:p>
    <w:p>
      <w:pPr>
        <w:spacing w:after="0" w:line="185" w:lineRule="exact"/>
        <w:rPr>
          <w:sz w:val="20"/>
          <w:szCs w:val="20"/>
          <w:color w:val="auto"/>
        </w:rPr>
      </w:pPr>
    </w:p>
    <w:p>
      <w:pPr>
        <w:ind w:right="540" w:firstLine="270"/>
        <w:spacing w:after="0" w:line="251" w:lineRule="auto"/>
        <w:rPr>
          <w:sz w:val="20"/>
          <w:szCs w:val="20"/>
          <w:color w:val="auto"/>
        </w:rPr>
      </w:pPr>
      <w:r>
        <w:rPr>
          <w:rFonts w:ascii="Arial" w:cs="Arial" w:eastAsia="Arial" w:hAnsi="Arial"/>
          <w:sz w:val="22"/>
          <w:szCs w:val="22"/>
          <w:color w:val="auto"/>
        </w:rPr>
        <w:t>Currently, the statutes of limitations in the U.S., U.K., Germany and Korea remain open subsequent to and including 2003, 2002, 2001 and 2003,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LONG -TERM BORROWINGS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Long-term borrowings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2"/>
                <w:szCs w:val="22"/>
                <w:b w:val="1"/>
                <w:bCs w:val="1"/>
                <w:color w:val="auto"/>
                <w:w w:val="92"/>
              </w:rPr>
              <w:t>January 27,</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w w:val="94"/>
              </w:rPr>
              <w:t>October 28,</w:t>
            </w:r>
          </w:p>
        </w:tc>
        <w:tc>
          <w:tcPr>
            <w:tcW w:w="0" w:type="dxa"/>
            <w:vAlign w:val="bottom"/>
          </w:tcPr>
          <w:p>
            <w:pPr>
              <w:spacing w:after="0"/>
              <w:rPr>
                <w:sz w:val="1"/>
                <w:szCs w:val="1"/>
                <w:color w:val="auto"/>
              </w:rPr>
            </w:pPr>
          </w:p>
        </w:tc>
      </w:tr>
      <w:tr>
        <w:trPr>
          <w:trHeight w:val="281"/>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ind w:right="312"/>
              <w:spacing w:after="0"/>
              <w:rPr>
                <w:sz w:val="20"/>
                <w:szCs w:val="20"/>
                <w:color w:val="auto"/>
              </w:rPr>
            </w:pPr>
            <w:r>
              <w:rPr>
                <w:rFonts w:ascii="Arial" w:cs="Arial" w:eastAsia="Arial" w:hAnsi="Arial"/>
                <w:sz w:val="22"/>
                <w:szCs w:val="22"/>
                <w:b w:val="1"/>
                <w:bCs w:val="1"/>
                <w:color w:val="auto"/>
              </w:rPr>
              <w:t>2008</w:t>
            </w:r>
          </w:p>
        </w:tc>
        <w:tc>
          <w:tcPr>
            <w:tcW w:w="14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3300" w:type="dxa"/>
            <w:vAlign w:val="bottom"/>
            <w:gridSpan w:val="2"/>
            <w:vMerge w:val="restart"/>
          </w:tcPr>
          <w:p>
            <w:pPr>
              <w:spacing w:after="0"/>
              <w:rPr>
                <w:sz w:val="20"/>
                <w:szCs w:val="20"/>
                <w:color w:val="auto"/>
              </w:rPr>
            </w:pPr>
            <w:r>
              <w:rPr>
                <w:rFonts w:ascii="Arial" w:cs="Arial" w:eastAsia="Arial" w:hAnsi="Arial"/>
                <w:sz w:val="22"/>
                <w:szCs w:val="22"/>
                <w:color w:val="auto"/>
              </w:rPr>
              <w:t>2.25% convertible subordinated</w:t>
            </w:r>
          </w:p>
        </w:tc>
        <w:tc>
          <w:tcPr>
            <w:tcW w:w="1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33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00" w:type="dxa"/>
            <w:vAlign w:val="bottom"/>
            <w:gridSpan w:val="2"/>
          </w:tcPr>
          <w:p>
            <w:pPr>
              <w:ind w:left="60"/>
              <w:spacing w:after="0"/>
              <w:rPr>
                <w:sz w:val="20"/>
                <w:szCs w:val="20"/>
                <w:color w:val="auto"/>
              </w:rPr>
            </w:pPr>
            <w:r>
              <w:rPr>
                <w:rFonts w:ascii="Arial" w:cs="Arial" w:eastAsia="Arial" w:hAnsi="Arial"/>
                <w:sz w:val="22"/>
                <w:szCs w:val="22"/>
                <w:color w:val="auto"/>
              </w:rPr>
              <w:t>notes due April 15, 2008</w:t>
            </w:r>
          </w:p>
        </w:tc>
        <w:tc>
          <w:tcPr>
            <w:tcW w:w="1240" w:type="dxa"/>
            <w:vAlign w:val="bottom"/>
          </w:tcPr>
          <w:p>
            <w:pPr>
              <w:jc w:val="right"/>
              <w:spacing w:after="0"/>
              <w:rPr>
                <w:sz w:val="20"/>
                <w:szCs w:val="20"/>
                <w:color w:val="auto"/>
              </w:rPr>
            </w:pPr>
            <w:r>
              <w:rPr>
                <w:rFonts w:ascii="Arial" w:cs="Arial" w:eastAsia="Arial" w:hAnsi="Arial"/>
                <w:sz w:val="22"/>
                <w:szCs w:val="22"/>
                <w:color w:val="auto"/>
              </w:rPr>
              <w:t>$150,000</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$150,000</w:t>
            </w:r>
          </w:p>
        </w:tc>
        <w:tc>
          <w:tcPr>
            <w:tcW w:w="0" w:type="dxa"/>
            <w:vAlign w:val="bottom"/>
          </w:tcPr>
          <w:p>
            <w:pPr>
              <w:spacing w:after="0"/>
              <w:rPr>
                <w:sz w:val="1"/>
                <w:szCs w:val="1"/>
                <w:color w:val="auto"/>
              </w:rPr>
            </w:pPr>
          </w:p>
        </w:tc>
      </w:tr>
      <w:tr>
        <w:trPr>
          <w:trHeight w:val="486"/>
        </w:trPr>
        <w:tc>
          <w:tcPr>
            <w:tcW w:w="3300" w:type="dxa"/>
            <w:vAlign w:val="bottom"/>
            <w:gridSpan w:val="2"/>
          </w:tcPr>
          <w:p>
            <w:pPr>
              <w:spacing w:after="0"/>
              <w:rPr>
                <w:sz w:val="20"/>
                <w:szCs w:val="20"/>
                <w:color w:val="auto"/>
              </w:rPr>
            </w:pPr>
            <w:r>
              <w:rPr>
                <w:rFonts w:ascii="Arial" w:cs="Arial" w:eastAsia="Arial" w:hAnsi="Arial"/>
                <w:sz w:val="22"/>
                <w:szCs w:val="22"/>
                <w:color w:val="auto"/>
              </w:rPr>
              <w:t>Unsecured foreign notes payable</w:t>
            </w:r>
          </w:p>
        </w:tc>
        <w:tc>
          <w:tcPr>
            <w:tcW w:w="1240" w:type="dxa"/>
            <w:vAlign w:val="bottom"/>
          </w:tcPr>
          <w:p>
            <w:pPr>
              <w:jc w:val="right"/>
              <w:spacing w:after="0"/>
              <w:rPr>
                <w:sz w:val="20"/>
                <w:szCs w:val="20"/>
                <w:color w:val="auto"/>
              </w:rPr>
            </w:pPr>
            <w:r>
              <w:rPr>
                <w:rFonts w:ascii="Arial" w:cs="Arial" w:eastAsia="Arial" w:hAnsi="Arial"/>
                <w:sz w:val="22"/>
                <w:szCs w:val="22"/>
                <w:color w:val="auto"/>
              </w:rPr>
              <w:t>27,760</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25,823</w:t>
            </w:r>
          </w:p>
        </w:tc>
        <w:tc>
          <w:tcPr>
            <w:tcW w:w="0" w:type="dxa"/>
            <w:vAlign w:val="bottom"/>
          </w:tcPr>
          <w:p>
            <w:pPr>
              <w:spacing w:after="0"/>
              <w:rPr>
                <w:sz w:val="1"/>
                <w:szCs w:val="1"/>
                <w:color w:val="auto"/>
              </w:rPr>
            </w:pPr>
          </w:p>
        </w:tc>
      </w:tr>
      <w:tr>
        <w:trPr>
          <w:trHeight w:val="455"/>
        </w:trPr>
        <w:tc>
          <w:tcPr>
            <w:tcW w:w="3300" w:type="dxa"/>
            <w:vAlign w:val="bottom"/>
            <w:gridSpan w:val="2"/>
          </w:tcPr>
          <w:p>
            <w:pPr>
              <w:spacing w:after="0"/>
              <w:rPr>
                <w:sz w:val="20"/>
                <w:szCs w:val="20"/>
                <w:color w:val="auto"/>
              </w:rPr>
            </w:pPr>
            <w:r>
              <w:rPr>
                <w:rFonts w:ascii="Arial" w:cs="Arial" w:eastAsia="Arial" w:hAnsi="Arial"/>
                <w:sz w:val="22"/>
                <w:szCs w:val="22"/>
                <w:color w:val="auto"/>
              </w:rPr>
              <w:t>5.6% capital lease obligation due</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00" w:type="dxa"/>
            <w:vAlign w:val="bottom"/>
            <w:gridSpan w:val="2"/>
          </w:tcPr>
          <w:p>
            <w:pPr>
              <w:ind w:left="60"/>
              <w:spacing w:after="0"/>
              <w:rPr>
                <w:sz w:val="20"/>
                <w:szCs w:val="20"/>
                <w:color w:val="auto"/>
              </w:rPr>
            </w:pPr>
            <w:r>
              <w:rPr>
                <w:rFonts w:ascii="Arial" w:cs="Arial" w:eastAsia="Arial" w:hAnsi="Arial"/>
                <w:sz w:val="22"/>
                <w:szCs w:val="22"/>
                <w:color w:val="auto"/>
              </w:rPr>
              <w:t>October 2012</w:t>
            </w:r>
          </w:p>
        </w:tc>
        <w:tc>
          <w:tcPr>
            <w:tcW w:w="1240" w:type="dxa"/>
            <w:vAlign w:val="bottom"/>
          </w:tcPr>
          <w:p>
            <w:pPr>
              <w:jc w:val="right"/>
              <w:spacing w:after="0"/>
              <w:rPr>
                <w:sz w:val="20"/>
                <w:szCs w:val="20"/>
                <w:color w:val="auto"/>
              </w:rPr>
            </w:pPr>
            <w:r>
              <w:rPr>
                <w:rFonts w:ascii="Arial" w:cs="Arial" w:eastAsia="Arial" w:hAnsi="Arial"/>
                <w:sz w:val="22"/>
                <w:szCs w:val="22"/>
                <w:color w:val="auto"/>
              </w:rPr>
              <w:t>19,335</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19,912</w:t>
            </w:r>
          </w:p>
        </w:tc>
        <w:tc>
          <w:tcPr>
            <w:tcW w:w="0" w:type="dxa"/>
            <w:vAlign w:val="bottom"/>
          </w:tcPr>
          <w:p>
            <w:pPr>
              <w:spacing w:after="0"/>
              <w:rPr>
                <w:sz w:val="1"/>
                <w:szCs w:val="1"/>
                <w:color w:val="auto"/>
              </w:rPr>
            </w:pPr>
          </w:p>
        </w:tc>
      </w:tr>
      <w:tr>
        <w:trPr>
          <w:trHeight w:val="455"/>
        </w:trPr>
        <w:tc>
          <w:tcPr>
            <w:tcW w:w="3300" w:type="dxa"/>
            <w:vAlign w:val="bottom"/>
            <w:gridSpan w:val="2"/>
          </w:tcPr>
          <w:p>
            <w:pPr>
              <w:spacing w:after="0"/>
              <w:rPr>
                <w:sz w:val="20"/>
                <w:szCs w:val="20"/>
                <w:color w:val="auto"/>
              </w:rPr>
            </w:pPr>
            <w:r>
              <w:rPr>
                <w:rFonts w:ascii="Arial" w:cs="Arial" w:eastAsia="Arial" w:hAnsi="Arial"/>
                <w:sz w:val="22"/>
                <w:szCs w:val="22"/>
                <w:color w:val="auto"/>
              </w:rPr>
              <w:t>8.0% capital lease obligation due</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00" w:type="dxa"/>
            <w:vAlign w:val="bottom"/>
            <w:gridSpan w:val="2"/>
          </w:tcPr>
          <w:p>
            <w:pPr>
              <w:ind w:left="60"/>
              <w:spacing w:after="0"/>
              <w:rPr>
                <w:sz w:val="20"/>
                <w:szCs w:val="20"/>
                <w:color w:val="auto"/>
              </w:rPr>
            </w:pPr>
            <w:r>
              <w:rPr>
                <w:rFonts w:ascii="Arial" w:cs="Arial" w:eastAsia="Arial" w:hAnsi="Arial"/>
                <w:sz w:val="22"/>
                <w:szCs w:val="22"/>
                <w:color w:val="auto"/>
              </w:rPr>
              <w:t>January 2013</w:t>
            </w:r>
          </w:p>
        </w:tc>
        <w:tc>
          <w:tcPr>
            <w:tcW w:w="1240" w:type="dxa"/>
            <w:vAlign w:val="bottom"/>
          </w:tcPr>
          <w:p>
            <w:pPr>
              <w:jc w:val="right"/>
              <w:spacing w:after="0"/>
              <w:rPr>
                <w:sz w:val="20"/>
                <w:szCs w:val="20"/>
                <w:color w:val="auto"/>
              </w:rPr>
            </w:pPr>
            <w:r>
              <w:rPr>
                <w:rFonts w:ascii="Arial" w:cs="Arial" w:eastAsia="Arial" w:hAnsi="Arial"/>
                <w:sz w:val="22"/>
                <w:szCs w:val="22"/>
                <w:color w:val="auto"/>
              </w:rPr>
              <w:t>61,661</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98"/>
        </w:trPr>
        <w:tc>
          <w:tcPr>
            <w:tcW w:w="3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258,756</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195,735</w:t>
            </w:r>
          </w:p>
        </w:tc>
        <w:tc>
          <w:tcPr>
            <w:tcW w:w="0" w:type="dxa"/>
            <w:vAlign w:val="bottom"/>
          </w:tcPr>
          <w:p>
            <w:pPr>
              <w:spacing w:after="0"/>
              <w:rPr>
                <w:sz w:val="1"/>
                <w:szCs w:val="1"/>
                <w:color w:val="auto"/>
              </w:rPr>
            </w:pPr>
          </w:p>
        </w:tc>
      </w:tr>
      <w:tr>
        <w:trPr>
          <w:trHeight w:val="275"/>
        </w:trPr>
        <w:tc>
          <w:tcPr>
            <w:tcW w:w="3300" w:type="dxa"/>
            <w:vAlign w:val="bottom"/>
            <w:gridSpan w:val="2"/>
          </w:tcPr>
          <w:p>
            <w:pPr>
              <w:spacing w:after="0"/>
              <w:rPr>
                <w:sz w:val="20"/>
                <w:szCs w:val="20"/>
                <w:color w:val="auto"/>
              </w:rPr>
            </w:pPr>
            <w:r>
              <w:rPr>
                <w:rFonts w:ascii="Arial" w:cs="Arial" w:eastAsia="Arial" w:hAnsi="Arial"/>
                <w:sz w:val="22"/>
                <w:szCs w:val="22"/>
                <w:color w:val="auto"/>
              </w:rPr>
              <w:t>Less current portion</w:t>
            </w:r>
          </w:p>
        </w:tc>
        <w:tc>
          <w:tcPr>
            <w:tcW w:w="1240" w:type="dxa"/>
            <w:vAlign w:val="bottom"/>
          </w:tcPr>
          <w:p>
            <w:pPr>
              <w:jc w:val="right"/>
              <w:spacing w:after="0"/>
              <w:rPr>
                <w:sz w:val="20"/>
                <w:szCs w:val="20"/>
                <w:color w:val="auto"/>
              </w:rPr>
            </w:pPr>
            <w:r>
              <w:rPr>
                <w:rFonts w:ascii="Arial" w:cs="Arial" w:eastAsia="Arial" w:hAnsi="Arial"/>
                <w:sz w:val="22"/>
                <w:szCs w:val="22"/>
                <w:color w:val="auto"/>
              </w:rPr>
              <w:t>16,019</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4,482</w:t>
            </w:r>
          </w:p>
        </w:tc>
        <w:tc>
          <w:tcPr>
            <w:tcW w:w="0" w:type="dxa"/>
            <w:vAlign w:val="bottom"/>
          </w:tcPr>
          <w:p>
            <w:pPr>
              <w:spacing w:after="0"/>
              <w:rPr>
                <w:sz w:val="1"/>
                <w:szCs w:val="1"/>
                <w:color w:val="auto"/>
              </w:rPr>
            </w:pPr>
          </w:p>
        </w:tc>
      </w:tr>
      <w:tr>
        <w:trPr>
          <w:trHeight w:val="98"/>
        </w:trPr>
        <w:tc>
          <w:tcPr>
            <w:tcW w:w="3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$242,737</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$191,253</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firstLine="270"/>
        <w:spacing w:after="0" w:line="279" w:lineRule="auto"/>
        <w:rPr>
          <w:sz w:val="20"/>
          <w:szCs w:val="20"/>
          <w:color w:val="auto"/>
        </w:rPr>
      </w:pPr>
      <w:r>
        <w:rPr>
          <w:rFonts w:ascii="Arial" w:cs="Arial" w:eastAsia="Arial" w:hAnsi="Arial"/>
          <w:sz w:val="19"/>
          <w:szCs w:val="19"/>
          <w:color w:val="auto"/>
        </w:rPr>
        <w:t>During the three months ended January 27, 2008, a capital lease agreement commenced and was also modified for the U.S. Nanofab. Quarterly lease payments, which bear interest at 8%, are $3.8 million for the period April 2008 through January 2013. Total lease amounts payable are $75.4 million of which $61.7 million represents principal and $13.7 million represents interest. At the end of the 5-year lease term, ownership of the property transfers to the Company. The modification during the three months ended January 27, 2008 changed the initial lease payment from January 1, 2008 to April 1, 2008, the final lease payment from October 1, 2012 to January 1, 2013, and increased the total payments under the lease from $73.9 million to $75.4 million.</w:t>
      </w:r>
    </w:p>
    <w:p>
      <w:pPr>
        <w:spacing w:after="0" w:line="151" w:lineRule="exact"/>
        <w:rPr>
          <w:sz w:val="20"/>
          <w:szCs w:val="20"/>
          <w:color w:val="auto"/>
        </w:rPr>
      </w:pPr>
    </w:p>
    <w:p>
      <w:pPr>
        <w:ind w:right="60" w:firstLine="270"/>
        <w:spacing w:after="0" w:line="273" w:lineRule="auto"/>
        <w:rPr>
          <w:sz w:val="20"/>
          <w:szCs w:val="20"/>
          <w:color w:val="auto"/>
        </w:rPr>
      </w:pPr>
      <w:r>
        <w:rPr>
          <w:rFonts w:ascii="Arial" w:cs="Arial" w:eastAsia="Arial" w:hAnsi="Arial"/>
          <w:sz w:val="19"/>
          <w:szCs w:val="19"/>
          <w:color w:val="auto"/>
        </w:rPr>
        <w:t>On June 6, 2007, the Company entered into a credit agreement with a group of financial institutions that provides for a 5-year, revolving credit facility ("credit facility") with an aggregate commitment of $155 million at January 27, 2008. In connection therewith, the Company has classified its $150 million, 2.25% convertible subordinated notes due April 15, 2008 as long-term. The credit facility allows for borrowings in various currencies. The applicable interest rate spread and facility fee vary based upon the Company's senior leverage ratio. Under the terms of the credit facility, the Company is subject to compliance with certain financial and other covenants, as defined, including, but not limited to: Senior Leverage Ratio, Total Leverage Ratio, and Minimum Unrestricted Cash Balances. The credit facility also limits the amounts of both secured and unsecured debt. The credit facility is secured by a pledge of the Company's stock in certain of its subsidiaries. Borrowings under the credit facility bear interest at a LIBOR rate, as defined, plus a spread based on the Company's senior leverage ratio. As of January 27, 2008, $3.3 million of the credit facility was utilized for a standby letter of credit, and the remaining balance of $151.7 million was available to the Company.</w:t>
      </w:r>
    </w:p>
    <w:p>
      <w:pPr>
        <w:spacing w:after="0" w:line="162"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In October 2007, the Company entered into a capital lease agreement in the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CONTINGENCIES</w:t>
      </w:r>
    </w:p>
    <w:p>
      <w:pPr>
        <w:sectPr>
          <w:pgSz w:w="11900" w:h="16838" w:orient="portrait"/>
          <w:cols w:equalWidth="0" w:num="1">
            <w:col w:w="11420"/>
          </w:cols>
          <w:pgMar w:left="240" w:top="118" w:right="239" w:bottom="0" w:gutter="0" w:footer="0" w:header="0"/>
        </w:sectPr>
      </w:pPr>
    </w:p>
    <w:bookmarkStart w:id="12" w:name="page13"/>
    <w:bookmarkEnd w:id="12"/>
    <w:p>
      <w:pPr>
        <w:ind w:left="260"/>
        <w:spacing w:after="0"/>
        <w:rPr>
          <w:sz w:val="20"/>
          <w:szCs w:val="20"/>
          <w:color w:val="auto"/>
        </w:rPr>
      </w:pPr>
      <w:r>
        <w:rPr>
          <w:rFonts w:ascii="Arial" w:cs="Arial" w:eastAsia="Arial" w:hAnsi="Arial"/>
          <w:sz w:val="19"/>
          <w:szCs w:val="19"/>
          <w:color w:val="auto"/>
        </w:rPr>
        <w:t>As of January 27, 2008, the Company had commitments outstanding for capital expenditures of approximately $25 million.</w:t>
      </w:r>
    </w:p>
    <w:p>
      <w:pPr>
        <w:spacing w:after="0" w:line="241" w:lineRule="exact"/>
        <w:rPr>
          <w:sz w:val="20"/>
          <w:szCs w:val="20"/>
          <w:color w:val="auto"/>
        </w:rPr>
      </w:pPr>
    </w:p>
    <w:p>
      <w:pPr>
        <w:ind w:right="360" w:firstLine="266"/>
        <w:spacing w:after="0" w:line="274" w:lineRule="auto"/>
        <w:rPr>
          <w:sz w:val="20"/>
          <w:szCs w:val="20"/>
          <w:color w:val="auto"/>
        </w:rPr>
      </w:pPr>
      <w:r>
        <w:rPr>
          <w:rFonts w:ascii="Arial" w:cs="Arial" w:eastAsia="Arial" w:hAnsi="Arial"/>
          <w:sz w:val="21"/>
          <w:szCs w:val="21"/>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RECENT ACCOUNTING PRONOUNCEMENTS</w:t>
      </w:r>
    </w:p>
    <w:p>
      <w:pPr>
        <w:spacing w:after="0" w:line="212" w:lineRule="exact"/>
        <w:rPr>
          <w:sz w:val="20"/>
          <w:szCs w:val="20"/>
          <w:color w:val="auto"/>
        </w:rPr>
      </w:pPr>
    </w:p>
    <w:p>
      <w:pPr>
        <w:ind w:right="140" w:firstLine="324"/>
        <w:spacing w:after="0" w:line="248" w:lineRule="auto"/>
        <w:rPr>
          <w:sz w:val="20"/>
          <w:szCs w:val="20"/>
          <w:color w:val="auto"/>
        </w:rPr>
      </w:pPr>
      <w:r>
        <w:rPr>
          <w:rFonts w:ascii="Arial" w:cs="Arial" w:eastAsia="Arial" w:hAnsi="Arial"/>
          <w:sz w:val="21"/>
          <w:szCs w:val="21"/>
          <w:color w:val="auto"/>
        </w:rPr>
        <w:t>In December 2007, the Financial Accounting Standards Board ("FASB") issued Statement of Financial Accounting Standards ("SFAS") No. 160, "Noncontrolling Interests in Consolidated Financial Statements - an amendment of Accounting Research Bulletin No. 51." SFAS No. 160 establishes accounting and reporting standards for the noncontrolling interest in a subsidiary for the deconsolidation of a subsidiary. SFAS No. 160 is effective for financial statements issued for fiscal years beginning after December 15, 2008, and interim statements within those fiscal years. The Company is currently evaluating the impact, if any, SFAS No. 160 will have on its consolidated financial statements.</w:t>
      </w:r>
    </w:p>
    <w:p>
      <w:pPr>
        <w:spacing w:after="0" w:line="177" w:lineRule="exact"/>
        <w:rPr>
          <w:sz w:val="20"/>
          <w:szCs w:val="20"/>
          <w:color w:val="auto"/>
        </w:rPr>
      </w:pPr>
    </w:p>
    <w:p>
      <w:pPr>
        <w:ind w:firstLine="270"/>
        <w:spacing w:after="0" w:line="277" w:lineRule="auto"/>
        <w:rPr>
          <w:sz w:val="20"/>
          <w:szCs w:val="20"/>
          <w:color w:val="auto"/>
        </w:rPr>
      </w:pPr>
      <w:r>
        <w:rPr>
          <w:rFonts w:ascii="Arial" w:cs="Arial" w:eastAsia="Arial" w:hAnsi="Arial"/>
          <w:sz w:val="19"/>
          <w:szCs w:val="19"/>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is effective for financial statements issued for fiscal years beginning after December 15, 2008, and interim statements within those fiscal years. The Company is currently evaluating the impact, if any, SFAS No. 141R will have on its consolidated financial statements.</w:t>
      </w:r>
    </w:p>
    <w:p>
      <w:pPr>
        <w:spacing w:after="0" w:line="153" w:lineRule="exact"/>
        <w:rPr>
          <w:sz w:val="20"/>
          <w:szCs w:val="20"/>
          <w:color w:val="auto"/>
        </w:rPr>
      </w:pPr>
    </w:p>
    <w:p>
      <w:pPr>
        <w:ind w:right="120" w:firstLine="270"/>
        <w:spacing w:after="0" w:line="236" w:lineRule="auto"/>
        <w:rPr>
          <w:sz w:val="20"/>
          <w:szCs w:val="20"/>
          <w:color w:val="auto"/>
        </w:rPr>
      </w:pPr>
      <w:r>
        <w:rPr>
          <w:rFonts w:ascii="Arial" w:cs="Arial" w:eastAsia="Arial" w:hAnsi="Arial"/>
          <w:sz w:val="22"/>
          <w:szCs w:val="22"/>
          <w:color w:val="auto"/>
        </w:rPr>
        <w:t>In February 2007, the FASB issued SFAS No. 159, "The Fair Value Option for Financial Assets and Financial Liabilities-Including an Amendment of FASB Statement No. 115." SFAS No. 159 permits entities to choose to measure many financial instruments and certain other items at fair value, and is effective as of the beginning of an entity's first fiscal year that begins after November 15, 2007. The Company is currently evaluating the impact that the adoption of SFAS No. 159 will have on its consolidated financial statements.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firstLine="270"/>
        <w:spacing w:after="0" w:line="271" w:lineRule="auto"/>
        <w:rPr>
          <w:sz w:val="20"/>
          <w:szCs w:val="20"/>
          <w:color w:val="auto"/>
        </w:rPr>
      </w:pPr>
      <w:r>
        <w:rPr>
          <w:rFonts w:ascii="Arial" w:cs="Arial" w:eastAsia="Arial" w:hAnsi="Arial"/>
          <w:sz w:val="19"/>
          <w:szCs w:val="19"/>
          <w:color w:val="auto"/>
        </w:rPr>
        <w:t>In September 2006, the FASB issued SFAS No. 157, “Fair Value Measurements,” which provides a consistent definition of fair value which focuses on exit price and prioritizes, within a measurement of fair value, the use of market-based inputs over entity-specific inputs. SFAS No. 157 requires expanded disclosures about fair value measurements and establishes a three-level hierarchy for fair value measurements based on the transparency of inputs to the valuation of an asset or liability as of the measurement date. The standard also requires that a company use its own nonperformance risk when measuring liabilities carried at fair value, including derivatives. In February 2008, the FASB approved a FASB Staff Position ("FSP") that permits companies to partially defer the effective date of SFAS No. 157 for one year for nonfinancial assets and nonfinancial liabilities that are recognized or disclosed at fair value in the financial statements on a nonrecurring basis. The FSP did not permit companies to defer recognition and disclosure requirements for financial assets and financial liabilities or for nonfinancial assets and nonfinancial liabilities that are remeasured at least annually. SFAS No. 157 is effective for financial assets and financial liabilities and for nonfinancial assets and nonfinancial liabilities that are remeasured at least annually for financial statements issued for fiscal years beginning after November 15, 2007 and interim periods within those fiscal years. The provisions of SFAS No. 157 will be applied prospectively. The Company intends to defer adoption of SFAS No. 157 for one year for nonfinancial assets and nonfinancial liabilities that are recognized or disclosed at fair value in the financial statements on a nonrecurring basis. The Company is currently evaluating the effects, if any, that SFAS No. 157 may have on its financial condition and results of operations.</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MANAGEMENT'S DISCUSSION AND ANALYSIS</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OF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ind w:right="120" w:firstLine="270"/>
        <w:spacing w:after="0" w:line="249" w:lineRule="auto"/>
        <w:rPr>
          <w:sz w:val="20"/>
          <w:szCs w:val="20"/>
          <w:color w:val="auto"/>
        </w:rPr>
      </w:pPr>
      <w:r>
        <w:rPr>
          <w:rFonts w:ascii="Arial" w:cs="Arial" w:eastAsia="Arial" w:hAnsi="Arial"/>
          <w:sz w:val="21"/>
          <w:szCs w:val="21"/>
          <w:color w:val="auto"/>
        </w:rPr>
        <w:t>Management's discussion and analysis of the Company's financial condition, business results and outlook should be read in conjunction with its condensed consolidated financial statements and related notes. Various segments of this MD&amp;A do contain forward-looking statements, all of which are presented based on current expectations and may be adversely affected by uncertainties and risk factors presented throughout this filing and the Company's Annual Report on Form 10-K for the fiscal 2007 year, leading actual results to materially differ from these expectations.</w:t>
      </w:r>
    </w:p>
    <w:p>
      <w:pPr>
        <w:spacing w:after="0" w:line="179" w:lineRule="exact"/>
        <w:rPr>
          <w:sz w:val="20"/>
          <w:szCs w:val="20"/>
          <w:color w:val="auto"/>
        </w:rPr>
      </w:pPr>
    </w:p>
    <w:p>
      <w:pPr>
        <w:ind w:right="60" w:firstLine="266"/>
        <w:spacing w:after="0" w:line="274" w:lineRule="auto"/>
        <w:rPr>
          <w:sz w:val="20"/>
          <w:szCs w:val="20"/>
          <w:color w:val="auto"/>
        </w:rPr>
      </w:pPr>
      <w:r>
        <w:rPr>
          <w:rFonts w:ascii="Arial" w:cs="Arial" w:eastAsia="Arial" w:hAnsi="Arial"/>
          <w:sz w:val="19"/>
          <w:szCs w:val="19"/>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In addition, the reduced use of customized ICs, reductions in design complexity or other changes in the technology or methods of manufacturing semiconductors or a slowdown in the introduction of new semiconductor or FPD</w:t>
      </w:r>
    </w:p>
    <w:p>
      <w:pPr>
        <w:sectPr>
          <w:pgSz w:w="11900" w:h="16838" w:orient="portrait"/>
          <w:cols w:equalWidth="0" w:num="1">
            <w:col w:w="11340"/>
          </w:cols>
          <w:pgMar w:left="240" w:top="118" w:right="319" w:bottom="0" w:gutter="0" w:footer="0" w:header="0"/>
        </w:sectPr>
      </w:pPr>
    </w:p>
    <w:bookmarkStart w:id="13" w:name="page14"/>
    <w:bookmarkEnd w:id="13"/>
    <w:p>
      <w:pPr>
        <w:spacing w:after="0" w:line="4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designs could reduce demand for photomasks even if demand for semiconductors and FPDs increases. Advances in semiconductor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Changes in Results of Operations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Months ended January 27, 2008 versus January 28, 2007</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represents selected operating information expressed as a percentage of net sales: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3"/>
          </w:tcPr>
          <w:p>
            <w:pPr>
              <w:jc w:val="right"/>
              <w:ind w:right="352"/>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98"/>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7"/>
              </w:rPr>
              <w:t>January 27,</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7"/>
              </w:rPr>
              <w:t>January 28,</w:t>
            </w:r>
          </w:p>
        </w:tc>
        <w:tc>
          <w:tcPr>
            <w:tcW w:w="0" w:type="dxa"/>
            <w:vAlign w:val="bottom"/>
          </w:tcPr>
          <w:p>
            <w:pPr>
              <w:spacing w:after="0"/>
              <w:rPr>
                <w:sz w:val="1"/>
                <w:szCs w:val="1"/>
                <w:color w:val="auto"/>
              </w:rPr>
            </w:pPr>
          </w:p>
        </w:tc>
      </w:tr>
      <w:tr>
        <w:trPr>
          <w:trHeight w:val="281"/>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252"/>
              <w:spacing w:after="0"/>
              <w:rPr>
                <w:sz w:val="20"/>
                <w:szCs w:val="20"/>
                <w:color w:val="auto"/>
              </w:rPr>
            </w:pPr>
            <w:r>
              <w:rPr>
                <w:rFonts w:ascii="Arial" w:cs="Arial" w:eastAsia="Arial" w:hAnsi="Arial"/>
                <w:sz w:val="22"/>
                <w:szCs w:val="22"/>
                <w:b w:val="1"/>
                <w:bCs w:val="1"/>
                <w:color w:val="auto"/>
              </w:rPr>
              <w:t>2008</w:t>
            </w:r>
          </w:p>
        </w:tc>
        <w:tc>
          <w:tcPr>
            <w:tcW w:w="1740" w:type="dxa"/>
            <w:vAlign w:val="bottom"/>
            <w:gridSpan w:val="2"/>
          </w:tcPr>
          <w:p>
            <w:pPr>
              <w:jc w:val="right"/>
              <w:ind w:right="252"/>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4460" w:type="dxa"/>
            <w:vAlign w:val="bottom"/>
            <w:gridSpan w:val="2"/>
          </w:tcPr>
          <w:p>
            <w:pPr>
              <w:spacing w:after="0"/>
              <w:rPr>
                <w:sz w:val="20"/>
                <w:szCs w:val="20"/>
                <w:color w:val="auto"/>
              </w:rPr>
            </w:pPr>
            <w:r>
              <w:rPr>
                <w:rFonts w:ascii="Arial" w:cs="Arial" w:eastAsia="Arial" w:hAnsi="Arial"/>
                <w:sz w:val="22"/>
                <w:szCs w:val="22"/>
                <w:color w:val="auto"/>
              </w:rPr>
              <w:t>Net sales</w:t>
            </w: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100.0%</w:t>
            </w:r>
          </w:p>
        </w:tc>
        <w:tc>
          <w:tcPr>
            <w:tcW w:w="1740" w:type="dxa"/>
            <w:vAlign w:val="bottom"/>
            <w:gridSpan w:val="2"/>
          </w:tcPr>
          <w:p>
            <w:pPr>
              <w:jc w:val="right"/>
              <w:ind w:right="32"/>
              <w:spacing w:after="0"/>
              <w:rPr>
                <w:sz w:val="20"/>
                <w:szCs w:val="20"/>
                <w:color w:val="auto"/>
              </w:rPr>
            </w:pPr>
            <w:r>
              <w:rPr>
                <w:rFonts w:ascii="Arial" w:cs="Arial" w:eastAsia="Arial" w:hAnsi="Arial"/>
                <w:sz w:val="22"/>
                <w:szCs w:val="22"/>
                <w:color w:val="auto"/>
              </w:rPr>
              <w:t>100.0%</w:t>
            </w:r>
          </w:p>
        </w:tc>
        <w:tc>
          <w:tcPr>
            <w:tcW w:w="0" w:type="dxa"/>
            <w:vAlign w:val="bottom"/>
          </w:tcPr>
          <w:p>
            <w:pPr>
              <w:spacing w:after="0"/>
              <w:rPr>
                <w:sz w:val="1"/>
                <w:szCs w:val="1"/>
                <w:color w:val="auto"/>
              </w:rPr>
            </w:pPr>
          </w:p>
        </w:tc>
      </w:tr>
      <w:tr>
        <w:trPr>
          <w:trHeight w:val="275"/>
        </w:trPr>
        <w:tc>
          <w:tcPr>
            <w:tcW w:w="4460" w:type="dxa"/>
            <w:vAlign w:val="bottom"/>
            <w:gridSpan w:val="2"/>
          </w:tcPr>
          <w:p>
            <w:pPr>
              <w:spacing w:after="0"/>
              <w:rPr>
                <w:sz w:val="20"/>
                <w:szCs w:val="20"/>
                <w:color w:val="auto"/>
              </w:rPr>
            </w:pPr>
            <w:r>
              <w:rPr>
                <w:rFonts w:ascii="Arial" w:cs="Arial" w:eastAsia="Arial" w:hAnsi="Arial"/>
                <w:sz w:val="22"/>
                <w:szCs w:val="22"/>
                <w:color w:val="auto"/>
              </w:rPr>
              <w:t>Cost of sales</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(80.0)</w:t>
            </w:r>
          </w:p>
        </w:tc>
        <w:tc>
          <w:tcPr>
            <w:tcW w:w="1740" w:type="dxa"/>
            <w:vAlign w:val="bottom"/>
            <w:gridSpan w:val="2"/>
          </w:tcPr>
          <w:p>
            <w:pPr>
              <w:jc w:val="right"/>
              <w:ind w:right="132"/>
              <w:spacing w:after="0"/>
              <w:rPr>
                <w:sz w:val="20"/>
                <w:szCs w:val="20"/>
                <w:color w:val="auto"/>
              </w:rPr>
            </w:pPr>
            <w:r>
              <w:rPr>
                <w:rFonts w:ascii="Arial" w:cs="Arial" w:eastAsia="Arial" w:hAnsi="Arial"/>
                <w:sz w:val="22"/>
                <w:szCs w:val="22"/>
                <w:color w:val="auto"/>
              </w:rPr>
              <w:t>(72.0)</w:t>
            </w:r>
          </w:p>
        </w:tc>
        <w:tc>
          <w:tcPr>
            <w:tcW w:w="0" w:type="dxa"/>
            <w:vAlign w:val="bottom"/>
          </w:tcPr>
          <w:p>
            <w:pPr>
              <w:spacing w:after="0"/>
              <w:rPr>
                <w:sz w:val="1"/>
                <w:szCs w:val="1"/>
                <w:color w:val="auto"/>
              </w:rPr>
            </w:pPr>
          </w:p>
        </w:tc>
      </w:tr>
      <w:tr>
        <w:trPr>
          <w:trHeight w:val="98"/>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460" w:type="dxa"/>
            <w:vAlign w:val="bottom"/>
            <w:gridSpan w:val="2"/>
          </w:tcPr>
          <w:p>
            <w:pPr>
              <w:spacing w:after="0"/>
              <w:rPr>
                <w:sz w:val="20"/>
                <w:szCs w:val="20"/>
                <w:color w:val="auto"/>
              </w:rPr>
            </w:pPr>
            <w:r>
              <w:rPr>
                <w:rFonts w:ascii="Arial" w:cs="Arial" w:eastAsia="Arial" w:hAnsi="Arial"/>
                <w:sz w:val="22"/>
                <w:szCs w:val="22"/>
                <w:color w:val="auto"/>
              </w:rPr>
              <w:t>Gross margin</w:t>
            </w: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20.0</w:t>
            </w:r>
          </w:p>
        </w:tc>
        <w:tc>
          <w:tcPr>
            <w:tcW w:w="1740" w:type="dxa"/>
            <w:vAlign w:val="bottom"/>
            <w:gridSpan w:val="2"/>
          </w:tcPr>
          <w:p>
            <w:pPr>
              <w:jc w:val="right"/>
              <w:ind w:right="192"/>
              <w:spacing w:after="0"/>
              <w:rPr>
                <w:sz w:val="20"/>
                <w:szCs w:val="20"/>
                <w:color w:val="auto"/>
              </w:rPr>
            </w:pPr>
            <w:r>
              <w:rPr>
                <w:rFonts w:ascii="Arial" w:cs="Arial" w:eastAsia="Arial" w:hAnsi="Arial"/>
                <w:sz w:val="22"/>
                <w:szCs w:val="22"/>
                <w:color w:val="auto"/>
              </w:rPr>
              <w:t>28.0</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line="243" w:lineRule="exact"/>
              <w:rPr>
                <w:sz w:val="20"/>
                <w:szCs w:val="20"/>
                <w:color w:val="auto"/>
              </w:rPr>
            </w:pPr>
            <w:r>
              <w:rPr>
                <w:rFonts w:ascii="Arial" w:cs="Arial" w:eastAsia="Arial" w:hAnsi="Arial"/>
                <w:sz w:val="22"/>
                <w:szCs w:val="22"/>
                <w:color w:val="auto"/>
              </w:rPr>
              <w:t>Selling, general and administrative expenses</w:t>
            </w:r>
          </w:p>
        </w:tc>
        <w:tc>
          <w:tcPr>
            <w:tcW w:w="112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(15.8)</w:t>
            </w:r>
          </w:p>
        </w:tc>
        <w:tc>
          <w:tcPr>
            <w:tcW w:w="174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rPr>
              <w:t>(15.5)</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line="243" w:lineRule="exact"/>
              <w:rPr>
                <w:sz w:val="20"/>
                <w:szCs w:val="20"/>
                <w:color w:val="auto"/>
              </w:rPr>
            </w:pPr>
            <w:r>
              <w:rPr>
                <w:rFonts w:ascii="Arial" w:cs="Arial" w:eastAsia="Arial" w:hAnsi="Arial"/>
                <w:sz w:val="22"/>
                <w:szCs w:val="22"/>
                <w:color w:val="auto"/>
              </w:rPr>
              <w:t>Research and development expenses</w:t>
            </w:r>
          </w:p>
        </w:tc>
        <w:tc>
          <w:tcPr>
            <w:tcW w:w="112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(4.1)</w:t>
            </w:r>
          </w:p>
        </w:tc>
        <w:tc>
          <w:tcPr>
            <w:tcW w:w="174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75"/>
        </w:trPr>
        <w:tc>
          <w:tcPr>
            <w:tcW w:w="4460" w:type="dxa"/>
            <w:vAlign w:val="bottom"/>
            <w:gridSpan w:val="2"/>
          </w:tcPr>
          <w:p>
            <w:pPr>
              <w:spacing w:after="0"/>
              <w:rPr>
                <w:sz w:val="20"/>
                <w:szCs w:val="20"/>
                <w:color w:val="auto"/>
              </w:rPr>
            </w:pPr>
            <w:r>
              <w:rPr>
                <w:rFonts w:ascii="Arial" w:cs="Arial" w:eastAsia="Arial" w:hAnsi="Arial"/>
                <w:sz w:val="22"/>
                <w:szCs w:val="22"/>
                <w:color w:val="auto"/>
              </w:rPr>
              <w:t>Gain on sale of facility</w:t>
            </w: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740" w:type="dxa"/>
            <w:vAlign w:val="bottom"/>
            <w:gridSpan w:val="2"/>
          </w:tcPr>
          <w:p>
            <w:pPr>
              <w:jc w:val="right"/>
              <w:ind w:right="192"/>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98"/>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460" w:type="dxa"/>
            <w:vAlign w:val="bottom"/>
            <w:gridSpan w:val="2"/>
          </w:tcPr>
          <w:p>
            <w:pPr>
              <w:spacing w:after="0"/>
              <w:rPr>
                <w:sz w:val="20"/>
                <w:szCs w:val="20"/>
                <w:color w:val="auto"/>
              </w:rPr>
            </w:pPr>
            <w:r>
              <w:rPr>
                <w:rFonts w:ascii="Arial" w:cs="Arial" w:eastAsia="Arial" w:hAnsi="Arial"/>
                <w:sz w:val="22"/>
                <w:szCs w:val="22"/>
                <w:color w:val="auto"/>
              </w:rPr>
              <w:t>Operating income</w:t>
            </w: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0.1</w:t>
            </w:r>
          </w:p>
        </w:tc>
        <w:tc>
          <w:tcPr>
            <w:tcW w:w="1740" w:type="dxa"/>
            <w:vAlign w:val="bottom"/>
            <w:gridSpan w:val="2"/>
          </w:tcPr>
          <w:p>
            <w:pPr>
              <w:jc w:val="right"/>
              <w:ind w:right="192"/>
              <w:spacing w:after="0"/>
              <w:rPr>
                <w:sz w:val="20"/>
                <w:szCs w:val="20"/>
                <w:color w:val="auto"/>
              </w:rPr>
            </w:pPr>
            <w:r>
              <w:rPr>
                <w:rFonts w:ascii="Arial" w:cs="Arial" w:eastAsia="Arial" w:hAnsi="Arial"/>
                <w:sz w:val="22"/>
                <w:szCs w:val="22"/>
                <w:color w:val="auto"/>
              </w:rPr>
              <w:t>10.1</w:t>
            </w:r>
          </w:p>
        </w:tc>
        <w:tc>
          <w:tcPr>
            <w:tcW w:w="0" w:type="dxa"/>
            <w:vAlign w:val="bottom"/>
          </w:tcPr>
          <w:p>
            <w:pPr>
              <w:spacing w:after="0"/>
              <w:rPr>
                <w:sz w:val="1"/>
                <w:szCs w:val="1"/>
                <w:color w:val="auto"/>
              </w:rPr>
            </w:pPr>
          </w:p>
        </w:tc>
      </w:tr>
      <w:tr>
        <w:trPr>
          <w:trHeight w:val="275"/>
        </w:trPr>
        <w:tc>
          <w:tcPr>
            <w:tcW w:w="4460" w:type="dxa"/>
            <w:vAlign w:val="bottom"/>
            <w:gridSpan w:val="2"/>
          </w:tcPr>
          <w:p>
            <w:pPr>
              <w:spacing w:after="0"/>
              <w:rPr>
                <w:sz w:val="20"/>
                <w:szCs w:val="20"/>
                <w:color w:val="auto"/>
              </w:rPr>
            </w:pPr>
            <w:r>
              <w:rPr>
                <w:rFonts w:ascii="Arial" w:cs="Arial" w:eastAsia="Arial" w:hAnsi="Arial"/>
                <w:sz w:val="22"/>
                <w:szCs w:val="22"/>
                <w:color w:val="auto"/>
              </w:rPr>
              <w:t>Other expense, net</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(0.6)</w:t>
            </w:r>
          </w:p>
        </w:tc>
        <w:tc>
          <w:tcPr>
            <w:tcW w:w="1740" w:type="dxa"/>
            <w:vAlign w:val="bottom"/>
            <w:gridSpan w:val="2"/>
          </w:tcPr>
          <w:p>
            <w:pPr>
              <w:jc w:val="right"/>
              <w:ind w:right="132"/>
              <w:spacing w:after="0"/>
              <w:rPr>
                <w:sz w:val="20"/>
                <w:szCs w:val="20"/>
                <w:color w:val="auto"/>
              </w:rPr>
            </w:pPr>
            <w:r>
              <w:rPr>
                <w:rFonts w:ascii="Arial" w:cs="Arial" w:eastAsia="Arial" w:hAnsi="Arial"/>
                <w:sz w:val="22"/>
                <w:szCs w:val="22"/>
                <w:color w:val="auto"/>
              </w:rPr>
              <w:t>(0.3)</w:t>
            </w:r>
          </w:p>
        </w:tc>
        <w:tc>
          <w:tcPr>
            <w:tcW w:w="0" w:type="dxa"/>
            <w:vAlign w:val="bottom"/>
          </w:tcPr>
          <w:p>
            <w:pPr>
              <w:spacing w:after="0"/>
              <w:rPr>
                <w:sz w:val="1"/>
                <w:szCs w:val="1"/>
                <w:color w:val="auto"/>
              </w:rPr>
            </w:pPr>
          </w:p>
        </w:tc>
      </w:tr>
      <w:tr>
        <w:trPr>
          <w:trHeight w:val="98"/>
        </w:trPr>
        <w:tc>
          <w:tcPr>
            <w:tcW w:w="4460" w:type="dxa"/>
            <w:vAlign w:val="bottom"/>
            <w:gridSpan w:val="2"/>
            <w:vMerge w:val="restart"/>
          </w:tcPr>
          <w:p>
            <w:pPr>
              <w:spacing w:after="0"/>
              <w:rPr>
                <w:sz w:val="20"/>
                <w:szCs w:val="20"/>
                <w:color w:val="auto"/>
              </w:rPr>
            </w:pPr>
            <w:r>
              <w:rPr>
                <w:rFonts w:ascii="Arial" w:cs="Arial" w:eastAsia="Arial" w:hAnsi="Arial"/>
                <w:sz w:val="22"/>
                <w:szCs w:val="22"/>
                <w:color w:val="auto"/>
              </w:rPr>
              <w:t>Income (loss) before income taxes</w:t>
            </w:r>
          </w:p>
        </w:tc>
        <w:tc>
          <w:tcPr>
            <w:tcW w:w="1120" w:type="dxa"/>
            <w:vAlign w:val="bottom"/>
            <w:tcBorders>
              <w:bottom w:val="single" w:sz="8" w:color="336699"/>
            </w:tcBorders>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4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and minority interest</w:t>
            </w:r>
          </w:p>
        </w:tc>
        <w:tc>
          <w:tcPr>
            <w:tcW w:w="112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(0.5)</w:t>
            </w:r>
          </w:p>
        </w:tc>
        <w:tc>
          <w:tcPr>
            <w:tcW w:w="1740" w:type="dxa"/>
            <w:vAlign w:val="bottom"/>
            <w:gridSpan w:val="2"/>
          </w:tcPr>
          <w:p>
            <w:pPr>
              <w:jc w:val="right"/>
              <w:ind w:right="192"/>
              <w:spacing w:after="0" w:line="243" w:lineRule="exact"/>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line="243" w:lineRule="exact"/>
              <w:rPr>
                <w:sz w:val="20"/>
                <w:szCs w:val="20"/>
                <w:color w:val="auto"/>
              </w:rPr>
            </w:pPr>
            <w:r>
              <w:rPr>
                <w:rFonts w:ascii="Arial" w:cs="Arial" w:eastAsia="Arial" w:hAnsi="Arial"/>
                <w:sz w:val="22"/>
                <w:szCs w:val="22"/>
                <w:color w:val="auto"/>
              </w:rPr>
              <w:t>Income tax provision</w:t>
            </w:r>
          </w:p>
        </w:tc>
        <w:tc>
          <w:tcPr>
            <w:tcW w:w="112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(1.8)</w:t>
            </w:r>
          </w:p>
        </w:tc>
        <w:tc>
          <w:tcPr>
            <w:tcW w:w="1740" w:type="dxa"/>
            <w:vAlign w:val="bottom"/>
            <w:gridSpan w:val="2"/>
          </w:tcPr>
          <w:p>
            <w:pPr>
              <w:jc w:val="right"/>
              <w:ind w:right="132"/>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75"/>
        </w:trPr>
        <w:tc>
          <w:tcPr>
            <w:tcW w:w="4460" w:type="dxa"/>
            <w:vAlign w:val="bottom"/>
            <w:gridSpan w:val="2"/>
          </w:tcPr>
          <w:p>
            <w:pPr>
              <w:spacing w:after="0"/>
              <w:rPr>
                <w:sz w:val="20"/>
                <w:szCs w:val="20"/>
                <w:color w:val="auto"/>
              </w:rPr>
            </w:pPr>
            <w:r>
              <w:rPr>
                <w:rFonts w:ascii="Arial" w:cs="Arial" w:eastAsia="Arial" w:hAnsi="Arial"/>
                <w:sz w:val="22"/>
                <w:szCs w:val="22"/>
                <w:color w:val="auto"/>
              </w:rPr>
              <w:t>Minority interest</w:t>
            </w:r>
          </w:p>
        </w:tc>
        <w:tc>
          <w:tcPr>
            <w:tcW w:w="1120" w:type="dxa"/>
            <w:vAlign w:val="bottom"/>
          </w:tcPr>
          <w:p>
            <w:pPr>
              <w:jc w:val="right"/>
              <w:ind w:right="152"/>
              <w:spacing w:after="0"/>
              <w:rPr>
                <w:sz w:val="20"/>
                <w:szCs w:val="20"/>
                <w:color w:val="auto"/>
              </w:rPr>
            </w:pPr>
            <w:r>
              <w:rPr>
                <w:rFonts w:ascii="Arial" w:cs="Arial" w:eastAsia="Arial" w:hAnsi="Arial"/>
                <w:sz w:val="22"/>
                <w:szCs w:val="22"/>
                <w:color w:val="auto"/>
              </w:rPr>
              <w:t>(0.9)</w:t>
            </w:r>
          </w:p>
        </w:tc>
        <w:tc>
          <w:tcPr>
            <w:tcW w:w="1740" w:type="dxa"/>
            <w:vAlign w:val="bottom"/>
            <w:gridSpan w:val="2"/>
          </w:tcPr>
          <w:p>
            <w:pPr>
              <w:jc w:val="right"/>
              <w:ind w:right="132"/>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98"/>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460" w:type="dxa"/>
            <w:vAlign w:val="bottom"/>
            <w:gridSpan w:val="2"/>
          </w:tcPr>
          <w:p>
            <w:pPr>
              <w:spacing w:after="0"/>
              <w:rPr>
                <w:sz w:val="20"/>
                <w:szCs w:val="20"/>
                <w:color w:val="auto"/>
              </w:rPr>
            </w:pPr>
            <w:r>
              <w:rPr>
                <w:rFonts w:ascii="Arial" w:cs="Arial" w:eastAsia="Arial" w:hAnsi="Arial"/>
                <w:sz w:val="22"/>
                <w:szCs w:val="22"/>
                <w:color w:val="auto"/>
              </w:rPr>
              <w:t>Net income (loss)</w:t>
            </w:r>
          </w:p>
        </w:tc>
        <w:tc>
          <w:tcPr>
            <w:tcW w:w="1120" w:type="dxa"/>
            <w:vAlign w:val="bottom"/>
          </w:tcPr>
          <w:p>
            <w:pPr>
              <w:jc w:val="right"/>
              <w:spacing w:after="0"/>
              <w:rPr>
                <w:sz w:val="20"/>
                <w:szCs w:val="20"/>
                <w:color w:val="auto"/>
              </w:rPr>
            </w:pPr>
            <w:r>
              <w:rPr>
                <w:rFonts w:ascii="Arial" w:cs="Arial" w:eastAsia="Arial" w:hAnsi="Arial"/>
                <w:sz w:val="22"/>
                <w:szCs w:val="22"/>
                <w:color w:val="auto"/>
              </w:rPr>
              <w:t>(3.2)%</w:t>
            </w:r>
          </w:p>
        </w:tc>
        <w:tc>
          <w:tcPr>
            <w:tcW w:w="1740" w:type="dxa"/>
            <w:vAlign w:val="bottom"/>
            <w:gridSpan w:val="2"/>
          </w:tcPr>
          <w:p>
            <w:pPr>
              <w:jc w:val="right"/>
              <w:ind w:right="32"/>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122"/>
        </w:trPr>
        <w:tc>
          <w:tcPr>
            <w:tcW w:w="44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60" w:firstLine="270"/>
        <w:spacing w:after="0" w:line="251" w:lineRule="auto"/>
        <w:rPr>
          <w:sz w:val="20"/>
          <w:szCs w:val="20"/>
          <w:color w:val="auto"/>
        </w:rPr>
      </w:pPr>
      <w:r>
        <w:rPr>
          <w:rFonts w:ascii="Arial" w:cs="Arial" w:eastAsia="Arial" w:hAnsi="Arial"/>
          <w:sz w:val="22"/>
          <w:szCs w:val="22"/>
          <w:color w:val="auto"/>
        </w:rPr>
        <w:t>Note: All of the following tabular comparisons, unless otherwise indicated, are for the three months ended January 27, 2008 (Q1-08) and January 28, 2007 (Q1-07) in millions of dollars: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20" w:type="dxa"/>
            <w:vAlign w:val="bottom"/>
          </w:tcPr>
          <w:p>
            <w:pPr>
              <w:spacing w:after="0"/>
              <w:rPr>
                <w:sz w:val="20"/>
                <w:szCs w:val="20"/>
                <w:color w:val="auto"/>
              </w:rPr>
            </w:pPr>
            <w:r>
              <w:rPr>
                <w:rFonts w:ascii="Arial" w:cs="Arial" w:eastAsia="Arial" w:hAnsi="Arial"/>
                <w:sz w:val="22"/>
                <w:szCs w:val="22"/>
                <w:b w:val="1"/>
                <w:bCs w:val="1"/>
                <w:i w:val="1"/>
                <w:iCs w:val="1"/>
                <w:color w:val="auto"/>
              </w:rPr>
              <w:t>Net Sales</w:t>
            </w: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22"/>
                <w:szCs w:val="22"/>
                <w:b w:val="1"/>
                <w:bCs w:val="1"/>
                <w:color w:val="auto"/>
                <w:w w:val="90"/>
              </w:rPr>
              <w:t>Three Months Ended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6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86"/>
              </w:rPr>
              <w:t>Percent</w:t>
            </w:r>
          </w:p>
        </w:tc>
        <w:tc>
          <w:tcPr>
            <w:tcW w:w="0" w:type="dxa"/>
            <w:vAlign w:val="bottom"/>
          </w:tcPr>
          <w:p>
            <w:pPr>
              <w:spacing w:after="0"/>
              <w:rPr>
                <w:sz w:val="1"/>
                <w:szCs w:val="1"/>
                <w:color w:val="auto"/>
              </w:rPr>
            </w:pPr>
          </w:p>
        </w:tc>
      </w:tr>
      <w:tr>
        <w:trPr>
          <w:trHeight w:val="331"/>
        </w:trPr>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62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22"/>
                <w:szCs w:val="22"/>
                <w:b w:val="1"/>
                <w:bCs w:val="1"/>
                <w:color w:val="auto"/>
              </w:rPr>
              <w:t>Q1-08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22"/>
                <w:szCs w:val="22"/>
                <w:b w:val="1"/>
                <w:bCs w:val="1"/>
                <w:color w:val="auto"/>
              </w:rPr>
              <w:t>Q1-07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Change</w:t>
            </w:r>
          </w:p>
        </w:tc>
        <w:tc>
          <w:tcPr>
            <w:tcW w:w="0" w:type="dxa"/>
            <w:vAlign w:val="bottom"/>
          </w:tcPr>
          <w:p>
            <w:pPr>
              <w:spacing w:after="0"/>
              <w:rPr>
                <w:sz w:val="1"/>
                <w:szCs w:val="1"/>
                <w:color w:val="auto"/>
              </w:rPr>
            </w:pPr>
          </w:p>
        </w:tc>
      </w:tr>
      <w:tr>
        <w:trPr>
          <w:trHeight w:val="98"/>
        </w:trPr>
        <w:tc>
          <w:tcPr>
            <w:tcW w:w="16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1620" w:type="dxa"/>
            <w:vAlign w:val="bottom"/>
          </w:tcPr>
          <w:p>
            <w:pPr>
              <w:spacing w:after="0"/>
              <w:rPr>
                <w:sz w:val="20"/>
                <w:szCs w:val="20"/>
                <w:color w:val="auto"/>
              </w:rPr>
            </w:pPr>
            <w:r>
              <w:rPr>
                <w:rFonts w:ascii="Arial" w:cs="Arial" w:eastAsia="Arial" w:hAnsi="Arial"/>
                <w:sz w:val="22"/>
                <w:szCs w:val="22"/>
                <w:color w:val="auto"/>
              </w:rPr>
              <w:t>IC</w:t>
            </w:r>
          </w:p>
        </w:tc>
        <w:tc>
          <w:tcPr>
            <w:tcW w:w="840" w:type="dxa"/>
            <w:vAlign w:val="bottom"/>
          </w:tcPr>
          <w:p>
            <w:pPr>
              <w:jc w:val="right"/>
              <w:spacing w:after="0"/>
              <w:rPr>
                <w:sz w:val="20"/>
                <w:szCs w:val="20"/>
                <w:color w:val="auto"/>
              </w:rPr>
            </w:pPr>
            <w:r>
              <w:rPr>
                <w:rFonts w:ascii="Arial" w:cs="Arial" w:eastAsia="Arial" w:hAnsi="Arial"/>
                <w:sz w:val="22"/>
                <w:szCs w:val="22"/>
                <w:color w:val="auto"/>
              </w:rPr>
              <w:t>$ 80.4</w:t>
            </w:r>
          </w:p>
        </w:tc>
        <w:tc>
          <w:tcPr>
            <w:tcW w:w="1160" w:type="dxa"/>
            <w:vAlign w:val="bottom"/>
            <w:gridSpan w:val="3"/>
          </w:tcPr>
          <w:p>
            <w:pPr>
              <w:jc w:val="right"/>
              <w:spacing w:after="0"/>
              <w:rPr>
                <w:sz w:val="20"/>
                <w:szCs w:val="20"/>
                <w:color w:val="auto"/>
              </w:rPr>
            </w:pPr>
            <w:r>
              <w:rPr>
                <w:rFonts w:ascii="Arial" w:cs="Arial" w:eastAsia="Arial" w:hAnsi="Arial"/>
                <w:sz w:val="22"/>
                <w:szCs w:val="22"/>
                <w:color w:val="auto"/>
              </w:rPr>
              <w:t>$ 85.6</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FPD</w:t>
            </w:r>
          </w:p>
        </w:tc>
        <w:tc>
          <w:tcPr>
            <w:tcW w:w="840" w:type="dxa"/>
            <w:vAlign w:val="bottom"/>
          </w:tcPr>
          <w:p>
            <w:pPr>
              <w:jc w:val="right"/>
              <w:spacing w:after="0"/>
              <w:rPr>
                <w:sz w:val="20"/>
                <w:szCs w:val="20"/>
                <w:color w:val="auto"/>
              </w:rPr>
            </w:pPr>
            <w:r>
              <w:rPr>
                <w:rFonts w:ascii="Arial" w:cs="Arial" w:eastAsia="Arial" w:hAnsi="Arial"/>
                <w:sz w:val="22"/>
                <w:szCs w:val="22"/>
                <w:color w:val="auto"/>
              </w:rPr>
              <w:t>22.8</w:t>
            </w:r>
          </w:p>
        </w:tc>
        <w:tc>
          <w:tcPr>
            <w:tcW w:w="1160" w:type="dxa"/>
            <w:vAlign w:val="bottom"/>
            <w:gridSpan w:val="3"/>
          </w:tcPr>
          <w:p>
            <w:pPr>
              <w:jc w:val="right"/>
              <w:spacing w:after="0"/>
              <w:rPr>
                <w:sz w:val="20"/>
                <w:szCs w:val="20"/>
                <w:color w:val="auto"/>
              </w:rPr>
            </w:pPr>
            <w:r>
              <w:rPr>
                <w:rFonts w:ascii="Arial" w:cs="Arial" w:eastAsia="Arial" w:hAnsi="Arial"/>
                <w:sz w:val="22"/>
                <w:szCs w:val="22"/>
                <w:color w:val="auto"/>
              </w:rPr>
              <w:t>20.4</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11.9%</w:t>
            </w:r>
          </w:p>
        </w:tc>
        <w:tc>
          <w:tcPr>
            <w:tcW w:w="0" w:type="dxa"/>
            <w:vAlign w:val="bottom"/>
          </w:tcPr>
          <w:p>
            <w:pPr>
              <w:spacing w:after="0"/>
              <w:rPr>
                <w:sz w:val="1"/>
                <w:szCs w:val="1"/>
                <w:color w:val="auto"/>
              </w:rPr>
            </w:pPr>
          </w:p>
        </w:tc>
      </w:tr>
      <w:tr>
        <w:trPr>
          <w:trHeight w:val="98"/>
        </w:trPr>
        <w:tc>
          <w:tcPr>
            <w:tcW w:w="162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1620" w:type="dxa"/>
            <w:vAlign w:val="bottom"/>
          </w:tcPr>
          <w:p>
            <w:pPr>
              <w:spacing w:after="0"/>
              <w:rPr>
                <w:sz w:val="20"/>
                <w:szCs w:val="20"/>
                <w:color w:val="auto"/>
              </w:rPr>
            </w:pPr>
            <w:r>
              <w:rPr>
                <w:rFonts w:ascii="Arial" w:cs="Arial" w:eastAsia="Arial" w:hAnsi="Arial"/>
                <w:sz w:val="22"/>
                <w:szCs w:val="22"/>
                <w:color w:val="auto"/>
              </w:rPr>
              <w:t>Total net sales</w:t>
            </w:r>
          </w:p>
        </w:tc>
        <w:tc>
          <w:tcPr>
            <w:tcW w:w="840" w:type="dxa"/>
            <w:vAlign w:val="bottom"/>
          </w:tcPr>
          <w:p>
            <w:pPr>
              <w:jc w:val="right"/>
              <w:spacing w:after="0"/>
              <w:rPr>
                <w:sz w:val="20"/>
                <w:szCs w:val="20"/>
                <w:color w:val="auto"/>
              </w:rPr>
            </w:pPr>
            <w:r>
              <w:rPr>
                <w:rFonts w:ascii="Arial" w:cs="Arial" w:eastAsia="Arial" w:hAnsi="Arial"/>
                <w:sz w:val="22"/>
                <w:szCs w:val="22"/>
                <w:color w:val="auto"/>
              </w:rPr>
              <w:t>$103.2</w:t>
            </w:r>
          </w:p>
        </w:tc>
        <w:tc>
          <w:tcPr>
            <w:tcW w:w="1160" w:type="dxa"/>
            <w:vAlign w:val="bottom"/>
            <w:gridSpan w:val="3"/>
          </w:tcPr>
          <w:p>
            <w:pPr>
              <w:jc w:val="right"/>
              <w:spacing w:after="0"/>
              <w:rPr>
                <w:sz w:val="20"/>
                <w:szCs w:val="20"/>
                <w:color w:val="auto"/>
              </w:rPr>
            </w:pPr>
            <w:r>
              <w:rPr>
                <w:rFonts w:ascii="Arial" w:cs="Arial" w:eastAsia="Arial" w:hAnsi="Arial"/>
                <w:sz w:val="22"/>
                <w:szCs w:val="22"/>
                <w:color w:val="auto"/>
              </w:rPr>
              <w:t>$106.0</w:t>
            </w:r>
          </w:p>
        </w:tc>
        <w:tc>
          <w:tcPr>
            <w:tcW w:w="1040" w:type="dxa"/>
            <w:vAlign w:val="bottom"/>
            <w:gridSpan w:val="3"/>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firstLine="270"/>
        <w:spacing w:after="0" w:line="275" w:lineRule="auto"/>
        <w:rPr>
          <w:sz w:val="20"/>
          <w:szCs w:val="20"/>
          <w:color w:val="auto"/>
        </w:rPr>
      </w:pPr>
      <w:r>
        <w:rPr>
          <w:rFonts w:ascii="Arial" w:cs="Arial" w:eastAsia="Arial" w:hAnsi="Arial"/>
          <w:sz w:val="19"/>
          <w:szCs w:val="19"/>
          <w:color w:val="auto"/>
        </w:rPr>
        <w:t>Net sales for Q1-08 decreased 2.6% to $103.2 million as compared to $106.0 million for Q1-07. The decrease is related to reduced IC sales, primarily due to decreased unit demand in North America, and reduced average selling prices (ASPs) globally. High-end photomask applications, which typically have higher ASPs, include mask sets for G6 and above technologies for FPD products and 90 nanometer and below for IC products.Revenues attributable to high-end products were $23.2 million in Q1-08 and $23.7 million in Q1-07. The Company's quarterly revenues can be affected by the seasonal purchasing of its customers. The Company is typically impacted during its first fiscal quarter by the North American and European holiday periods as some customers reduce their effective workdays and orders during this period. By geographic area, net sales in Asia increased $5.2 million or 8.8%, North American sales decreased $6.2 million or 22.2%, and European sales decreased $1.8 million or 9.2%. As a</w:t>
      </w:r>
    </w:p>
    <w:p>
      <w:pPr>
        <w:sectPr>
          <w:pgSz w:w="11900" w:h="16880" w:orient="portrait"/>
          <w:cols w:equalWidth="0" w:num="1">
            <w:col w:w="11360"/>
          </w:cols>
          <w:pgMar w:left="240" w:top="118" w:right="299" w:bottom="0" w:gutter="0" w:footer="0" w:header="0"/>
        </w:sectPr>
      </w:pPr>
    </w:p>
    <w:bookmarkStart w:id="14" w:name="page15"/>
    <w:bookmarkEnd w:id="14"/>
    <w:p>
      <w:pPr>
        <w:ind w:right="300"/>
        <w:spacing w:after="0" w:line="251" w:lineRule="auto"/>
        <w:rPr>
          <w:sz w:val="20"/>
          <w:szCs w:val="20"/>
          <w:color w:val="auto"/>
        </w:rPr>
      </w:pPr>
      <w:r>
        <w:rPr>
          <w:rFonts w:ascii="Arial" w:cs="Arial" w:eastAsia="Arial" w:hAnsi="Arial"/>
          <w:sz w:val="22"/>
          <w:szCs w:val="22"/>
          <w:color w:val="auto"/>
        </w:rPr>
        <w:t>percent of total net sales, net sales in Q1-08 in Asia were 62%, North America 21%, and Europe 17%; and net sales in Q1-07 in Asia were 55%, North America 26%, and Europe 19%.</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380" w:type="dxa"/>
            <w:vAlign w:val="bottom"/>
          </w:tcPr>
          <w:p>
            <w:pPr>
              <w:spacing w:after="0"/>
              <w:rPr>
                <w:sz w:val="20"/>
                <w:szCs w:val="20"/>
                <w:color w:val="auto"/>
              </w:rPr>
            </w:pPr>
            <w:r>
              <w:rPr>
                <w:rFonts w:ascii="Arial" w:cs="Arial" w:eastAsia="Arial" w:hAnsi="Arial"/>
                <w:sz w:val="22"/>
                <w:szCs w:val="22"/>
                <w:b w:val="1"/>
                <w:bCs w:val="1"/>
                <w:i w:val="1"/>
                <w:iCs w:val="1"/>
                <w:color w:val="auto"/>
              </w:rPr>
              <w:t>Gross Margin</w:t>
            </w: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38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w w:val="89"/>
              </w:rPr>
              <w:t>Three Months Ended</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22"/>
                <w:szCs w:val="22"/>
                <w:b w:val="1"/>
                <w:bCs w:val="1"/>
                <w:color w:val="auto"/>
                <w:w w:val="86"/>
              </w:rPr>
              <w:t>Percent</w:t>
            </w:r>
          </w:p>
        </w:tc>
        <w:tc>
          <w:tcPr>
            <w:tcW w:w="0" w:type="dxa"/>
            <w:vAlign w:val="bottom"/>
          </w:tcPr>
          <w:p>
            <w:pPr>
              <w:spacing w:after="0"/>
              <w:rPr>
                <w:sz w:val="1"/>
                <w:szCs w:val="1"/>
                <w:color w:val="auto"/>
              </w:rPr>
            </w:pPr>
          </w:p>
        </w:tc>
      </w:tr>
      <w:tr>
        <w:trPr>
          <w:trHeight w:val="331"/>
        </w:trPr>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38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22"/>
                <w:szCs w:val="22"/>
                <w:b w:val="1"/>
                <w:bCs w:val="1"/>
                <w:color w:val="auto"/>
              </w:rPr>
              <w:t>Q1-08</w:t>
            </w:r>
          </w:p>
        </w:tc>
        <w:tc>
          <w:tcPr>
            <w:tcW w:w="36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22"/>
                <w:szCs w:val="22"/>
                <w:b w:val="1"/>
                <w:bCs w:val="1"/>
                <w:color w:val="auto"/>
              </w:rPr>
              <w:t>Q1-07</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Change</w:t>
            </w:r>
          </w:p>
        </w:tc>
        <w:tc>
          <w:tcPr>
            <w:tcW w:w="0" w:type="dxa"/>
            <w:vAlign w:val="bottom"/>
          </w:tcPr>
          <w:p>
            <w:pPr>
              <w:spacing w:after="0"/>
              <w:rPr>
                <w:sz w:val="1"/>
                <w:szCs w:val="1"/>
                <w:color w:val="auto"/>
              </w:rPr>
            </w:pPr>
          </w:p>
        </w:tc>
      </w:tr>
      <w:tr>
        <w:trPr>
          <w:trHeight w:val="98"/>
        </w:trPr>
        <w:tc>
          <w:tcPr>
            <w:tcW w:w="2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2380" w:type="dxa"/>
            <w:vAlign w:val="bottom"/>
          </w:tcPr>
          <w:p>
            <w:pPr>
              <w:spacing w:after="0"/>
              <w:rPr>
                <w:sz w:val="20"/>
                <w:szCs w:val="20"/>
                <w:color w:val="auto"/>
              </w:rPr>
            </w:pPr>
            <w:r>
              <w:rPr>
                <w:rFonts w:ascii="Arial" w:cs="Arial" w:eastAsia="Arial" w:hAnsi="Arial"/>
                <w:sz w:val="22"/>
                <w:szCs w:val="22"/>
                <w:color w:val="auto"/>
              </w:rPr>
              <w:t>Gross margin</w:t>
            </w:r>
          </w:p>
        </w:tc>
        <w:tc>
          <w:tcPr>
            <w:tcW w:w="800" w:type="dxa"/>
            <w:vAlign w:val="bottom"/>
          </w:tcPr>
          <w:p>
            <w:pPr>
              <w:ind w:left="120"/>
              <w:spacing w:after="0"/>
              <w:rPr>
                <w:sz w:val="20"/>
                <w:szCs w:val="20"/>
                <w:color w:val="auto"/>
              </w:rPr>
            </w:pPr>
            <w:r>
              <w:rPr>
                <w:rFonts w:ascii="Arial" w:cs="Arial" w:eastAsia="Arial" w:hAnsi="Arial"/>
                <w:sz w:val="22"/>
                <w:szCs w:val="22"/>
                <w:color w:val="auto"/>
              </w:rPr>
              <w:t>$20.6</w:t>
            </w:r>
          </w:p>
        </w:tc>
        <w:tc>
          <w:tcPr>
            <w:tcW w:w="1200" w:type="dxa"/>
            <w:vAlign w:val="bottom"/>
            <w:gridSpan w:val="2"/>
          </w:tcPr>
          <w:p>
            <w:pPr>
              <w:jc w:val="right"/>
              <w:ind w:right="92"/>
              <w:spacing w:after="0"/>
              <w:rPr>
                <w:sz w:val="20"/>
                <w:szCs w:val="20"/>
                <w:color w:val="auto"/>
              </w:rPr>
            </w:pPr>
            <w:r>
              <w:rPr>
                <w:rFonts w:ascii="Arial" w:cs="Arial" w:eastAsia="Arial" w:hAnsi="Arial"/>
                <w:sz w:val="22"/>
                <w:szCs w:val="22"/>
                <w:color w:val="auto"/>
              </w:rPr>
              <w:t>$29.7</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(30.1)%</w:t>
            </w:r>
          </w:p>
        </w:tc>
        <w:tc>
          <w:tcPr>
            <w:tcW w:w="0" w:type="dxa"/>
            <w:vAlign w:val="bottom"/>
          </w:tcPr>
          <w:p>
            <w:pPr>
              <w:spacing w:after="0"/>
              <w:rPr>
                <w:sz w:val="1"/>
                <w:szCs w:val="1"/>
                <w:color w:val="auto"/>
              </w:rPr>
            </w:pPr>
          </w:p>
        </w:tc>
      </w:tr>
      <w:tr>
        <w:trPr>
          <w:trHeight w:val="275"/>
        </w:trPr>
        <w:tc>
          <w:tcPr>
            <w:tcW w:w="2380" w:type="dxa"/>
            <w:vAlign w:val="bottom"/>
          </w:tcPr>
          <w:p>
            <w:pPr>
              <w:spacing w:after="0"/>
              <w:rPr>
                <w:sz w:val="20"/>
                <w:szCs w:val="20"/>
                <w:color w:val="auto"/>
              </w:rPr>
            </w:pPr>
            <w:r>
              <w:rPr>
                <w:rFonts w:ascii="Arial" w:cs="Arial" w:eastAsia="Arial" w:hAnsi="Arial"/>
                <w:sz w:val="22"/>
                <w:szCs w:val="22"/>
                <w:color w:val="auto"/>
              </w:rPr>
              <w:t>Percentage of net sales</w:t>
            </w:r>
          </w:p>
        </w:tc>
        <w:tc>
          <w:tcPr>
            <w:tcW w:w="800" w:type="dxa"/>
            <w:vAlign w:val="bottom"/>
          </w:tcPr>
          <w:p>
            <w:pPr>
              <w:jc w:val="right"/>
              <w:spacing w:after="0"/>
              <w:rPr>
                <w:sz w:val="20"/>
                <w:szCs w:val="20"/>
                <w:color w:val="auto"/>
              </w:rPr>
            </w:pPr>
            <w:r>
              <w:rPr>
                <w:rFonts w:ascii="Arial" w:cs="Arial" w:eastAsia="Arial" w:hAnsi="Arial"/>
                <w:sz w:val="22"/>
                <w:szCs w:val="22"/>
                <w:color w:val="auto"/>
              </w:rPr>
              <w:t>20.0%</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28.0%</w:t>
            </w: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firstLine="270"/>
        <w:spacing w:after="0" w:line="279" w:lineRule="auto"/>
        <w:rPr>
          <w:sz w:val="20"/>
          <w:szCs w:val="20"/>
          <w:color w:val="auto"/>
        </w:rPr>
      </w:pPr>
      <w:r>
        <w:rPr>
          <w:rFonts w:ascii="Arial" w:cs="Arial" w:eastAsia="Arial" w:hAnsi="Arial"/>
          <w:sz w:val="19"/>
          <w:szCs w:val="19"/>
          <w:color w:val="auto"/>
        </w:rPr>
        <w:t>Gross margin percentage decreased to 20.0% in Q1-08 from 28.0% in Q1-07 mainly as a result of the Company's expanded equipment base, primarily in Asia, reduced unit volume in North America, and decreased ASPs. The Company operates in a high fixed cost environment and, to the extent that the Company's revenues and utilization increase or decrease, gross margin will generally be positively or negatively impacted. The gross margin percentage throughout the remainder of fiscal 2008 could be negatively impacted by increased depreciation expense associated with the Company's capital expenditures as the Company increases its fixed cost manufacturing base, primarily in the U.S. Nanofab.</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Selling, General and Administrative Expenses</w:t>
      </w:r>
    </w:p>
    <w:p>
      <w:pPr>
        <w:spacing w:after="0" w:line="200"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80010</wp:posOffset>
            </wp:positionV>
            <wp:extent cx="12693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13"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Percent</w:t>
      </w:r>
    </w:p>
    <w:p>
      <w:pPr>
        <w:spacing w:after="0" w:line="14" w:lineRule="exact"/>
        <w:rPr>
          <w:sz w:val="20"/>
          <w:szCs w:val="20"/>
          <w:color w:val="auto"/>
        </w:rPr>
      </w:pPr>
    </w:p>
    <w:p>
      <w:pPr>
        <w:ind w:left="2540"/>
        <w:spacing w:after="0"/>
        <w:tabs>
          <w:tab w:leader="none" w:pos="3680" w:val="left"/>
          <w:tab w:leader="none" w:pos="4760" w:val="left"/>
        </w:tabs>
        <w:rPr>
          <w:sz w:val="20"/>
          <w:szCs w:val="20"/>
          <w:color w:val="auto"/>
        </w:rPr>
      </w:pPr>
      <w:r>
        <w:rPr>
          <w:rFonts w:ascii="Arial" w:cs="Arial" w:eastAsia="Arial" w:hAnsi="Arial"/>
          <w:sz w:val="22"/>
          <w:szCs w:val="22"/>
          <w:b w:val="1"/>
          <w:bCs w:val="1"/>
          <w:color w:val="auto"/>
        </w:rPr>
        <w:t>Q1-08</w:t>
      </w:r>
      <w:r>
        <w:rPr>
          <w:sz w:val="20"/>
          <w:szCs w:val="20"/>
          <w:color w:val="auto"/>
        </w:rPr>
        <w:tab/>
      </w:r>
      <w:r>
        <w:rPr>
          <w:rFonts w:ascii="Arial" w:cs="Arial" w:eastAsia="Arial" w:hAnsi="Arial"/>
          <w:sz w:val="22"/>
          <w:szCs w:val="22"/>
          <w:b w:val="1"/>
          <w:bCs w:val="1"/>
          <w:color w:val="auto"/>
        </w:rPr>
        <w:t>Q1-07</w:t>
      </w:r>
      <w:r>
        <w:rPr>
          <w:sz w:val="20"/>
          <w:szCs w:val="20"/>
          <w:color w:val="auto"/>
        </w:rPr>
        <w:tab/>
      </w:r>
      <w:r>
        <w:rPr>
          <w:rFonts w:ascii="Arial" w:cs="Arial" w:eastAsia="Arial" w:hAnsi="Arial"/>
          <w:sz w:val="19"/>
          <w:szCs w:val="19"/>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64770</wp:posOffset>
            </wp:positionV>
            <wp:extent cx="19640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80" w:type="dxa"/>
            <w:vAlign w:val="bottom"/>
          </w:tcPr>
          <w:p>
            <w:pPr>
              <w:spacing w:after="0"/>
              <w:rPr>
                <w:sz w:val="20"/>
                <w:szCs w:val="20"/>
                <w:color w:val="auto"/>
              </w:rPr>
            </w:pPr>
            <w:r>
              <w:rPr>
                <w:rFonts w:ascii="Arial" w:cs="Arial" w:eastAsia="Arial" w:hAnsi="Arial"/>
                <w:sz w:val="22"/>
                <w:szCs w:val="22"/>
                <w:color w:val="auto"/>
              </w:rPr>
              <w:t>S, G &amp; A expenses</w:t>
            </w:r>
          </w:p>
        </w:tc>
        <w:tc>
          <w:tcPr>
            <w:tcW w:w="1220" w:type="dxa"/>
            <w:vAlign w:val="bottom"/>
          </w:tcPr>
          <w:p>
            <w:pPr>
              <w:jc w:val="right"/>
              <w:ind w:right="312"/>
              <w:spacing w:after="0"/>
              <w:rPr>
                <w:sz w:val="20"/>
                <w:szCs w:val="20"/>
                <w:color w:val="auto"/>
              </w:rPr>
            </w:pPr>
            <w:r>
              <w:rPr>
                <w:rFonts w:ascii="Arial" w:cs="Arial" w:eastAsia="Arial" w:hAnsi="Arial"/>
                <w:sz w:val="22"/>
                <w:szCs w:val="22"/>
                <w:color w:val="auto"/>
              </w:rPr>
              <w:t>$16.3</w:t>
            </w:r>
          </w:p>
        </w:tc>
        <w:tc>
          <w:tcPr>
            <w:tcW w:w="1140" w:type="dxa"/>
            <w:vAlign w:val="bottom"/>
          </w:tcPr>
          <w:p>
            <w:pPr>
              <w:jc w:val="right"/>
              <w:ind w:right="292"/>
              <w:spacing w:after="0"/>
              <w:rPr>
                <w:sz w:val="20"/>
                <w:szCs w:val="20"/>
                <w:color w:val="auto"/>
              </w:rPr>
            </w:pPr>
            <w:r>
              <w:rPr>
                <w:rFonts w:ascii="Arial" w:cs="Arial" w:eastAsia="Arial" w:hAnsi="Arial"/>
                <w:sz w:val="22"/>
                <w:szCs w:val="22"/>
                <w:color w:val="auto"/>
              </w:rPr>
              <w:t>$16.4</w:t>
            </w:r>
          </w:p>
        </w:tc>
        <w:tc>
          <w:tcPr>
            <w:tcW w:w="860" w:type="dxa"/>
            <w:vAlign w:val="bottom"/>
          </w:tcPr>
          <w:p>
            <w:pPr>
              <w:jc w:val="right"/>
              <w:spacing w:after="0"/>
              <w:rPr>
                <w:sz w:val="20"/>
                <w:szCs w:val="20"/>
                <w:color w:val="auto"/>
              </w:rPr>
            </w:pPr>
            <w:r>
              <w:rPr>
                <w:rFonts w:ascii="Arial" w:cs="Arial" w:eastAsia="Arial" w:hAnsi="Arial"/>
                <w:sz w:val="22"/>
                <w:szCs w:val="22"/>
                <w:color w:val="auto"/>
              </w:rPr>
              <w:t>(0.1)%</w:t>
            </w:r>
          </w:p>
        </w:tc>
      </w:tr>
      <w:tr>
        <w:trPr>
          <w:trHeight w:val="275"/>
        </w:trPr>
        <w:tc>
          <w:tcPr>
            <w:tcW w:w="2280" w:type="dxa"/>
            <w:vAlign w:val="bottom"/>
          </w:tcPr>
          <w:p>
            <w:pPr>
              <w:spacing w:after="0"/>
              <w:rPr>
                <w:sz w:val="20"/>
                <w:szCs w:val="20"/>
                <w:color w:val="auto"/>
              </w:rPr>
            </w:pPr>
            <w:r>
              <w:rPr>
                <w:rFonts w:ascii="Arial" w:cs="Arial" w:eastAsia="Arial" w:hAnsi="Arial"/>
                <w:sz w:val="22"/>
                <w:szCs w:val="22"/>
                <w:color w:val="auto"/>
                <w:w w:val="97"/>
              </w:rPr>
              <w:t>Percentage of net sales</w:t>
            </w:r>
          </w:p>
        </w:tc>
        <w:tc>
          <w:tcPr>
            <w:tcW w:w="1220" w:type="dxa"/>
            <w:vAlign w:val="bottom"/>
          </w:tcPr>
          <w:p>
            <w:pPr>
              <w:jc w:val="right"/>
              <w:ind w:right="152"/>
              <w:spacing w:after="0"/>
              <w:rPr>
                <w:sz w:val="20"/>
                <w:szCs w:val="20"/>
                <w:color w:val="auto"/>
              </w:rPr>
            </w:pPr>
            <w:r>
              <w:rPr>
                <w:rFonts w:ascii="Arial" w:cs="Arial" w:eastAsia="Arial" w:hAnsi="Arial"/>
                <w:sz w:val="22"/>
                <w:szCs w:val="22"/>
                <w:color w:val="auto"/>
              </w:rPr>
              <w:t>15.8%</w:t>
            </w:r>
          </w:p>
        </w:tc>
        <w:tc>
          <w:tcPr>
            <w:tcW w:w="1140" w:type="dxa"/>
            <w:vAlign w:val="bottom"/>
          </w:tcPr>
          <w:p>
            <w:pPr>
              <w:jc w:val="right"/>
              <w:ind w:right="132"/>
              <w:spacing w:after="0"/>
              <w:rPr>
                <w:sz w:val="20"/>
                <w:szCs w:val="20"/>
                <w:color w:val="auto"/>
              </w:rPr>
            </w:pPr>
            <w:r>
              <w:rPr>
                <w:rFonts w:ascii="Arial" w:cs="Arial" w:eastAsia="Arial" w:hAnsi="Arial"/>
                <w:sz w:val="22"/>
                <w:szCs w:val="22"/>
                <w:color w:val="auto"/>
              </w:rPr>
              <w:t>15.5%</w:t>
            </w:r>
          </w:p>
        </w:tc>
        <w:tc>
          <w:tcPr>
            <w:tcW w:w="8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firstLine="270"/>
        <w:spacing w:after="0" w:line="251" w:lineRule="auto"/>
        <w:rPr>
          <w:sz w:val="20"/>
          <w:szCs w:val="20"/>
          <w:color w:val="auto"/>
        </w:rPr>
      </w:pPr>
      <w:r>
        <w:rPr>
          <w:rFonts w:ascii="Arial" w:cs="Arial" w:eastAsia="Arial" w:hAnsi="Arial"/>
          <w:sz w:val="22"/>
          <w:szCs w:val="22"/>
          <w:color w:val="auto"/>
        </w:rPr>
        <w:t>Selling, general and administrative expenses decreased $0.1 million to $16.3 million in Q1-08 as compared to $16.4 million in Q1-07.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w:t>
      </w:r>
    </w:p>
    <w:p>
      <w:pPr>
        <w:spacing w:after="0" w:line="200"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80010</wp:posOffset>
            </wp:positionV>
            <wp:extent cx="12693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Percent</w:t>
            </w:r>
          </w:p>
        </w:tc>
      </w:tr>
      <w:tr>
        <w:trPr>
          <w:trHeight w:val="281"/>
        </w:trPr>
        <w:tc>
          <w:tcPr>
            <w:tcW w:w="226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22"/>
                <w:szCs w:val="22"/>
                <w:b w:val="1"/>
                <w:bCs w:val="1"/>
                <w:color w:val="auto"/>
              </w:rPr>
              <w:t>Q1-08</w:t>
            </w:r>
          </w:p>
        </w:tc>
        <w:tc>
          <w:tcPr>
            <w:tcW w:w="2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22"/>
                <w:szCs w:val="22"/>
                <w:b w:val="1"/>
                <w:bCs w:val="1"/>
                <w:color w:val="auto"/>
              </w:rPr>
              <w:t>Q1-07</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Change</w:t>
            </w:r>
          </w:p>
        </w:tc>
      </w:tr>
      <w:tr>
        <w:trPr>
          <w:trHeight w:val="98"/>
        </w:trPr>
        <w:tc>
          <w:tcPr>
            <w:tcW w:w="22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580"/>
        </w:trPr>
        <w:tc>
          <w:tcPr>
            <w:tcW w:w="2260" w:type="dxa"/>
            <w:vAlign w:val="bottom"/>
          </w:tcPr>
          <w:p>
            <w:pPr>
              <w:spacing w:after="0"/>
              <w:rPr>
                <w:sz w:val="20"/>
                <w:szCs w:val="20"/>
                <w:color w:val="auto"/>
              </w:rPr>
            </w:pPr>
            <w:r>
              <w:rPr>
                <w:rFonts w:ascii="Arial" w:cs="Arial" w:eastAsia="Arial" w:hAnsi="Arial"/>
                <w:sz w:val="22"/>
                <w:szCs w:val="22"/>
                <w:color w:val="auto"/>
              </w:rPr>
              <w:t>R&amp;D expenses</w:t>
            </w:r>
          </w:p>
        </w:tc>
        <w:tc>
          <w:tcPr>
            <w:tcW w:w="860" w:type="dxa"/>
            <w:vAlign w:val="bottom"/>
          </w:tcPr>
          <w:p>
            <w:pPr>
              <w:jc w:val="right"/>
              <w:ind w:right="92"/>
              <w:spacing w:after="0"/>
              <w:rPr>
                <w:sz w:val="20"/>
                <w:szCs w:val="20"/>
                <w:color w:val="auto"/>
              </w:rPr>
            </w:pPr>
            <w:r>
              <w:rPr>
                <w:rFonts w:ascii="Arial" w:cs="Arial" w:eastAsia="Arial" w:hAnsi="Arial"/>
                <w:sz w:val="22"/>
                <w:szCs w:val="22"/>
                <w:color w:val="auto"/>
              </w:rPr>
              <w:t>$4.2</w:t>
            </w:r>
          </w:p>
        </w:tc>
        <w:tc>
          <w:tcPr>
            <w:tcW w:w="1140" w:type="dxa"/>
            <w:vAlign w:val="bottom"/>
            <w:gridSpan w:val="2"/>
          </w:tcPr>
          <w:p>
            <w:pPr>
              <w:jc w:val="right"/>
              <w:ind w:right="72"/>
              <w:spacing w:after="0"/>
              <w:rPr>
                <w:sz w:val="20"/>
                <w:szCs w:val="20"/>
                <w:color w:val="auto"/>
              </w:rPr>
            </w:pPr>
            <w:r>
              <w:rPr>
                <w:rFonts w:ascii="Arial" w:cs="Arial" w:eastAsia="Arial" w:hAnsi="Arial"/>
                <w:sz w:val="22"/>
                <w:szCs w:val="22"/>
                <w:color w:val="auto"/>
              </w:rPr>
              <w:t>$4.7</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(10.2)%</w:t>
            </w:r>
          </w:p>
        </w:tc>
      </w:tr>
      <w:tr>
        <w:trPr>
          <w:trHeight w:val="275"/>
        </w:trPr>
        <w:tc>
          <w:tcPr>
            <w:tcW w:w="2260" w:type="dxa"/>
            <w:vAlign w:val="bottom"/>
          </w:tcPr>
          <w:p>
            <w:pPr>
              <w:spacing w:after="0"/>
              <w:rPr>
                <w:sz w:val="20"/>
                <w:szCs w:val="20"/>
                <w:color w:val="auto"/>
              </w:rPr>
            </w:pPr>
            <w:r>
              <w:rPr>
                <w:rFonts w:ascii="Arial" w:cs="Arial" w:eastAsia="Arial" w:hAnsi="Arial"/>
                <w:sz w:val="22"/>
                <w:szCs w:val="22"/>
                <w:color w:val="auto"/>
                <w:w w:val="96"/>
              </w:rPr>
              <w:t>Percentage of net sales</w:t>
            </w:r>
          </w:p>
        </w:tc>
        <w:tc>
          <w:tcPr>
            <w:tcW w:w="860" w:type="dxa"/>
            <w:vAlign w:val="bottom"/>
          </w:tcPr>
          <w:p>
            <w:pPr>
              <w:jc w:val="right"/>
              <w:spacing w:after="0"/>
              <w:rPr>
                <w:sz w:val="20"/>
                <w:szCs w:val="20"/>
                <w:color w:val="auto"/>
              </w:rPr>
            </w:pPr>
            <w:r>
              <w:rPr>
                <w:rFonts w:ascii="Arial" w:cs="Arial" w:eastAsia="Arial" w:hAnsi="Arial"/>
                <w:sz w:val="22"/>
                <w:szCs w:val="22"/>
                <w:color w:val="auto"/>
              </w:rPr>
              <w:t>4.1%</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4.5%</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180" w:firstLine="270"/>
        <w:spacing w:after="0"/>
        <w:rPr>
          <w:sz w:val="20"/>
          <w:szCs w:val="20"/>
          <w:color w:val="auto"/>
        </w:rPr>
      </w:pPr>
      <w:r>
        <w:rPr>
          <w:rFonts w:ascii="Arial" w:cs="Arial" w:eastAsia="Arial" w:hAnsi="Arial"/>
          <w:sz w:val="22"/>
          <w:szCs w:val="22"/>
          <w:color w:val="auto"/>
        </w:rPr>
        <w:t>Research and development expenses consist primarily of global development efforts relating to high-end process technologies for advanced sub-wavelength reticle solutions for IC and FPD technologies. Research and development expenses decreased $0.5 million in Q1-08 as compared to Q1-07.</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Gain on Sale of Facility</w:t>
      </w:r>
    </w:p>
    <w:p>
      <w:pPr>
        <w:spacing w:after="0" w:line="206"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In January 2007, the Company sold its Austin, Texas, manufacturing and research and development facility for proceeds of $5.0 million and realized a gain of $2.3 million, which was recorded in operating income in Q1-07.</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317"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75"/>
        </w:trPr>
        <w:tc>
          <w:tcPr>
            <w:tcW w:w="3000" w:type="dxa"/>
            <w:vAlign w:val="bottom"/>
          </w:tcPr>
          <w:p>
            <w:pPr>
              <w:spacing w:after="0"/>
              <w:rPr>
                <w:sz w:val="20"/>
                <w:szCs w:val="20"/>
                <w:color w:val="auto"/>
              </w:rPr>
            </w:pPr>
            <w:r>
              <w:rPr>
                <w:rFonts w:ascii="Arial" w:cs="Arial" w:eastAsia="Arial" w:hAnsi="Arial"/>
                <w:sz w:val="22"/>
                <w:szCs w:val="22"/>
                <w:b w:val="1"/>
                <w:bCs w:val="1"/>
                <w:i w:val="1"/>
                <w:iCs w:val="1"/>
                <w:color w:val="auto"/>
              </w:rPr>
              <w:t>Other Expense, net</w:t>
            </w: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459"/>
        </w:trPr>
        <w:tc>
          <w:tcPr>
            <w:tcW w:w="300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w w:val="90"/>
              </w:rPr>
              <w:t>Three Months Ended</w:t>
            </w:r>
          </w:p>
        </w:tc>
      </w:tr>
      <w:tr>
        <w:trPr>
          <w:trHeight w:val="98"/>
        </w:trPr>
        <w:tc>
          <w:tcPr>
            <w:tcW w:w="30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368"/>
        </w:trPr>
        <w:tc>
          <w:tcPr>
            <w:tcW w:w="300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22"/>
                <w:szCs w:val="22"/>
                <w:b w:val="1"/>
                <w:bCs w:val="1"/>
                <w:color w:val="auto"/>
              </w:rPr>
              <w:t>Q1-08</w:t>
            </w:r>
          </w:p>
        </w:tc>
        <w:tc>
          <w:tcPr>
            <w:tcW w:w="28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22"/>
                <w:szCs w:val="22"/>
                <w:b w:val="1"/>
                <w:bCs w:val="1"/>
                <w:color w:val="auto"/>
              </w:rPr>
              <w:t>Q1-07</w:t>
            </w:r>
          </w:p>
        </w:tc>
      </w:tr>
      <w:tr>
        <w:trPr>
          <w:trHeight w:val="98"/>
        </w:trPr>
        <w:tc>
          <w:tcPr>
            <w:tcW w:w="30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580"/>
        </w:trPr>
        <w:tc>
          <w:tcPr>
            <w:tcW w:w="3000" w:type="dxa"/>
            <w:vAlign w:val="bottom"/>
          </w:tcPr>
          <w:p>
            <w:pPr>
              <w:spacing w:after="0"/>
              <w:rPr>
                <w:sz w:val="20"/>
                <w:szCs w:val="20"/>
                <w:color w:val="auto"/>
              </w:rPr>
            </w:pPr>
            <w:r>
              <w:rPr>
                <w:rFonts w:ascii="Arial" w:cs="Arial" w:eastAsia="Arial" w:hAnsi="Arial"/>
                <w:sz w:val="22"/>
                <w:szCs w:val="22"/>
                <w:color w:val="auto"/>
              </w:rPr>
              <w:t>Interest expense</w:t>
            </w:r>
          </w:p>
        </w:tc>
        <w:tc>
          <w:tcPr>
            <w:tcW w:w="860" w:type="dxa"/>
            <w:vAlign w:val="bottom"/>
          </w:tcPr>
          <w:p>
            <w:pPr>
              <w:jc w:val="right"/>
              <w:spacing w:after="0"/>
              <w:rPr>
                <w:sz w:val="20"/>
                <w:szCs w:val="20"/>
                <w:color w:val="auto"/>
              </w:rPr>
            </w:pPr>
            <w:r>
              <w:rPr>
                <w:rFonts w:ascii="Arial" w:cs="Arial" w:eastAsia="Arial" w:hAnsi="Arial"/>
                <w:sz w:val="22"/>
                <w:szCs w:val="22"/>
                <w:color w:val="auto"/>
              </w:rPr>
              <w:t>$(2.1)</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275"/>
        </w:trPr>
        <w:tc>
          <w:tcPr>
            <w:tcW w:w="3000" w:type="dxa"/>
            <w:vAlign w:val="bottom"/>
          </w:tcPr>
          <w:p>
            <w:pPr>
              <w:spacing w:after="0"/>
              <w:rPr>
                <w:sz w:val="20"/>
                <w:szCs w:val="20"/>
                <w:color w:val="auto"/>
              </w:rPr>
            </w:pPr>
            <w:r>
              <w:rPr>
                <w:rFonts w:ascii="Arial" w:cs="Arial" w:eastAsia="Arial" w:hAnsi="Arial"/>
                <w:sz w:val="22"/>
                <w:szCs w:val="22"/>
                <w:color w:val="auto"/>
                <w:w w:val="91"/>
              </w:rPr>
              <w:t>Investment and other income, net</w:t>
            </w:r>
          </w:p>
        </w:tc>
        <w:tc>
          <w:tcPr>
            <w:tcW w:w="860" w:type="dxa"/>
            <w:vAlign w:val="bottom"/>
          </w:tcPr>
          <w:p>
            <w:pPr>
              <w:jc w:val="right"/>
              <w:spacing w:after="0"/>
              <w:rPr>
                <w:sz w:val="20"/>
                <w:szCs w:val="20"/>
                <w:color w:val="auto"/>
              </w:rPr>
            </w:pPr>
            <w:r>
              <w:rPr>
                <w:rFonts w:ascii="Arial" w:cs="Arial" w:eastAsia="Arial" w:hAnsi="Arial"/>
                <w:sz w:val="22"/>
                <w:szCs w:val="22"/>
                <w:color w:val="auto"/>
              </w:rPr>
              <w:t>1.5</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1.8</w:t>
            </w:r>
          </w:p>
        </w:tc>
      </w:tr>
      <w:tr>
        <w:trPr>
          <w:trHeight w:val="98"/>
        </w:trPr>
        <w:tc>
          <w:tcPr>
            <w:tcW w:w="300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r>
      <w:tr>
        <w:trPr>
          <w:trHeight w:val="368"/>
        </w:trPr>
        <w:tc>
          <w:tcPr>
            <w:tcW w:w="3000" w:type="dxa"/>
            <w:vAlign w:val="bottom"/>
          </w:tcPr>
          <w:p>
            <w:pPr>
              <w:spacing w:after="0"/>
              <w:rPr>
                <w:sz w:val="20"/>
                <w:szCs w:val="20"/>
                <w:color w:val="auto"/>
              </w:rPr>
            </w:pPr>
            <w:r>
              <w:rPr>
                <w:rFonts w:ascii="Arial" w:cs="Arial" w:eastAsia="Arial" w:hAnsi="Arial"/>
                <w:sz w:val="22"/>
                <w:szCs w:val="22"/>
                <w:color w:val="auto"/>
              </w:rPr>
              <w:t>Other expense, net</w:t>
            </w:r>
          </w:p>
        </w:tc>
        <w:tc>
          <w:tcPr>
            <w:tcW w:w="860" w:type="dxa"/>
            <w:vAlign w:val="bottom"/>
          </w:tcPr>
          <w:p>
            <w:pPr>
              <w:jc w:val="right"/>
              <w:spacing w:after="0"/>
              <w:rPr>
                <w:sz w:val="20"/>
                <w:szCs w:val="20"/>
                <w:color w:val="auto"/>
              </w:rPr>
            </w:pPr>
            <w:r>
              <w:rPr>
                <w:rFonts w:ascii="Arial" w:cs="Arial" w:eastAsia="Arial" w:hAnsi="Arial"/>
                <w:sz w:val="22"/>
                <w:szCs w:val="22"/>
                <w:color w:val="auto"/>
              </w:rPr>
              <w:t>$(0.6)</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$(0.3)</w:t>
            </w:r>
          </w:p>
        </w:tc>
      </w:tr>
      <w:tr>
        <w:trPr>
          <w:trHeight w:val="122"/>
        </w:trPr>
        <w:tc>
          <w:tcPr>
            <w:tcW w:w="300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Other expense, net, increased to $(0.6) in Q1-08 as compared to $(0.3) in Q1-07.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Income Taxes</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22"/>
          <w:szCs w:val="2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80010</wp:posOffset>
            </wp:positionV>
            <wp:extent cx="12693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13" w:lineRule="exact"/>
        <w:rPr>
          <w:sz w:val="20"/>
          <w:szCs w:val="20"/>
          <w:color w:val="auto"/>
        </w:rPr>
      </w:pPr>
    </w:p>
    <w:p>
      <w:pPr>
        <w:ind w:left="2160"/>
        <w:spacing w:after="0"/>
        <w:tabs>
          <w:tab w:leader="none" w:pos="3360" w:val="left"/>
        </w:tabs>
        <w:rPr>
          <w:sz w:val="20"/>
          <w:szCs w:val="20"/>
          <w:color w:val="auto"/>
        </w:rPr>
      </w:pPr>
      <w:r>
        <w:rPr>
          <w:rFonts w:ascii="Arial" w:cs="Arial" w:eastAsia="Arial" w:hAnsi="Arial"/>
          <w:sz w:val="22"/>
          <w:szCs w:val="22"/>
          <w:b w:val="1"/>
          <w:bCs w:val="1"/>
          <w:color w:val="auto"/>
        </w:rPr>
        <w:t>Q1-08</w:t>
      </w:r>
      <w:r>
        <w:rPr>
          <w:sz w:val="20"/>
          <w:szCs w:val="20"/>
          <w:color w:val="auto"/>
        </w:rPr>
        <w:tab/>
      </w:r>
      <w:r>
        <w:rPr>
          <w:rFonts w:ascii="Arial" w:cs="Arial" w:eastAsia="Arial" w:hAnsi="Arial"/>
          <w:sz w:val="19"/>
          <w:szCs w:val="19"/>
          <w:b w:val="1"/>
          <w:bCs w:val="1"/>
          <w:color w:val="auto"/>
        </w:rPr>
        <w:t>Q1-07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80010</wp:posOffset>
            </wp:positionV>
            <wp:extent cx="12693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20" w:type="dxa"/>
            <w:vAlign w:val="bottom"/>
          </w:tcPr>
          <w:p>
            <w:pPr>
              <w:spacing w:after="0"/>
              <w:rPr>
                <w:sz w:val="20"/>
                <w:szCs w:val="20"/>
                <w:color w:val="auto"/>
              </w:rPr>
            </w:pPr>
            <w:r>
              <w:rPr>
                <w:rFonts w:ascii="Arial" w:cs="Arial" w:eastAsia="Arial" w:hAnsi="Arial"/>
                <w:sz w:val="22"/>
                <w:szCs w:val="22"/>
                <w:color w:val="auto"/>
                <w:w w:val="99"/>
              </w:rPr>
              <w:t>Income tax provision</w:t>
            </w:r>
          </w:p>
        </w:tc>
        <w:tc>
          <w:tcPr>
            <w:tcW w:w="1000" w:type="dxa"/>
            <w:vAlign w:val="bottom"/>
          </w:tcPr>
          <w:p>
            <w:pPr>
              <w:jc w:val="right"/>
              <w:ind w:right="332"/>
              <w:spacing w:after="0"/>
              <w:rPr>
                <w:sz w:val="20"/>
                <w:szCs w:val="20"/>
                <w:color w:val="auto"/>
              </w:rPr>
            </w:pPr>
            <w:r>
              <w:rPr>
                <w:rFonts w:ascii="Arial" w:cs="Arial" w:eastAsia="Arial" w:hAnsi="Arial"/>
                <w:sz w:val="22"/>
                <w:szCs w:val="22"/>
                <w:color w:val="auto"/>
              </w:rPr>
              <w:t>$1.9</w:t>
            </w:r>
          </w:p>
        </w:tc>
        <w:tc>
          <w:tcPr>
            <w:tcW w:w="800" w:type="dxa"/>
            <w:vAlign w:val="bottom"/>
          </w:tcPr>
          <w:p>
            <w:pPr>
              <w:jc w:val="right"/>
              <w:spacing w:after="0"/>
              <w:rPr>
                <w:sz w:val="20"/>
                <w:szCs w:val="20"/>
                <w:color w:val="auto"/>
              </w:rPr>
            </w:pPr>
            <w:r>
              <w:rPr>
                <w:rFonts w:ascii="Arial" w:cs="Arial" w:eastAsia="Arial" w:hAnsi="Arial"/>
                <w:sz w:val="22"/>
                <w:szCs w:val="22"/>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firstLine="266"/>
        <w:spacing w:after="0" w:line="245" w:lineRule="auto"/>
        <w:rPr>
          <w:sz w:val="20"/>
          <w:szCs w:val="20"/>
          <w:color w:val="auto"/>
        </w:rPr>
      </w:pPr>
      <w:r>
        <w:rPr>
          <w:rFonts w:ascii="Arial" w:cs="Arial" w:eastAsia="Arial" w:hAnsi="Arial"/>
          <w:sz w:val="21"/>
          <w:szCs w:val="21"/>
          <w:color w:val="auto"/>
        </w:rPr>
        <w:t>The effective income tax rate in Q1-08 differs from the amount computed by applying the U.S. statutory rate of 35% to the loss before income taxes, primarily because income tax provisions incurred in jurisdictions where the Company generated income before income taxes were not significantly offset by income tax benefits in jurisdictions where the Company incurred losses before income taxes due to valuation allowances. The effective income tax rate in Q1-07 is less than the amount computed by applying the U.S. statutory rate of 35% to the income before income taxes primarily due to the utilization of net operating loss carryforwards in certain jurisdictions, and lower statutory income tax rates in the jurisdictions that generated the majority of the Company’s income before income taxes plus the utilization of income tax credits in those jurisdictions. The income tax provision increased from $1.3 million in Q1-07 to $1.9 million in Q1-08 primarily due to increased income before income taxes in jurisdictions where the Company was profitable.</w:t>
      </w:r>
    </w:p>
    <w:p>
      <w:pPr>
        <w:spacing w:after="0" w:line="185" w:lineRule="exact"/>
        <w:rPr>
          <w:sz w:val="20"/>
          <w:szCs w:val="20"/>
          <w:color w:val="auto"/>
        </w:rPr>
      </w:pPr>
    </w:p>
    <w:p>
      <w:pPr>
        <w:ind w:right="80" w:firstLine="266"/>
        <w:spacing w:after="0" w:line="236" w:lineRule="auto"/>
        <w:rPr>
          <w:sz w:val="20"/>
          <w:szCs w:val="20"/>
          <w:color w:val="auto"/>
        </w:rPr>
      </w:pPr>
      <w:r>
        <w:rPr>
          <w:rFonts w:ascii="Arial" w:cs="Arial" w:eastAsia="Arial" w:hAnsi="Arial"/>
          <w:sz w:val="22"/>
          <w:szCs w:val="22"/>
          <w:color w:val="auto"/>
        </w:rPr>
        <w:t>The Company's operations have followed the migration of semiconductor industry fabrication to Asia, where the Company operates in countries where it is accorded favorable tax treatment. The Company was accorded tax holidays in Taiwan, one of which expired in December 2006, and another which is expected to begin to expire in 2012. In addition, the Company has been accorded a tax holiday in China which is expected to expire in 2011. In Korea, various investment tax credits have been utilized to reduce the Company's effective income tax rate.</w:t>
      </w:r>
    </w:p>
    <w:p>
      <w:pPr>
        <w:spacing w:after="0" w:line="188" w:lineRule="exact"/>
        <w:rPr>
          <w:sz w:val="20"/>
          <w:szCs w:val="20"/>
          <w:color w:val="auto"/>
        </w:rPr>
      </w:pPr>
    </w:p>
    <w:p>
      <w:pPr>
        <w:ind w:right="60" w:firstLine="270"/>
        <w:spacing w:after="0" w:line="244" w:lineRule="auto"/>
        <w:rPr>
          <w:sz w:val="20"/>
          <w:szCs w:val="20"/>
          <w:color w:val="auto"/>
        </w:rPr>
      </w:pPr>
      <w:r>
        <w:rPr>
          <w:rFonts w:ascii="Arial" w:cs="Arial" w:eastAsia="Arial" w:hAnsi="Arial"/>
          <w:sz w:val="21"/>
          <w:szCs w:val="21"/>
          <w:color w:val="auto"/>
        </w:rPr>
        <w:t>In June 2006, the FASB issued FASB Interpretation Number 48 ("FIN 48"), "Accounting for Uncertainty in Income Taxes - an Interpretation of FASB Statement No. 109." The interpretation contains a two 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as of the beginning of its 2008 fiscal year. Prior to adoption, the Company's pre-existing policy was to establish reserves, including interest and penalties, for uncertain tax positions that reflected the probable outcome of known tax contingencies. As of the date of adoption of FIN 48, the Company has elected to recognize interest, and penalties if applicable, related to uncertain tax positions in the income tax provision in its condensed consolidated statements of operations. As compared to the Company's historical approach, the application of FIN 48 resulted in a net increase to accrued income taxes payable of approximately $1.0 million (including interest and penalties of approximately $0.2 million), and a decrease to retained earnings of the same amount. There were no significant changes to the liability for uncertain tax positions (or accrued interest and penalties) during the three months ended January 27, 2008.</w:t>
      </w:r>
    </w:p>
    <w:p>
      <w:pPr>
        <w:spacing w:after="0" w:line="182" w:lineRule="exact"/>
        <w:rPr>
          <w:sz w:val="20"/>
          <w:szCs w:val="20"/>
          <w:color w:val="auto"/>
        </w:rPr>
      </w:pPr>
    </w:p>
    <w:p>
      <w:pPr>
        <w:ind w:firstLine="258"/>
        <w:spacing w:after="0"/>
        <w:rPr>
          <w:sz w:val="20"/>
          <w:szCs w:val="20"/>
          <w:color w:val="auto"/>
        </w:rPr>
      </w:pPr>
      <w:r>
        <w:rPr>
          <w:rFonts w:ascii="Arial" w:cs="Arial" w:eastAsia="Arial" w:hAnsi="Arial"/>
          <w:sz w:val="22"/>
          <w:szCs w:val="22"/>
          <w:color w:val="auto"/>
        </w:rPr>
        <w:t>As of the date of adoption of FIN 48 the gross unrecognized tax benefits for income taxes associated with uncertain tax positions totaled approximately $3.5 million. If recognized, the benefits would favorably affect the Company’s effective rate in future periods.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871" w:gutter="0" w:footer="0" w:header="0"/>
        </w:sectPr>
      </w:pPr>
    </w:p>
    <w:bookmarkStart w:id="16" w:name="page17"/>
    <w:bookmarkEnd w:id="16"/>
    <w:p>
      <w:pPr>
        <w:ind w:right="40" w:firstLine="270"/>
        <w:spacing w:after="0" w:line="238" w:lineRule="auto"/>
        <w:rPr>
          <w:sz w:val="20"/>
          <w:szCs w:val="20"/>
          <w:color w:val="auto"/>
        </w:rPr>
      </w:pPr>
      <w:r>
        <w:rPr>
          <w:rFonts w:ascii="Arial" w:cs="Arial" w:eastAsia="Arial" w:hAnsi="Arial"/>
          <w:sz w:val="22"/>
          <w:szCs w:val="22"/>
          <w:color w:val="auto"/>
        </w:rPr>
        <w:t>It is possible that material changes to the gross unrecognized tax benefits may be required during fiscal year 2008. These changes relate to possible settlements in the U.K., Korea and Germany during fiscal year 2008. Though the Company expects these items may result in a net reduction of its unrecognized tax benefits, an estimate of the expected reduction and related income tax benefit cannot be made at this time.</w:t>
      </w:r>
    </w:p>
    <w:p>
      <w:pPr>
        <w:spacing w:after="0" w:line="186" w:lineRule="exact"/>
        <w:rPr>
          <w:sz w:val="20"/>
          <w:szCs w:val="20"/>
          <w:color w:val="auto"/>
        </w:rPr>
      </w:pPr>
    </w:p>
    <w:p>
      <w:pPr>
        <w:ind w:right="520" w:firstLine="270"/>
        <w:spacing w:after="0" w:line="251" w:lineRule="auto"/>
        <w:rPr>
          <w:sz w:val="20"/>
          <w:szCs w:val="20"/>
          <w:color w:val="auto"/>
        </w:rPr>
      </w:pPr>
      <w:r>
        <w:rPr>
          <w:rFonts w:ascii="Arial" w:cs="Arial" w:eastAsia="Arial" w:hAnsi="Arial"/>
          <w:sz w:val="22"/>
          <w:szCs w:val="22"/>
          <w:color w:val="auto"/>
        </w:rPr>
        <w:t>Currently, the statutes of limitations in the U.S., U.K., Germany and Korea remain open subsequent to and including 2003, 2002, 2001 and 2003,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Minority Interest in Consolidated Subsidiaries</w:t>
      </w:r>
    </w:p>
    <w:p>
      <w:pPr>
        <w:spacing w:after="0" w:line="206"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Minority interest decreased $0.3 million to $1.0 million in Q1-08 as compared to Q1-07 due to decreased net income at the Company's non-wholly owned subsidiary in Taiwan. The Company's ownership in its subsidiary in Taiwan was approximately 58% at January 27, 2008 and October 28, 2007, and its ownership in its subsidiary in Korea was approximately 99.7% at January 27, 2008 and October 28, 2007.</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firstLine="266"/>
        <w:spacing w:after="0" w:line="244" w:lineRule="auto"/>
        <w:rPr>
          <w:sz w:val="20"/>
          <w:szCs w:val="20"/>
          <w:color w:val="auto"/>
        </w:rPr>
      </w:pPr>
      <w:r>
        <w:rPr>
          <w:rFonts w:ascii="Arial" w:cs="Arial" w:eastAsia="Arial" w:hAnsi="Arial"/>
          <w:sz w:val="21"/>
          <w:szCs w:val="21"/>
          <w:color w:val="auto"/>
        </w:rPr>
        <w:t>The Company's working capital decreased $34.4 million to $62.2 million at January 27, 2008, as compared to $96.6 million at October 28, 2007, primarily related to payments for capital expenditures, and an increase in the current portion of long-term borrowings related to the U.S. Nanofab capital lease agreement which commenced during Q1-08. Cash, cash equivalents, and short-term investments decreased to $95.0 million at January 27, 2008 as compared to $151.7 million at October 28, 2007 primarily due to payments for capital expenditures. Cash provided by operating activities was $11.7 million for the three months ended January 27, 2008, as compared to $18.6 million for the same period last year primarily due to the Company incurring a net loss of $3.3 million for the three months ended January 27, 2008, as compared to net income of $7.9 million in the same prior year period. Cash used in investing activities for the three months ended January 27, 2008 was $68.7 million, which is comprised primarily of capital expenditure payments of $65.9 million and additional investment in the MP Mask joint venture of $2.6 million. Cash provided by financing activities of $0.3 million for the three months ended January 27, 2008 was primarily comprised of net proceeds from long-term borrowings.</w:t>
      </w:r>
    </w:p>
    <w:p>
      <w:pPr>
        <w:spacing w:after="0" w:line="190" w:lineRule="exact"/>
        <w:rPr>
          <w:sz w:val="20"/>
          <w:szCs w:val="20"/>
          <w:color w:val="auto"/>
        </w:rPr>
      </w:pPr>
    </w:p>
    <w:p>
      <w:pPr>
        <w:ind w:firstLine="258"/>
        <w:spacing w:after="0" w:line="248" w:lineRule="auto"/>
        <w:rPr>
          <w:sz w:val="20"/>
          <w:szCs w:val="20"/>
          <w:color w:val="auto"/>
        </w:rPr>
      </w:pPr>
      <w:r>
        <w:rPr>
          <w:rFonts w:ascii="Arial" w:cs="Arial" w:eastAsia="Arial" w:hAnsi="Arial"/>
          <w:sz w:val="21"/>
          <w:szCs w:val="21"/>
          <w:color w:val="auto"/>
        </w:rPr>
        <w:t>At January 27, 2008, the Company had capital commitments outstanding of approximately $25 million. Photronics believes that its currently available resources, together with its capacity for growth, and its access to other debt and equity financing sources, will be sufficient to satisfy its currently planned capital expenditures, as well as its anticipated working capital requirements for the remainder of its 2008 fiscal year. However, the Company cannot assure that additional sources of financing would be available to the Company on commercially favorable terms should the Company's capital requirements exceed cash available from operations and existing cash, short-term investments, and its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Requirements</w:t>
      </w:r>
    </w:p>
    <w:p>
      <w:pPr>
        <w:spacing w:after="0" w:line="212" w:lineRule="exact"/>
        <w:rPr>
          <w:sz w:val="20"/>
          <w:szCs w:val="20"/>
          <w:color w:val="auto"/>
        </w:rPr>
      </w:pPr>
    </w:p>
    <w:p>
      <w:pPr>
        <w:ind w:firstLine="266"/>
        <w:spacing w:after="0" w:line="274" w:lineRule="auto"/>
        <w:rPr>
          <w:sz w:val="20"/>
          <w:szCs w:val="20"/>
          <w:color w:val="auto"/>
        </w:rPr>
      </w:pPr>
      <w:r>
        <w:rPr>
          <w:rFonts w:ascii="Arial" w:cs="Arial" w:eastAsia="Arial" w:hAnsi="Arial"/>
          <w:sz w:val="19"/>
          <w:szCs w:val="19"/>
          <w:color w:val="auto"/>
        </w:rPr>
        <w:t>The Company's cash requirements in fiscal 2008 will be primarily to fund operations, including spending on capital expenditures, MP Mask commitments, and debt service, including its $150 million, 2.25% subordinated convertible notes due April 15, 2008, as well as any cash acquisitions that it may undertake. The Company expects that cash, cash equivalents and short-term investments and cash generated from operations, along with borrowings under its $155 million credit facility, along with access to other debt and equity financing sources, if needed, will be sufficient to meet its cash requirements for the next 12 months.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capital requirements exceed cash available from operations, cash available under its credit facility, existing cash and short-term investments.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w:t>
      </w:r>
    </w:p>
    <w:p>
      <w:pPr>
        <w:spacing w:after="0" w:line="212" w:lineRule="exact"/>
        <w:rPr>
          <w:sz w:val="20"/>
          <w:szCs w:val="20"/>
          <w:color w:val="auto"/>
        </w:rPr>
      </w:pPr>
    </w:p>
    <w:p>
      <w:pPr>
        <w:ind w:right="160" w:firstLine="266"/>
        <w:spacing w:after="0" w:line="236" w:lineRule="auto"/>
        <w:rPr>
          <w:sz w:val="20"/>
          <w:szCs w:val="20"/>
          <w:color w:val="auto"/>
        </w:rPr>
      </w:pPr>
      <w:r>
        <w:rPr>
          <w:rFonts w:ascii="Arial" w:cs="Arial" w:eastAsia="Arial" w:hAnsi="Arial"/>
          <w:sz w:val="22"/>
          <w:szCs w:val="22"/>
          <w:color w:val="auto"/>
        </w:rPr>
        <w:t>Total stock-based compensation expense was $0.5 million and $0.8 million for the three months ended January 27, 2008 and January 28, 2007 respectively, substantially all of which is recorded in selling, general and administrative expenses. No compensation cost was capitalized as part of inventory, and no income tax benefit has been recorded. As of January 27, 2008 total unrecognized compensation cost of $8.1 million is expected to be recognized over a weighted average amortization period of 3.9 years.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ind w:right="60" w:firstLine="258"/>
        <w:spacing w:after="0" w:line="282" w:lineRule="auto"/>
        <w:rPr>
          <w:sz w:val="20"/>
          <w:szCs w:val="20"/>
          <w:color w:val="auto"/>
        </w:rPr>
      </w:pPr>
      <w:r>
        <w:rPr>
          <w:rFonts w:ascii="Arial" w:cs="Arial" w:eastAsia="Arial" w:hAnsi="Arial"/>
          <w:sz w:val="19"/>
          <w:szCs w:val="19"/>
          <w:color w:val="auto"/>
        </w:rPr>
        <w:t>A majority of the Company's revenue growth has come from, and is expected to continue to come from, the Asian region, as customers increase their use of manufacturing foundries located outside of North America and Europe. Additional revenue growth is also anticipated from North America and Europe as a result of utilizing technology licensed under the Company's technology license with Micron Technology, Inc. The Company's Korean and Taiwanese operations are nonwholly owned subsidiaries. Therefore, a portion of earnings generated at each of these locations is allocated to the minority shareholders.</w:t>
      </w:r>
    </w:p>
    <w:p>
      <w:pPr>
        <w:sectPr>
          <w:pgSz w:w="11900" w:h="16838" w:orient="portrait"/>
          <w:cols w:equalWidth="0" w:num="1">
            <w:col w:w="11400"/>
          </w:cols>
          <w:pgMar w:left="240" w:top="118" w:right="259" w:bottom="0" w:gutter="0" w:footer="0" w:header="0"/>
        </w:sectPr>
      </w:pPr>
    </w:p>
    <w:bookmarkStart w:id="17" w:name="page18"/>
    <w:bookmarkEnd w:id="17"/>
    <w:p>
      <w:pPr>
        <w:ind w:right="80" w:firstLine="266"/>
        <w:spacing w:after="0" w:line="298" w:lineRule="auto"/>
        <w:rPr>
          <w:sz w:val="20"/>
          <w:szCs w:val="20"/>
          <w:color w:val="auto"/>
        </w:rPr>
      </w:pPr>
      <w:r>
        <w:rPr>
          <w:rFonts w:ascii="Arial" w:cs="Arial" w:eastAsia="Arial" w:hAnsi="Arial"/>
          <w:sz w:val="19"/>
          <w:szCs w:val="19"/>
          <w:color w:val="auto"/>
        </w:rPr>
        <w:t>The Company continues to assess its global manufacturing strategy as its sales volume continues to grow in Asia. This ongoing assessment could result in future facilities closures, asset redeployments, workforce reductions, or the addition of increased manufacturing facilities, all of which would be based on market conditions and customer requirements.</w:t>
      </w:r>
    </w:p>
    <w:p>
      <w:pPr>
        <w:spacing w:after="0" w:line="132" w:lineRule="exact"/>
        <w:rPr>
          <w:sz w:val="20"/>
          <w:szCs w:val="20"/>
          <w:color w:val="auto"/>
        </w:rPr>
      </w:pPr>
    </w:p>
    <w:p>
      <w:pPr>
        <w:ind w:firstLine="266"/>
        <w:spacing w:after="0"/>
        <w:rPr>
          <w:sz w:val="20"/>
          <w:szCs w:val="20"/>
          <w:color w:val="auto"/>
        </w:rPr>
      </w:pPr>
      <w:r>
        <w:rPr>
          <w:rFonts w:ascii="Arial" w:cs="Arial" w:eastAsia="Arial" w:hAnsi="Arial"/>
          <w:sz w:val="22"/>
          <w:szCs w:val="22"/>
          <w:color w:val="auto"/>
        </w:rPr>
        <w:t>The Company's future results of operations and the other forward-looking statements contained in this filing involve a number of risks and uncertainties. Various factors that have been discussed and a number of other factors could cause actual results to differ materially from the Company's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Application of Critical Accounting Policies</w:t>
      </w:r>
    </w:p>
    <w:p>
      <w:pPr>
        <w:spacing w:after="0" w:line="212" w:lineRule="exact"/>
        <w:rPr>
          <w:sz w:val="20"/>
          <w:szCs w:val="20"/>
          <w:color w:val="auto"/>
        </w:rPr>
      </w:pPr>
    </w:p>
    <w:p>
      <w:pPr>
        <w:ind w:firstLine="266"/>
        <w:spacing w:after="0" w:line="238" w:lineRule="auto"/>
        <w:rPr>
          <w:sz w:val="20"/>
          <w:szCs w:val="20"/>
          <w:color w:val="auto"/>
        </w:rPr>
      </w:pPr>
      <w:r>
        <w:rPr>
          <w:rFonts w:ascii="Arial" w:cs="Arial" w:eastAsia="Arial" w:hAnsi="Arial"/>
          <w:sz w:val="22"/>
          <w:szCs w:val="22"/>
          <w:color w:val="auto"/>
        </w:rPr>
        <w:t>The Company's condensed consolidated financial statements are based on the selection and application of significant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Estimates and Assumptions</w:t>
      </w:r>
    </w:p>
    <w:p>
      <w:pPr>
        <w:spacing w:after="0" w:line="206" w:lineRule="exact"/>
        <w:rPr>
          <w:sz w:val="20"/>
          <w:szCs w:val="20"/>
          <w:color w:val="auto"/>
        </w:rPr>
      </w:pPr>
    </w:p>
    <w:p>
      <w:pPr>
        <w:jc w:val="both"/>
        <w:ind w:right="360" w:firstLine="266"/>
        <w:spacing w:after="0" w:line="273" w:lineRule="auto"/>
        <w:rPr>
          <w:sz w:val="20"/>
          <w:szCs w:val="20"/>
          <w:color w:val="auto"/>
        </w:rPr>
      </w:pPr>
      <w:r>
        <w:rPr>
          <w:rFonts w:ascii="Arial" w:cs="Arial" w:eastAsia="Arial" w:hAnsi="Arial"/>
          <w:sz w:val="19"/>
          <w:szCs w:val="19"/>
          <w:color w:val="auto"/>
        </w:rPr>
        <w:t>The preparation of financial statements in conformity with accounting principles generally accepted in the United States of America requires management to make estimates and assumptions that affect amounts reported in them. Management bases its estimates on historical experience and on various other assumptions that are believed to be reasonable under the circumstances.</w:t>
      </w:r>
    </w:p>
    <w:p>
      <w:pPr>
        <w:spacing w:after="0" w:line="2"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Significant accounting estimates include management's review of long-lived assets and goodwill for potential impairment, income tax provision, allowance for uncollectible accounts receivable, inventory valuation allowances and restructuring reserves. The Company's estimates are based on the facts and circumstances available at the time; different reasonable estimates could have been used in the current period, and changes in the accounting estimates used are likely to occur 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that they are determined.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Derivative Instruments and Hedging Activities</w:t>
      </w:r>
    </w:p>
    <w:p>
      <w:pPr>
        <w:spacing w:after="0" w:line="206" w:lineRule="exact"/>
        <w:rPr>
          <w:sz w:val="20"/>
          <w:szCs w:val="20"/>
          <w:color w:val="auto"/>
        </w:rPr>
      </w:pPr>
    </w:p>
    <w:p>
      <w:pPr>
        <w:ind w:right="100" w:firstLine="266"/>
        <w:spacing w:after="0" w:line="245" w:lineRule="auto"/>
        <w:rPr>
          <w:sz w:val="20"/>
          <w:szCs w:val="20"/>
          <w:color w:val="auto"/>
        </w:rPr>
      </w:pPr>
      <w:r>
        <w:rPr>
          <w:rFonts w:ascii="Arial" w:cs="Arial" w:eastAsia="Arial" w:hAnsi="Arial"/>
          <w:sz w:val="21"/>
          <w:szCs w:val="21"/>
          <w:color w:val="auto"/>
        </w:rPr>
        <w:t>The Company records derivatives in the condensed consolidated balance sheet as assets or liabilities, measured at fair value. Gains or losses resulting from changes in the values of those derivatives are reported in the condensed consolidated statements of income or as accumulated other comprehensive income, a separate component of shareholders' equity, depending on the use of the derivatives and whether they qualify for hedge accounting. Among other criteria, in order to qualify for hedge accounting, the derivative must be highly effective in achieving offsetting changes in the fair value or cash flows of the hedged items during the term of the hedge. The Company uses judgment in assessing the fair value of derivatives and related financial instruments, including assumptions utilized in derivative fair value models in areas such as projected interest rates and changes in the Company's stock price during the contract term. The Company manages its foreign currency fluctuation risks through these derivative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Property, Plant and Equipment</w:t>
      </w:r>
    </w:p>
    <w:p>
      <w:pPr>
        <w:spacing w:after="0" w:line="206" w:lineRule="exact"/>
        <w:rPr>
          <w:sz w:val="20"/>
          <w:szCs w:val="20"/>
          <w:color w:val="auto"/>
        </w:rPr>
      </w:pPr>
    </w:p>
    <w:p>
      <w:pPr>
        <w:ind w:right="180" w:firstLine="270"/>
        <w:spacing w:after="0" w:line="287" w:lineRule="auto"/>
        <w:rPr>
          <w:sz w:val="20"/>
          <w:szCs w:val="20"/>
          <w:color w:val="auto"/>
        </w:rPr>
      </w:pPr>
      <w:r>
        <w:rPr>
          <w:rFonts w:ascii="Arial" w:cs="Arial" w:eastAsia="Arial" w:hAnsi="Arial"/>
          <w:sz w:val="19"/>
          <w:szCs w:val="19"/>
          <w:color w:val="auto"/>
        </w:rPr>
        <w:t>Property, plant and equipment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20" w:firstLine="270"/>
        <w:spacing w:after="0" w:line="246" w:lineRule="auto"/>
        <w:rPr>
          <w:sz w:val="20"/>
          <w:szCs w:val="20"/>
          <w:color w:val="auto"/>
        </w:rPr>
      </w:pPr>
      <w:r>
        <w:rPr>
          <w:rFonts w:ascii="Arial" w:cs="Arial" w:eastAsia="Arial" w:hAnsi="Arial"/>
          <w:sz w:val="21"/>
          <w:szCs w:val="21"/>
          <w:color w:val="auto"/>
        </w:rPr>
        <w:t>Depreciation and amortization are computed on the straight 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 technological obsolescence, or other change in circumstances indicate that their carrying amount may not be recoverable. Actual fair values may differ from estimated fair values.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Goodwill and Other Intangible Assets</w:t>
      </w:r>
    </w:p>
    <w:p>
      <w:pPr>
        <w:spacing w:after="0" w:line="206" w:lineRule="exact"/>
        <w:rPr>
          <w:sz w:val="20"/>
          <w:szCs w:val="20"/>
          <w:color w:val="auto"/>
        </w:rPr>
      </w:pPr>
    </w:p>
    <w:p>
      <w:pPr>
        <w:ind w:right="20" w:firstLine="270"/>
        <w:spacing w:after="0" w:line="279" w:lineRule="auto"/>
        <w:rPr>
          <w:sz w:val="20"/>
          <w:szCs w:val="20"/>
          <w:color w:val="auto"/>
        </w:rPr>
      </w:pPr>
      <w:r>
        <w:rPr>
          <w:rFonts w:ascii="Arial" w:cs="Arial" w:eastAsia="Arial" w:hAnsi="Arial"/>
          <w:sz w:val="19"/>
          <w:szCs w:val="19"/>
          <w:color w:val="auto"/>
        </w:rPr>
        <w:t>Intangible assets consist primarily of goodwill and other acquisition-related intangibles, and a technology license agreement and a supply agreement. These assets are stated at fair value as of the date acquired less accumulated amortization. Amortization is calculated on a straight-line basis or another method that more fairly represents the utilization of the assets. The future economic benefit of the carrying value of intangible assets is reviewed annually and the Company uses judgment whenever events or changes in circumstances indicate the carrying value of an intangible asset may not be recoverable based on discounted cash flows or market factors and an impairment loss would be recorded in the period so determined.</w:t>
      </w:r>
    </w:p>
    <w:p>
      <w:pPr>
        <w:sectPr>
          <w:pgSz w:w="11900" w:h="16838" w:orient="portrait"/>
          <w:cols w:equalWidth="0" w:num="1">
            <w:col w:w="11380"/>
          </w:cols>
          <w:pgMar w:left="240" w:top="118" w:right="279" w:bottom="0" w:gutter="0" w:footer="0" w:header="0"/>
        </w:sectPr>
      </w:pPr>
    </w:p>
    <w:bookmarkStart w:id="18" w:name="page19"/>
    <w:bookmarkEnd w:id="18"/>
    <w:p>
      <w:pPr>
        <w:spacing w:after="0"/>
        <w:rPr>
          <w:sz w:val="20"/>
          <w:szCs w:val="20"/>
          <w:color w:val="auto"/>
        </w:rPr>
      </w:pPr>
      <w:r>
        <w:rPr>
          <w:rFonts w:ascii="Arial" w:cs="Arial" w:eastAsia="Arial" w:hAnsi="Arial"/>
          <w:sz w:val="22"/>
          <w:szCs w:val="22"/>
          <w:i w:val="1"/>
          <w:iCs w:val="1"/>
          <w:color w:val="auto"/>
        </w:rPr>
        <w:t>Impairment of Long-Lived Assets</w:t>
      </w:r>
    </w:p>
    <w:p>
      <w:pPr>
        <w:spacing w:after="0" w:line="207" w:lineRule="exact"/>
        <w:rPr>
          <w:sz w:val="20"/>
          <w:szCs w:val="20"/>
          <w:color w:val="auto"/>
        </w:rPr>
      </w:pPr>
    </w:p>
    <w:p>
      <w:pPr>
        <w:ind w:right="80" w:firstLine="270"/>
        <w:spacing w:after="0" w:line="279" w:lineRule="auto"/>
        <w:rPr>
          <w:sz w:val="20"/>
          <w:szCs w:val="20"/>
          <w:color w:val="auto"/>
        </w:rPr>
      </w:pPr>
      <w:r>
        <w:rPr>
          <w:rFonts w:ascii="Arial" w:cs="Arial" w:eastAsia="Arial" w:hAnsi="Arial"/>
          <w:sz w:val="19"/>
          <w:szCs w:val="19"/>
          <w:color w:val="auto"/>
        </w:rPr>
        <w:t>Long-lived assets and certain identifiable assets to be held and used are reviewed for impairment whenever events or changes in circumstances indicate that the carrying amount of such assets may not be recoverable. Determination of recoverability is based on the Company's judgment and estimate of undiscounted future cash flows resulting from the use of the asset and its eventual disposition. Measurement of an impairment loss for long-lived assets and certain identifiable intangible assets that management expects to hold and use is based on the fair value of the asset. Long-lived assets and certain identifiable intangible assets to be disposed of are reported at the lower of carrying amount or fair value less costs of disposition.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Investment in Joint Venture</w:t>
      </w:r>
    </w:p>
    <w:p>
      <w:pPr>
        <w:spacing w:after="0" w:line="206" w:lineRule="exact"/>
        <w:rPr>
          <w:sz w:val="20"/>
          <w:szCs w:val="20"/>
          <w:color w:val="auto"/>
        </w:rPr>
      </w:pPr>
    </w:p>
    <w:p>
      <w:pPr>
        <w:ind w:right="40" w:firstLine="270"/>
        <w:spacing w:after="0" w:line="275" w:lineRule="auto"/>
        <w:rPr>
          <w:sz w:val="20"/>
          <w:szCs w:val="20"/>
          <w:color w:val="auto"/>
        </w:rPr>
      </w:pPr>
      <w:r>
        <w:rPr>
          <w:rFonts w:ascii="Arial" w:cs="Arial" w:eastAsia="Arial" w:hAnsi="Arial"/>
          <w:sz w:val="19"/>
          <w:szCs w:val="19"/>
          <w:color w:val="auto"/>
        </w:rPr>
        <w:t>Investments in joint ventures over which the Company has the ability to exercise significant influence and that, in general, are at least 20 percent owned are stated at cost plus equity in undistributed net income (loss) of the joint venture. These investments are evaluated for impairment in accordance with the requirements of Accounting Principles Board Opinion No. 18, "The Equity Method of Accounting for Investments in Common Stock." An impairment loss would be recorded whenever a decline in the value of an equity investment below its carrying amount is determined to be other than temporary. In judging "other than temporary," the Company would consider the length of time and extent to which the fair value of the investment has been less than the carrying amount of the equity company, the near-term and longer-term operating and financial prospects of the equity company, and its longer-term intent of retaining the investment in the equity company.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Income Taxes</w:t>
      </w:r>
    </w:p>
    <w:p>
      <w:pPr>
        <w:spacing w:after="0" w:line="206" w:lineRule="exact"/>
        <w:rPr>
          <w:sz w:val="20"/>
          <w:szCs w:val="20"/>
          <w:color w:val="auto"/>
        </w:rPr>
      </w:pPr>
    </w:p>
    <w:p>
      <w:pPr>
        <w:ind w:firstLine="266"/>
        <w:spacing w:after="0" w:line="282" w:lineRule="auto"/>
        <w:rPr>
          <w:sz w:val="20"/>
          <w:szCs w:val="20"/>
          <w:color w:val="auto"/>
        </w:rPr>
      </w:pPr>
      <w:r>
        <w:rPr>
          <w:rFonts w:ascii="Arial" w:cs="Arial" w:eastAsia="Arial" w:hAnsi="Arial"/>
          <w:sz w:val="19"/>
          <w:szCs w:val="19"/>
          <w:color w:val="auto"/>
        </w:rPr>
        <w:t>The income tax provision (benefit) is computed on the basis of consolidated financial statement income or loss before income taxes. Deferred income taxes reflect the tax effects of differences between the carrying amounts of assets and liabilities for financial reporting purposes and the amounts used for income tax purposes. The Company uses judgment and assumptions to determine if valuation allowances for deferred income tax assets are required if realization is not likely by considering future market growth, forecasted operations, future taxable income, and the mix of earnings in the tax jurisdictions in which it operates.</w:t>
      </w:r>
    </w:p>
    <w:p>
      <w:pPr>
        <w:spacing w:after="0" w:line="148" w:lineRule="exact"/>
        <w:rPr>
          <w:sz w:val="20"/>
          <w:szCs w:val="20"/>
          <w:color w:val="auto"/>
        </w:rPr>
      </w:pPr>
    </w:p>
    <w:p>
      <w:pPr>
        <w:ind w:right="80" w:firstLine="266"/>
        <w:spacing w:after="0" w:line="277" w:lineRule="auto"/>
        <w:rPr>
          <w:sz w:val="20"/>
          <w:szCs w:val="20"/>
          <w:color w:val="auto"/>
        </w:rPr>
      </w:pPr>
      <w:r>
        <w:rPr>
          <w:rFonts w:ascii="Arial" w:cs="Arial" w:eastAsia="Arial" w:hAnsi="Arial"/>
          <w:sz w:val="19"/>
          <w:szCs w:val="19"/>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recoverability of deferred income tax assets from future taxable income and establishes valuation allowances if recovery is deemed not likely. Accordingly, the income tax provision in the consolidated statements of operations is impacted by changes in the valuation allowance. Significant management estimates and judgment are required in determining any valuation allowance recorded against net deferred tax assets.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Recognition</w:t>
      </w:r>
    </w:p>
    <w:p>
      <w:pPr>
        <w:spacing w:after="0" w:line="206" w:lineRule="exact"/>
        <w:rPr>
          <w:sz w:val="20"/>
          <w:szCs w:val="20"/>
          <w:color w:val="auto"/>
        </w:rPr>
      </w:pPr>
    </w:p>
    <w:p>
      <w:pPr>
        <w:ind w:right="220" w:firstLine="266"/>
        <w:spacing w:after="0"/>
        <w:rPr>
          <w:sz w:val="20"/>
          <w:szCs w:val="20"/>
          <w:color w:val="auto"/>
        </w:rPr>
      </w:pPr>
      <w:r>
        <w:rPr>
          <w:rFonts w:ascii="Arial" w:cs="Arial" w:eastAsia="Arial" w:hAnsi="Arial"/>
          <w:sz w:val="22"/>
          <w:szCs w:val="22"/>
          <w:color w:val="auto"/>
        </w:rPr>
        <w:t>The Company recognizes revenue when both title and risk of loss transfer to the customer. The Company makes estimates and assumptions and uses judgment relating to discounts and estimates for product return and warranties which are accrued and recognized at the time of sale.</w:t>
      </w:r>
    </w:p>
    <w:p>
      <w:pPr>
        <w:spacing w:after="0" w:line="186" w:lineRule="exact"/>
        <w:rPr>
          <w:sz w:val="20"/>
          <w:szCs w:val="20"/>
          <w:color w:val="auto"/>
        </w:rPr>
      </w:pPr>
    </w:p>
    <w:p>
      <w:pPr>
        <w:ind w:right="200" w:firstLine="270"/>
        <w:spacing w:after="0" w:line="251" w:lineRule="auto"/>
        <w:rPr>
          <w:sz w:val="20"/>
          <w:szCs w:val="20"/>
          <w:color w:val="auto"/>
        </w:rPr>
      </w:pPr>
      <w:r>
        <w:rPr>
          <w:rFonts w:ascii="Arial" w:cs="Arial" w:eastAsia="Arial" w:hAnsi="Arial"/>
          <w:sz w:val="22"/>
          <w:szCs w:val="22"/>
          <w:u w:val="single" w:color="auto"/>
          <w:color w:val="auto"/>
        </w:rPr>
        <w:t>Discounts</w:t>
      </w:r>
      <w:r>
        <w:rPr>
          <w:rFonts w:ascii="Arial" w:cs="Arial" w:eastAsia="Arial" w:hAnsi="Arial"/>
          <w:sz w:val="22"/>
          <w:szCs w:val="22"/>
          <w:color w:val="auto"/>
        </w:rPr>
        <w:t xml:space="preserve"> - Sales discounts are negotiated with customers prior to billing and at the time of billing, sales invoices are prepared net of negotiated sales discounts.</w:t>
      </w:r>
    </w:p>
    <w:p>
      <w:pPr>
        <w:spacing w:after="0" w:line="173" w:lineRule="exact"/>
        <w:rPr>
          <w:sz w:val="20"/>
          <w:szCs w:val="20"/>
          <w:color w:val="auto"/>
        </w:rPr>
      </w:pPr>
    </w:p>
    <w:p>
      <w:pPr>
        <w:ind w:right="280" w:firstLine="270"/>
        <w:spacing w:after="0" w:line="251" w:lineRule="auto"/>
        <w:rPr>
          <w:sz w:val="20"/>
          <w:szCs w:val="20"/>
          <w:color w:val="auto"/>
        </w:rPr>
      </w:pPr>
      <w:r>
        <w:rPr>
          <w:rFonts w:ascii="Arial" w:cs="Arial" w:eastAsia="Arial" w:hAnsi="Arial"/>
          <w:sz w:val="22"/>
          <w:szCs w:val="22"/>
          <w:u w:val="single" w:color="auto"/>
          <w:color w:val="auto"/>
        </w:rPr>
        <w:t>Product Returns</w:t>
      </w:r>
      <w:r>
        <w:rPr>
          <w:rFonts w:ascii="Arial" w:cs="Arial" w:eastAsia="Arial" w:hAnsi="Arial"/>
          <w:sz w:val="22"/>
          <w:szCs w:val="22"/>
          <w:color w:val="auto"/>
        </w:rPr>
        <w:t xml:space="preserve"> - Customer returns have historically been insignificant. However, the Company does record a liability for the insignificant amount of estimated sales returns based upon historical experience.</w:t>
      </w:r>
    </w:p>
    <w:p>
      <w:pPr>
        <w:spacing w:after="0" w:line="173" w:lineRule="exact"/>
        <w:rPr>
          <w:sz w:val="20"/>
          <w:szCs w:val="20"/>
          <w:color w:val="auto"/>
        </w:rPr>
      </w:pPr>
    </w:p>
    <w:p>
      <w:pPr>
        <w:ind w:right="80" w:firstLine="270"/>
        <w:spacing w:after="0" w:line="234" w:lineRule="auto"/>
        <w:rPr>
          <w:sz w:val="20"/>
          <w:szCs w:val="20"/>
          <w:color w:val="auto"/>
        </w:rPr>
      </w:pPr>
      <w:r>
        <w:rPr>
          <w:rFonts w:ascii="Arial" w:cs="Arial" w:eastAsia="Arial" w:hAnsi="Arial"/>
          <w:sz w:val="22"/>
          <w:szCs w:val="22"/>
          <w:u w:val="single" w:color="auto"/>
          <w:color w:val="auto"/>
        </w:rPr>
        <w:t>Warranties and Other Post Shipment Obligations</w:t>
      </w:r>
      <w:r>
        <w:rPr>
          <w:rFonts w:ascii="Arial" w:cs="Arial" w:eastAsia="Arial" w:hAnsi="Arial"/>
          <w:sz w:val="22"/>
          <w:szCs w:val="22"/>
          <w:color w:val="auto"/>
        </w:rPr>
        <w:t xml:space="preserve"> - For a 30-day period, the Company warrants that items sold will conform to customer specification. However, the Company's liability is limited to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for products with defects or products that have not been produced to precise customer specifications. At the time of shipment, a liability is established for these items.</w:t>
      </w:r>
    </w:p>
    <w:p>
      <w:pPr>
        <w:spacing w:after="0" w:line="191" w:lineRule="exact"/>
        <w:rPr>
          <w:sz w:val="20"/>
          <w:szCs w:val="20"/>
          <w:color w:val="auto"/>
        </w:rPr>
      </w:pPr>
    </w:p>
    <w:p>
      <w:pPr>
        <w:ind w:right="80" w:firstLine="270"/>
        <w:spacing w:after="0" w:line="251" w:lineRule="auto"/>
        <w:rPr>
          <w:sz w:val="20"/>
          <w:szCs w:val="20"/>
          <w:color w:val="auto"/>
        </w:rPr>
      </w:pPr>
      <w:r>
        <w:rPr>
          <w:rFonts w:ascii="Arial" w:cs="Arial" w:eastAsia="Arial" w:hAnsi="Arial"/>
          <w:sz w:val="22"/>
          <w:szCs w:val="22"/>
          <w:u w:val="single" w:color="auto"/>
          <w:color w:val="auto"/>
        </w:rPr>
        <w:t>Sales Taxes</w:t>
      </w:r>
      <w:r>
        <w:rPr>
          <w:rFonts w:ascii="Arial" w:cs="Arial" w:eastAsia="Arial" w:hAnsi="Arial"/>
          <w:sz w:val="22"/>
          <w:szCs w:val="22"/>
          <w:color w:val="auto"/>
        </w:rPr>
        <w:t xml:space="preserve"> - The Company presents it revenues in the consolidated statements of operations net of sales taxes, if any (excluded from revenues).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New Accounting Standards</w:t>
      </w:r>
    </w:p>
    <w:p>
      <w:pPr>
        <w:spacing w:after="0" w:line="212" w:lineRule="exact"/>
        <w:rPr>
          <w:sz w:val="20"/>
          <w:szCs w:val="20"/>
          <w:color w:val="auto"/>
        </w:rPr>
      </w:pPr>
    </w:p>
    <w:p>
      <w:pPr>
        <w:ind w:right="220" w:firstLine="324"/>
        <w:spacing w:after="0" w:line="297" w:lineRule="auto"/>
        <w:rPr>
          <w:sz w:val="20"/>
          <w:szCs w:val="20"/>
          <w:color w:val="auto"/>
        </w:rPr>
      </w:pPr>
      <w:r>
        <w:rPr>
          <w:rFonts w:ascii="Arial" w:cs="Arial" w:eastAsia="Arial" w:hAnsi="Arial"/>
          <w:sz w:val="19"/>
          <w:szCs w:val="19"/>
          <w:color w:val="auto"/>
        </w:rPr>
        <w:t>In December 2007, the Financial Accounting Standards Board ("FASB") issued Statement of Accounting Standards ("SFAS") No. 160, "Noncontrolling Interests in Consolidated Financial Statements - an amendment of Accounting Research Bulletin No. 51." SFAS No. 160 establishes accounting and reporting standards for the noncontrolling interest in a subsidiary for the</w:t>
      </w:r>
    </w:p>
    <w:p>
      <w:pPr>
        <w:sectPr>
          <w:pgSz w:w="11900" w:h="16838" w:orient="portrait"/>
          <w:cols w:equalWidth="0" w:num="1">
            <w:col w:w="11420"/>
          </w:cols>
          <w:pgMar w:left="240" w:top="118" w:right="239" w:bottom="0" w:gutter="0" w:footer="0" w:header="0"/>
        </w:sectPr>
      </w:pPr>
    </w:p>
    <w:bookmarkStart w:id="19" w:name="page20"/>
    <w:bookmarkEnd w:id="19"/>
    <w:p>
      <w:pPr>
        <w:ind w:right="480"/>
        <w:spacing w:after="0" w:line="241" w:lineRule="auto"/>
        <w:rPr>
          <w:sz w:val="20"/>
          <w:szCs w:val="20"/>
          <w:color w:val="auto"/>
        </w:rPr>
      </w:pPr>
      <w:r>
        <w:rPr>
          <w:rFonts w:ascii="Arial" w:cs="Arial" w:eastAsia="Arial" w:hAnsi="Arial"/>
          <w:sz w:val="22"/>
          <w:szCs w:val="22"/>
          <w:color w:val="auto"/>
        </w:rPr>
        <w:t>deconsolidation of a subsidiary. SFAS No. 160 is effective for financial statements issued for fiscal years beginning after December 15, 2008, and interim statements within those fiscal years. The Company is currently evaluating the impact, if any, SFAS No. 160 will have on its consolidated financial statements.</w:t>
      </w:r>
    </w:p>
    <w:p>
      <w:pPr>
        <w:spacing w:after="0" w:line="184"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is effective for financial statements issued for fiscal years beginning after December 15, 2008, and interim statements within those fiscal years. The Company is currently evaluating the impact, if any, SFAS No. 141R will have on its consolidated financial statements.</w:t>
      </w:r>
    </w:p>
    <w:p>
      <w:pPr>
        <w:spacing w:after="0" w:line="153" w:lineRule="exact"/>
        <w:rPr>
          <w:sz w:val="20"/>
          <w:szCs w:val="20"/>
          <w:color w:val="auto"/>
        </w:rPr>
      </w:pPr>
    </w:p>
    <w:p>
      <w:pPr>
        <w:ind w:right="160" w:firstLine="270"/>
        <w:spacing w:after="0" w:line="236" w:lineRule="auto"/>
        <w:rPr>
          <w:sz w:val="20"/>
          <w:szCs w:val="20"/>
          <w:color w:val="auto"/>
        </w:rPr>
      </w:pPr>
      <w:r>
        <w:rPr>
          <w:rFonts w:ascii="Arial" w:cs="Arial" w:eastAsia="Arial" w:hAnsi="Arial"/>
          <w:sz w:val="22"/>
          <w:szCs w:val="22"/>
          <w:color w:val="auto"/>
        </w:rPr>
        <w:t>In February 2007, the FASB issued SFAS No. 159, "The Fair Value Option for Financial Assets and Financial Liabilities-Including an Amendment of FASB Statement No. 115." SFAS No. 159 permits entities to choose to measure many financial instruments and certain other items at fair value, and is effective as of the beginning of an entity's first fiscal year that begins after November 15, 2007. The Company is currently evaluating the impact that the adoption of SFAS No. 159 will have on its consolidated financial statements.</w:t>
      </w:r>
    </w:p>
    <w:p>
      <w:pPr>
        <w:spacing w:after="0" w:line="188" w:lineRule="exact"/>
        <w:rPr>
          <w:sz w:val="20"/>
          <w:szCs w:val="20"/>
          <w:color w:val="auto"/>
        </w:rPr>
      </w:pPr>
    </w:p>
    <w:p>
      <w:pPr>
        <w:ind w:right="60" w:firstLine="270"/>
        <w:spacing w:after="0" w:line="274" w:lineRule="auto"/>
        <w:rPr>
          <w:sz w:val="20"/>
          <w:szCs w:val="20"/>
          <w:color w:val="auto"/>
        </w:rPr>
      </w:pPr>
      <w:r>
        <w:rPr>
          <w:rFonts w:ascii="Arial" w:cs="Arial" w:eastAsia="Arial" w:hAnsi="Arial"/>
          <w:sz w:val="19"/>
          <w:szCs w:val="19"/>
          <w:color w:val="auto"/>
        </w:rPr>
        <w:t>In September 2006, the FASB issued SFAS No. 157, “Fair Value Measurements” which provides a consistent definition of fair value which focuses on exit price and prioritizes, within a measurement of fair value, the use of market-based inputs over entity-specific inputs. SFAS No. 157 requires expanded disclosures about fair value measurements and establishes a three-level hierarchy for fair value measurements based on the transparency of inputs to the valuation of an asset or liability as of the measurement date. The standard also requires that a company use its own nonperformance risk when measuring liabilities carried at fair value, including derivatives. In February 2008, the FASB approved a FASB Staff Position ("FSP") that permits companies to partially defer the effective date of SFAS No. 157 for one year for nonfinancial assets and nonfinancial liabilities that are recognized or disclosed at fair value in the financial statements on a nonrecurring basis. The FSP did not permit companies to defer recognition and disclosure requirements for financial</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assets and financial liabilities or for nonfinancial assets and nonfinancial liabilities that are remeasured at least annually. SFAS No. 157 is effective for financial assets and financial liabilities and for nonfinancial assets and nonfinancial liabilities that are remeasured at least annually for financial statements issued for fiscal years beginning after November 15, 2007 and interim periods within those fiscal years. The provisions of SFAS No. 157 will be applied prospectively. The Company intends to defer adoption of SFAS No. 157 for one year for nonfinancial assets and nonfinancial liabilities that are recognized or disclosed at fair value in the financial statements on a nonrecurring basis. The Company is currently evaluating the effects, if any, that SFAS No. 157 may have on its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2" w:lineRule="exact"/>
        <w:rPr>
          <w:sz w:val="20"/>
          <w:szCs w:val="20"/>
          <w:color w:val="auto"/>
        </w:rPr>
      </w:pPr>
    </w:p>
    <w:p>
      <w:pPr>
        <w:ind w:firstLine="266"/>
        <w:spacing w:after="0" w:line="275" w:lineRule="auto"/>
        <w:rPr>
          <w:sz w:val="20"/>
          <w:szCs w:val="20"/>
          <w:color w:val="auto"/>
        </w:rPr>
      </w:pPr>
      <w:r>
        <w:rPr>
          <w:rFonts w:ascii="Arial" w:cs="Arial" w:eastAsia="Arial" w:hAnsi="Arial"/>
          <w:sz w:val="19"/>
          <w:szCs w:val="19"/>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condensed consolidated statement of income, or as accumulated other comprehensive income, a separate component of shareholders' equity, depending on the use of the derivatives and whether they qualify for hedge accounting. In order to qualify for hedge accounting among other criteria, the derivative must be highly effective in achieving offsetting changes in the fair value or cash flows of the hedged items during the term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12" w:lineRule="exact"/>
        <w:rPr>
          <w:sz w:val="20"/>
          <w:szCs w:val="20"/>
          <w:color w:val="auto"/>
        </w:rPr>
      </w:pPr>
    </w:p>
    <w:p>
      <w:pPr>
        <w:ind w:right="80" w:firstLine="266"/>
        <w:spacing w:after="0" w:line="249" w:lineRule="auto"/>
        <w:rPr>
          <w:sz w:val="20"/>
          <w:szCs w:val="20"/>
          <w:color w:val="auto"/>
        </w:rPr>
      </w:pPr>
      <w:r>
        <w:rPr>
          <w:rFonts w:ascii="Arial" w:cs="Arial" w:eastAsia="Arial" w:hAnsi="Arial"/>
          <w:sz w:val="21"/>
          <w:szCs w:val="21"/>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and retained earnings. The principal functional currencies of the Company's Asian subsidiaries are the Korean won, New Taiwan dollar, Chinese renminbi and Singapore dollar. The principal functional currencies of the Company's European subsidiaries are the British pound and the euro.</w:t>
      </w:r>
    </w:p>
    <w:p>
      <w:pPr>
        <w:spacing w:after="0" w:line="179" w:lineRule="exact"/>
        <w:rPr>
          <w:sz w:val="20"/>
          <w:szCs w:val="20"/>
          <w:color w:val="auto"/>
        </w:rPr>
      </w:pPr>
    </w:p>
    <w:p>
      <w:pPr>
        <w:ind w:right="60" w:firstLine="266"/>
        <w:spacing w:after="0" w:line="234" w:lineRule="auto"/>
        <w:rPr>
          <w:sz w:val="20"/>
          <w:szCs w:val="20"/>
          <w:color w:val="auto"/>
        </w:rPr>
      </w:pPr>
      <w:r>
        <w:rPr>
          <w:rFonts w:ascii="Arial" w:cs="Arial" w:eastAsia="Arial" w:hAnsi="Arial"/>
          <w:sz w:val="22"/>
          <w:szCs w:val="22"/>
          <w:color w:val="auto"/>
        </w:rPr>
        <w:t>The Company attempts to minimize its risk to foreign currency transaction losses by producing its products in the same country in which the products are sold and thereby generating revenues and incurring expenses in the same currency and by managing its working capital. In some instances, the Company may sell products in a currency other than the functional currency of the country where it was produced. To date, the Company has not experienced a significant foreign exchange loss on these sales. However, there can be no assurance that this approach will be successful, especially in the event of a significant adverse movement in the value of any foreign currencies against the U.S. dollar. The Company does not engage in purchasing forward exchange contracts for speculative purposes.</w:t>
      </w:r>
    </w:p>
    <w:p>
      <w:pPr>
        <w:sectPr>
          <w:pgSz w:w="11900" w:h="16838" w:orient="portrait"/>
          <w:cols w:equalWidth="0" w:num="1">
            <w:col w:w="11380"/>
          </w:cols>
          <w:pgMar w:left="240" w:top="118" w:right="279" w:bottom="140" w:gutter="0" w:footer="0" w:header="0"/>
        </w:sectPr>
      </w:pPr>
    </w:p>
    <w:bookmarkStart w:id="20" w:name="page21"/>
    <w:bookmarkEnd w:id="20"/>
    <w:p>
      <w:pPr>
        <w:ind w:firstLine="266"/>
        <w:spacing w:after="0" w:line="249" w:lineRule="auto"/>
        <w:rPr>
          <w:sz w:val="20"/>
          <w:szCs w:val="20"/>
          <w:color w:val="auto"/>
        </w:rPr>
      </w:pPr>
      <w:r>
        <w:rPr>
          <w:rFonts w:ascii="Arial" w:cs="Arial" w:eastAsia="Arial" w:hAnsi="Arial"/>
          <w:sz w:val="21"/>
          <w:szCs w:val="21"/>
          <w:color w:val="auto"/>
        </w:rPr>
        <w:t>The Company's primary net foreign currency exposures as of January 27, 2008 included the Korean won, the Singapore dollar, the New Taiwan dollar, the Chinese renminbi, the British pound and the euro. As of January 27, 2008, a 10% adverse movement in the value of these currencies against the U.S. dollar would have resulted in a net unrealized pre-tax loss of $4.8 million. The Company does not believe that a 10% change in the exchange rates of other non-U.S. dollar currencies would have a material effect on its consolidated financial position, results of operations or cash flows.</w:t>
      </w:r>
    </w:p>
    <w:p>
      <w:pPr>
        <w:spacing w:after="0" w:line="179" w:lineRule="exact"/>
        <w:rPr>
          <w:sz w:val="20"/>
          <w:szCs w:val="20"/>
          <w:color w:val="auto"/>
        </w:rPr>
      </w:pPr>
    </w:p>
    <w:p>
      <w:pPr>
        <w:ind w:right="260" w:firstLine="270"/>
        <w:spacing w:after="0" w:line="248" w:lineRule="auto"/>
        <w:rPr>
          <w:sz w:val="20"/>
          <w:szCs w:val="20"/>
          <w:color w:val="auto"/>
        </w:rPr>
      </w:pPr>
      <w:r>
        <w:rPr>
          <w:rFonts w:ascii="Arial" w:cs="Arial" w:eastAsia="Arial" w:hAnsi="Arial"/>
          <w:sz w:val="21"/>
          <w:szCs w:val="21"/>
          <w:color w:val="auto"/>
        </w:rPr>
        <w:t>In April, 2006, the Company's Korean subsidiary entered into a foreign currency rate swap contract which, under the terms of the contract, effectively converted a $50 million interest bearing intercompany loan denominated in U.S. dollars to Korean won. During the three months ended January 27, 2008, $20 million of the intercompany loan was repaid, which reduced the intercompany loan and the related swap balance to $30 million. This contract expires in November 2008, the due date of the intercompany loan. The Company elected not to designate the foreign currency rate swap contract as a hedge which results in mark-to-market adjustments in the condensed consolidated statements of income.</w:t>
      </w:r>
    </w:p>
    <w:p>
      <w:pPr>
        <w:spacing w:after="0" w:line="177" w:lineRule="exact"/>
        <w:rPr>
          <w:sz w:val="20"/>
          <w:szCs w:val="20"/>
          <w:color w:val="auto"/>
        </w:rPr>
      </w:pPr>
    </w:p>
    <w:p>
      <w:pPr>
        <w:ind w:right="20" w:firstLine="270"/>
        <w:spacing w:after="0" w:line="275" w:lineRule="auto"/>
        <w:rPr>
          <w:sz w:val="20"/>
          <w:szCs w:val="20"/>
          <w:color w:val="auto"/>
        </w:rPr>
      </w:pPr>
      <w:r>
        <w:rPr>
          <w:rFonts w:ascii="Arial" w:cs="Arial" w:eastAsia="Arial" w:hAnsi="Arial"/>
          <w:sz w:val="19"/>
          <w:szCs w:val="19"/>
          <w:color w:val="auto"/>
        </w:rPr>
        <w:t>In accordance with SFAS No. 133, "Accounting for Derivatives and Hedging Activities," hedges related to anticipated transactions are designated and documented at their inception as cash flow hedges and are evaluated for effectiveness. In September, 2006, the Company entered into forward contracts to convert the fixed yen purchase price of certain equipment into fixed U.S. dollar amounts, which were designated as cash flow hedges. The Company records these derivative instruments in either current assets, noncurrent assets, or accrued liabilities, depending on their net position, at fair value regardless of the purpose or intent for holding the instrument. Changes in the fair value of derivative financial instruments are recognized in earnings for the ineffective portion of hedges or in shareholders equity as a component of accumulated other comprehensive income or loss for the effective portion. As of January 27, 2008, all of the Company's forward contracts were settled.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212" w:lineRule="exact"/>
        <w:rPr>
          <w:sz w:val="20"/>
          <w:szCs w:val="20"/>
          <w:color w:val="auto"/>
        </w:rPr>
      </w:pPr>
    </w:p>
    <w:p>
      <w:pPr>
        <w:ind w:right="80" w:firstLine="266"/>
        <w:spacing w:after="0" w:line="236" w:lineRule="auto"/>
        <w:rPr>
          <w:sz w:val="20"/>
          <w:szCs w:val="20"/>
          <w:color w:val="auto"/>
        </w:rPr>
      </w:pPr>
      <w:r>
        <w:rPr>
          <w:rFonts w:ascii="Arial" w:cs="Arial" w:eastAsia="Arial" w:hAnsi="Arial"/>
          <w:sz w:val="22"/>
          <w:szCs w:val="22"/>
          <w:color w:val="auto"/>
        </w:rPr>
        <w:t>The majority of the Company's borrowings at January 27, 2008 were in the form of its convertible subordinated note which bears interest at a fixed rate of 2.25%, and its capital lease obligation for the U.S. Nanofab which bears interest at a fixed rate of 8%. At January 27, 2008, the Company had approximately $64 million in net variable rate financial instrument assets which were sensitive to interest rate risk. A 10% change in interest rates would not have a material effect on the Company's consolidated financial position,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12" w:lineRule="exact"/>
        <w:rPr>
          <w:sz w:val="20"/>
          <w:szCs w:val="20"/>
          <w:color w:val="auto"/>
        </w:rPr>
      </w:pPr>
    </w:p>
    <w:p>
      <w:pPr>
        <w:ind w:right="20" w:firstLine="258"/>
        <w:spacing w:after="0" w:line="246" w:lineRule="auto"/>
        <w:rPr>
          <w:sz w:val="20"/>
          <w:szCs w:val="20"/>
          <w:color w:val="auto"/>
        </w:rPr>
      </w:pPr>
      <w:r>
        <w:rPr>
          <w:rFonts w:ascii="Arial" w:cs="Arial" w:eastAsia="Arial" w:hAnsi="Arial"/>
          <w:sz w:val="21"/>
          <w:szCs w:val="21"/>
          <w:color w:val="auto"/>
        </w:rPr>
        <w:t>An evaluation was carried out under the supervision and with the participation of the Company's management, including our Chief Executive Officer and Chief Financial Officer, of the effectiveness of the design and operation of the Company's disclosure controls and procedures (as defined in Rule 13a-15(e) and 15d-15(e) under the Securities Act of 1934) as of January 27, 2008, the end of the period covered by this report. Based upon that evaluation, the Company's Chief Executive Officer and Chief Financial Officer have concluded that, as of January 27, 2008, the end of the period covered by this report, the Company's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12" w:lineRule="exact"/>
        <w:rPr>
          <w:sz w:val="20"/>
          <w:szCs w:val="20"/>
          <w:color w:val="auto"/>
        </w:rPr>
      </w:pPr>
    </w:p>
    <w:p>
      <w:pPr>
        <w:ind w:firstLine="266"/>
        <w:spacing w:after="0" w:line="328" w:lineRule="auto"/>
        <w:rPr>
          <w:sz w:val="20"/>
          <w:szCs w:val="20"/>
          <w:color w:val="auto"/>
        </w:rPr>
      </w:pPr>
      <w:r>
        <w:rPr>
          <w:rFonts w:ascii="Arial" w:cs="Arial" w:eastAsia="Arial" w:hAnsi="Arial"/>
          <w:sz w:val="19"/>
          <w:szCs w:val="19"/>
          <w:color w:val="auto"/>
        </w:rPr>
        <w:t>There was no change in the Company's internal control over financial reporting during the Company's first quarter of fiscal 2008 that has materially affected, or is reasonably likely to materially affect, the Company's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RISKS RELATING TO THE COMPANY'S BUSINESS</w:t>
      </w:r>
    </w:p>
    <w:p>
      <w:pPr>
        <w:spacing w:after="0" w:line="212" w:lineRule="exact"/>
        <w:rPr>
          <w:sz w:val="20"/>
          <w:szCs w:val="20"/>
          <w:color w:val="auto"/>
        </w:rPr>
      </w:pPr>
    </w:p>
    <w:p>
      <w:pPr>
        <w:ind w:right="920" w:firstLine="266"/>
        <w:spacing w:after="0" w:line="251" w:lineRule="auto"/>
        <w:rPr>
          <w:sz w:val="20"/>
          <w:szCs w:val="20"/>
          <w:color w:val="auto"/>
        </w:rPr>
      </w:pPr>
      <w:r>
        <w:rPr>
          <w:rFonts w:ascii="Arial" w:cs="Arial" w:eastAsia="Arial" w:hAnsi="Arial"/>
          <w:sz w:val="22"/>
          <w:szCs w:val="22"/>
          <w:color w:val="auto"/>
        </w:rPr>
        <w:t>There have been no material changes to risks relating to the Company's business as disclosed in Part 1, Item 1A of the Company's Form 10-K for the year ended October 28, 2007</w:t>
      </w:r>
      <w:r>
        <w:rPr>
          <w:rFonts w:ascii="Arial" w:cs="Arial" w:eastAsia="Arial" w:hAnsi="Arial"/>
          <w:sz w:val="22"/>
          <w:szCs w:val="22"/>
          <w:b w:val="1"/>
          <w:bCs w:val="1"/>
          <w:color w:val="auto"/>
        </w:rPr>
        <w:t>.</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b w:val="1"/>
          <w:bCs w:val="1"/>
          <w:color w:val="auto"/>
        </w:rPr>
        <w:t>Item 6.</w:t>
        <w:tab/>
        <w:t>EXHIBITS</w:t>
      </w:r>
    </w:p>
    <w:p>
      <w:pPr>
        <w:spacing w:after="0" w:line="239" w:lineRule="exact"/>
        <w:rPr>
          <w:sz w:val="20"/>
          <w:szCs w:val="20"/>
          <w:color w:val="auto"/>
        </w:rPr>
      </w:pPr>
    </w:p>
    <w:p>
      <w:pPr>
        <w:ind w:left="1140" w:hanging="295"/>
        <w:spacing w:after="0"/>
        <w:tabs>
          <w:tab w:leader="none" w:pos="1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b w:val="1"/>
          <w:bCs w:val="1"/>
          <w:color w:val="auto"/>
        </w:rPr>
        <w:t>Exhibit</w:t>
      </w:r>
    </w:p>
    <w:p>
      <w:pPr>
        <w:spacing w:after="0" w:line="14"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b w:val="1"/>
          <w:bCs w:val="1"/>
          <w:u w:val="single" w:color="auto"/>
          <w:color w:val="auto"/>
        </w:rPr>
        <w:t>Number  Description</w:t>
      </w:r>
    </w:p>
    <w:p>
      <w:pPr>
        <w:spacing w:after="0" w:line="215" w:lineRule="exact"/>
        <w:rPr>
          <w:rFonts w:ascii="Arial" w:cs="Arial" w:eastAsia="Arial" w:hAnsi="Arial"/>
          <w:sz w:val="22"/>
          <w:szCs w:val="22"/>
          <w:color w:val="auto"/>
        </w:rPr>
      </w:pPr>
    </w:p>
    <w:p>
      <w:pPr>
        <w:jc w:val="right"/>
        <w:ind w:left="2160" w:right="2480" w:hanging="1013"/>
        <w:spacing w:after="0" w:line="328" w:lineRule="auto"/>
        <w:rPr>
          <w:rFonts w:ascii="Arial" w:cs="Arial" w:eastAsia="Arial" w:hAnsi="Arial"/>
          <w:sz w:val="22"/>
          <w:szCs w:val="22"/>
          <w:color w:val="auto"/>
        </w:rPr>
      </w:pPr>
      <w:r>
        <w:rPr>
          <w:rFonts w:ascii="Arial" w:cs="Arial" w:eastAsia="Arial" w:hAnsi="Arial"/>
          <w:sz w:val="22"/>
          <w:szCs w:val="22"/>
          <w:color w:val="auto"/>
        </w:rPr>
        <w:t>31.1</w:t>
      </w:r>
      <w:r>
        <w:rPr>
          <w:rFonts w:ascii="Arial" w:cs="Arial" w:eastAsia="Arial" w:hAnsi="Arial"/>
          <w:sz w:val="19"/>
          <w:szCs w:val="19"/>
          <w:color w:val="auto"/>
        </w:rPr>
        <w:t>Certification of Chief Executive Officer pursuant to Rule 13a-14(a)/15d-14(a) of the Securities Exchange Act of 1934, as adopted pursuant to Section 302 of</w:t>
      </w:r>
    </w:p>
    <w:p>
      <w:pPr>
        <w:sectPr>
          <w:pgSz w:w="11900" w:h="16838" w:orient="portrait"/>
          <w:cols w:equalWidth="0" w:num="1">
            <w:col w:w="11400"/>
          </w:cols>
          <w:pgMar w:left="240" w:top="118" w:right="259" w:bottom="0" w:gutter="0" w:footer="0" w:header="0"/>
        </w:sectPr>
      </w:pPr>
    </w:p>
    <w:bookmarkStart w:id="21" w:name="page22"/>
    <w:bookmarkEnd w:id="21"/>
    <w:p>
      <w:pPr>
        <w:ind w:left="2160"/>
        <w:spacing w:after="0"/>
        <w:rPr>
          <w:sz w:val="20"/>
          <w:szCs w:val="20"/>
          <w:color w:val="auto"/>
        </w:rPr>
      </w:pPr>
      <w:r>
        <w:rPr>
          <w:rFonts w:ascii="Arial" w:cs="Arial" w:eastAsia="Arial" w:hAnsi="Arial"/>
          <w:sz w:val="22"/>
          <w:szCs w:val="22"/>
          <w:color w:val="auto"/>
        </w:rPr>
        <w:t>the Sarbanes-Oxley Act of 2002.</w:t>
      </w:r>
    </w:p>
    <w:p>
      <w:pPr>
        <w:spacing w:after="0" w:line="234" w:lineRule="exact"/>
        <w:rPr>
          <w:sz w:val="20"/>
          <w:szCs w:val="20"/>
          <w:color w:val="auto"/>
        </w:rPr>
      </w:pPr>
    </w:p>
    <w:p>
      <w:pPr>
        <w:jc w:val="both"/>
        <w:ind w:left="2160" w:right="2320" w:hanging="1012"/>
        <w:spacing w:after="0"/>
        <w:tabs>
          <w:tab w:leader="none" w:pos="214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22"/>
          <w:szCs w:val="22"/>
          <w:color w:val="auto"/>
        </w:rPr>
        <w:t>Certification of Chief Financial Officer pursuant to Rule 13a-14(a)/15d-14(a) of the Securities Exchange Act of 1934, as adopted pursuant to Section 302 of the Sarbanes-Oxley Act of 2002.</w:t>
      </w:r>
    </w:p>
    <w:p>
      <w:pPr>
        <w:spacing w:after="0" w:line="213" w:lineRule="exact"/>
        <w:rPr>
          <w:sz w:val="20"/>
          <w:szCs w:val="20"/>
          <w:color w:val="auto"/>
        </w:rPr>
      </w:pPr>
    </w:p>
    <w:p>
      <w:pPr>
        <w:ind w:left="2160" w:right="2280" w:hanging="1012"/>
        <w:spacing w:after="0" w:line="328" w:lineRule="auto"/>
        <w:tabs>
          <w:tab w:leader="none" w:pos="214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19"/>
          <w:szCs w:val="19"/>
          <w:color w:val="auto"/>
        </w:rPr>
        <w:t>Certification of Chief Executive Officer pursuant to 18 U.S.C. Section 1350 as adopted pursuant to Section 906 of the Sarbanes-Oxley Act of 2002.</w:t>
      </w:r>
    </w:p>
    <w:p>
      <w:pPr>
        <w:spacing w:after="0" w:line="132" w:lineRule="exact"/>
        <w:rPr>
          <w:sz w:val="20"/>
          <w:szCs w:val="20"/>
          <w:color w:val="auto"/>
        </w:rPr>
      </w:pPr>
    </w:p>
    <w:p>
      <w:pPr>
        <w:ind w:left="2160" w:right="2340" w:hanging="1012"/>
        <w:spacing w:after="0" w:line="328" w:lineRule="auto"/>
        <w:tabs>
          <w:tab w:leader="none" w:pos="214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Photronics, Inc.</w:t>
      </w:r>
    </w:p>
    <w:p>
      <w:pPr>
        <w:spacing w:after="0" w:line="8"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(Registrant)</w:t>
      </w:r>
    </w:p>
    <w:p>
      <w:pPr>
        <w:spacing w:after="0" w:line="215"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73660</wp:posOffset>
            </wp:positionV>
            <wp:extent cx="165925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pacing w:after="0" w:line="213"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Sean T. Smith</w:t>
      </w:r>
    </w:p>
    <w:p>
      <w:pPr>
        <w:jc w:val="center"/>
        <w:ind w:right="7460"/>
        <w:spacing w:after="0" w:line="238" w:lineRule="auto"/>
        <w:rPr>
          <w:sz w:val="20"/>
          <w:szCs w:val="20"/>
          <w:color w:val="auto"/>
        </w:rPr>
      </w:pPr>
      <w:r>
        <w:rPr>
          <w:rFonts w:ascii="Arial" w:cs="Arial" w:eastAsia="Arial" w:hAnsi="Arial"/>
          <w:sz w:val="22"/>
          <w:szCs w:val="22"/>
          <w:color w:val="auto"/>
        </w:rPr>
        <w:t>Senior Vice President</w:t>
      </w:r>
    </w:p>
    <w:p>
      <w:pPr>
        <w:jc w:val="center"/>
        <w:ind w:right="7460"/>
        <w:spacing w:after="0" w:line="230" w:lineRule="auto"/>
        <w:rPr>
          <w:sz w:val="20"/>
          <w:szCs w:val="20"/>
          <w:color w:val="auto"/>
        </w:rPr>
      </w:pPr>
      <w:r>
        <w:rPr>
          <w:rFonts w:ascii="Arial" w:cs="Arial" w:eastAsia="Arial" w:hAnsi="Arial"/>
          <w:sz w:val="22"/>
          <w:szCs w:val="22"/>
          <w:color w:val="auto"/>
        </w:rPr>
        <w:t>Chief Financial Officer</w:t>
      </w:r>
    </w:p>
    <w:p>
      <w:pPr>
        <w:jc w:val="center"/>
        <w:ind w:right="7460"/>
        <w:spacing w:after="0" w:line="231" w:lineRule="auto"/>
        <w:rPr>
          <w:sz w:val="20"/>
          <w:szCs w:val="20"/>
          <w:color w:val="auto"/>
        </w:rPr>
      </w:pPr>
      <w:r>
        <w:rPr>
          <w:rFonts w:ascii="Arial" w:cs="Arial" w:eastAsia="Arial" w:hAnsi="Arial"/>
          <w:sz w:val="22"/>
          <w:szCs w:val="22"/>
          <w:color w:val="auto"/>
        </w:rPr>
        <w:t>(Duly Authorized Officer and</w:t>
      </w:r>
    </w:p>
    <w:p>
      <w:pPr>
        <w:spacing w:after="0" w:line="1"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 March 3, 2008</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240" w:top="118" w:right="41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EXHIBIT 31.1</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Michael J. Luttati, certify that:</w:t>
      </w:r>
    </w:p>
    <w:p>
      <w:pPr>
        <w:spacing w:after="0" w:line="23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Photronics, Inc.</w:t>
      </w:r>
    </w:p>
    <w:p>
      <w:pPr>
        <w:spacing w:after="0" w:line="233" w:lineRule="exact"/>
        <w:rPr>
          <w:rFonts w:ascii="Arial" w:cs="Arial" w:eastAsia="Arial" w:hAnsi="Arial"/>
          <w:sz w:val="22"/>
          <w:szCs w:val="22"/>
          <w:color w:val="auto"/>
        </w:rPr>
      </w:pPr>
    </w:p>
    <w:p>
      <w:pPr>
        <w:ind w:left="340" w:right="1679" w:hanging="332"/>
        <w:spacing w:after="0" w:line="238"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2"/>
          <w:szCs w:val="22"/>
          <w:color w:val="auto"/>
        </w:rPr>
      </w:pPr>
    </w:p>
    <w:p>
      <w:pPr>
        <w:ind w:left="340" w:right="1779" w:hanging="332"/>
        <w:spacing w:after="0" w:line="297" w:lineRule="auto"/>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9"/>
          <w:szCs w:val="19"/>
          <w:color w:val="auto"/>
        </w:rPr>
      </w:pPr>
    </w:p>
    <w:p>
      <w:pPr>
        <w:ind w:left="340" w:right="1839" w:hanging="332"/>
        <w:spacing w:after="0" w:line="238"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2"/>
          <w:szCs w:val="22"/>
          <w:color w:val="auto"/>
        </w:rPr>
      </w:pPr>
    </w:p>
    <w:p>
      <w:pPr>
        <w:ind w:left="680" w:right="1839" w:hanging="348"/>
        <w:spacing w:after="0" w:line="236" w:lineRule="auto"/>
        <w:tabs>
          <w:tab w:leader="none" w:pos="680" w:val="left"/>
        </w:tabs>
        <w:numPr>
          <w:ilvl w:val="1"/>
          <w:numId w:val="4"/>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22"/>
          <w:szCs w:val="22"/>
          <w:color w:val="auto"/>
        </w:rPr>
      </w:pPr>
    </w:p>
    <w:p>
      <w:pPr>
        <w:ind w:left="680" w:right="1639" w:hanging="348"/>
        <w:spacing w:after="0" w:line="287" w:lineRule="auto"/>
        <w:tabs>
          <w:tab w:leader="none" w:pos="680" w:val="left"/>
        </w:tabs>
        <w:numPr>
          <w:ilvl w:val="1"/>
          <w:numId w:val="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680" w:right="1779" w:hanging="348"/>
        <w:spacing w:after="0" w:line="238" w:lineRule="auto"/>
        <w:tabs>
          <w:tab w:leader="none" w:pos="680" w:val="left"/>
        </w:tabs>
        <w:numPr>
          <w:ilvl w:val="1"/>
          <w:numId w:val="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2" w:lineRule="exact"/>
        <w:rPr>
          <w:rFonts w:ascii="Arial" w:cs="Arial" w:eastAsia="Arial" w:hAnsi="Arial"/>
          <w:sz w:val="22"/>
          <w:szCs w:val="22"/>
          <w:color w:val="auto"/>
        </w:rPr>
      </w:pPr>
    </w:p>
    <w:p>
      <w:pPr>
        <w:ind w:left="680" w:right="1999" w:hanging="348"/>
        <w:spacing w:after="0" w:line="236" w:lineRule="auto"/>
        <w:tabs>
          <w:tab w:leader="none" w:pos="680" w:val="left"/>
        </w:tabs>
        <w:numPr>
          <w:ilvl w:val="1"/>
          <w:numId w:val="4"/>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22"/>
          <w:szCs w:val="22"/>
          <w:color w:val="auto"/>
        </w:rPr>
      </w:pPr>
    </w:p>
    <w:p>
      <w:pPr>
        <w:ind w:left="340" w:right="1779" w:hanging="332"/>
        <w:spacing w:after="0" w:line="238"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2"/>
          <w:szCs w:val="22"/>
          <w:color w:val="auto"/>
        </w:rPr>
      </w:pPr>
    </w:p>
    <w:p>
      <w:pPr>
        <w:ind w:left="680" w:right="1859" w:hanging="348"/>
        <w:spacing w:after="0" w:line="297" w:lineRule="auto"/>
        <w:tabs>
          <w:tab w:leader="none" w:pos="680" w:val="left"/>
        </w:tabs>
        <w:numPr>
          <w:ilvl w:val="1"/>
          <w:numId w:val="4"/>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9"/>
          <w:szCs w:val="19"/>
          <w:color w:val="auto"/>
        </w:rPr>
      </w:pPr>
    </w:p>
    <w:p>
      <w:pPr>
        <w:ind w:left="680" w:right="2079" w:hanging="348"/>
        <w:spacing w:after="0" w:line="328" w:lineRule="auto"/>
        <w:tabs>
          <w:tab w:leader="none" w:pos="680" w:val="left"/>
        </w:tabs>
        <w:numPr>
          <w:ilvl w:val="1"/>
          <w:numId w:val="4"/>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MICHAEL J. LUTTATI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97675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197675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Michael J. Luttati</w:t>
      </w:r>
    </w:p>
    <w:p>
      <w:pPr>
        <w:spacing w:after="0" w:line="238" w:lineRule="auto"/>
        <w:rPr>
          <w:sz w:val="20"/>
          <w:szCs w:val="20"/>
          <w:color w:val="auto"/>
        </w:rPr>
      </w:pPr>
      <w:r>
        <w:rPr>
          <w:rFonts w:ascii="Arial" w:cs="Arial" w:eastAsia="Arial" w:hAnsi="Arial"/>
          <w:sz w:val="22"/>
          <w:szCs w:val="22"/>
          <w:color w:val="auto"/>
        </w:rPr>
        <w:t>Chief Executive Officer</w:t>
      </w:r>
    </w:p>
    <w:p>
      <w:pPr>
        <w:spacing w:after="0"/>
        <w:rPr>
          <w:sz w:val="20"/>
          <w:szCs w:val="20"/>
          <w:color w:val="auto"/>
        </w:rPr>
      </w:pPr>
      <w:r>
        <w:rPr>
          <w:rFonts w:ascii="Arial" w:cs="Arial" w:eastAsia="Arial" w:hAnsi="Arial"/>
          <w:sz w:val="22"/>
          <w:szCs w:val="22"/>
          <w:color w:val="auto"/>
        </w:rPr>
        <w:t>March 3, 2008</w:t>
      </w:r>
    </w:p>
    <w:p>
      <w:pPr>
        <w:sectPr>
          <w:pgSz w:w="11900" w:h="16838" w:orient="portrait"/>
          <w:cols w:equalWidth="0" w:num="1">
            <w:col w:w="10219"/>
          </w:cols>
          <w:pgMar w:left="240" w:top="111" w:right="1440"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EXHIBIT 31.2</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Sean T. Smith, certify that:</w:t>
      </w:r>
    </w:p>
    <w:p>
      <w:pPr>
        <w:spacing w:after="0" w:line="23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Photronics, Inc.</w:t>
      </w:r>
    </w:p>
    <w:p>
      <w:pPr>
        <w:spacing w:after="0" w:line="233" w:lineRule="exact"/>
        <w:rPr>
          <w:rFonts w:ascii="Arial" w:cs="Arial" w:eastAsia="Arial" w:hAnsi="Arial"/>
          <w:sz w:val="22"/>
          <w:szCs w:val="22"/>
          <w:color w:val="auto"/>
        </w:rPr>
      </w:pPr>
    </w:p>
    <w:p>
      <w:pPr>
        <w:ind w:left="340" w:right="1679" w:hanging="332"/>
        <w:spacing w:after="0" w:line="238"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2"/>
          <w:szCs w:val="22"/>
          <w:color w:val="auto"/>
        </w:rPr>
      </w:pPr>
    </w:p>
    <w:p>
      <w:pPr>
        <w:ind w:left="340" w:right="1779" w:hanging="332"/>
        <w:spacing w:after="0" w:line="297"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9"/>
          <w:szCs w:val="19"/>
          <w:color w:val="auto"/>
        </w:rPr>
      </w:pPr>
    </w:p>
    <w:p>
      <w:pPr>
        <w:ind w:left="340" w:right="1839" w:hanging="332"/>
        <w:spacing w:after="0" w:line="238"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2"/>
          <w:szCs w:val="22"/>
          <w:color w:val="auto"/>
        </w:rPr>
      </w:pPr>
    </w:p>
    <w:p>
      <w:pPr>
        <w:ind w:left="680" w:right="1839" w:hanging="348"/>
        <w:spacing w:after="0" w:line="236" w:lineRule="auto"/>
        <w:tabs>
          <w:tab w:leader="none" w:pos="680" w:val="left"/>
        </w:tabs>
        <w:numPr>
          <w:ilvl w:val="1"/>
          <w:numId w:val="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22"/>
          <w:szCs w:val="22"/>
          <w:color w:val="auto"/>
        </w:rPr>
      </w:pPr>
    </w:p>
    <w:p>
      <w:pPr>
        <w:ind w:left="680" w:right="1639" w:hanging="348"/>
        <w:spacing w:after="0" w:line="287" w:lineRule="auto"/>
        <w:tabs>
          <w:tab w:leader="none" w:pos="680" w:val="left"/>
        </w:tabs>
        <w:numPr>
          <w:ilvl w:val="1"/>
          <w:numId w:val="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680" w:right="1779" w:hanging="348"/>
        <w:spacing w:after="0" w:line="238" w:lineRule="auto"/>
        <w:tabs>
          <w:tab w:leader="none" w:pos="680" w:val="left"/>
        </w:tabs>
        <w:numPr>
          <w:ilvl w:val="1"/>
          <w:numId w:val="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2" w:lineRule="exact"/>
        <w:rPr>
          <w:rFonts w:ascii="Arial" w:cs="Arial" w:eastAsia="Arial" w:hAnsi="Arial"/>
          <w:sz w:val="22"/>
          <w:szCs w:val="22"/>
          <w:color w:val="auto"/>
        </w:rPr>
      </w:pPr>
    </w:p>
    <w:p>
      <w:pPr>
        <w:ind w:left="680" w:right="1999" w:hanging="348"/>
        <w:spacing w:after="0" w:line="236" w:lineRule="auto"/>
        <w:tabs>
          <w:tab w:leader="none" w:pos="680" w:val="left"/>
        </w:tabs>
        <w:numPr>
          <w:ilvl w:val="1"/>
          <w:numId w:val="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22"/>
          <w:szCs w:val="22"/>
          <w:color w:val="auto"/>
        </w:rPr>
      </w:pPr>
    </w:p>
    <w:p>
      <w:pPr>
        <w:ind w:left="340" w:right="1779" w:hanging="332"/>
        <w:spacing w:after="0" w:line="238"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2"/>
          <w:szCs w:val="22"/>
          <w:color w:val="auto"/>
        </w:rPr>
      </w:pPr>
    </w:p>
    <w:p>
      <w:pPr>
        <w:ind w:left="680" w:right="1859" w:hanging="348"/>
        <w:spacing w:after="0" w:line="297" w:lineRule="auto"/>
        <w:tabs>
          <w:tab w:leader="none" w:pos="680" w:val="left"/>
        </w:tabs>
        <w:numPr>
          <w:ilvl w:val="1"/>
          <w:numId w:val="5"/>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9"/>
          <w:szCs w:val="19"/>
          <w:color w:val="auto"/>
        </w:rPr>
      </w:pPr>
    </w:p>
    <w:p>
      <w:pPr>
        <w:ind w:left="680" w:right="2079" w:hanging="348"/>
        <w:spacing w:after="0" w:line="328" w:lineRule="auto"/>
        <w:tabs>
          <w:tab w:leader="none" w:pos="680" w:val="left"/>
        </w:tabs>
        <w:numPr>
          <w:ilvl w:val="1"/>
          <w:numId w:val="5"/>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97675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197675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Sean T. Smith</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March 3, 2008</w:t>
      </w:r>
    </w:p>
    <w:p>
      <w:pPr>
        <w:sectPr>
          <w:pgSz w:w="11900" w:h="16838" w:orient="portrait"/>
          <w:cols w:equalWidth="0" w:num="1">
            <w:col w:w="10219"/>
          </w:cols>
          <w:pgMar w:left="240" w:top="111" w:right="1440"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 Michael J. Luttati, Chief Executive Officer of Photronics, Inc. (the "Company"),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18 U.S.C. Section 1350, that:</w:t>
      </w:r>
    </w:p>
    <w:p>
      <w:pPr>
        <w:spacing w:after="0" w:line="215" w:lineRule="exact"/>
        <w:rPr>
          <w:sz w:val="20"/>
          <w:szCs w:val="20"/>
          <w:color w:val="auto"/>
        </w:rPr>
      </w:pPr>
    </w:p>
    <w:p>
      <w:pPr>
        <w:ind w:left="500" w:right="360" w:hanging="492"/>
        <w:spacing w:after="0" w:line="251" w:lineRule="auto"/>
        <w:tabs>
          <w:tab w:leader="none" w:pos="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 ended January 27, 2008 (the "Report")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00" w:right="840" w:hanging="492"/>
        <w:spacing w:after="0" w:line="251" w:lineRule="auto"/>
        <w:tabs>
          <w:tab w:leader="none" w:pos="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 MICHAEL J. LUTTATI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55638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155638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Michael J. Luttati</w:t>
      </w:r>
    </w:p>
    <w:p>
      <w:pPr>
        <w:spacing w:after="0" w:line="238" w:lineRule="auto"/>
        <w:rPr>
          <w:sz w:val="20"/>
          <w:szCs w:val="20"/>
          <w:color w:val="auto"/>
        </w:rPr>
      </w:pPr>
      <w:r>
        <w:rPr>
          <w:rFonts w:ascii="Arial" w:cs="Arial" w:eastAsia="Arial" w:hAnsi="Arial"/>
          <w:sz w:val="22"/>
          <w:szCs w:val="22"/>
          <w:color w:val="auto"/>
        </w:rPr>
        <w:t>Chief Executive Officer</w:t>
      </w:r>
    </w:p>
    <w:p>
      <w:pPr>
        <w:spacing w:after="0"/>
        <w:rPr>
          <w:sz w:val="20"/>
          <w:szCs w:val="20"/>
          <w:color w:val="auto"/>
        </w:rPr>
      </w:pPr>
      <w:r>
        <w:rPr>
          <w:rFonts w:ascii="Arial" w:cs="Arial" w:eastAsia="Arial" w:hAnsi="Arial"/>
          <w:sz w:val="22"/>
          <w:szCs w:val="22"/>
          <w:color w:val="auto"/>
        </w:rPr>
        <w:t>March 3, 2008</w:t>
      </w:r>
    </w:p>
    <w:p>
      <w:pPr>
        <w:sectPr>
          <w:pgSz w:w="11900" w:h="16838" w:orient="portrait"/>
          <w:cols w:equalWidth="0" w:num="1">
            <w:col w:w="11360"/>
          </w:cols>
          <w:pgMar w:left="240" w:top="111" w:right="29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 Sean T. Smith, Chief Financial Officer of Photronics, Inc. (the "Company"),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18 U.S.C. Section 1350, that:</w:t>
      </w:r>
    </w:p>
    <w:p>
      <w:pPr>
        <w:spacing w:after="0" w:line="215" w:lineRule="exact"/>
        <w:rPr>
          <w:sz w:val="20"/>
          <w:szCs w:val="20"/>
          <w:color w:val="auto"/>
        </w:rPr>
      </w:pPr>
    </w:p>
    <w:p>
      <w:pPr>
        <w:ind w:left="500" w:hanging="492"/>
        <w:spacing w:after="0" w:line="251" w:lineRule="auto"/>
        <w:tabs>
          <w:tab w:leader="none" w:pos="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 ended January 27, 2008 (the "Report")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00" w:right="480" w:hanging="492"/>
        <w:spacing w:after="0" w:line="251" w:lineRule="auto"/>
        <w:tabs>
          <w:tab w:leader="none" w:pos="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29921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1299210"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Sean T. Smith</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March 3, 2008</w:t>
      </w:r>
    </w:p>
    <w:sectPr>
      <w:pgSz w:w="11900" w:h="16838" w:orient="portrait"/>
      <w:cols w:equalWidth="0" w:num="1">
        <w:col w:w="11000"/>
      </w:cols>
      <w:pgMar w:left="240" w:top="11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1" Type="http://schemas.openxmlformats.org/officeDocument/2006/relationships/hyperlink" Target="file:///data/convert/plab_q1-2008.htm#Balance" TargetMode="External"/><Relationship Id="rId12" Type="http://schemas.openxmlformats.org/officeDocument/2006/relationships/hyperlink" Target="file:///data/convert/plab_q1-2008.htm#Operations" TargetMode="External"/><Relationship Id="rId13" Type="http://schemas.openxmlformats.org/officeDocument/2006/relationships/hyperlink" Target="file:///data/convert/plab_q1-2008.htm#Cashflows" TargetMode="External"/><Relationship Id="rId14" Type="http://schemas.openxmlformats.org/officeDocument/2006/relationships/hyperlink" Target="file:///data/convert/plab_q1-2008.htm#Notes" TargetMode="External"/><Relationship Id="rId15" Type="http://schemas.openxmlformats.org/officeDocument/2006/relationships/hyperlink" Target="file:///data/convert/plab_q1-2008.htm#Management" TargetMode="External"/><Relationship Id="rId16" Type="http://schemas.openxmlformats.org/officeDocument/2006/relationships/hyperlink" Target="file:///data/convert/plab_q1-2008.htm#Quantatative" TargetMode="External"/><Relationship Id="rId17" Type="http://schemas.openxmlformats.org/officeDocument/2006/relationships/hyperlink" Target="file:///data/convert/plab_q1-2008.htm#Controls" TargetMode="External"/><Relationship Id="rId18" Type="http://schemas.openxmlformats.org/officeDocument/2006/relationships/hyperlink" Target="file:///data/convert/plab_q1-2008.htm#Risks" TargetMode="External"/><Relationship Id="rId19" Type="http://schemas.openxmlformats.org/officeDocument/2006/relationships/hyperlink" Target="file:///data/convert/plab_q1-2008.htm#Exhibits"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2019-12-11T14:39:05Z</dcterms:created>
  <dcterms:modified xsi:type="dcterms:W3CDTF">2019-12-11T14:39:05Z</dcterms:modified>
</cp:coreProperties>
</file>