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4080" w:right="1960" w:hanging="4072"/>
        <w:spacing w:after="0" w:line="500"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October 31, 2022</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140" w:right="1580" w:hanging="4132"/>
        <w:spacing w:after="0" w:line="500" w:lineRule="auto"/>
        <w:tabs>
          <w:tab w:leader="none" w:pos="4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156845</wp:posOffset>
            </wp:positionV>
            <wp:extent cx="37719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2940" w:type="dxa"/>
            <w:vAlign w:val="bottom"/>
          </w:tcPr>
          <w:p>
            <w:pPr>
              <w:spacing w:after="0"/>
              <w:rPr>
                <w:sz w:val="18"/>
                <w:szCs w:val="18"/>
                <w:color w:val="auto"/>
              </w:rPr>
            </w:pPr>
          </w:p>
        </w:tc>
        <w:tc>
          <w:tcPr>
            <w:tcW w:w="46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68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756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 06804</w:t>
            </w:r>
          </w:p>
        </w:tc>
        <w:tc>
          <w:tcPr>
            <w:tcW w:w="3680" w:type="dxa"/>
            <w:vAlign w:val="bottom"/>
          </w:tcPr>
          <w:p>
            <w:pPr>
              <w:spacing w:after="0"/>
              <w:rPr>
                <w:sz w:val="24"/>
                <w:szCs w:val="24"/>
                <w:color w:val="auto"/>
              </w:rPr>
            </w:pPr>
          </w:p>
        </w:tc>
      </w:tr>
      <w:tr>
        <w:trPr>
          <w:trHeight w:val="214"/>
        </w:trPr>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offices)(Zip Code)</w:t>
            </w:r>
          </w:p>
        </w:tc>
        <w:tc>
          <w:tcPr>
            <w:tcW w:w="3680" w:type="dxa"/>
            <w:vAlign w:val="bottom"/>
          </w:tcPr>
          <w:p>
            <w:pPr>
              <w:spacing w:after="0"/>
              <w:rPr>
                <w:sz w:val="18"/>
                <w:szCs w:val="18"/>
                <w:color w:val="auto"/>
              </w:rPr>
            </w:pPr>
          </w:p>
        </w:tc>
      </w:tr>
      <w:tr>
        <w:trPr>
          <w:trHeight w:val="218"/>
        </w:trPr>
        <w:tc>
          <w:tcPr>
            <w:tcW w:w="2940" w:type="dxa"/>
            <w:vAlign w:val="bottom"/>
          </w:tcPr>
          <w:p>
            <w:pPr>
              <w:spacing w:after="0"/>
              <w:rPr>
                <w:sz w:val="18"/>
                <w:szCs w:val="18"/>
                <w:color w:val="auto"/>
              </w:rPr>
            </w:pPr>
          </w:p>
        </w:tc>
        <w:tc>
          <w:tcPr>
            <w:tcW w:w="46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c>
          <w:tcPr>
            <w:tcW w:w="3680" w:type="dxa"/>
            <w:vAlign w:val="bottom"/>
          </w:tcPr>
          <w:p>
            <w:pPr>
              <w:spacing w:after="0"/>
              <w:rPr>
                <w:sz w:val="18"/>
                <w:szCs w:val="18"/>
                <w:color w:val="auto"/>
              </w:rPr>
            </w:pPr>
          </w:p>
        </w:tc>
      </w:tr>
      <w:tr>
        <w:trPr>
          <w:trHeight w:val="236"/>
        </w:trPr>
        <w:tc>
          <w:tcPr>
            <w:tcW w:w="2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680" w:type="dxa"/>
            <w:vAlign w:val="bottom"/>
          </w:tcPr>
          <w:p>
            <w:pPr>
              <w:spacing w:after="0"/>
              <w:rPr>
                <w:sz w:val="20"/>
                <w:szCs w:val="20"/>
                <w:color w:val="auto"/>
              </w:rPr>
            </w:pPr>
          </w:p>
        </w:tc>
      </w:tr>
      <w:tr>
        <w:trPr>
          <w:trHeight w:val="432"/>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80" w:type="dxa"/>
            <w:vAlign w:val="bottom"/>
          </w:tcPr>
          <w:p>
            <w:pPr>
              <w:spacing w:after="0"/>
              <w:rPr>
                <w:sz w:val="24"/>
                <w:szCs w:val="24"/>
                <w:color w:val="auto"/>
              </w:rPr>
            </w:pPr>
          </w:p>
        </w:tc>
      </w:tr>
      <w:tr>
        <w:trPr>
          <w:trHeight w:val="223"/>
        </w:trPr>
        <w:tc>
          <w:tcPr>
            <w:tcW w:w="2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2940" w:type="dxa"/>
            <w:vAlign w:val="bottom"/>
            <w:tcBorders>
              <w:left w:val="single" w:sz="8" w:color="auto"/>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Trading Symbol(s)</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940" w:type="dxa"/>
            <w:vAlign w:val="bottom"/>
            <w:tcBorders>
              <w:left w:val="single" w:sz="8" w:color="auto"/>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COMMON</w:t>
            </w:r>
          </w:p>
        </w:tc>
        <w:tc>
          <w:tcPr>
            <w:tcW w:w="8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PLAB</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70" w:right="339" w:bottom="84"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which was the last business day of the registrant’s most recently completed second fiscal quarter, the aggregate market value of the shares of the registrant’s common stock held by non-affiliates was approximately $901,992,131 (based upon the closing price of $14.99 per share as reported by the NASDAQ Global Select Market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15, 2022, 61,738,313 shares of the registrant’s common stock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Portions of our Proxy Statement for the 2023 Annual Meeting of Shareholders to be held on March 16, 2023 are incorporated by reference into Part II and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14"/>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OCTOBER 31, 2022</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14"/>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 and Acronyms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2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46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6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700" w:type="dxa"/>
            <w:vAlign w:val="bottom"/>
            <w:tcBorders>
              <w:top w:val="single" w:sz="8" w:color="CCEEFF"/>
            </w:tcBorders>
            <w:gridSpan w:val="4"/>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IV:</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88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360" w:type="dxa"/>
            <w:vAlign w:val="bottom"/>
          </w:tcPr>
          <w:p>
            <w:pPr>
              <w:spacing w:after="0"/>
              <w:rPr>
                <w:sz w:val="18"/>
                <w:szCs w:val="18"/>
                <w:color w:val="auto"/>
              </w:rPr>
            </w:pPr>
          </w:p>
        </w:tc>
        <w:tc>
          <w:tcPr>
            <w:tcW w:w="888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Chip stacking</w:t>
            </w:r>
          </w:p>
        </w:tc>
        <w:tc>
          <w:tcPr>
            <w:tcW w:w="8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Placement of an integrated circuit on top of another integrated circuit, resulting in the reduction of the distance between</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chips in a circuit board</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COVID-19</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 virus 2019, an infectious disease that was declared a pandemic by the World Health Organization in March 2020</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w:t>
            </w:r>
          </w:p>
        </w:tc>
      </w:tr>
      <w:tr>
        <w:trPr>
          <w:trHeight w:val="216"/>
        </w:trPr>
        <w:tc>
          <w:tcPr>
            <w:tcW w:w="2360" w:type="dxa"/>
            <w:vAlign w:val="bottom"/>
            <w:shd w:val="clear" w:color="auto" w:fill="CCEEFF"/>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function by selectively reflecting or blocking light, in contrast to conventional photomasks which function by selectively</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transmitting or blocking light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 applied.</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LIBOR</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360" w:type="dxa"/>
            <w:vAlign w:val="bottom"/>
            <w:shd w:val="clear" w:color="auto" w:fill="CCEEFF"/>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MLA</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Master Lease Agreement</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Optical proximity correction</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placement integrity of an original design, imaged onto a silicon wafer, for further processing to an etched pattern.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Phase-shift photomasks</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Photomasks that take advantage of the interference generated by phase differences to improve image resolution in</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photolithography</w:t>
            </w: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Pure-play foundry</w:t>
            </w:r>
          </w:p>
        </w:tc>
        <w:tc>
          <w:tcPr>
            <w:tcW w:w="8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 company that does not produce a significant volume of IC products of its own design, but rather operates IC</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fabrication plants dedicated to producing ICs for other companies</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Sputtering</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The bombardment of a material with energetic particles to cause microscopic particles of the material to eject from its</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surface.</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w:t>
            </w:r>
          </w:p>
        </w:tc>
      </w:tr>
      <w:tr>
        <w:trPr>
          <w:trHeight w:val="234"/>
        </w:trPr>
        <w:tc>
          <w:tcPr>
            <w:tcW w:w="2360" w:type="dxa"/>
            <w:vAlign w:val="bottom"/>
            <w:shd w:val="clear" w:color="auto" w:fill="CCEEFF"/>
          </w:tcPr>
          <w:p>
            <w:pPr>
              <w:spacing w:after="0"/>
              <w:rPr>
                <w:sz w:val="20"/>
                <w:szCs w:val="20"/>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substrate for microelectronic devices built in and upon the wafer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“2022”, “2021”, and “2020” are to our fiscal years ended on October 31 of those years, unless otherwise stated.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II, Item 7 – “Management’s Discussion &amp; Analysis of Financial Condition and Results of Operations” of this Form 10-K.</w:t>
      </w:r>
    </w:p>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Part I,Item 1A “Risk Factors” of this Form 10-K.</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Photronics, Inc. (and its subsidiaries, collectively referred to herein as “Photronics”, the “Company”, “we”, “our”, or “us”) is the world’s leading manufacturer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which are located in Taiwan (3), China (2), Korea, the United States (3), and Europe (2).</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of our facilities have continued to operate throughout the COVID-19 pandemic. However, since shortly after it was first identified near the end of calendar year 2019, the pandemic has had an impact on our business in a number of ways including customer shutdowns, which led to delays in new photomask design releases, and travel restrictions, which delayed tool installations and servicing. To date, we have not experienced significant raw material shortages; however, supply-chain disruptions could potentially delay or prevent us from fulfilling customer orders.</w:t>
      </w:r>
    </w:p>
    <w:p>
      <w:pPr>
        <w:spacing w:after="0" w:line="151" w:lineRule="exact"/>
        <w:rPr>
          <w:sz w:val="20"/>
          <w:szCs w:val="20"/>
          <w:color w:val="auto"/>
        </w:rPr>
      </w:pPr>
    </w:p>
    <w:p>
      <w:pPr>
        <w:ind w:right="280" w:firstLine="324"/>
        <w:spacing w:after="0" w:line="314" w:lineRule="auto"/>
        <w:rPr>
          <w:sz w:val="20"/>
          <w:szCs w:val="20"/>
          <w:color w:val="auto"/>
        </w:rPr>
      </w:pPr>
      <w:r>
        <w:rPr>
          <w:rFonts w:ascii="Times New Roman" w:cs="Times New Roman" w:eastAsia="Times New Roman" w:hAnsi="Times New Roman"/>
          <w:sz w:val="18"/>
          <w:szCs w:val="18"/>
          <w:color w:val="auto"/>
        </w:rPr>
        <w:t xml:space="preserve">At certain facilities, employees not required to be on-site to maintain production have worked remotely at various times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either at our discretion or due to government mandates. The implementation of these measures has not materially affected our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photomasks, which are used as masters to transfer circuit patterns onto semiconductor wafers and FPD substrates. The photomasks we manufacture incorporate circuit designs provided to us on a confidential basis by our customers. Photomasks are typically sold in sets comprised of layers, with each layer having a distinct pattern that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a photomask blank. The exposed areas are developed and etched to imprint the pattern on the photomask. The photomask is then inspected for defects and conformity to the customer’s design data. After the repair of any defects, the photomask is cleaned, any required pellicles (protective translucent cellulose membranes) are applied and, after final inspection, the photomask is shipped to the customer.</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“High-end” photomasks support 28 nanometer and smaller design nodes for ICs and Generation 10.5+, AMOLED, and LTPS display-based process technologies for FPDs. However, 32 nanometer and above geometries for semiconductors and Generation 8 and below (excluding AMOLED and LTPS) process technologies for displays, which we refer to as “mainstream” photomasks,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throughout fiscal 2023, and we believe we are well positioned to service an increasing volume of this business as a result of our ongoing investments in manufacturing processes and technology in the regions where our customers are located.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first several layers of photomasks are sometimes required to be delivered to customers within twenty-four hours from the time we receive customer design data. Because of the short period between order and shipment dates (typically from one day to three weeks) for a significant amount of our revenue, the dollar amount of our current backlog is not a reliable indicator of future revenue. However, the demand for some IC photomasks has recently expanded beyond the industry’s capacity to supply them within the traditional time period; thus, for some products, our backlog can expand to as long as two to three months.</w:t>
      </w:r>
    </w:p>
    <w:p>
      <w:pPr>
        <w:spacing w:after="0" w:line="183"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manufacturing capacity, preventive and on-going equipment maintenance programs, manufacturing and data processing systems, and by utilizing statistical process control methods to optimize our manufacturing processes and reduce cycle times.</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Notes 7 and 15 to our consolidated financial statements in Part II, Item 8 of this report for the amount of revenue and long-lived assets attributable to each of our geographic areas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primarily conduct research and development activities for IC photomasks at our Boise, Idaho, facility and, to a lesser degree, Photronics DNP Mask Corporation (“PDMC”), our joint-venture subsidiary in Taiwan. Research and development for FPD photomasks is primarily conducted at Photronics Cheonan, Ltd., our subsidiary in South Korea. Additionally, we conduct site-specific research and development programs to support local, strategic customer roadmaps. All of these research and development programs and activities are undertaken to advance our competitiveness in technology and manufacturing efficiency. We also conduct application-oriented research and development, including data and service technology to support the integration of photomasks into customer processes. Currently, research and development for IC photomasks are primarily focused on photomasks enabling wafer geometries of 14 nanometer node and smaller and, for FPDs, on Generations 8 and 10 substrate size photomasks for new TV technologies, emerging opportunities for micro- and mini-LED displays, and photomask technology for the complex FPD photomasks required in the manufacture of advanced mobile displays, such as AMOLED. We believe these core competencies will continue to be a critical part of semiconductor and FPD manufacturing, as wafer and FPD substrate optical lithography continues to enable new high-end ICs and displays. We incurred research and development expenses of $18.3 million, $18.5 million, and $17.1 million in 2022, 2021 and 2020, respectively. It is our belief that we own, control, or license the proprietary information (including trade secrets and patents) that we need to continue to meet our customers’ requirements. We also believe that our intellectual property and trade secret know-how will continue to be important to our maintaining technical leadership in the field of photomasks.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market for photomasks primarily consists of semiconductor and FPD manufacturers and designers worldwide. Photomasks are manufactured by independent merchant manufacturers like Photronics and by semiconductor and FPD manufacturers that produce photomasks for their own use (captive manufacturers). In rare instances, captive manufacturers also sell to other semiconductor or FPD manufacturers. Previously, there was a trend towards the divesture or closing of captive photomask operations by semiconductor manufacturers, and an increase in the share of the market served by independent merchant manufacturers. This trend was driven by the increased complexity and cost of capital equipment used in manufacturing photomasks and the lack of economy of scale for many semiconductor and FPD manufacturers to effectively utilize the equipment. However, more recently, to reach certain roadmap milestones, some captive mask facilities have been investing at faster rates than independent manufacturers, particularly in the foundry logic and memory spaces. Nevertheless, most captive manufacturers maintain business and technology relationships with independent photomask manufacturers for ongoing support.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support customers across the full spectrum of IC production and FPD technologies by manufacturing photomasks using electron beam or optical (laser-based) lithography systems. For IC photomasks, the predominant writing technology used for advanced photomasks with fine-scale resolution requirements is electron beam writing systems, while FPD mask fabrication utilizes optical writing systems. These systems are capable of producing the most advanced semiconductor and display photomasks for use in an array of products. End markets served with IC photomasks include devices used for microprocessors, memory, telecommunications, the Internet of Things, crypto mining, and other applications. We own a number of both high-end and mature electron beam and laser-based lithography systems.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sell our products primarily to leading semiconductor and FPD designers and manufacturers. These include integrated device manufacturers, fabless semiconductor companies, and “pure play” foundries. During 2022, we sold our products to approximately 550 customers. Revenue from United Microelectronics Corp. Co., Ltd. accounted for approximately 15%, 17% and 16% of our total revenues in 2022, 2021 and 2020, respectively, and revenue from Samsung Electronics Co., Ltd. accounted for approximately 11%, 12% and 14% of our total revenues in those respective years. Our five largest customers, in the aggregate, accounted for approximately 45%, 43% and 45% of our revenue in 2022, 2021 and 2020, respectively. A significant decrease in the amount of revenue from any of these customers could have a material adverse effect on our financial performance and business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estimate that, for the types of photomasks we manufacture (IC and FPD), the size of the total market (captive and merchant) is approximately $7.5 billion.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and we expect such pressure to continue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Revenues from our non-U.S. operations were approximately 85%, 84% and 83% of our total revenues in 2022, 2021 and 2020,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Notes 7 and 15 of our consolidated financial statements, in Part II, Item 8 of this report, respectively, present our revenue and long-lived assets by geographic area.</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have a material adverse effect on our business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Rights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by utilizing non-disclosure agreements with employees, customers, and vendors.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those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We are party to a limited number of fixed-price contracts with the U.S. government. Revenues earned from these contracts do not comprise a significant portion of our total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spacing w:after="0" w:line="183" w:lineRule="exact"/>
        <w:rPr>
          <w:sz w:val="20"/>
          <w:szCs w:val="20"/>
          <w:color w:val="auto"/>
        </w:rPr>
      </w:pPr>
    </w:p>
    <w:p>
      <w:pPr>
        <w:ind w:left="980" w:right="5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such as those under the Foreign Corrupt practices Act that prohibit providing remuneration to government officials for the purpose of obtaining or securing business in the jurisdictions in which they serve;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the minimization and proper disposal of the by-products of our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a safe working environment for our employees;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restrict our ability to transfer assets between operations not within the same legal jurisdiction;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information through the submission of government surveys;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maintain an effective system of internal accounting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engaging in business in specified countries, or with specified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protect the personal information of our customers and employees;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accurately determine our liabilities to taxing authorities, and to settle such liabilities within their statutorily prescribed time periods;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withhold and timely remit taxes on our employees’ compensation to government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government-sponsored social insurance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employee severance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disseminating material nonpublic information prior to the public announcement of such information;</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financial reporting, insider transactions, executive compensation, and other areas overseen by the SEC and governing bodies in other countries in which our operations are located;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2022, we had approximately 1,828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2022, none of our employees at any of our worldwide facilities was represented by a union. We consider our employee relations to be good.</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our commitment to our diverse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career development opportunities, both formal and informal. Our formal offerings include tuition reimbursement, leadership development experiences and vocational training. The safety of our employees is a paramount value for us.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provide mandatory safety trainings in our production facilities, which are designed to focus on empowering our employees with the knowledge and tools they need to make safe choices and to minimize risks. Supervisors complete safety management courses as well. The health and wellness of our employees are critical to our success. In response to COVID-19, we implemented significant changes that we determined were in the best interest of our employees and which comply with government orders in all the states and countries where we operate. For US employees, we require vaccinations against COVID-19. However, we may amend this policy at any time.</w:t>
      </w:r>
    </w:p>
    <w:p>
      <w:pPr>
        <w:spacing w:after="0" w:line="18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discussions of the risk factors we believe can make an investment in our business speculative or risky.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Related Risk Factors</w:t>
      </w:r>
    </w:p>
    <w:p>
      <w:pPr>
        <w:spacing w:after="0" w:line="2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dependency on the microelectronics industry, which as a whole is volatile, could create volatility in our demand and have a negative material impact on our business.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or FPD designers, manufacturers and foundries, as well as to other high-performance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application-specific ICs, reductions in design complexities, other changes in the technology or methods of manufacturing or designing semiconductors or FPDs, or a slowdown in the introduction of new semiconductor or FPD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or deliver such equipment on a timely basis due to internal issues, supply chain constraints or government imposed restrictions could have a material adverse effect on our business and results of operations. In addition, the manufacturing equipment necessary to produce advanced photomasks could become prohibitively expensive, which could similarly affect us.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Historically, we have sold a significant proportion of photomasks to a limited number of IC and FPD manufacturers. During 2022, 2021 and 2020, our two largest customers accounted for 25%, 29% and 29%, respectively, of our revenue. Our five largest customers accounted for 45%, 43% and 45% of our revenue in 2022, 2021 and 2020,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flows from operations and current holdings of cash may not be adequate for our current and long-term needs.</w:t>
      </w:r>
    </w:p>
    <w:p>
      <w:pPr>
        <w:spacing w:after="0" w:line="229"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operating cash flows, and cash available under our credit agreements.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credit facility restricts our business activities, limits our ability to obtain additional financing or pay cash dividends, and may obligate us to repay debt before its maturity.</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Financial covenants related to our credit facility, which expires in September 2023, include a total leverage ratio, a minimum interest coverage ratio, and minimum unrestricted cash balances. Our credit facility may also limit our flexibility in planning for, or reacting to, changes in our business and industry, which may place us at a disadvantage with our competitors. We are also subject to covenants that limit our financing flexibility, such as a limit on the amount we can spend to repurchase shares of our common stock. Existing covenant restrictions, and noncompliance with covenants or cross-default provisions could limit our ability to draw down on current facilities or our ability to obtain additional debt financing, and limit the amounts of dividends, distributions, and redemptions we can pay on our common stock to an annual amount of $50 million. Should we be unable to meet one or more of these covenants, our lenders may require us to repay any outstanding balance prior to the expiration date of our agreements. Our ability to comply with the financial and other covenants in our credit agreements may be affected by deteriorating economic or business conditions, or other events. We cannot assure that, under such circumstances, additional sources of financing would be available to fund operating requirements or repay any long-term borrowings, to avoid default.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will continue to require substantial capital expenditures, for which we may be unable to provide or obtain funding.</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manufacture of leading-edge photomasks requires us to make substantial investments in additional manufacturing capability. We expect that we will be required to continue to make substantial capital expenditures to meet customer requirements and to position us for future growth. Our capital expenditure payments for fiscal 2023 are expected to be approximately $130 million, of which approximately $5.3 million was included 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Accrued liabilities </w:t>
      </w:r>
      <w:r>
        <w:rPr>
          <w:rFonts w:ascii="Times New Roman" w:cs="Times New Roman" w:eastAsia="Times New Roman" w:hAnsi="Times New Roman"/>
          <w:sz w:val="18"/>
          <w:szCs w:val="18"/>
          <w:color w:val="auto"/>
        </w:rPr>
        <w:t>on our October 31, 2022, consolidated balance sheet. We cannot provide assurance that we will be able to obtain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capital required to fund our operations or capital expenditures on reasonable terms, if at all, or that any such inability will not have a material adverse effect on our business and results of operations.</w:t>
      </w:r>
    </w:p>
    <w:p>
      <w:pPr>
        <w:spacing w:after="0" w:line="18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Servicing our debt requires a significant amount of cash, and we may not generate sufficient cash flows from our operations to pay our indebtedness.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of debt principal and interest, or to refinance our indebtedness, depends on our future performance, which is subject to economic, financial, competitive, and other factors beyond our control. Our business may not continue to generate sufficient cash flows from operations to fund operations,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and Competitive Related Risk Factors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key managerial and technical personnel, as well as our ability to continue to attract and retain additional qualified personnel. The loss of certain key personnel (for example, our chief executive officer, chief financial officer and chief technology officer) could have a material adverse effect on our business and results of operations. We cannot offer assurance that we can retain our key managerial and technical employees, or that we can attract similar additional employees in the future.</w:t>
      </w:r>
    </w:p>
    <w:p>
      <w:pPr>
        <w:spacing w:after="0" w:line="17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traditional and emerging markets that we serve. In particular, we believe that, as semiconductor geometries continue to become smaller and FPDs become larger or otherwise more advanced, we will be required to manufacture photomasks of increasingly more challenging complexity.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field-programmable gate arrays and other semiconductor designs that replace application-specific ICs, or the use of certain chip-stacking methodologies that lessen the emphasis on conventional lithography technology. Furthermore, evidence of the viability and the corresponding market acceptance of alternative methods of transferring IC designs onto semiconductor wafers could reduce or eliminate the need for photomasks in the production of semiconductors. As of the end of 2022, one alternative method, direct-write lithography, has not been proven to be a commercially 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1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risk of loss of our intellectual property, trade secrets, or other sensitive business or customer confidential information or disruption of operations due to cyberattacks or data breaches could negatively impact our financial results.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5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adequately protect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will not independently develop similar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intellectual property laws will adequately protect our intellectual property rights.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5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Related Risk Factors</w:t>
      </w:r>
    </w:p>
    <w:p>
      <w:pPr>
        <w:spacing w:after="0" w:line="22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failures to agree on major issues. If such differences caused a joint venture to deviate from its business plan,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in China expose us to substantial risks.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2019, we commenced operations at our two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limited access to electricity;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restrictions, which may include expropriation of the investments by the Chinese government. These and other risks may result in our not realizing a return on, or losing some, or all, of our investments in China, which would have a material adverse effect on our financial condition and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unforeseen charges related to possible future facility closures, restructurings, or forfeitures.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there will not be facility closures, restructurings, or forfeitures in the near or long term, nor can we assure that we will not incur significant charges should there be any future facility closures, restructurings or forfeitures.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future acquisitions or joint ventures or integrate acquisitions into our business, which could result in unanticipated expenses and losses.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Operations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operating results fluctuate significantly and may continue to do so in the future.</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substantial non-U.S. operations are subject to additional risks.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Revenues from our non-U.S. operations were approximately 85%, 84% and 83% of our total revenues in 2022, 2021 and 2020,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could result in the opening of additional facilities or closing of our current facilities.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Operations outside of the United States are subject to inherent risks, including: fluctuations in currency exchange rates; unstable political and economic conditions in various countries; changes in economic alliances; unexpected changes in regulatory requirements including import and export regulations;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products provide important performance attributes for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high level of fixed costs.</w:t>
      </w:r>
    </w:p>
    <w:p>
      <w:pPr>
        <w:spacing w:after="0" w:line="229" w:lineRule="exact"/>
        <w:rPr>
          <w:sz w:val="20"/>
          <w:szCs w:val="20"/>
          <w:color w:val="auto"/>
        </w:rPr>
      </w:pPr>
    </w:p>
    <w:p>
      <w:pPr>
        <w:jc w:val="both"/>
        <w:ind w:right="260" w:firstLine="324"/>
        <w:spacing w:after="0" w:line="289" w:lineRule="auto"/>
        <w:rPr>
          <w:sz w:val="20"/>
          <w:szCs w:val="20"/>
          <w:color w:val="auto"/>
        </w:rPr>
      </w:pPr>
      <w:r>
        <w:rPr>
          <w:rFonts w:ascii="Times New Roman" w:cs="Times New Roman" w:eastAsia="Times New Roman" w:hAnsi="Times New Roman"/>
          <w:sz w:val="17"/>
          <w:szCs w:val="17"/>
          <w:color w:val="auto"/>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vaccination mandates could adversely affect our ability to attract and maintain employees.</w:t>
      </w:r>
    </w:p>
    <w:p>
      <w:pPr>
        <w:spacing w:after="0" w:line="22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In response to COVID-19, we implemented significant changes that we determined were in the best interest of our employees and which complied with government orders in all the states and countries where we operate. For U.S. employees we require vaccination but may change this policy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taxes could adversely affect our financial results.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(“IRA”) was enacted in the U.S. Among other provisions, the IRA included a new fifteen percent Corporate Alternative Minimum Tax (“CAMT”) and a one percent excise tax on corporate share repurchases. The CAMT, which we are not currently subject to, is effective for tax years beginning on or after January 1, 2023. The one percent excise tax on share repurchases applies to shares repurchased after December 31, 2022, and excludes repurchases under $1 million. We do not anticipate that the IRA will have a material effect on our financial performance.</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technology could be subject to U.S. export control laws and the export control laws of the foreign jurisdictions where we operate.</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products are or could be subject to the Export Administration Regulations (“EAR”) if they are manufactured in the U.S., or based on U.S. technology, or contain more than a de minimis amount of controlled U.S. content. The EAR could prohibit the export of certain products out of the US or could prohibit our foreign sites from manufacturing or delivering photomasks to certain restricted entities. Additionally, the Company has a large, global business with sales outside the U.S. representing a majority of the Company’s total net sales, and the Company believes that it generally benefits from growth in international trade. However, trade policies and disputes and other international conflicts can result in tariffs, sanctions and other measures that restrict international trade, and can materially adversely affect the Company’s business, particularly if these measures occur in regions where the Company derives a significant portion of its revenues.</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Based on the complex relationships between the United States and certain foreign countries including, but not limited to China, there is inherent risk that political, diplomatic and national security influences might lead to trade disputes, impacts and/or disruptions to our operations or our ability to sell our photomasks. The United States and other countries have imposed and may continue to impose trade restrictions and have also levied tariffs and taxes on certain goods and imposed export restrictions. Increases in tariffs, additional taxes or other trade restrictions and retaliatory measures may increasingly impact customer demand and customer investment in manufacturing equipment, increase our manufacturing costs, decrease margins, reduce the competitiveness of our products, or inhibit our ability to sell, export products or purchase necessary equipment and supplies, which could have a material adverse effect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unprepared for changes to environmental laws and regulations and may incur liabilities arising from environmental matters.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internal controls could impact our business and operating results.</w:t>
      </w:r>
    </w:p>
    <w:p>
      <w:pPr>
        <w:spacing w:after="0" w:line="229"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adversely impacted, and we could fail to meet our financial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impacted by global or regional catastrophic events.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adversely affected by terrorist acts, widespread outbreaks of infectious diseases (such as COVID-19),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production facilities could be damaged or disrupted by natural or manmade disasters or labor strikes, either of which could adversely affect our financial position, results of operations, and cash flows.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major catastrophe, such as an earthquake, flood, fire, or other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sales can be impacted by the health and stability of the general economy, which could adversely affect our results of operations and cash flows.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failures or cyber security breaches could have a material adverse effect on our operations.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 the future, incur net losses.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Although the Company has been profitable since fiscal 2010, it has, in the past, incurred net losses. We cannot provide assurance that the Company will not incur net losses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have a material adverse effect on our results of operations, financial condition, or cash flows.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renminbi, euro, Singapore dollar, and the British pound sterling. In 2022, we recorded a net gain from changes in foreign currency exchange rates of $27.3 million in our consolidated statement of income, while our net assets decreased by $151.2 million as a result of the translation of foreign currency financial statements to U.S. dollars. Significant foreign currency fluctuations may adversely affect our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activity could negatively impact our results of operations and cash flows.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is subject to volatility and could fluctuate widely in response to various factors, many of which are beyond our control.</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influence the price of our common stock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key customers or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sales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interest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including but not limited to, our expansion into China;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consummations of business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or exceed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forecasted earnings or material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or repurchases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suffered with or without merit;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or disclosures made by our competitors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divestitures, or bankruptcies by customers, suppliers, or competitors;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including (but not limited to) inflation, recessions, natural disasters, military actions, political instability, or social unrest;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to period fluctuations in our financial results.</w:t>
      </w:r>
    </w:p>
    <w:p>
      <w:pPr>
        <w:spacing w:after="0" w:line="22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the actions of quantitative or algorithmic stock traders and short-sellers, or low trading volume which can magnify the effects of a small number of transactions on the price of a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global, competitive environment which gives rise to operating and market risk exposure.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tc>
        <w:tc>
          <w:tcPr>
            <w:tcW w:w="1120" w:type="dxa"/>
            <w:vAlign w:val="bottom"/>
          </w:tcPr>
          <w:p>
            <w:pPr>
              <w:spacing w:after="0"/>
              <w:rPr>
                <w:sz w:val="20"/>
                <w:szCs w:val="20"/>
                <w:color w:val="auto"/>
              </w:rPr>
            </w:pPr>
          </w:p>
        </w:tc>
      </w:tr>
      <w:tr>
        <w:trPr>
          <w:trHeight w:val="432"/>
        </w:trPr>
        <w:tc>
          <w:tcPr>
            <w:tcW w:w="10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24"/>
                <w:szCs w:val="24"/>
                <w:color w:val="auto"/>
              </w:rPr>
            </w:pPr>
          </w:p>
        </w:tc>
      </w:tr>
      <w:tr>
        <w:trPr>
          <w:trHeight w:val="432"/>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1120" w:type="dxa"/>
            <w:vAlign w:val="bottom"/>
          </w:tcPr>
          <w:p>
            <w:pPr>
              <w:spacing w:after="0"/>
              <w:rPr>
                <w:sz w:val="24"/>
                <w:szCs w:val="24"/>
                <w:color w:val="auto"/>
              </w:rPr>
            </w:pPr>
          </w:p>
        </w:tc>
      </w:tr>
      <w:tr>
        <w:trPr>
          <w:trHeight w:val="432"/>
        </w:trPr>
        <w:tc>
          <w:tcPr>
            <w:tcW w:w="10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about the Company’s photomask manufacturing facilities:</w:t>
            </w:r>
          </w:p>
        </w:tc>
        <w:tc>
          <w:tcPr>
            <w:tcW w:w="112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r>
      <w:tr>
        <w:trPr>
          <w:trHeight w:val="245"/>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10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Texas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Boise, Idaho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 Connecticut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Bridgend, Wales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Cheonan, Korea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Hefei,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 (1)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Dresden, Germany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 (1)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Taichung, Taiwan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 (1)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China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Owned (1)</w:t>
            </w:r>
          </w:p>
        </w:tc>
      </w:tr>
    </w:tbl>
    <w:p>
      <w:pPr>
        <w:spacing w:after="0" w:line="198" w:lineRule="exact"/>
        <w:rPr>
          <w:sz w:val="20"/>
          <w:szCs w:val="20"/>
          <w:color w:val="auto"/>
        </w:rPr>
      </w:pPr>
    </w:p>
    <w:p>
      <w:pPr>
        <w:ind w:right="280" w:firstLine="8"/>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our manufacturing facilities in Hefei, Taichung, Xiamen, and one of our manufacturing facilities in Hsinchu. However, we lease the related land at these sites. We believe our facilities, with planned expansions, are adequate to support our current and near-term requirements.</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13 to our consolidated financial statements in Part II, Item 8 of this report for information on legal proceedings involving the Company.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5" w:right="7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(“NASDAQ”) under the symbol PLAB. On December 15, 2022, the closing sale price of our common stock, per the NASDAQ Global Select Market, was $17.35. Based on available information, we have 238 registered shareholders.</w:t>
      </w:r>
    </w:p>
    <w:p>
      <w:pPr>
        <w:spacing w:after="0" w:line="16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paid any cash dividends on Photronics shares, and, for the foreseeable future, we anticipate that earnings will continue to be retained for use in our business. Further, our credit agreement limits the amount that can be paid as cash dividends on Photronics stock.</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Share repurchases under this authorization commenced on September 16, 2020. In 2022, we repurchased 0.2 million shares at a cost of $2.5 million (an average of $13.43 per share) and, since the program’s inception, we repurchased 5.8 million shares at a cost of $68.3 million (an average of $11.70 per share). All shares repurchased under the program have been retired.</w:t>
      </w:r>
    </w:p>
    <w:p>
      <w:pPr>
        <w:spacing w:after="0" w:line="18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share repurchase activity during the fourth quarter of 2022 as part of the repurchase program described above as well as shares repurchased in connection with the payment of withholding taxes related to the vesting of restricted stock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45"/>
        </w:trPr>
        <w:tc>
          <w:tcPr>
            <w:tcW w:w="48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6"/>
        </w:trPr>
        <w:tc>
          <w:tcPr>
            <w:tcW w:w="48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2022 – August 28,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August 29, 2022 – September 25,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26, 2022 – October 31,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484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22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regarding our equity compensation required to be disclosed by Item 201(d) of Regulation S-K is incorporated by reference from the Photronics, Inc. 2023 Definitive Proxy Statement in Item 12 of Part III of this report. The 2023 Definitive Proxy Statement will be filed within 120 days after our fiscal year ended October 31, 2022.</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application-specific ICs, reductions in design complexities,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has recently expanded beyond the industry’s capacity to supply them within the traditional time period; thus, for some products, our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focused on improving our competitiveness by advancing our technology and reducing costs and, in connection therewith, have invested and plan to continue to invest in manufacturing equipment to serve both the high-end photomask and trailing-edge markets. As we face challenges that require us to make significant improvements in our competitiveness, we continue to evaluate further cost reduction initiatives.</w:t>
      </w:r>
    </w:p>
    <w:p>
      <w:pPr>
        <w:spacing w:after="0" w:line="176"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State-of-the-art production for semiconductor masks is considered to be 28 nanometer and smaller for ICs and Generation 10.5+ and AMOLED and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we can produce full lines of photomasks, and there is no significant technology employed by our competitors that is not available to us. We expect advanced-generation designs to continue to move to production throughout fiscal 2023, and we believe we are well positioned to service an increasing volume of this business as a result of our investments in manufacturing processes and technology in the regions where our customers are located.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2022,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19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Both our revenues and costs have been affected by the increased demand for high-end-technology photomasks that require more advanced manufacturing capabilities, but generally command higher ASPs. Our capital expenditure payments were $112.3 million, $109.1 million and $70.8 million in 2022, 2021 and 2020, respectively, and the depreciation on these investments has significantly contributed to our cost of goods sold. Nonetheless, we intend to continue to make the required investments to support the technological demands of our customers that we believe will position us for future growth. In support of this effort, we expect capital expenditure payments to be approximately $130 million in fiscal year 2023.</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second quarter of 2021, under an MLA which we entered into effective October 2020,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first quarter of 2021, under an MLA which we entered into effective July 2019, we entered into a five-year $35.5 million finance lease for a high-end lithography tool. Monthly payments on the lease, which commenced in January 2021, increased from $0.04 million after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to our consolidated financial statements in Part II, Item 8 of this report, and includes a cross-default provision for any agreement or instrument with an outstanding, committed balance greater than $5.0 million in which we are the indebted party.</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2020, we entered into a MLA with a financing entity for the lease of an inspection tool with a maximum value of $10 million. The tool was delivered during the fourth quarter of 2020, and the financing entity made a progress payment to the vendor of $6.5 million in the first quarter of 2021. The progress payment accrued interest at 1.56% payable monthly until the final payment for the tool was made in the second quarter of 2021, at which point the $7.2 million lease described above began.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2020, our Hefei, China, facility was approved to borrow 200 million RMB from the China Construction Bank Corporation. This credit facility was subject to annual reviews and extension; the most recent extension allowing us to borrow additional funds was expired in August 2022. The loan proceeds were used to fund purchases of two lithography tools at the Hefei facility. As of October 31, 2021, we had borrowed 135.7 million RMB ($21.2 million) against this approval (all of which was then outstanding), and 64.3 million RMB ($10.1 million) remained available to borrow; we repaid the entire outstanding balance in 2022, and did not apply to extend the agreement.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our repayment.</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fourth quarter of 2020, the Company’s board of directors authorized the repurchase of up to $100 million of its common stock, pursuant to a repurchase plan under Rule 10b5-1 of the Securities Act. Through October 31, 2022, we had repurchased 5.8 million shares at a cost of $68.3 million (an average price of $11.70 per share) under this authorization. All shares repurchased under the program have been retired. On August 16, 2022, the Inflation Reduction Act (“IRA”) was enacted in the U.S. Among other provisions, the IRA included a one percent excise tax on corporate share repurchases. The one percent excise tax on share repurchases applies to shares repurchased after December 31, 2022, and excludes repurchases under $1 million. We do not anticipate that the IRA will have a material effect on our financial performance.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2020, we acquired the remaining 0.2% of noncontrolling interests in Photronics Cheonan, Ltd. for $0.6 million.</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first quarter of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approximately $6.5 million, and corresponding lease liabilities, which were discounted at our incremental borrowing rates, on our November 1, 2019, consolidated balance sheet to reflect our adoption of the guidance. Our adoption of Topic 842 did not affect our cash flows or our ability to comply with covenants under our credit agreements.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3"/>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October 31, 2022 (Q4 FY22), July 31, 2022 (Q3 FY22) and October 31, 2021 (Q4 FY21), and for the fiscal years ended October 31, 2022 (FY22) and October 31, 2021 (FY21). Please refer to Part II, Item 7 of our 2021 Form 10-K for comparative discussion of our fiscal years ended October 31, 2021, and October 31, 2020. The tables in this item may not foot due to rounding.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Q4 FY22 and FY22 from revenue in prior reporting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9"/>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Q4 FY22 compared to Q3 FY22</w:t>
            </w:r>
          </w:p>
        </w:tc>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Q4 FY22 compared to Q4 FY21</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6"/>
        </w:trPr>
        <w:tc>
          <w:tcPr>
            <w:tcW w:w="45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5"/>
        </w:trPr>
        <w:tc>
          <w:tcPr>
            <w:tcW w:w="45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4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9"/>
        </w:trPr>
        <w:tc>
          <w:tcPr>
            <w:tcW w:w="40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Q4 FY22 compared to Q3 FY22</w:t>
            </w:r>
          </w:p>
        </w:tc>
        <w:tc>
          <w:tcPr>
            <w:tcW w:w="2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Q4 FY22 compared to Q4 FY21</w:t>
            </w:r>
          </w:p>
        </w:tc>
      </w:tr>
      <w:tr>
        <w:trPr>
          <w:trHeight w:val="194"/>
        </w:trPr>
        <w:tc>
          <w:tcPr>
            <w:tcW w:w="4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r>
      <w:tr>
        <w:trPr>
          <w:trHeight w:val="245"/>
        </w:trPr>
        <w:tc>
          <w:tcPr>
            <w:tcW w:w="4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 Q4 FY22 of $210.3 million represented a decrease of 4.4% compared with Q3 FY22, and an increase of 16.0% from Q4 FY21.</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Overall IC revenue decreased 3.1% from Q3 FY22 due to lower high-end foundry and logic demand in Asia, but increased 24.5% from the prior year quarter. IC mainstream growth continued in Q4 FY22, increasing 3.0% from Q3 FY22, and 35.0% from Q4 FY21, due to continued growth in demand and favorable pricing on photomasks used to produce semiconductors required to make or support consumer products, the “internet-of-things”, 5G wireless technology, and cryptocurrency mining.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FPD revenue decreased 7.9% and 3.2% in Q4 FY22, compared, respectively, with Q3 FY22 and Q4 FY21. The decreases were caused by weakened demand from Q322 for high-end large-area masks used for mobile displays and G10.5+ masks used for ultra-large screen televisions. Revenue from mainstream products increased 33.0% from Q3 FY22, as capacity became available from the decreased demand for high-end products.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Year-over-Year Changes in Revenue by Product Type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FY22 compared to FY21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420" w:type="dxa"/>
            <w:vAlign w:val="bottom"/>
            <w:gridSpan w:val="3"/>
          </w:tcPr>
          <w:p>
            <w:pPr>
              <w:jc w:val="center"/>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FY22</w:t>
            </w:r>
          </w:p>
        </w:tc>
        <w:tc>
          <w:tcPr>
            <w:tcW w:w="120" w:type="dxa"/>
            <w:vAlign w:val="bottom"/>
          </w:tcPr>
          <w:p>
            <w:pPr>
              <w:spacing w:after="0"/>
              <w:rPr>
                <w:sz w:val="21"/>
                <w:szCs w:val="21"/>
                <w:color w:val="auto"/>
              </w:rPr>
            </w:pPr>
          </w:p>
        </w:tc>
        <w:tc>
          <w:tcPr>
            <w:tcW w:w="14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392"/>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7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7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photomasks.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Year-over-Year Changes in Revenue by Geographic Origin**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FY22 compared to FY21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420" w:type="dxa"/>
            <w:vAlign w:val="bottom"/>
            <w:gridSpan w:val="3"/>
          </w:tcPr>
          <w:p>
            <w:pPr>
              <w:jc w:val="center"/>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FY22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
        </w:trPr>
        <w:tc>
          <w:tcPr>
            <w:tcW w:w="7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in YTD FY22 of $824.5 million surpassed our prior record revenue set in YTD FY21 by $160.8 million, or 24.2%. IC revenue increased by 28.9%, due to strong demand for both high-end and mainstream photomasks and improved pricing for mainstream products and products at the most advanced node levels. FPD revenue increased by 13.7%, driven by a 20.1% increase in revenue from high-end products, which was driven by increased demand and better pricing for AMOLED products used in mobile displays and increased demand for G10.5+ large area masks used for ultra-large televisions.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194"/>
        </w:trPr>
        <w:tc>
          <w:tcPr>
            <w:tcW w:w="1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Q4 FY22</w:t>
            </w: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Q4 FY22</w:t>
            </w:r>
          </w:p>
        </w:tc>
        <w:tc>
          <w:tcPr>
            <w:tcW w:w="16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from</w:t>
            </w:r>
          </w:p>
        </w:tc>
      </w:tr>
      <w:tr>
        <w:trPr>
          <w:trHeight w:val="245"/>
        </w:trPr>
        <w:tc>
          <w:tcPr>
            <w:tcW w:w="10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FY21</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Q4 FY21</w:t>
            </w:r>
          </w:p>
        </w:tc>
        <w:tc>
          <w:tcPr>
            <w:tcW w:w="16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51.9</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Gross margin was 38.2% for Q4 FY22, representing a slight increase from the Q3 FY22 gross margin of 38.1%, as decreased revenue of 4.4% was offset by decreased material costs which fell 7.7%, or 80 basis points as a percentage of revenue. Labor costs increased 5.2%, or 100 basis points as a percentage of revenue, due to increased costs in some locations. Equipment and other overhead costs decreased 5.3%, or 30 basis points as a percentage of revenue, with lower outsourced manufacturing costs, partially offset by increased equipment maintenance costs, most significantly contributing to the net cost decrease.</w:t>
      </w:r>
    </w:p>
    <w:p>
      <w:pPr>
        <w:spacing w:after="0" w:line="183"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by 9.5 percentage points in Q4 FY22, from Q4 FY21, primarily as a result of the increase in revenue from the prior year quarter, together with 1.6% decrease in material costs from the prior year quarter. Labor costs increased 21.8% from the prior year quarter, or 50 basis points as a percentage of revenue, primarily due to increased costs in some locations. Equipment and other overhead costs decreased 4.9%, or 580 basis points, as a percentage of revenue. Decreased depreciation expense and outsourced manufacturing costs, which were partially offset by increased equipment maintenance costs, were the primary contributors to the overall decrease.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Change</w:t>
            </w:r>
          </w:p>
        </w:tc>
      </w:tr>
      <w:tr>
        <w:trPr>
          <w:trHeight w:val="245"/>
        </w:trPr>
        <w:tc>
          <w:tcPr>
            <w:tcW w:w="7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FY22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FY21</w:t>
            </w:r>
          </w:p>
        </w:tc>
        <w:tc>
          <w:tcPr>
            <w:tcW w:w="260" w:type="dxa"/>
            <w:vAlign w:val="bottom"/>
          </w:tcPr>
          <w:p>
            <w:pPr>
              <w:spacing w:after="0"/>
              <w:rPr>
                <w:sz w:val="21"/>
                <w:szCs w:val="21"/>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FY22 from FY21</w:t>
            </w:r>
          </w:p>
        </w:tc>
      </w:tr>
      <w:tr>
        <w:trPr>
          <w:trHeight w:val="216"/>
        </w:trPr>
        <w:tc>
          <w:tcPr>
            <w:tcW w:w="7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by 10.5 percentage points in FY22, from FY21, primarily as a result of the increase in revenue from the prior year period, offset somewhat by the following net cost increases: Material costs increased 7.9% from the prior year period, but decreased 380 basis points as a percentage of revenue. Labor costs increased 15.6% from the prior year, or 100 basis points as a percentage of revenue. Equipment and other overhead costs increased by 2.7%, but decreased 580 basis points as a percentage of revenue, with increased outsourced manufacturing costs, which were partially offset by decreased depreciation expense, most significantly contributing to the overall cost increase.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$15.7 million in Q4 FY22, compared with $16.0 million in Q3 FY22, and $14.3 million in Q4 FY21. The decrease from Q3 FY22 was primarily the result of decreased compensation and related expenses of $0.5 million, and the increase from the prior year quarter was primarily the result of increased professional fees of $0.7 million and increased travel expenses of $0.3 million. Selling, general and administrative expenses increased $6.5 million to $64.0 million in FY22, from $57.5 million in FY21, primarily due to an increase in compensation and related expenses, professional fees, and travel expenses in the respective amounts of $4.6 million, $0.7 million, and $0.6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decreased $0.1 million to $4.0 million in Q4 FY22, from Q3 FY22; the decrease was primarily caused by a decline in development activities in the U.S., which were partially offset by increased activities in Asia. Research and development expenses in Q4 FY22 decreased by $0.1 million in Q4 FY22 from Q4 FY21 as a result of decreased development activities in Asia moderately exceeding increased development activities in the U.S. On a year-to-date basis, research and development expenses decreased $0.1 million, to $18.3 million, primarily due to decreased development activities in Asia exceeding increased activities in the U.S.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Net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third quarter of 2021, we recorded a $3.5 million gain on the trade-in of a lithography tool with a tool vendor as partial compensation for a more advanced tool.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Q4 FY21</w:t>
            </w: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Non-operating income (expense) increased in Q4 FY22 from Q3 FY22 by $7.2 million, and from Q4 FY21 by $7.0 million, primarily due to foreign currency impacts, driven by favorable movements of the South Korean won, the New Taiwan dollar, and the Singapore dollar against the U.S. dollar offsetting unfavorable movements of the RMB against the U.S. dollar. In addition, higher average cash, cash equivalents, and short-term investments balances in Q4 FY22 resulted in increased interest income compared to both prior comparative periods, and lower average interest-bearing debt balances resulted in lower interest expense, net of subsidies received in Q4 FY22, than was incurred in the prior comparative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FY22</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FY21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27.3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Non-operating income (expense) increased $19.7 million in full year FY22, compared with full year FY21, primarily due to foreign currency transactions, driven by favorable movements of the South Korean won, the New Taiwan dollar, and the Singapore dollar offsetting unfavorable movements of the RMB against the U.S. dollar. In addition, higher average cash, cash equivalents, and short-term investments balances in FY22, compared with FY21, resulted in increased interest income in the current year. Interest expense, net of subsidies increased in FY22, compared with FY21, due to receiving a lower amount of interest subsidies on our China-based debt in FY22, the effect of which was partially mitigated by lower average interest-bearing debt balance in FY22 than in the prior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Q4 FY21</w:t>
            </w:r>
          </w:p>
        </w:tc>
        <w:tc>
          <w:tcPr>
            <w:tcW w:w="16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rates are sensitive to the jurisdictional mix of our earnings, due, in part, to the non-recognition of tax benefits on losses in jurisdictions with valuation allowances where the tax benefits of losses are not available.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decreased in Q4 FY22, compared with Q3 FY22, primarily due to changes in the period-to-period mix of jurisdictional earnings. The effective income tax rate decrease in Q4 FY22, compared with Q4 FY21, is primarily due to the benefits of investment credits in certain non-U.S. jurisdictions in Q4 FY22, as well as changes in the jurisdictional mix of earnings.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FY22</w:t>
            </w: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FY21</w:t>
            </w:r>
          </w:p>
        </w:tc>
        <w:tc>
          <w:tcPr>
            <w:tcW w:w="16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22.7%</w:t>
            </w:r>
          </w:p>
        </w:tc>
      </w:tr>
    </w:tbl>
    <w:p>
      <w:pPr>
        <w:spacing w:after="0" w:line="17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effective income tax rate on a full-year basis in FY22, compared with FY21, is primarily due to an increase of unremitted earnings tax and a decrease in credits in non-U.S. jurisdictions and the release of a valuation allowance for a loss carryforward in a non-U.S. jurisdiction in FY21.</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2022 and October 31, 2021, are $5.6 million and $3.8 million respectively, recorded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 that, if recognized, would impact the effective tax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$18.2 million in Q4 FY22, compared with $18.0 million in Q3 FY22; the increase was the result of a net increase in the net incomes of our joint venture operations. Net income attributable to noncontrolling interests increased by $9.4 million in Q4 FY22 from Q4 FY21, and by $37.1 million in FY22 from FY21, as a result of increased net income at both our Taiwan-based and China-based IC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Cash and cash equivalents was $319.7 million and $276.7 million as of October 31, 2022, and October 31, 2021, respectively. As of the most recent balance sheet date, total cash and cash equivalents included $299.7 million held by foreign subsidiaries. Net Cash, a non-GAAP financial measure as defined and discussed in the Non-GAAP Financial Measures section below, was $316.2 million and $165.0 million as of October 31, 2022, and October 31, 2021, respectively. Our primary sources of liquidity are our cash on hand, cash we generate from operations, short-term investments,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have approximately $21.5 million of borrowing capacity to support local operations. See Note 6 to our condensed consolidated financial statements in Part II, Item 8 for additional information on our currently available financing.</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arrangements, we plan to continue to invest in our business, with our investments targeted to align with our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estimate capital expenditures for our fiscal year 2023 will be approximately $130 million; these investments will be targeted towards high-end and mainstream point tools that will increase our operating capacity and efficiency, and enable us to support our customers’ near-term demands. As of October 31, 2022, we had outstanding capital commitments of approximately $147.8 million and recognized liabilities related to capital equipment purchases of approximately $5.3 million. Although payment timing could vary, primarily as a result of the timing of tool delivery, installation and testing, we currently estimate that we will fund $90.0 million of our total $153.1 million committed and recognized obligations for capital expenditures over the next twelve months. Please refer to Notes 8 and 13 to our consolidated financial statements in Part II, Item 8 for additional information on our lease liabilities and unrecognized commitments,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October 31, 2022, there was approximately $31.7 million remaining under that authorization. Depending on market conditions, we may utilize some or the entire remaining approved amount to reacquire additional shares. On August 16, 2022, the Inflation Reduction Act (“IRA”) was enacted in the U.S. Among other provisions, the IRA included a one percent excise tax on corporate share repurchases. The one percent excise tax on share repurchases applies to shares repurchased after December 31, 2022, and excludes repurchases under $1 million. We do not anticipate that the IRA will have a material effect on our liquidity.</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4 of our consolidated financial statements in Part II, Item 8,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October 31, 2022, Photronics and DNP each had net investments in this joint venture of approximately $93.3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provided by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increased by $124.4 million in FY22, compared with FY21, primarily due to increased net income and net cash-favorable changes in working capital, predominantly in Asia.</w:t>
      </w:r>
    </w:p>
    <w:p>
      <w:pPr>
        <w:spacing w:after="0" w:line="18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Free Cash Flow, which is a non-GAAP financial measure as discussed in the “Non-GAAP Financial Measures” section below, increased by $119.0 million in FY22, compared with FY21, primarily due to increased net cash provided by operating activities, and decreased by $30.0 million in FY21, compared with FY20, primarily due to an increase in spending on property, plant and equipment.</w:t>
      </w:r>
    </w:p>
    <w:p>
      <w:pPr>
        <w:spacing w:after="0" w:line="174"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In FY22, net cash flows used in investing activities primarily consisted of purchases of $112.3 million of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Net cash flows used in investing activities increased by $44.3 million in FY22, compared with FY21, primarily as a result of our investment of $38.9 million in short-term debt securities in FY22.</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In FY22, net cash flows used in financing activities primarily consisted of debt repayments of $65.4 million, which were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contributions from noncontrolling interests of $25.0 million. Net cash used in financing activities decreased by $15.2 million in FY22, compared with FY21, primarily due to decreased share repurchases of $45.7 million and an excess of the change in contributions from, as compared with distributions to, noncontrolling interests of $34.6 million, which were partially offset by increased debt repayments of $45.1 million (which included early repayments of $15.8 million), and decreased proceeds from long-term debt of $20.9 million.</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cash, cash equivalents, and restricted cash balances were negatively impacted by changes in foreign currency exchange rates in FY22 by $46.0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consider Free Cash Flow and Net Cash, which are “non-GAAP financial measures” (as such term is defined by the SEC), to be useful metrics in measuring our cash-generating performance. (Note that we may define these terms differently than other companies that use similarly-named non-GAAP financial measures.) These non-GAAP metrics are not intended to represent funds available for our discretionary use or to be used as a substitute for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cash equivalents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Net cash provided by operating activities</w:t>
      </w:r>
      <w:r>
        <w:rPr>
          <w:rFonts w:ascii="Times New Roman" w:cs="Times New Roman" w:eastAsia="Times New Roman" w:hAnsi="Times New Roman"/>
          <w:sz w:val="18"/>
          <w:szCs w:val="18"/>
          <w:color w:val="auto"/>
        </w:rPr>
        <w:t>, as measured under GAAP. The following tables reconcile</w:t>
      </w:r>
      <w:r>
        <w:rPr>
          <w:rFonts w:ascii="Times New Roman" w:cs="Times New Roman" w:eastAsia="Times New Roman" w:hAnsi="Times New Roman"/>
          <w:sz w:val="18"/>
          <w:szCs w:val="18"/>
          <w:i w:val="1"/>
          <w:iCs w:val="1"/>
          <w:color w:val="auto"/>
        </w:rPr>
        <w:t xml:space="preserve"> Net cash provided by operating activities </w:t>
      </w:r>
      <w:r>
        <w:rPr>
          <w:rFonts w:ascii="Times New Roman" w:cs="Times New Roman" w:eastAsia="Times New Roman" w:hAnsi="Times New Roman"/>
          <w:sz w:val="18"/>
          <w:szCs w:val="18"/>
          <w:color w:val="auto"/>
        </w:rPr>
        <w:t>to Free Cash Flow for FY22, FY21 and FY20. The columns may not foot due to rounding.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FY22</w:t>
            </w:r>
          </w:p>
        </w:tc>
        <w:tc>
          <w:tcPr>
            <w:tcW w:w="22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FY21</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FY20</w:t>
            </w:r>
          </w:p>
        </w:tc>
      </w:tr>
      <w:tr>
        <w:trPr>
          <w:trHeight w:val="39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Free Cash Flow</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incentives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118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11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reconciles Cash and cash equivalents to Net Cash at the balance sheet dates. The increase in Net Cash was primarily driven by an increase in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as discussed above. The columns may not foot due to rounding.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Cash</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business outlook and guidance was provided in our Full Year and Fourth Quarter Fiscal 2022 Results earnings call, and related slide deck.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can be accessed in the investor section of our website - www.photronics.com.</w:t>
      </w:r>
    </w:p>
    <w:p>
      <w:pPr>
        <w:spacing w:after="0" w:line="20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our Full Year and Fourth Quarter Fiscal 2022 Results earnings call and presentation involve a number of risks and uncertainties, some of which are discussed in Part I, Item 1A of this report.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62" w:lineRule="exact"/>
        <w:rPr>
          <w:sz w:val="20"/>
          <w:szCs w:val="20"/>
          <w:color w:val="auto"/>
        </w:rPr>
      </w:pPr>
    </w:p>
    <w:p>
      <w:pPr>
        <w:ind w:left="660" w:right="2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application of GAAP related to the measurement and recognition of revenue requires us to make judgments and estimates, including the determination of whether we should recognize revenues as we perform or upon the completion of our performance, as these determinations impact the timing and amount of our reported revenues and net income. Other significant judgments include the estimation of the point in the manufacturing process at which we are entitled to recognize revenue, as well as the measurement of our progress towards satisfying our performance obligations, which determine the amount of revenue we are entitled to recognize.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right="8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Significant judgment and assumptions are employed when we establish the estimated useful lives of asset classes, and determine when depreciation should commence for individual assets, as these determinations can significantly impact our gross margin and research and development expenses. Significant judgement would also be employed when events or changes in circumstances indicate that the carrying amount of a group of assets may not be recoverable, as the recoverability assessment requires us to forecast future cash flows related to these assets; this evaluation can significantly impact our gross margin and operating expense.</w:t>
      </w:r>
    </w:p>
    <w:p>
      <w:pPr>
        <w:spacing w:after="0" w:line="18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Significant judgement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Changes in estimates related to, and resolutions of, contingencies may have a material impact on our financial performance.</w:t>
      </w:r>
    </w:p>
    <w:p>
      <w:pPr>
        <w:spacing w:after="0" w:line="179"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assets, and our ability to uphold certain tax positions. We are subject to complex tax laws, in the U.S. and numerous foreign jurisdictions, and the manner in which they apply can be open to interpretation. 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are a number of estimates and assumptions inherent in calculating the various components of our tax provision. Future events such as changes in tax legislation, geographic mix of earnings, findings in tax audits, and earnings repatriation plans could have an impact on those estimates and our effective tax rate.</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Notes 1, 11, and 13 to our consolidated financial statements in Part II, Item 8 for additional information related to these critical accounting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20 to our consolidated financial statements in Part II, Item 8 of this report for recent accounting pronouncements that may affect our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and have exposures to the Japanese yen.</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October 31, 2022, included the South Korean won, the Japanese yen, the New Taiwan dollar, the Chinese renminbi, the Singapore dollar, the British pound sterling, and the euro. As of October 31, 2022, a 10% adverse movement in the value of these currencies against the functional currencies of our subsidiaries would have resulted in a net unrealized pre-tax loss of $34.7 million, which represents a decrease of $0.5 million from the same movement as of October 31, 2021. The decrease in foreign currency rate change risk is primarily the result of decreased net exposures of the RMB against the U.S. dollar, which were largely offset increased net exposures of the New Taiwan dollar against the U.S. dollar. We do not believe that a 10% change in the exchange rates of other non-U.S. dollar currencies would have had a material effect on our October 31, 2022,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October 31, 2022,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 w:right="4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9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Deloitte &amp; Touche LLP </w:t>
            </w:r>
            <w:r>
              <w:rPr>
                <w:rFonts w:ascii="Times New Roman" w:cs="Times New Roman" w:eastAsia="Times New Roman" w:hAnsi="Times New Roman"/>
                <w:sz w:val="18"/>
                <w:szCs w:val="18"/>
                <w:color w:val="000000"/>
              </w:rPr>
              <w:t>(PCAOB ID 34)</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Income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Equity</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9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35</w:t>
            </w:r>
          </w:p>
        </w:tc>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Photronics, Inc. (the “Company”) as of October 31, 2022 and 2021, the related consolidated statements of income, comprehensive income, equity, and cash flows for each of the three years in the period ended October 31, 2022, and the related notes (collectively referred to as the “financial statements”). In our opinion, the financial statements present fairly, in all material respects, the financial position of the Company as of October 31, 2022 and October 31, 2021, and the results of its operations and its cash flows for each of the three years in the period ended October 31, 2022, in conformity with accounting principles generally accepted in the United States of America.</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October 31, 2022, based on criteria established in Internal Control — Integrated Framework (2013) issued by the Committee of Sponsoring Organizations of the Treadway Commission and our report dated December 23, 2022,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Contracts with Customers— Refer to Note 7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revenue over time for in-process production orders that have not shipped for contracts with customers for which it has an enforceable right to bill and collect consideration, including a reasonable profit, in the event the in-process orders are cancelled by the customers. This results in the Company recording a corresponding contract asset as of period-end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2022 was $15.8 million.</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identified the determination of revenue recognized over time for in-process productions orders as of October 31, 2022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determination of the progress point of in-process orders and resulting revenue recognized over time and corresponding contract asset as of October 31, 2022 included the following:</w:t>
      </w:r>
    </w:p>
    <w:p>
      <w:pPr>
        <w:spacing w:after="0" w:line="162" w:lineRule="exact"/>
        <w:rPr>
          <w:sz w:val="20"/>
          <w:szCs w:val="20"/>
          <w:color w:val="auto"/>
        </w:rPr>
      </w:pPr>
    </w:p>
    <w:p>
      <w:pPr>
        <w:ind w:left="660" w:right="420" w:hanging="4"/>
        <w:spacing w:after="0" w:line="282" w:lineRule="auto"/>
        <w:tabs>
          <w:tab w:leader="none" w:pos="7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determination of the point in the production process and correlation to stated contractual rights.</w:t>
      </w:r>
    </w:p>
    <w:p>
      <w:pPr>
        <w:spacing w:after="0" w:line="161" w:lineRule="exact"/>
        <w:rPr>
          <w:rFonts w:ascii="Times New Roman" w:cs="Times New Roman" w:eastAsia="Times New Roman" w:hAnsi="Times New Roman"/>
          <w:sz w:val="18"/>
          <w:szCs w:val="18"/>
          <w:color w:val="auto"/>
        </w:rPr>
      </w:pPr>
    </w:p>
    <w:p>
      <w:pPr>
        <w:ind w:left="660" w:right="840" w:hanging="4"/>
        <w:spacing w:after="0" w:line="282" w:lineRule="auto"/>
        <w:tabs>
          <w:tab w:leader="none" w:pos="7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 of revenue and the associated timing of revenue recognized in the consolidated financial statements.</w:t>
      </w:r>
    </w:p>
    <w:p>
      <w:pPr>
        <w:spacing w:after="0" w:line="161"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in-process orders report by performing physical observation.</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in-process production orders as of October 31, 2022, and performed the following procedures for each selection:</w:t>
      </w:r>
    </w:p>
    <w:p>
      <w:pPr>
        <w:spacing w:after="0" w:line="225" w:lineRule="exact"/>
        <w:rPr>
          <w:rFonts w:ascii="Times New Roman" w:cs="Times New Roman" w:eastAsia="Times New Roman" w:hAnsi="Times New Roman"/>
          <w:sz w:val="18"/>
          <w:szCs w:val="18"/>
          <w:color w:val="auto"/>
        </w:rPr>
      </w:pPr>
    </w:p>
    <w:p>
      <w:pPr>
        <w:ind w:left="1400" w:hanging="96"/>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contract.</w:t>
      </w:r>
    </w:p>
    <w:p>
      <w:pPr>
        <w:spacing w:after="0" w:line="225" w:lineRule="exact"/>
        <w:rPr>
          <w:rFonts w:ascii="Times New Roman" w:cs="Times New Roman" w:eastAsia="Times New Roman" w:hAnsi="Times New Roman"/>
          <w:sz w:val="18"/>
          <w:szCs w:val="18"/>
          <w:color w:val="auto"/>
        </w:rPr>
      </w:pPr>
    </w:p>
    <w:p>
      <w:pPr>
        <w:ind w:left="1400" w:hanging="96"/>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significant contract terms and resulting revenue recognition for the in-process production order.</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14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estimate of the production point for the in-process order and corresponding revenue recognition and contract asset based on the Company’s enforceable right within the contract.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276,670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38,820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$1,002 in 2022 and $1,218 in 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174,447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44,250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696,553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1,315,830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72,366</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28,046</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293,640</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60,791 shares issued and outstanding at October 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and 60,024 shares issued and outstanding at October 31, 2021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484,672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317,849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831,527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1,000,562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1,315,830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1,294,202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380" w:type="dxa"/>
            <w:vAlign w:val="bottom"/>
            <w:gridSpan w:val="3"/>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2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20" w:type="dxa"/>
            <w:vAlign w:val="bottom"/>
            <w:gridSpan w:val="2"/>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663,761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609,691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530,336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496,717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475,037</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134,654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53,582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18,490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17,144</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70,726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operating (loss) income, net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impacts,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 of subsidies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61,601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23,190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21,258</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118,786</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64,866</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43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36,381</w:t>
            </w: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(150,786)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35,991</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76,334</w:t>
            </w:r>
          </w:p>
        </w:tc>
      </w:tr>
      <w:tr>
        <w:trPr>
          <w:trHeight w:val="22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15,551</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60,783</w:t>
            </w:r>
          </w:p>
        </w:tc>
      </w:tr>
      <w:tr>
        <w:trPr>
          <w:trHeight w:val="42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gridSpan w:val="1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Years Ended October 31, 2022, 2021 and 2020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94"/>
        </w:trPr>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65,595</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911,092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33,820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35,991</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17,596</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17,596</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to noncontrolling</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(16,151)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(16,151)</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of subsidiary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(34,394)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(34,394)</w:t>
            </w: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(25,657)</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34,394</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507,336</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279,037</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157,304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962,266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78,816</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3,561</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to noncontrolling</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(48,249)</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(48,249)</w:t>
            </w:r>
          </w:p>
        </w:tc>
        <w:tc>
          <w:tcPr>
            <w:tcW w:w="0" w:type="dxa"/>
            <w:vAlign w:val="bottom"/>
          </w:tcPr>
          <w:p>
            <w:pPr>
              <w:spacing w:after="0"/>
              <w:rPr>
                <w:sz w:val="1"/>
                <w:szCs w:val="1"/>
                <w:color w:val="auto"/>
              </w:rPr>
            </w:pPr>
          </w:p>
        </w:tc>
      </w:tr>
      <w:tr>
        <w:trPr>
          <w:trHeight w:val="223"/>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(31,573)</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48,249</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484,672</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317,849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176,870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1,000,562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60,456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179,242</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(119,027)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(150,786)</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24,995</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24,995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435,634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230,562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1,062,089</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79,971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89,171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liabilities,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(51,233)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7,849</w:t>
            </w:r>
          </w:p>
        </w:tc>
      </w:tr>
      <w:tr>
        <w:trPr>
          <w:trHeight w:val="223"/>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25,427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150,772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143,046</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(112,338)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(109,099)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(70,815)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debt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(147,757)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(103,494)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(65,711)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(65,440)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(48,249)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(34,394)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(16,151)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(53,903)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(16,010)</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(46,012)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10,986</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72,311</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281,602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209,291</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279,680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281,602</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276,670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278,665</w:t>
            </w:r>
          </w:p>
        </w:tc>
      </w:tr>
      <w:tr>
        <w:trPr>
          <w:trHeight w:val="209"/>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13,062</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31, 2022, October 31, 2021 and October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We currently have eleven manufacturing facilities, located in Taiwan (3), China (2), Korea,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Photronics, Inc., its wholly owned subsidiaries, and the majority-owned subsidiaries which it controls.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U.S.GAAP requires us to make estimates and assumptions that affect amounts reported in them. Our estimates are based on historical experience and on various assumptions that are believed to be reasonable, including estimates of the impact of COVID 19,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Certain immaterial prior periods amounts in the consolidated financial statements and notes thereto have been reclassified to conform to the current period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Investments consist of U. S. government securities and are classified as available-for-sale. We classify available-for-sale securities on our consolidated balance sheet as follows:</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Maturing within three months or less from the date of purchase</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Maturing, as of the date of purchase, more than three months, but</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Long-term marketable investments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October 31, 2022, all of our available-for-sale securities had remaining maturities of more than three months, but less than one year, and have been classified as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As of October 31, 2021, we did not hold any investments.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Available-for-sale debt investments are reported at fair value, with unrealized gains or losses (net of tax) reported in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income</w:t>
      </w:r>
      <w:r>
        <w:rPr>
          <w:rFonts w:ascii="Times New Roman" w:cs="Times New Roman" w:eastAsia="Times New Roman" w:hAnsi="Times New Roman"/>
          <w:sz w:val="18"/>
          <w:szCs w:val="18"/>
          <w:color w:val="auto"/>
        </w:rPr>
        <w:t>. The fair values of our available-for-sale securities are Level 1 measurements, based on quoted prices from active markets for identical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event of a sale of an available-for-sale debt investment, we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xml:space="preserve"> where we also report periodic interest earned and the amortization (accretion) of discounts (premiums) related to these investments. The table below provides information on our available-for-sale debt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31, 2021</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1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10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Periodically, at the individual security level, we review our investments to determine if they are impaired. An investment would be impaired if its amortized cost exceeds its fair value. In the event that an investment’s amortized cost exceeds its fair value, we would determine whether the impairment is temporary or other than temporary. Factors indicating that an other than temporary impairment had occurred that we would consider in our determination include whether we have decided to sell the security and whether it is more likely than not that we may be required to sell the security before its amortized cost basis is recovered. In addition, for certain types of securities, we would assess whether the discounted cash flows we expect to collect on an investment are less than its amortized cost and, under such a circumstance, recognize the existing credit loss as an impairment.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We generally record our accounts receivable at their billed amounts. All outstanding past due customer invoices are reviewed for collectability during, and at the end of, every reporting period. To the extent that we believe a loss on the collection of a customer invoice is probable, we record the loss and</w:t>
      </w:r>
    </w:p>
    <w:p>
      <w:pPr>
        <w:sectPr>
          <w:pgSz w:w="11900" w:h="16838" w:orient="portrait"/>
          <w:cols w:equalWidth="0" w:num="1">
            <w:col w:w="11240"/>
          </w:cols>
          <w:pgMar w:left="320" w:top="116" w:right="339" w:bottom="0" w:gutter="0" w:footer="0" w:header="0"/>
        </w:sectPr>
      </w:pPr>
    </w:p>
    <w:bookmarkStart w:id="44" w:name="page45"/>
    <w:bookmarkEnd w:id="44"/>
    <w:p>
      <w:pPr>
        <w:spacing w:after="0" w:line="312" w:lineRule="auto"/>
        <w:rPr>
          <w:sz w:val="20"/>
          <w:szCs w:val="20"/>
          <w:color w:val="auto"/>
        </w:rPr>
      </w:pPr>
      <w:r>
        <w:rPr>
          <w:rFonts w:ascii="Times New Roman" w:cs="Times New Roman" w:eastAsia="Times New Roman" w:hAnsi="Times New Roman"/>
          <w:sz w:val="17"/>
          <w:szCs w:val="17"/>
          <w:color w:val="auto"/>
        </w:rPr>
        <w:t>credit an allowance for credit losses. In the event that an amount is determined to be uncollectible, we charge the allowance for credit losses and derecognize the related receivable. Refer to our revenue recognition policy, below, for additional information on our accounting for accounts receivable.</w:t>
      </w:r>
    </w:p>
    <w:p>
      <w:pPr>
        <w:spacing w:after="0" w:line="3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The components of </w:t>
      </w: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at the balance sheet dates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178"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Depreciation and amortization, essentially all of which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our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lessor of the life of the lease or the estimated useful life of the improvement. We employ judgment when making assumptions about the estimated useful lives and depreciation periods we assign to property, plant and equipment, and when events or changes in circumstances such as a significant industry downturn, plant closures, technological obsolescence, or other occurrences indicate that their carrying amounts may not be recoverable.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periodically evaluate the remaining useful lives of our intangible assets to determine whether events or changes in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changes in circumstances indicate that its carrying value may not, based on future undiscounted cash flows or market factors, be recoverable. An impairment loss, the recorded amount of which would be based on the fair value of the intangible asset at the measurement date, would be recorded in the period in which the impairment determination was made.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7" w:lineRule="exact"/>
        <w:rPr>
          <w:sz w:val="20"/>
          <w:szCs w:val="20"/>
          <w:color w:val="auto"/>
        </w:rPr>
      </w:pPr>
    </w:p>
    <w:p>
      <w:pPr>
        <w:jc w:val="center"/>
        <w:ind w:right="480"/>
        <w:spacing w:after="0" w:line="315" w:lineRule="auto"/>
        <w:rPr>
          <w:sz w:val="20"/>
          <w:szCs w:val="20"/>
          <w:color w:val="auto"/>
        </w:rPr>
      </w:pPr>
      <w:r>
        <w:rPr>
          <w:rFonts w:ascii="Times New Roman" w:cs="Times New Roman" w:eastAsia="Times New Roman" w:hAnsi="Times New Roman"/>
          <w:sz w:val="17"/>
          <w:szCs w:val="17"/>
          <w:color w:val="auto"/>
        </w:rPr>
        <w:t xml:space="preserve">Restricted cash in the amounts of $2.7 million and $3.0 million are included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October 31, 2022 and October 31, 2021, consolidated balance sheets, respectively. The restrictions on these amounts are primarily related to land lease agreements and customs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366"/>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governmental entities.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impair any contract assets or accounts receivable in 2022, 2021, or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2"/>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8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r>
      <w:tr>
        <w:trPr>
          <w:trHeight w:val="27"/>
        </w:trPr>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bl>
    <w:p>
      <w:pPr>
        <w:spacing w:after="0" w:line="19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400" w:firstLine="366"/>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that they procure on our behalf.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80" w:firstLine="359"/>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time period, our backlog of orders is generally not in excess of one to two weeks for IC photomasks and two to three weeks for FPD photomasks. However, the demand for some IC photomasks has expanded beyond the industry’s capacity to supply them within the traditional time period; thus the backlog, in some individual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20" w:firstLine="369"/>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we will typically repair, replace, or issue a refund for any photomasks that fail to do so. The warranties do not represent separate performance obligations in our revenue contracts. Historically, customer claims under warranties have been immaterial.</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involvement in lease arrangements has typically been as a lessee. We determine if an agreement is, or contains, a lease on the earlier of the date of the agreement or the date on which we commit to entering the agreement. An arrangement is determined to be a lease when it conveys to us the right to control the use of an identified asset for a period of time in exchange for consideration. Our having the right to control an identified asset is determined by whether we are entitled to substantially all of its economic benefits and can direct its use. We recognize leases on our consolidated balance sheet when a lessor makes an asset underlying a lease having a term in excess of twelve months available for our use. As allowed under ASC Topic 842 – “Leases” (“Topic 842”), we have elected to 1) not to apply the recognition requirements to leases that, at their commencement dates, have lease terms of twelve months or less and do not include options to purchase their underlying assets that we are reasonably certain to exercise and 2) for all classes of assets, the practical expedient to not separate lease components of a contract from nonlease components of a contract.</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an arrangement is determined to be, or include, a lease, we then apply the classification criteria in Topic 842 to determine whether the lease is a finance lease or an operating lease. For both types of leases, at their commencement dates (which are the dates on which a lessor makes an underlying asset available for our use), we recognize ROU assets, which represent our rights to use the underlying assets, and lease liabilities which represent our obligation to make payments for such rights. The present value of lease payments over the term of the lease provides the basis for the initial measurement of ROU assets and their related lease liabilities.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we are reasonably certain to exercise.</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initial measurement process for finance leases and operating leases is the same, except that, for operating leases, we generally apply our incremental borrowing rates for collateralized borrowings over terms similar to those of the leases to determine the lease liability while, for finance leases, we use the interest rates implicit in the leases. The initial measurement of ROU assets may require further adjustments for lease prepayments and initial direct costs we incur.</w:t>
      </w:r>
    </w:p>
    <w:p>
      <w:pPr>
        <w:spacing w:after="0" w:line="17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Operating leases are expensed on a straight-line basis over the terms of the leases, and are included in the consolidated statement of income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goods sold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Research and development </w:t>
      </w:r>
      <w:r>
        <w:rPr>
          <w:rFonts w:ascii="Times New Roman" w:cs="Times New Roman" w:eastAsia="Times New Roman" w:hAnsi="Times New Roman"/>
          <w:sz w:val="18"/>
          <w:szCs w:val="18"/>
          <w:color w:val="auto"/>
        </w:rPr>
        <w:t>expense in accordance with the use of the underlying asset. Finance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ROU assets are amortized over the estimated useful life of the underlying asset; the expenses are included in the consolidated statement of income in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goods sold</w:t>
      </w:r>
      <w:r>
        <w:rPr>
          <w:rFonts w:ascii="Times New Roman" w:cs="Times New Roman" w:eastAsia="Times New Roman" w:hAnsi="Times New Roman"/>
          <w:sz w:val="18"/>
          <w:szCs w:val="18"/>
          <w:color w:val="auto"/>
        </w:rPr>
        <w:t>. Finance lease liabilities are subsequently remeasured by increasing the liability to reflect interest accrued during a period and decreasing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liability to reflect payments made during the period. Interest expense incurred on finance leases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consolidated statements of income.</w:t>
      </w:r>
    </w:p>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Cash paid for operating leases and interest paid for finance leases are included in the consolidated statement of cash flows as operating activities in </w:t>
      </w:r>
      <w:r>
        <w:rPr>
          <w:rFonts w:ascii="Times New Roman" w:cs="Times New Roman" w:eastAsia="Times New Roman" w:hAnsi="Times New Roman"/>
          <w:sz w:val="18"/>
          <w:szCs w:val="18"/>
          <w:i w:val="1"/>
          <w:iCs w:val="1"/>
          <w:color w:val="auto"/>
        </w:rPr>
        <w:t>Accounts payable, accrued liabilities and other</w:t>
      </w:r>
      <w:r>
        <w:rPr>
          <w:rFonts w:ascii="Times New Roman" w:cs="Times New Roman" w:eastAsia="Times New Roman" w:hAnsi="Times New Roman"/>
          <w:sz w:val="18"/>
          <w:szCs w:val="18"/>
          <w:color w:val="auto"/>
        </w:rPr>
        <w:t>; cash paid for finance lease principal is included in</w:t>
      </w:r>
      <w:r>
        <w:rPr>
          <w:rFonts w:ascii="Times New Roman" w:cs="Times New Roman" w:eastAsia="Times New Roman" w:hAnsi="Times New Roman"/>
          <w:sz w:val="18"/>
          <w:szCs w:val="18"/>
          <w:i w:val="1"/>
          <w:iCs w:val="1"/>
          <w:color w:val="auto"/>
        </w:rPr>
        <w:t xml:space="preserve"> Repayments of debt </w:t>
      </w:r>
      <w:r>
        <w:rPr>
          <w:rFonts w:ascii="Times New Roman" w:cs="Times New Roman" w:eastAsia="Times New Roman" w:hAnsi="Times New Roman"/>
          <w:sz w:val="18"/>
          <w:szCs w:val="18"/>
          <w:color w:val="auto"/>
        </w:rPr>
        <w:t>in the financing activities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recognize share-based compensation expense over the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development efforts related to high-end process technologies for advanced subwavelength reticle solutions for IC and FPD photomask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non-U.S. subsidiaries maintain their accounts in their respective local currencies, which are their functional currencies. Assets and liabilities of such subsidiaries are translated to U.S. dollars at year-end exchange rates. Income and expenses are translated at average rates of exchange prevailing during the year. Foreign currency translation adjustments are accumulated and reported in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a component of equity on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ind w:right="320" w:firstLine="36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funds we receive from government grants by reducing the costs of the assets or expenses to which we apply the funds. Funds we receive that cannot be attributed to specific assets or expenses would be recognized as other income, and included in </w:t>
      </w:r>
      <w:r>
        <w:rPr>
          <w:rFonts w:ascii="Times New Roman" w:cs="Times New Roman" w:eastAsia="Times New Roman" w:hAnsi="Times New Roman"/>
          <w:sz w:val="18"/>
          <w:szCs w:val="18"/>
          <w:i w:val="1"/>
          <w:iCs w:val="1"/>
          <w:color w:val="auto"/>
        </w:rPr>
        <w:t>Interest income and 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net in the consolidated statements of income. Funds we receive from government grants are classified in our consolidated statements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 either cash flows from operating activities or cash flows from investing activities, in accordance with how we expend the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employ judgment and make assumptions when establishing valuation allowances for deferred income tax assets, if their realization is not deemed to be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 We are eligible for investment tax credits in U.S. and non-U.S. tax jurisdictions. We account for investment tax credits under the “flow-through” method of accounting. As permitted in ASC 740 “Income Taxes”, under the flow-through method of accounting, the tax benefit from an investment tax credit is recorded as a reduction of income taxes in the period in which the credit is generated.</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which are presented on our consolidated balance sheets, and deferred tax liabilities, which are included in </w:t>
      </w: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on our consolidated balance sheets.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were exercised or earned.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entities.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investments we make in VIEs in which we have determined that we do not have a controlling financial interest but have a significant influence over, and hold at least a twenty percent ownership interest in, using the equity method. An investment not meeting the parameters to be accounted for under the equity method would be accounted for using the cost method, unless the investment had a readily determinable fair value, at which value it would then be reported.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1" w:name="page52"/>
    <w:bookmarkEnd w:id="51"/>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OTHER 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refundable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Recoverable value added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181,922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2,072,639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(1,428,766)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(1,531,579)</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79,971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89,171</w:t>
            </w:r>
          </w:p>
        </w:tc>
      </w:tr>
    </w:tbl>
    <w:p>
      <w:pPr>
        <w:spacing w:after="0" w:line="198" w:lineRule="exact"/>
        <w:rPr>
          <w:sz w:val="20"/>
          <w:szCs w:val="20"/>
          <w:color w:val="auto"/>
        </w:rPr>
      </w:pPr>
    </w:p>
    <w:p>
      <w:pPr>
        <w:jc w:val="both"/>
        <w:ind w:right="120" w:firstLine="270"/>
        <w:spacing w:after="0" w:line="282" w:lineRule="auto"/>
        <w:rPr>
          <w:sz w:val="20"/>
          <w:szCs w:val="20"/>
          <w:color w:val="auto"/>
        </w:rPr>
      </w:pPr>
      <w:r>
        <w:rPr>
          <w:rFonts w:ascii="Times New Roman" w:cs="Times New Roman" w:eastAsia="Times New Roman" w:hAnsi="Times New Roman"/>
          <w:sz w:val="18"/>
          <w:szCs w:val="18"/>
          <w:color w:val="auto"/>
        </w:rPr>
        <w:t>In the third quarter of 2021, we recorded a $3.5 million gain on the trade-in of a lithography tool with a tool vendor as partial compensation for a more advanced tool.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PDMCX JOINT VENTURE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6, liens were granted to the local financing entity on property, plant and equipment with an October 31, 2022, and October 31, 2021, total carrying value of $70.7 and $90.1 million, respectively, as collateral for the loans.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or loss we recorded from the operations of PDMCX during the reporting periods.</w:t>
      </w:r>
    </w:p>
    <w:p>
      <w:pPr>
        <w:sectPr>
          <w:pgSz w:w="11900" w:h="16864" w:orient="portrait"/>
          <w:cols w:equalWidth="0" w:num="1">
            <w:col w:w="11240"/>
          </w:cols>
          <w:pgMar w:left="320" w:top="114" w:right="3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 from PDMCX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(4,684)</w:t>
            </w:r>
          </w:p>
        </w:tc>
      </w:tr>
    </w:tbl>
    <w:p>
      <w:pPr>
        <w:spacing w:after="0" w:line="19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“Consolidation”, we evaluated our involvement in PDMCX for the purpose of determining whether we should consolidate its results in our financial statements. The initial step of our evaluation was to determine whether PDMCX was a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and prior years reporting periods; thus, as required, the PDMCX financial results have been consolidated with Photronics. Our conclusion was based on the fact that we held a controlling financial interest in PDMCX (which resulted from our having the power to direct the activities that most significantly impacted its economic performance) and had both the obligation to absorb losses and the right to receive benefits that could potentially be significant to PDMCX. Our conclusions that we had the power to direct the activities that most significantly affected the economic performance of PDMCX during the current and prior year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100" w:type="dxa"/>
            <w:vAlign w:val="bottom"/>
          </w:tcPr>
          <w:p>
            <w:pPr>
              <w:spacing w:after="0"/>
              <w:rPr>
                <w:sz w:val="21"/>
                <w:szCs w:val="21"/>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194"/>
        </w:trPr>
        <w:tc>
          <w:tcPr>
            <w:tcW w:w="4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00" w:type="dxa"/>
            <w:vAlign w:val="bottom"/>
            <w:shd w:val="clear" w:color="auto" w:fill="CCEEFF"/>
          </w:tcPr>
          <w:p>
            <w:pPr>
              <w:spacing w:after="0"/>
              <w:rPr>
                <w:sz w:val="18"/>
                <w:szCs w:val="18"/>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119,392</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59,708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68,913</w:t>
            </w:r>
          </w:p>
        </w:tc>
      </w:tr>
      <w:tr>
        <w:trPr>
          <w:trHeight w:val="22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123,492</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197,544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51,274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21,463</w:t>
            </w:r>
          </w:p>
        </w:tc>
      </w:tr>
      <w:tr>
        <w:trPr>
          <w:trHeight w:val="27"/>
        </w:trPr>
        <w:tc>
          <w:tcPr>
            <w:tcW w:w="4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60,435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69,476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34,745</w:t>
            </w:r>
          </w:p>
        </w:tc>
      </w:tr>
      <w:tr>
        <w:trPr>
          <w:trHeight w:val="25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7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93,268</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ACCRUED LIABILITIES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at the balance sheet dates.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4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15,596</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and other taxes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and utilities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10,210</w:t>
            </w: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00" w:type="dxa"/>
            <w:vAlign w:val="bottom"/>
          </w:tcPr>
          <w:p>
            <w:pPr>
              <w:spacing w:after="0"/>
              <w:rPr>
                <w:sz w:val="24"/>
                <w:szCs w:val="24"/>
                <w:color w:val="auto"/>
              </w:rPr>
            </w:pPr>
          </w:p>
        </w:tc>
        <w:tc>
          <w:tcPr>
            <w:tcW w:w="1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tables below provide information on our long-term debt.</w:t>
      </w:r>
    </w:p>
    <w:p>
      <w:pPr>
        <w:sectPr>
          <w:pgSz w:w="11900" w:h="16838" w:orient="portrait"/>
          <w:cols w:equalWidth="0" w:num="1">
            <w:col w:w="11240"/>
          </w:cols>
          <w:pgMar w:left="320" w:top="11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As of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85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due: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12 months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13 – 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25 – 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37 – 48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spread on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reset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6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Xiamen Working</w:t>
            </w: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Hefei Equipment</w:t>
            </w: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Loans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6,512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198"/>
        </w:trPr>
        <w:tc>
          <w:tcPr>
            <w:tcW w:w="1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6,610</w:t>
            </w:r>
          </w:p>
        </w:tc>
        <w:tc>
          <w:tcPr>
            <w:tcW w:w="34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17,961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19,059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4.30% - 4.45%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Quarterly</w:t>
            </w:r>
          </w:p>
        </w:tc>
        <w:tc>
          <w:tcPr>
            <w:tcW w:w="6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Monthly/Annually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December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July 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w w:val="99"/>
              </w:rPr>
              <w:t>Paid July 2022</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Varies as loans</w:t>
            </w:r>
          </w:p>
        </w:tc>
        <w:tc>
          <w:tcPr>
            <w:tcW w:w="6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Increases as loans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center"/>
              <w:ind w:right="320"/>
              <w:spacing w:after="0" w:line="252" w:lineRule="exact"/>
              <w:rPr>
                <w:sz w:val="20"/>
                <w:szCs w:val="20"/>
                <w:color w:val="auto"/>
              </w:rPr>
            </w:pPr>
            <w:r>
              <w:rPr>
                <w:rFonts w:ascii="Times New Roman" w:cs="Times New Roman" w:eastAsia="Times New Roman" w:hAnsi="Times New Roman"/>
                <w:sz w:val="18"/>
                <w:szCs w:val="18"/>
                <w:color w:val="auto"/>
                <w:w w:val="90"/>
              </w:rPr>
              <w:t>mature</w:t>
            </w:r>
            <w:r>
              <w:rPr>
                <w:rFonts w:ascii="Times New Roman" w:cs="Times New Roman" w:eastAsia="Times New Roman" w:hAnsi="Times New Roman"/>
                <w:sz w:val="29"/>
                <w:szCs w:val="29"/>
                <w:color w:val="auto"/>
                <w:w w:val="90"/>
                <w:vertAlign w:val="superscript"/>
              </w:rPr>
              <w:t>(1)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mature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Semiannual,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Semiannual, 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on individual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Monthly</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individual loans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loans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37,976</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70,705</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-2554605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-2263140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-1971675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-1663065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-1363345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-951865</wp:posOffset>
            </wp:positionV>
            <wp:extent cx="71323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-240030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380" w:space="720"/>
            <w:col w:w="7140"/>
          </w:cols>
          <w:pgMar w:left="320" w:top="116" w:right="339" w:bottom="0" w:gutter="0" w:footer="0" w:header="0"/>
          <w:type w:val="continuous"/>
        </w:sectPr>
      </w:pPr>
    </w:p>
    <w:p>
      <w:pPr>
        <w:ind w:left="820" w:right="40" w:hanging="326"/>
        <w:spacing w:after="0" w:line="195" w:lineRule="auto"/>
        <w:tabs>
          <w:tab w:leader="none" w:pos="8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three month period ended October 31, 2022, we repaid 81,000,000 RMB (approximately $11.5 million) that had contractual maturity dates ranging from December 2023 through June 2025.</w:t>
      </w:r>
    </w:p>
    <w:p>
      <w:pPr>
        <w:spacing w:after="0" w:line="1" w:lineRule="exact"/>
        <w:rPr>
          <w:rFonts w:ascii="Times New Roman" w:cs="Times New Roman" w:eastAsia="Times New Roman" w:hAnsi="Times New Roman"/>
          <w:sz w:val="30"/>
          <w:szCs w:val="30"/>
          <w:color w:val="auto"/>
          <w:vertAlign w:val="superscript"/>
        </w:rPr>
      </w:pPr>
    </w:p>
    <w:p>
      <w:pPr>
        <w:ind w:left="820" w:hanging="326"/>
        <w:spacing w:after="0" w:line="180" w:lineRule="auto"/>
        <w:tabs>
          <w:tab w:leader="none" w:pos="82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Note 8 for interest rates on lease liabilities, maturity dates, and periodic payment amounts.</w:t>
      </w:r>
    </w:p>
    <w:p>
      <w:pPr>
        <w:spacing w:after="0" w:line="2" w:lineRule="exact"/>
        <w:rPr>
          <w:rFonts w:ascii="Times New Roman" w:cs="Times New Roman" w:eastAsia="Times New Roman" w:hAnsi="Times New Roman"/>
          <w:sz w:val="25"/>
          <w:szCs w:val="25"/>
          <w:color w:val="auto"/>
          <w:vertAlign w:val="superscript"/>
        </w:rPr>
      </w:pPr>
    </w:p>
    <w:p>
      <w:pPr>
        <w:ind w:left="820" w:hanging="326"/>
        <w:spacing w:after="0" w:line="194" w:lineRule="auto"/>
        <w:tabs>
          <w:tab w:leader="none" w:pos="8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Xiamen Working</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Hefei Equipment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As of October 31, 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00" w:type="dxa"/>
            <w:vAlign w:val="bottom"/>
          </w:tcPr>
          <w:p>
            <w:pPr>
              <w:spacing w:after="0"/>
              <w:rPr>
                <w:sz w:val="21"/>
                <w:szCs w:val="21"/>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 Loans</w:t>
            </w:r>
          </w:p>
        </w:tc>
        <w:tc>
          <w:tcPr>
            <w:tcW w:w="260" w:type="dxa"/>
            <w:vAlign w:val="bottom"/>
          </w:tcPr>
          <w:p>
            <w:pPr>
              <w:spacing w:after="0"/>
              <w:rPr>
                <w:sz w:val="21"/>
                <w:szCs w:val="21"/>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6,512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17,961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33,448</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7,572</w:t>
            </w: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31,083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6"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1" w:lineRule="exact"/>
        <w:rPr>
          <w:sz w:val="20"/>
          <w:szCs w:val="20"/>
          <w:color w:val="auto"/>
        </w:rPr>
      </w:pPr>
    </w:p>
    <w:p>
      <w:pPr>
        <w:ind w:right="1260"/>
        <w:spacing w:after="0" w:line="282" w:lineRule="auto"/>
        <w:rPr>
          <w:sz w:val="20"/>
          <w:szCs w:val="20"/>
          <w:color w:val="auto"/>
        </w:rPr>
      </w:pPr>
      <w:r>
        <w:rPr>
          <w:rFonts w:ascii="Times New Roman" w:cs="Times New Roman" w:eastAsia="Times New Roman" w:hAnsi="Times New Roman"/>
          <w:sz w:val="18"/>
          <w:szCs w:val="18"/>
          <w:color w:val="auto"/>
        </w:rPr>
        <w:t>Basis spread on interest rates Interest rate reset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- 4.61%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67.75 - 76.00</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Quarterly</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Monthly/Annually</w:t>
            </w:r>
          </w:p>
        </w:tc>
        <w:tc>
          <w:tcPr>
            <w:tcW w:w="1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Annually</w:t>
            </w:r>
          </w:p>
        </w:tc>
        <w:tc>
          <w:tcPr>
            <w:tcW w:w="20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December</w:t>
            </w:r>
          </w:p>
        </w:tc>
        <w:tc>
          <w:tcPr>
            <w:tcW w:w="16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July 2023</w:t>
            </w:r>
          </w:p>
        </w:tc>
        <w:tc>
          <w:tcPr>
            <w:tcW w:w="15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12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2025</w:t>
            </w:r>
          </w:p>
        </w:tc>
        <w:tc>
          <w:tcPr>
            <w:tcW w:w="16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Varies as loans</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Increases as loans</w:t>
            </w:r>
          </w:p>
        </w:tc>
        <w:tc>
          <w:tcPr>
            <w:tcW w:w="15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89"/>
              </w:rPr>
              <w:t>Varies</w:t>
            </w:r>
            <w:r>
              <w:rPr>
                <w:rFonts w:ascii="Times New Roman" w:cs="Times New Roman" w:eastAsia="Times New Roman" w:hAnsi="Times New Roman"/>
                <w:sz w:val="29"/>
                <w:szCs w:val="29"/>
                <w:color w:val="auto"/>
                <w:w w:val="89"/>
                <w:vertAlign w:val="superscript"/>
              </w:rPr>
              <w:t>(1)</w:t>
            </w:r>
          </w:p>
        </w:tc>
        <w:tc>
          <w:tcPr>
            <w:tcW w:w="2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mature</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mature</w:t>
            </w:r>
          </w:p>
        </w:tc>
        <w:tc>
          <w:tcPr>
            <w:tcW w:w="1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Semiannual,</w:t>
            </w:r>
          </w:p>
        </w:tc>
        <w:tc>
          <w:tcPr>
            <w:tcW w:w="16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Semiannual, 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0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on individual</w:t>
            </w:r>
          </w:p>
        </w:tc>
        <w:tc>
          <w:tcPr>
            <w:tcW w:w="164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right"/>
              <w:ind w:right="296"/>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108"/>
        </w:trPr>
        <w:tc>
          <w:tcPr>
            <w:tcW w:w="1300" w:type="dxa"/>
            <w:vAlign w:val="bottom"/>
            <w:gridSpan w:val="2"/>
            <w:vMerge w:val="continue"/>
          </w:tcPr>
          <w:p>
            <w:pPr>
              <w:spacing w:after="0"/>
              <w:rPr>
                <w:sz w:val="9"/>
                <w:szCs w:val="9"/>
                <w:color w:val="auto"/>
              </w:rPr>
            </w:pPr>
          </w:p>
        </w:tc>
        <w:tc>
          <w:tcPr>
            <w:tcW w:w="16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individual loans</w:t>
            </w:r>
          </w:p>
        </w:tc>
        <w:tc>
          <w:tcPr>
            <w:tcW w:w="15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4"/>
              </w:rPr>
              <w:t>Semiannual</w:t>
            </w:r>
            <w:r>
              <w:rPr>
                <w:rFonts w:ascii="Times New Roman" w:cs="Times New Roman" w:eastAsia="Times New Roman" w:hAnsi="Times New Roman"/>
                <w:sz w:val="29"/>
                <w:szCs w:val="29"/>
                <w:color w:val="auto"/>
                <w:w w:val="94"/>
                <w:vertAlign w:val="superscript"/>
              </w:rPr>
              <w:t>(2)</w:t>
            </w: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12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loans</w:t>
            </w:r>
          </w:p>
        </w:tc>
        <w:tc>
          <w:tcPr>
            <w:tcW w:w="16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40,826</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35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90,096</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86,487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-1474470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-1200150</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-651510</wp:posOffset>
            </wp:positionV>
            <wp:extent cx="71323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360" w:space="720"/>
            <w:col w:w="7160"/>
          </w:cols>
          <w:pgMar w:left="320" w:top="116" w:right="339" w:bottom="0" w:gutter="0" w:footer="0" w:header="0"/>
          <w:type w:val="continuous"/>
        </w:sectPr>
      </w:pPr>
    </w:p>
    <w:p>
      <w:pPr>
        <w:ind w:left="660" w:right="520" w:hanging="328"/>
        <w:spacing w:after="0" w:line="195" w:lineRule="auto"/>
        <w:tabs>
          <w:tab w:leader="none" w:pos="66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First five loan repayments were scheduled to be for 7.5 percent of the approved 200 million RMB loan principal; last five installments were scheduled to be for 12.5 percent of the approved loan principal.</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0"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Semiannual repayments commence in March 2022; remaining outstanding amount paid in July 2022.</w:t>
      </w:r>
    </w:p>
    <w:p>
      <w:pPr>
        <w:spacing w:after="0" w:line="2" w:lineRule="exact"/>
        <w:rPr>
          <w:rFonts w:ascii="Times New Roman" w:cs="Times New Roman" w:eastAsia="Times New Roman" w:hAnsi="Times New Roman"/>
          <w:sz w:val="25"/>
          <w:szCs w:val="25"/>
          <w:color w:val="auto"/>
          <w:vertAlign w:val="superscript"/>
        </w:rPr>
      </w:pPr>
    </w:p>
    <w:p>
      <w:pPr>
        <w:ind w:left="660" w:hanging="328"/>
        <w:spacing w:after="0" w:line="194" w:lineRule="auto"/>
        <w:tabs>
          <w:tab w:leader="none" w:pos="6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Note 8 for interest rates on lease liabilities, maturity dates, and periodic payment amounts.</w:t>
      </w:r>
    </w:p>
    <w:p>
      <w:pPr>
        <w:spacing w:after="0" w:line="2"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Project Loans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2018, PDMCX obtained approval to borrow 345 million RMB from the Industrial and Commercial Bank of China. From November 2018 through July 2020, PDMCX entered into separate loan agreements (the “Project Loans”) for the entire approved amount and, as of October 31, 2022, 56.4 million RMB ($7.7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was eligible for reimbursement through incentives provided by the Xiamen Torch Hi-Tech Industrial Development Zone, which afforded for such reimbursements up to a prescribed limit and duration. The Project Loans are subject to covenants and provisions, certain of which relate to the assets pledged as security for the loan, all of which we were in compliance with at October 31, 2022.</w:t>
      </w:r>
    </w:p>
    <w:p>
      <w:pPr>
        <w:sectPr>
          <w:pgSz w:w="11900" w:h="16838" w:orient="portrait"/>
          <w:cols w:equalWidth="0" w:num="1">
            <w:col w:w="11240"/>
          </w:cols>
          <w:pgMar w:left="320" w:top="116" w:right="339" w:bottom="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Xiamen Working Capital Loans</w:t>
      </w:r>
    </w:p>
    <w:p>
      <w:pPr>
        <w:sectPr>
          <w:pgSz w:w="11900" w:h="16838" w:orient="portrait"/>
          <w:cols w:equalWidth="0" w:num="1">
            <w:col w:w="11240"/>
          </w:cols>
          <w:pgMar w:left="320" w:top="116" w:right="339" w:bottom="0" w:gutter="0" w:footer="0" w:header="0"/>
          <w:type w:val="continuous"/>
        </w:sectPr>
      </w:pPr>
    </w:p>
    <w:bookmarkStart w:id="55" w:name="page56"/>
    <w:bookmarkEnd w:id="55"/>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 Unless extended, this facility will expire in November 2023. As of October 31, 2022, PDMCX had 25.6 million RMB ($3.5 million) outstanding against the approval. The interest rates are variable, based on the RMB Loan Prime Rate of the National Interbank Funding Center. Interest incurred on the loans is eligible for reimbursement through incentives provided by the Xiamen Torch Hi-Tech Industrial Development Zone, which provide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Hefei Equipment Loan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October 2020, our Hefei, China, facility was approved to borrow 200 million RMB from the China Construction Bank Corporation. In July 2022, we repaid our entire outstanding balance of 120.7 million RMB ($18.0 million). This credit facility was subject to annual reviews and extension; the most recent extension expired in August 2022 and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repayment.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February 2021, under an MLA which we entered into effective October 2020, we entered into a five-year $7.2 million finance lease for a high-end inspection tool and, in December 2020, under an MLA which we entered into effective July 2019, we entered into a $35.5 million lease for a high-end lithography tool. See Note 8 for additional information on these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certain of the common stock we own in certain foreign subsidiaries. The Credit Agreement includes covenants around minimum interest coverage ratio, total leverage ratio, and minimum unrestricted cash balance (all of which we were in compliance with at October 31, 2022), and limits the amount of cash dividends, distributions, and redemptions we can pay on our common stock to an aggregate annual amount of $50 million. We had no outstanding borrowings against the Credit Agreement at October 31, 2022. The interest rate on the Credit Agreement (4.75% at October 31, 2022) is based on our total leverage ratio at LIBOR plus a spread, as defined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 for Debt</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Interest payments, including capitalized interest of $0.1 million in both 2021 and 2020, were $2.8 million in 2022, $3.8 million in 2021, and $2.6 million in 2020.</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years ended October 31, 2022, October 31, 2021, and October 31, 2020,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8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October 31, 2022</w:t>
            </w:r>
          </w:p>
        </w:tc>
        <w:tc>
          <w:tcPr>
            <w:tcW w:w="152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October 31, 2021</w:t>
            </w:r>
          </w:p>
        </w:tc>
        <w:tc>
          <w:tcPr>
            <w:tcW w:w="100" w:type="dxa"/>
            <w:vAlign w:val="bottom"/>
          </w:tcPr>
          <w:p>
            <w:pPr>
              <w:spacing w:after="0"/>
              <w:rPr>
                <w:sz w:val="15"/>
                <w:szCs w:val="15"/>
                <w:color w:val="auto"/>
              </w:rPr>
            </w:pPr>
          </w:p>
        </w:tc>
        <w:tc>
          <w:tcPr>
            <w:tcW w:w="1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484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1980" w:type="dxa"/>
            <w:vAlign w:val="bottom"/>
            <w:gridSpan w:val="3"/>
            <w:vMerge w:val="continue"/>
          </w:tcPr>
          <w:p>
            <w:pPr>
              <w:spacing w:after="0"/>
              <w:rPr>
                <w:sz w:val="24"/>
                <w:szCs w:val="24"/>
                <w:color w:val="auto"/>
              </w:rPr>
            </w:pPr>
          </w:p>
        </w:tc>
        <w:tc>
          <w:tcPr>
            <w:tcW w:w="4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162,973</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156,129</w:t>
            </w:r>
          </w:p>
        </w:tc>
        <w:tc>
          <w:tcPr>
            <w:tcW w:w="0" w:type="dxa"/>
            <w:vAlign w:val="bottom"/>
          </w:tcPr>
          <w:p>
            <w:pPr>
              <w:spacing w:after="0"/>
              <w:rPr>
                <w:sz w:val="1"/>
                <w:szCs w:val="1"/>
                <w:color w:val="auto"/>
              </w:rPr>
            </w:pPr>
          </w:p>
        </w:tc>
      </w:tr>
      <w:tr>
        <w:trPr>
          <w:trHeight w:val="223"/>
        </w:trPr>
        <w:tc>
          <w:tcPr>
            <w:tcW w:w="6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262,281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64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186,988</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155,670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139,558</w:t>
            </w:r>
          </w:p>
        </w:tc>
        <w:tc>
          <w:tcPr>
            <w:tcW w:w="0" w:type="dxa"/>
            <w:vAlign w:val="bottom"/>
          </w:tcPr>
          <w:p>
            <w:pPr>
              <w:spacing w:after="0"/>
              <w:rPr>
                <w:sz w:val="1"/>
                <w:szCs w:val="1"/>
                <w:color w:val="auto"/>
              </w:rPr>
            </w:pPr>
          </w:p>
        </w:tc>
      </w:tr>
      <w:tr>
        <w:trPr>
          <w:trHeight w:val="216"/>
        </w:trPr>
        <w:tc>
          <w:tcPr>
            <w:tcW w:w="682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51,723</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8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231,523</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203,590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191,281</w:t>
            </w:r>
          </w:p>
        </w:tc>
        <w:tc>
          <w:tcPr>
            <w:tcW w:w="0" w:type="dxa"/>
            <w:vAlign w:val="bottom"/>
          </w:tcPr>
          <w:p>
            <w:pPr>
              <w:spacing w:after="0"/>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84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5"/>
        </w:trPr>
        <w:tc>
          <w:tcPr>
            <w:tcW w:w="6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580" w:type="dxa"/>
            <w:vAlign w:val="bottom"/>
            <w:gridSpan w:val="4"/>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October 31, 2022</w:t>
            </w:r>
          </w:p>
        </w:tc>
        <w:tc>
          <w:tcPr>
            <w:tcW w:w="1560" w:type="dxa"/>
            <w:vAlign w:val="bottom"/>
            <w:gridSpan w:val="6"/>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October 31,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00" w:type="dxa"/>
            <w:vAlign w:val="bottom"/>
          </w:tcPr>
          <w:p>
            <w:pPr>
              <w:spacing w:after="0"/>
              <w:rPr>
                <w:sz w:val="15"/>
                <w:szCs w:val="15"/>
                <w:color w:val="auto"/>
              </w:rPr>
            </w:pPr>
          </w:p>
        </w:tc>
      </w:tr>
      <w:tr>
        <w:trPr>
          <w:trHeight w:val="28"/>
        </w:trPr>
        <w:tc>
          <w:tcPr>
            <w:tcW w:w="2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291,342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248,597</w:t>
            </w:r>
          </w:p>
        </w:tc>
        <w:tc>
          <w:tcPr>
            <w:tcW w:w="2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239,101</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212,598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79,374</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156,139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153,052</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104,949</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36,402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31,501</w:t>
            </w:r>
          </w:p>
        </w:tc>
      </w:tr>
      <w:tr>
        <w:trPr>
          <w:trHeight w:val="22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824,549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758,359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606,332</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535,071</w:t>
            </w:r>
          </w:p>
        </w:tc>
      </w:tr>
      <w:tr>
        <w:trPr>
          <w:trHeight w:val="22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66,190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57,429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74,620</w:t>
            </w: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663,761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and includes a cross-default provision for any agreement or instrument with an outstanding, committed balance greater than $5.0 million in which we are the indebted party.</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7" w:name="page58"/>
    <w:bookmarkEnd w:id="5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40" w:type="dxa"/>
            <w:vAlign w:val="bottom"/>
            <w:gridSpan w:val="5"/>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on operating and finance leases included in our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1"/>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5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ROU Assets – Finance Leases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r>
      <w:tr>
        <w:trPr>
          <w:trHeight w:val="216"/>
        </w:trPr>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5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r>
      <w:tr>
        <w:trPr>
          <w:trHeight w:val="223"/>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Finance Leases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60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r>
      <w:tr>
        <w:trPr>
          <w:trHeight w:val="223"/>
        </w:trPr>
        <w:tc>
          <w:tcPr>
            <w:tcW w:w="85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38,372</w:t>
            </w:r>
          </w:p>
        </w:tc>
      </w:tr>
      <w:tr>
        <w:trPr>
          <w:trHeight w:val="27"/>
        </w:trPr>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lease payments under noncancelable operating and finance leases as of October 31, 2022. Imputed interest represents the difference between undiscounted cash flows and discounted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73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31,083</w:t>
            </w: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lease costs for 2022, 2021, and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statistical information related to our operating and finance leases. The information presented is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30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19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 rate</w:t>
            </w:r>
          </w:p>
        </w:tc>
        <w:tc>
          <w:tcPr>
            <w:tcW w:w="16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Pr>
          <w:p>
            <w:pPr>
              <w:spacing w:after="0"/>
              <w:rPr>
                <w:sz w:val="21"/>
                <w:szCs w:val="2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3.1</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2.2</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leases on our 2022, 2021, and 2020 consolidated statements of cash flows, and provides leases-related non-cash information for those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finance lease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w:t>
      </w:r>
    </w:p>
    <w:p>
      <w:pPr>
        <w:sectPr>
          <w:pgSz w:w="11900" w:h="16877" w:orient="portrait"/>
          <w:cols w:equalWidth="0" w:num="1">
            <w:col w:w="11240"/>
          </w:cols>
          <w:pgMar w:left="320" w:top="114" w:right="339" w:bottom="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t>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most recent fiscal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4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2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r>
      <w:tr>
        <w:trPr>
          <w:trHeight w:val="21"/>
        </w:trPr>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5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2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r>
      <w:tr>
        <w:trPr>
          <w:trHeight w:val="20"/>
        </w:trPr>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7"/>
        </w:trPr>
        <w:tc>
          <w:tcPr>
            <w:tcW w:w="4560" w:type="dxa"/>
            <w:vAlign w:val="bottom"/>
          </w:tcPr>
          <w:p>
            <w:pPr>
              <w:spacing w:after="0"/>
              <w:rPr>
                <w:sz w:val="24"/>
                <w:szCs w:val="24"/>
                <w:color w:val="auto"/>
              </w:rPr>
            </w:pPr>
          </w:p>
        </w:tc>
        <w:tc>
          <w:tcPr>
            <w:tcW w:w="2760" w:type="dxa"/>
            <w:vAlign w:val="bottom"/>
          </w:tcPr>
          <w:p>
            <w:pPr>
              <w:jc w:val="right"/>
              <w:ind w:right="1534"/>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values of the awards are determined on the date of grant, based on the closing stock price of our common stock. A summary of restricted stock award activity during 2022 and the status of our restricted stock awards as of October 31, 2022,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at</w:t>
            </w:r>
          </w:p>
        </w:tc>
      </w:tr>
      <w:tr>
        <w:trPr>
          <w:trHeight w:val="245"/>
        </w:trPr>
        <w:tc>
          <w:tcPr>
            <w:tcW w:w="732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929,147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654,224</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(407,716)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(281,951)</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893,704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as of October 31, 2022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814,294</w:t>
            </w:r>
          </w:p>
        </w:tc>
        <w:tc>
          <w:tcPr>
            <w:tcW w:w="2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r>
      <w:tr>
        <w:trPr>
          <w:trHeight w:val="21"/>
        </w:trPr>
        <w:tc>
          <w:tcPr>
            <w:tcW w:w="8400" w:type="dxa"/>
            <w:vAlign w:val="bottom"/>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87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w w:val="99"/>
              </w:rPr>
              <w:t>The table below presents additional information on our restricted stock awards for the three most recent fiscal years.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654,224</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10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awards for which restrictions lapsed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893,704</w:t>
            </w:r>
          </w:p>
        </w:tc>
        <w:tc>
          <w:tcPr>
            <w:tcW w:w="100" w:type="dxa"/>
            <w:vAlign w:val="bottom"/>
          </w:tcPr>
          <w:p>
            <w:pPr>
              <w:spacing w:after="0"/>
              <w:rPr>
                <w:sz w:val="20"/>
                <w:szCs w:val="20"/>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929,147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812,316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a summary of stock options activity during 2022 and information on stock options outstanding at October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4480" w:type="dxa"/>
            <w:vAlign w:val="bottom"/>
          </w:tcPr>
          <w:p>
            <w:pPr>
              <w:spacing w:after="0"/>
              <w:rPr>
                <w:sz w:val="21"/>
                <w:szCs w:val="21"/>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40" w:type="dxa"/>
            <w:vAlign w:val="bottom"/>
          </w:tcPr>
          <w:p>
            <w:pPr>
              <w:spacing w:after="0"/>
              <w:rPr>
                <w:sz w:val="21"/>
                <w:szCs w:val="21"/>
                <w:color w:val="auto"/>
              </w:rPr>
            </w:pPr>
          </w:p>
        </w:tc>
      </w:t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1,173,103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9.23</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 forfeitures, and adjustments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614,001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3,980</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October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8"/>
                <w:szCs w:val="18"/>
                <w:color w:val="auto"/>
              </w:rPr>
            </w:pPr>
          </w:p>
        </w:tc>
        <w:tc>
          <w:tcPr>
            <w:tcW w:w="18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3.2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3,827</w:t>
            </w:r>
          </w:p>
        </w:tc>
      </w:tr>
      <w:tr>
        <w:trPr>
          <w:trHeight w:val="21"/>
        </w:trPr>
        <w:tc>
          <w:tcPr>
            <w:tcW w:w="4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October 31, 2022</w:t>
            </w: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5"/>
              </w:rPr>
              <w:t>6.2 years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table below presents additional information on stock option awards for the three most recent fiscal years.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Employee Stock Purchase Plan (“ESPP”) permits employees to purchase Photronics, Inc. common shares at 85% of the lower of the closing market price at the commencement or ending date of the Plan year (which is approximately one year from the commencement date). We recognize the ESPP expense over that same period. As of October 31, 2022, the maximum number of shares of common stock approved by our shareholders to be purchased under the ESPP was 1.85 million shares, of which approximately 1.6 million shares had been issued through October 31, 2022. As of October 31, 2022, less than 0.1 million shares, with unrecognized compensation cost of less than $0.1 million (all of which will be recognized in fiscal 2023) were subject to outstanding subscriptions.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EMPLOYEE RETIREMENT PLANS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maintain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$0.7 million, $0.8 million and $0.7 million in 2022, 2021, and 2020,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the income tax provisions consists of the following:</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(10,672)</w:t>
            </w: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121,453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72,273</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80" w:type="dxa"/>
            <w:vAlign w:val="bottom"/>
          </w:tcPr>
          <w:p>
            <w:pPr>
              <w:jc w:val="right"/>
              <w:ind w:right="153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our income tax provisions are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21,698</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income taxes calculated by applying the statutory U.S. federal income tax rate to our income tax provisions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at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rate differentials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including reserves, settlements and resolutions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holiday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21,258</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Photronics Effective Tax</w:t>
            </w: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45"/>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Period</w:t>
            </w:r>
          </w:p>
        </w:tc>
        <w:tc>
          <w:tcPr>
            <w:tcW w:w="200" w:type="dxa"/>
            <w:vAlign w:val="bottom"/>
          </w:tcPr>
          <w:p>
            <w:pPr>
              <w:spacing w:after="0"/>
              <w:rPr>
                <w:sz w:val="21"/>
                <w:szCs w:val="21"/>
                <w:color w:val="auto"/>
              </w:rPr>
            </w:pPr>
          </w:p>
        </w:tc>
        <w:tc>
          <w:tcPr>
            <w:tcW w:w="17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Tax Rates</w:t>
            </w:r>
          </w:p>
        </w:tc>
        <w:tc>
          <w:tcPr>
            <w:tcW w:w="4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Rates</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198"/>
        </w:trPr>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234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2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 in non-U.S. jurisdiction.</w:t>
            </w:r>
          </w:p>
        </w:tc>
      </w:tr>
      <w:tr>
        <w:trPr>
          <w:trHeight w:val="198"/>
        </w:trPr>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23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22.7%</w:t>
            </w:r>
          </w:p>
        </w:tc>
        <w:tc>
          <w:tcPr>
            <w:tcW w:w="43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Loss jurisdiction pre-tax losses not being benefited due to</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valuation allowances, non-U.S. pre-tax income being</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taxed at higher statutory rates in the non-U.S. jurisdictions,</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investment credits in foreign jurisdictions.</w:t>
            </w: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jurisdiction pre-tax losses not being benefited due to</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valuation allowances, non-U.S. pre-tax income being</w:t>
            </w:r>
          </w:p>
        </w:tc>
      </w:tr>
      <w:tr>
        <w:trPr>
          <w:trHeight w:val="234"/>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taxed at higher statutory rates in the non-U.S. jurisdictions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685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8"/>
          <w:szCs w:val="18"/>
          <w:color w:val="auto"/>
        </w:rPr>
        <w:t>(partially offset by the benefits of a tax holiday),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investment credits in foreign jurisdictions.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8"/>
              </w:rPr>
              <w:t>Table of Contents</w:t>
            </w:r>
          </w:p>
        </w:tc>
        <w:tc>
          <w:tcPr>
            <w:tcW w:w="76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net deferred income tax assets consist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Reserves not currently deductible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income tax liabilities</w:t>
            </w:r>
          </w:p>
        </w:tc>
        <w:tc>
          <w:tcPr>
            <w:tcW w:w="6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ROU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i w:val="1"/>
                <w:iCs w:val="1"/>
                <w:color w:val="auto"/>
              </w:rPr>
              <w:t>Deferred income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 valuation allowance for a portion of our deferred tax assets because we believe, based on the weight of all available evidence, that it is more likely than not that a portion of our deferred tax assets will expire prior to utilization. In 2022 the valuation allowance decreased as a result of management’s determination that tax benefits on deferred tax assets would more likely than not be realized and, therefore, decreased the valuation allowance to include these deferred tax assets.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Credits and Carryforwards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our available operating loss and credit carryforwards as of October 31, 2022, and their related expiration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Carryforwards</w:t>
            </w: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198"/>
        </w:trPr>
        <w:tc>
          <w:tcPr>
            <w:tcW w:w="3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7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980" w:type="dxa"/>
            <w:vAlign w:val="bottom"/>
            <w:vMerge w:val="continue"/>
            <w:shd w:val="clear" w:color="auto" w:fill="CCEEFF"/>
          </w:tcPr>
          <w:p>
            <w:pPr>
              <w:spacing w:after="0"/>
              <w:rPr>
                <w:sz w:val="10"/>
                <w:szCs w:val="10"/>
                <w:color w:val="auto"/>
              </w:rPr>
            </w:pPr>
          </w:p>
        </w:tc>
        <w:tc>
          <w:tcPr>
            <w:tcW w:w="4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95,822</w:t>
            </w:r>
          </w:p>
        </w:tc>
        <w:tc>
          <w:tcPr>
            <w:tcW w:w="12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108"/>
        </w:trPr>
        <w:tc>
          <w:tcPr>
            <w:tcW w:w="3980" w:type="dxa"/>
            <w:vAlign w:val="bottom"/>
            <w:shd w:val="clear" w:color="auto" w:fill="CCEEFF"/>
          </w:tcPr>
          <w:p>
            <w:pPr>
              <w:spacing w:after="0"/>
              <w:rPr>
                <w:sz w:val="9"/>
                <w:szCs w:val="9"/>
                <w:color w:val="auto"/>
              </w:rPr>
            </w:pPr>
          </w:p>
        </w:tc>
        <w:tc>
          <w:tcPr>
            <w:tcW w:w="48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w:t>
            </w: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170,198</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4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2024-2032</w:t>
            </w:r>
          </w:p>
        </w:tc>
        <w:tc>
          <w:tcPr>
            <w:tcW w:w="0" w:type="dxa"/>
            <w:vAlign w:val="bottom"/>
          </w:tcPr>
          <w:p>
            <w:pPr>
              <w:spacing w:after="0"/>
              <w:rPr>
                <w:sz w:val="1"/>
                <w:szCs w:val="1"/>
                <w:color w:val="auto"/>
              </w:rPr>
            </w:pPr>
          </w:p>
        </w:tc>
      </w:tr>
      <w:tr>
        <w:trPr>
          <w:trHeight w:val="571"/>
        </w:trPr>
        <w:tc>
          <w:tcPr>
            <w:tcW w:w="3980" w:type="dxa"/>
            <w:vAlign w:val="bottom"/>
          </w:tcPr>
          <w:p>
            <w:pPr>
              <w:spacing w:after="0"/>
              <w:rPr>
                <w:sz w:val="24"/>
                <w:szCs w:val="24"/>
                <w:color w:val="auto"/>
              </w:rPr>
            </w:pPr>
          </w:p>
        </w:tc>
        <w:tc>
          <w:tcPr>
            <w:tcW w:w="470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98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9"/>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Credit Carryforwards</w:t>
            </w:r>
          </w:p>
        </w:tc>
        <w:tc>
          <w:tcPr>
            <w:tcW w:w="16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5,576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2024-2042</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5,169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2023-2036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7"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include unrecognized tax benefits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and we include any applicable interest and penalties related to uncertain tax positions in our income tax provision.</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presented below. The amounts in the table include settlements of non-U.S. audits.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 before interest and penalties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(Reductions) additions of tax positions in prior years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current year tax positions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before interest and penalties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penalties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including interest and penalties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additional information on our uncertain tax positions, as of the balance sheet dates.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bl>
    <w:p>
      <w:pPr>
        <w:spacing w:after="0" w:line="1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$0.4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Payments and Refunds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income taxes paid and refunds of income taxes received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38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380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22,954</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4,258</w:t>
            </w:r>
          </w:p>
        </w:tc>
      </w:tr>
      <w:tr>
        <w:trPr>
          <w:trHeight w:val="768"/>
        </w:trPr>
        <w:tc>
          <w:tcPr>
            <w:tcW w:w="3800" w:type="dxa"/>
            <w:vAlign w:val="bottom"/>
          </w:tcPr>
          <w:p>
            <w:pPr>
              <w:spacing w:after="0"/>
              <w:rPr>
                <w:sz w:val="24"/>
                <w:szCs w:val="24"/>
                <w:color w:val="auto"/>
              </w:rPr>
            </w:pPr>
          </w:p>
        </w:tc>
        <w:tc>
          <w:tcPr>
            <w:tcW w:w="3520" w:type="dxa"/>
            <w:vAlign w:val="bottom"/>
          </w:tcPr>
          <w:p>
            <w:pPr>
              <w:jc w:val="right"/>
              <w:ind w:right="1536"/>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0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33,820</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60,559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64,866</w:t>
            </w: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61,999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65,470</w:t>
            </w:r>
          </w:p>
        </w:tc>
      </w:tr>
      <w:tr>
        <w:trPr>
          <w:trHeight w:val="209"/>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bl>
    <w:p>
      <w:pPr>
        <w:spacing w:after="0" w:line="17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1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Presented below are our unrecognized commitments, as of October 31, 2022. Included in these amounts are commitments of $148 million for the purchase of capital equipment. The amounts below do not include our commitments under our debt and lease arrangements, which are presented in Notes 6 and 8, respectively.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9"/>
        </w:trPr>
        <w:tc>
          <w:tcPr>
            <w:tcW w:w="1020" w:type="dxa"/>
            <w:vAlign w:val="bottom"/>
            <w:tcBorders>
              <w:top w:val="single" w:sz="8" w:color="0000EE"/>
            </w:tcBorders>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w:t>
            </w:r>
          </w:p>
        </w:tc>
      </w:tr>
      <w:tr>
        <w:trPr>
          <w:trHeight w:val="245"/>
        </w:trPr>
        <w:tc>
          <w:tcPr>
            <w:tcW w:w="9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124,653</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44,434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that arise in the ordinary course of business. We believe that our potential liability under such claims, individually and in the aggregate, will not have a material effect on our consolidated financial statements. As of October 31, 2022, and October 31, 2021, we were not involved in environmental litigation to which a government was a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CHANGES IN ACCUMULATED OTHER COMPREHENSIVE (LOSS) INCOME BY COMPONENT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years ended October 31, 2022, and October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100" w:type="dxa"/>
            <w:vAlign w:val="bottom"/>
          </w:tcPr>
          <w:p>
            <w:pPr>
              <w:spacing w:after="0"/>
              <w:rPr>
                <w:sz w:val="16"/>
                <w:szCs w:val="16"/>
                <w:color w:val="auto"/>
              </w:rPr>
            </w:pPr>
          </w:p>
        </w:tc>
        <w:tc>
          <w:tcPr>
            <w:tcW w:w="150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(150,786)</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31,759</w:t>
            </w:r>
          </w:p>
        </w:tc>
      </w:tr>
      <w:tr>
        <w:trPr>
          <w:trHeight w:val="216"/>
        </w:trPr>
        <w:tc>
          <w:tcPr>
            <w:tcW w:w="7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October 31, 2021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100" w:type="dxa"/>
            <w:vAlign w:val="bottom"/>
          </w:tcPr>
          <w:p>
            <w:pPr>
              <w:spacing w:after="0"/>
              <w:rPr>
                <w:sz w:val="16"/>
                <w:szCs w:val="16"/>
                <w:color w:val="auto"/>
              </w:rPr>
            </w:pPr>
          </w:p>
        </w:tc>
        <w:tc>
          <w:tcPr>
            <w:tcW w:w="150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17,958</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8,409</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7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425"/>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15 - RISKS AND CONCENTRATIONS</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principally consist of trade accounts receivable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credit losses based upon factors surrounding the credit risk of specific customers, historical trends, and other information.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our net accounts receivable attributable to customers that accounted for more than ten percent of the total balance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our revenue attributable to customers that accounted for more than ten percent of the total revenue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operate as a single operating segment as a manufacturer of photomasks, which are high precision quartz or glass plates containing microscopic images of electronic circuits for use in the fabrication of IC’s and FPDs.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balance sheet dates, our long-lived assets and net assets were, by geographic area, as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560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19"/>
                <w:szCs w:val="19"/>
                <w:color w:val="auto"/>
              </w:rPr>
            </w:pPr>
          </w:p>
        </w:tc>
      </w:tr>
      <w:tr>
        <w:trPr>
          <w:trHeight w:val="216"/>
        </w:trPr>
        <w:tc>
          <w:tcPr>
            <w:tcW w:w="5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257,855</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297,633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210,437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341,291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137,640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173,062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254,357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Other</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21,415</w:t>
            </w:r>
          </w:p>
        </w:tc>
      </w:tr>
      <w:tr>
        <w:trPr>
          <w:trHeight w:val="27"/>
        </w:trPr>
        <w:tc>
          <w:tcPr>
            <w:tcW w:w="56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1,062,089</w:t>
            </w:r>
          </w:p>
        </w:tc>
        <w:tc>
          <w:tcPr>
            <w:tcW w:w="14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715,559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1,000,562</w:t>
            </w:r>
          </w:p>
        </w:tc>
      </w:tr>
      <w:tr>
        <w:trPr>
          <w:trHeight w:val="20"/>
        </w:trPr>
        <w:tc>
          <w:tcPr>
            <w:tcW w:w="5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 is related to an individual in a position of authority at one of our largest customers. We recorded revenue from this customer of $119.0 million, $111.0 million and $96.4 million, in 2022, 2021, and 2020, respectively. As of October 31, 2022, and October 31, 2021, we had accounts receivable of $32.4 million and $34.5 million, respectively, from this customer.</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terms of the transaction described above was negotiated at arm’s length and were no less favorable to us than terms we could have obtained from unrelated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w:t>
      </w:r>
      <w:r>
        <w:rPr>
          <w:rFonts w:ascii="Times New Roman" w:cs="Times New Roman" w:eastAsia="Times New Roman" w:hAnsi="Times New Roman"/>
          <w:sz w:val="18"/>
          <w:szCs w:val="18"/>
          <w:i w:val="1"/>
          <w:iCs w:val="1"/>
          <w:color w:val="auto"/>
        </w:rPr>
        <w:t>Short-term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are Level 1 measurements. (Please refer to “Investments” within Note 1 for additional fair value information on our</w:t>
      </w:r>
      <w:r>
        <w:rPr>
          <w:rFonts w:ascii="Times New Roman" w:cs="Times New Roman" w:eastAsia="Times New Roman" w:hAnsi="Times New Roman"/>
          <w:sz w:val="18"/>
          <w:szCs w:val="18"/>
          <w:i w:val="1"/>
          <w:iCs w:val="1"/>
          <w:color w:val="auto"/>
        </w:rPr>
        <w:t xml:space="preserve"> Short-term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w:t>
      </w: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we did not have any assets or liabilities measured at fair value, on a recurring or a nonrecurring basis, at October 31, 2022,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SHARE REPURCHASE PROGRAMS</w:t>
      </w:r>
    </w:p>
    <w:p>
      <w:pPr>
        <w:spacing w:after="0" w:line="229" w:lineRule="exact"/>
        <w:rPr>
          <w:sz w:val="20"/>
          <w:szCs w:val="20"/>
          <w:color w:val="auto"/>
        </w:rPr>
      </w:pPr>
    </w:p>
    <w:p>
      <w:pPr>
        <w:ind w:right="220" w:firstLine="324"/>
        <w:spacing w:after="0" w:line="312" w:lineRule="auto"/>
        <w:rPr>
          <w:sz w:val="20"/>
          <w:szCs w:val="20"/>
          <w:color w:val="auto"/>
        </w:rPr>
      </w:pPr>
      <w:r>
        <w:rPr>
          <w:rFonts w:ascii="Times New Roman" w:cs="Times New Roman" w:eastAsia="Times New Roman" w:hAnsi="Times New Roman"/>
          <w:sz w:val="17"/>
          <w:szCs w:val="17"/>
          <w:color w:val="auto"/>
        </w:rPr>
        <w:t>In September 2020, the Company’s board of directors authorized the repurchase of up to $100 million of its common stock, pursuant to a repurchase plan under Rule 10b5-1 of the Securities Act. The company commenced repurchasing shares under this authorization on September 16, 2020.</w:t>
      </w:r>
    </w:p>
    <w:p>
      <w:pPr>
        <w:sectPr>
          <w:pgSz w:w="11900" w:h="16838" w:orient="portrait"/>
          <w:cols w:equalWidth="0" w:num="1">
            <w:col w:w="11240"/>
          </w:cols>
          <w:pgMar w:left="320" w:top="116" w:right="339" w:bottom="363"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363"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August 2019, the Company’s board of directors authorized the repurchase of up to $100 million of its common stock, pursuant to a repurchase plan under Rule 10b5-1 of the Securities Act. The share repurchase program commenced on September 25, 2019, and was terminated on March 20, 2020.</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All of the shares purchased under the above repurchase programs were retired prior to the end of the fiscal year in which they were purchased. As of October 31, 2022, $31.7 million was available under this authorization for the purchase of additional shares. The table below presents information on the repurchase programs for the three most recent fiscal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Purchases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Purchases</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3,194</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34,394</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SUBSIDIARY DIVIDENDS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2021 and 2020, PDMC, the Company’s majority owned subsidiary in Taiwan, paid dividends of which 49.99%, or approximately $9.6 million and $16.2 million, respectively, were paid to noncontrolling interests.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Adopted</w:t>
      </w:r>
    </w:p>
    <w:p>
      <w:pPr>
        <w:spacing w:after="0" w:line="22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simplifies the accounting for income taxes by removing certain exceptions to the general principles in ASC 740, Income Taxes. The amendments also improve consistent application of and simplify US GAAP for other areas of ASC 740 by clarifying and amending existing guidance. We adopted ASU 2019-12 on November 1, 2021; the adoption of this guidance did not have a material impact on our consolidated financial statements and accompanying disclosures.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April 2022, the FASB issued ASU 2022-02, “Financial Instruments – Credit Losses (Topic 326): Troubled Debt Restructurings and Vintage Disclosures”, which requires: 1) an entity to measure and record the lifetime expected credit losses of an asset that is within the scope of the Update upon origination or acquisition; as a result, credit losses from loans modified as troubled debt restructurings are to be incorporated into the allowance for credit losses and, 2) public business entities to disclose current-period gross writeoffs by year of origination for financing receivables and net investments in leases within the scope of Subtopic 326-20, “Financial Instruments—Credit Losses—Measured at Amortized Cost”. The guidance in this Update will be effective for Photronics in its first quarter of fiscal 2024. The amendments are to be applied prospectively, with the exception of the transition method related to the recognition and measurement of troubled debt restructurings for which an entity has the option to apply a modified retrospective transition method. We are currently evaluating the effect the adoption of this ASU may have on our disclosures.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from December 31, 2022. We do not expect the impact of this ASU to be material to our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October 31, 2022.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2022, our Chief Executive Officer and Chief Financial Officer concluded that, as of such date, our disclosure controls and procedures were effective at a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October 31, 2022, based on the criteria set forth by the COSO. Management, under the supervision and with the participation of our Chief Executive Officer and Chief Financial Officer, concluded that our internal control over financial reporting was effective as of October 31, 2022.</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audited the effectiveness of the Company’s internal control over financial reporting as of October 31, 2022, as stated in their report on page 68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2022 that have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Photronics, Inc. (the “Company”)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2022, based on criteria established in Internal Control — Integrated Framework (2013) issued by COSO.</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2022, of the Company, and our report dated December 23, 2022,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as to Directors required by Items 401, 405 and 407(c)(3)(d)(4) and (d)(5) of Regulation S-K is set forth in our 2023 Definitive Proxy Statement which will be filed with the Securities and Exchange Commission pursuant to Regulation 14A of the Exchange Act within 120 days after the end of the fiscal year covered by this Form 10-K under the caption “PROPOSAL 1 - ELECTION OF DIRECTORS,” “DELINQUENT SECTION 16(A) REPORTS” and in the third paragraph under the caption “MEETINGS AND COMMITTEES OF THE BOARD”, and is incorporated in this report by reference. The information as to Executive Officers is included in our 2023 Definitive Proxy Statement under the caption “EXECUTIVE OFFICERS” and is incorporated in this report by reference.</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executive vice president, general counsel of Photronics, Inc. at 15 Secor Road, Brookfield, Connecticut 06804.</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7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and paragraph (e)(4) and (e)(5) of Item 407 is set forth in our 2023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176" w:lineRule="exact"/>
        <w:rPr>
          <w:sz w:val="20"/>
          <w:szCs w:val="20"/>
          <w:color w:val="auto"/>
        </w:rPr>
      </w:pPr>
    </w:p>
    <w:p>
      <w:pPr>
        <w:ind w:left="980" w:right="36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in our 2023 Definitive Proxy Statement under the caption “EQUITY COMPENSATION PLAN INFORMATION” and is incorporated in this report by reference. The information required by Item 403 of Regulation S-K is set forth in our 2023 Definitive Proxy Statement under the caption “OWNERSHIP OF COMMON STOCK BY DIRECTORS, OFFICERS AND CERTAIN BENEFICIAL OWNERS”, and is incorporated in this report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Item 407(a) of Regulation S-K is set forth in our 2023 Definitive Proxy Statement under the captions “MEETINGS AND COMMITTEES OF THE BOARD” and “RELATED PARTY TRANSACTIONS”, respectively, and is incorporated in this report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9(e) of Rule 14a-101 of the Exchange Act is set forth in our 2023 Definitive Proxy Statement under the captions “Independent Registered Public Accounting Firm Fees” and “AUDIT COMMITTEE REPORT”, and is incorporated in this report by reference.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right="220" w:hanging="911"/>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in Part II, Item 8 of this Form 10-K for a list of financial statements filed as part of this report.</w:t>
      </w:r>
    </w:p>
    <w:p>
      <w:pPr>
        <w:spacing w:after="0" w:line="175" w:lineRule="exact"/>
        <w:rPr>
          <w:rFonts w:ascii="Times New Roman" w:cs="Times New Roman" w:eastAsia="Times New Roman" w:hAnsi="Times New Roman"/>
          <w:sz w:val="18"/>
          <w:szCs w:val="18"/>
          <w:color w:val="auto"/>
        </w:rPr>
      </w:pPr>
    </w:p>
    <w:p>
      <w:pPr>
        <w:ind w:left="1000" w:hanging="911"/>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631" w:lineRule="exact"/>
        <w:rPr>
          <w:sz w:val="20"/>
          <w:szCs w:val="20"/>
          <w:color w:val="auto"/>
        </w:rPr>
      </w:pPr>
    </w:p>
    <w:p>
      <w:pPr>
        <w:sectPr>
          <w:pgSz w:w="11900" w:h="16838" w:orient="portrait"/>
          <w:cols w:equalWidth="0" w:num="2">
            <w:col w:w="9920" w:space="720"/>
            <w:col w:w="600"/>
          </w:cols>
          <w:pgMar w:left="320" w:top="116" w:right="339" w:bottom="1440" w:gutter="0" w:footer="0" w:header="0"/>
          <w:type w:val="continuous"/>
        </w:sectPr>
      </w:pPr>
    </w:p>
    <w:p>
      <w:pPr>
        <w:spacing w:after="0" w:line="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All schedules are omitted because they are immaterial or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80"/>
        <w:spacing w:after="0"/>
        <w:tabs>
          <w:tab w:leader="none" w:pos="980" w:val="left"/>
          <w:tab w:leader="none" w:pos="110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Exhibit Index</w:t>
      </w:r>
      <w:r>
        <w:rPr>
          <w:sz w:val="20"/>
          <w:szCs w:val="20"/>
          <w:color w:val="auto"/>
        </w:rPr>
        <w:tab/>
      </w: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14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94"/>
        </w:trPr>
        <w:tc>
          <w:tcPr>
            <w:tcW w:w="1140" w:type="dxa"/>
            <w:vAlign w:val="bottom"/>
            <w:gridSpan w:val="8"/>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50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371"/>
              <w:spacing w:after="0" w:line="17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Incorporation as amended July 9, 1986, April 9, 1990,</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16, 1995, November 13, 1997, April 15, 2002 and June 20,</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371"/>
              <w:spacing w:after="0" w:line="176"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the Company dated as of</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9/13/2016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7, 2016</w:t>
            </w: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4"/>
            <w:shd w:val="clear" w:color="auto" w:fill="CCEEFF"/>
          </w:tcPr>
          <w:p>
            <w:pPr>
              <w:jc w:val="center"/>
              <w:ind w:left="371"/>
              <w:spacing w:after="0" w:line="176"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Description of Securities of the Company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gridSpan w:val="3"/>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371"/>
              <w:spacing w:after="0" w:line="17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Amendment with Respect to Series A Preferred Stock,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9/24/2019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dated September 24, 2019</w:t>
            </w: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The Company’s 1992 Employee Stock Purchase Plan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gridSpan w:val="3"/>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 March 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1/6/2017</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180" w:type="dxa"/>
            <w:vAlign w:val="bottom"/>
            <w:tcBorders>
              <w:top w:val="single" w:sz="8" w:color="CCEEFF"/>
            </w:tcBorders>
            <w:gridSpan w:val="2"/>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2004</w:t>
            </w:r>
            <w:r>
              <w:rPr>
                <w:rFonts w:ascii="Times New Roman" w:cs="Times New Roman" w:eastAsia="Times New Roman" w:hAnsi="Times New Roman"/>
                <w:sz w:val="29"/>
                <w:szCs w:val="29"/>
                <w:color w:val="auto"/>
                <w:vertAlign w:val="superscript"/>
              </w:rPr>
              <w:t>+</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 April 8,</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1/7/2016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180" w:type="dxa"/>
            <w:vAlign w:val="bottom"/>
            <w:tcBorders>
              <w:top w:val="single" w:sz="8" w:color="CCEEFF"/>
            </w:tcBorders>
            <w:gridSpan w:val="2"/>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2010</w:t>
            </w:r>
            <w:r>
              <w:rPr>
                <w:rFonts w:ascii="Times New Roman" w:cs="Times New Roman" w:eastAsia="Times New Roman" w:hAnsi="Times New Roman"/>
                <w:sz w:val="29"/>
                <w:szCs w:val="29"/>
                <w:color w:val="auto"/>
                <w:vertAlign w:val="superscript"/>
              </w:rPr>
              <w:t>+</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 March 28,</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180" w:type="dxa"/>
            <w:vAlign w:val="bottom"/>
            <w:tcBorders>
              <w:top w:val="single" w:sz="8" w:color="CCEEFF"/>
            </w:tcBorders>
            <w:gridSpan w:val="2"/>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2012</w:t>
            </w:r>
            <w:r>
              <w:rPr>
                <w:rFonts w:ascii="Times New Roman" w:cs="Times New Roman" w:eastAsia="Times New Roman" w:hAnsi="Times New Roman"/>
                <w:sz w:val="29"/>
                <w:szCs w:val="29"/>
                <w:color w:val="auto"/>
                <w:vertAlign w:val="superscript"/>
              </w:rPr>
              <w:t>+</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0" w:type="dxa"/>
            <w:vAlign w:val="bottom"/>
            <w:tcBorders>
              <w:bottom w:val="single" w:sz="8" w:color="CCEEFF"/>
            </w:tcBorders>
            <w:vMerge w:val="restart"/>
            <w:shd w:val="clear" w:color="auto" w:fill="CCEEFF"/>
          </w:tcPr>
          <w:p>
            <w:pPr>
              <w:spacing w:after="0"/>
              <w:rPr>
                <w:sz w:val="15"/>
                <w:szCs w:val="15"/>
                <w:color w:val="auto"/>
              </w:rPr>
            </w:pPr>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320" w:type="dxa"/>
            <w:vAlign w:val="bottom"/>
            <w:tcBorders>
              <w:bottom w:val="single" w:sz="8" w:color="0000EE"/>
            </w:tcBorders>
            <w:gridSpan w:val="3"/>
            <w:shd w:val="clear" w:color="auto" w:fill="CCEEFF"/>
          </w:tcPr>
          <w:p>
            <w:pPr>
              <w:jc w:val="center"/>
              <w:spacing w:after="0" w:line="15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240" w:type="dxa"/>
            <w:vAlign w:val="bottom"/>
            <w:tcBorders>
              <w:bottom w:val="single" w:sz="8" w:color="CCEEFF"/>
            </w:tcBorders>
            <w:vMerge w:val="restart"/>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CCEEFF"/>
            </w:tcBorders>
            <w:gridSpan w:val="3"/>
            <w:vMerge w:val="restart"/>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Amendment to the Employee Stock Plan as of December 18, 2019</w:t>
            </w:r>
            <w:r>
              <w:rPr>
                <w:rFonts w:ascii="Times New Roman" w:cs="Times New Roman" w:eastAsia="Times New Roman" w:hAnsi="Times New Roman"/>
                <w:sz w:val="29"/>
                <w:szCs w:val="29"/>
                <w:color w:val="auto"/>
                <w:vertAlign w:val="superscript"/>
              </w:rPr>
              <w:t>+</w:t>
            </w:r>
          </w:p>
        </w:tc>
        <w:tc>
          <w:tcPr>
            <w:tcW w:w="11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Borders>
              <w:bottom w:val="single" w:sz="8" w:color="CCEEFF"/>
            </w:tcBorders>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Borders>
              <w:bottom w:val="single" w:sz="8" w:color="CCEEFF"/>
            </w:tcBorders>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12/23/2019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80" w:type="dxa"/>
            <w:vAlign w:val="bottom"/>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320" w:type="dxa"/>
            <w:vAlign w:val="bottom"/>
            <w:gridSpan w:val="3"/>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300" w:type="dxa"/>
            <w:vAlign w:val="bottom"/>
            <w:gridSpan w:val="3"/>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0" w:type="dxa"/>
            <w:vAlign w:val="bottom"/>
            <w:tcBorders>
              <w:bottom w:val="single" w:sz="8" w:color="CCEEFF"/>
            </w:tcBorders>
            <w:vMerge w:val="restart"/>
            <w:shd w:val="clear" w:color="auto" w:fill="CCEEFF"/>
          </w:tcPr>
          <w:p>
            <w:pPr>
              <w:spacing w:after="0"/>
              <w:rPr>
                <w:sz w:val="15"/>
                <w:szCs w:val="15"/>
                <w:color w:val="auto"/>
              </w:rPr>
            </w:pPr>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320" w:type="dxa"/>
            <w:vAlign w:val="bottom"/>
            <w:tcBorders>
              <w:bottom w:val="single" w:sz="8" w:color="0000EE"/>
            </w:tcBorders>
            <w:gridSpan w:val="3"/>
            <w:shd w:val="clear" w:color="auto" w:fill="CCEEFF"/>
          </w:tcPr>
          <w:p>
            <w:pPr>
              <w:jc w:val="center"/>
              <w:spacing w:after="0" w:line="15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240" w:type="dxa"/>
            <w:vAlign w:val="bottom"/>
            <w:tcBorders>
              <w:bottom w:val="single" w:sz="8" w:color="CCEEFF"/>
            </w:tcBorders>
            <w:vMerge w:val="restart"/>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CCEEFF"/>
            </w:tcBorders>
            <w:gridSpan w:val="3"/>
            <w:vMerge w:val="restart"/>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2016 Equity Incentive Compensation Plan</w:t>
            </w:r>
            <w:r>
              <w:rPr>
                <w:rFonts w:ascii="Times New Roman" w:cs="Times New Roman" w:eastAsia="Times New Roman" w:hAnsi="Times New Roman"/>
                <w:sz w:val="29"/>
                <w:szCs w:val="29"/>
                <w:color w:val="auto"/>
                <w:vertAlign w:val="superscript"/>
              </w:rPr>
              <w:t>+</w:t>
            </w:r>
          </w:p>
        </w:tc>
        <w:tc>
          <w:tcPr>
            <w:tcW w:w="11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DEF 14A</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2/29/2016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80" w:type="dxa"/>
            <w:vAlign w:val="bottom"/>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320" w:type="dxa"/>
            <w:vAlign w:val="bottom"/>
            <w:gridSpan w:val="3"/>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300" w:type="dxa"/>
            <w:vAlign w:val="bottom"/>
            <w:gridSpan w:val="3"/>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CCEEFF"/>
            </w:tcBorders>
            <w:vMerge w:val="restart"/>
            <w:shd w:val="clear" w:color="auto" w:fill="CCEEFF"/>
          </w:tcPr>
          <w:p>
            <w:pPr>
              <w:spacing w:after="0"/>
              <w:rPr>
                <w:sz w:val="15"/>
                <w:szCs w:val="15"/>
                <w:color w:val="auto"/>
              </w:rPr>
            </w:pPr>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320" w:type="dxa"/>
            <w:vAlign w:val="bottom"/>
            <w:tcBorders>
              <w:bottom w:val="single" w:sz="8" w:color="0000EE"/>
            </w:tcBorders>
            <w:gridSpan w:val="3"/>
            <w:shd w:val="clear" w:color="auto" w:fill="CCEEFF"/>
          </w:tcPr>
          <w:p>
            <w:pPr>
              <w:jc w:val="center"/>
              <w:spacing w:after="0" w:line="15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240" w:type="dxa"/>
            <w:vAlign w:val="bottom"/>
            <w:tcBorders>
              <w:bottom w:val="single" w:sz="8" w:color="CCEEFF"/>
            </w:tcBorders>
            <w:vMerge w:val="restart"/>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CCEEFF"/>
            </w:tcBorders>
            <w:gridSpan w:val="3"/>
            <w:vMerge w:val="restart"/>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The Company’s 2007 Long-Term Equity Incentive Plan</w:t>
            </w:r>
            <w:r>
              <w:rPr>
                <w:rFonts w:ascii="Times New Roman" w:cs="Times New Roman" w:eastAsia="Times New Roman" w:hAnsi="Times New Roman"/>
                <w:sz w:val="29"/>
                <w:szCs w:val="29"/>
                <w:color w:val="auto"/>
                <w:vertAlign w:val="superscript"/>
              </w:rPr>
              <w:t>+</w:t>
            </w:r>
          </w:p>
        </w:tc>
        <w:tc>
          <w:tcPr>
            <w:tcW w:w="11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DEF 14A</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2/23/2007</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80" w:type="dxa"/>
            <w:vAlign w:val="bottom"/>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320" w:type="dxa"/>
            <w:vAlign w:val="bottom"/>
            <w:gridSpan w:val="3"/>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300" w:type="dxa"/>
            <w:vAlign w:val="bottom"/>
            <w:gridSpan w:val="3"/>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the 2007 Long-Term Equity Incentive Plan as of April</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40" w:type="dxa"/>
            <w:vAlign w:val="bottom"/>
            <w:gridSpan w:val="2"/>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1/7/2016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180" w:type="dxa"/>
            <w:vAlign w:val="bottom"/>
            <w:tcBorders>
              <w:top w:val="single" w:sz="8" w:color="CCEEFF"/>
            </w:tcBorders>
            <w:gridSpan w:val="2"/>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8, 2010</w:t>
            </w:r>
            <w:r>
              <w:rPr>
                <w:rFonts w:ascii="Times New Roman" w:cs="Times New Roman" w:eastAsia="Times New Roman" w:hAnsi="Times New Roman"/>
                <w:sz w:val="29"/>
                <w:szCs w:val="29"/>
                <w:color w:val="auto"/>
                <w:vertAlign w:val="superscript"/>
              </w:rPr>
              <w:t>+</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the 2007 Long Term Equity Incentive Plan as of April</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4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180" w:type="dxa"/>
            <w:vAlign w:val="bottom"/>
            <w:tcBorders>
              <w:top w:val="single" w:sz="8" w:color="CCEEFF"/>
            </w:tcBorders>
            <w:gridSpan w:val="2"/>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11, 2014</w:t>
            </w:r>
            <w:r>
              <w:rPr>
                <w:rFonts w:ascii="Times New Roman" w:cs="Times New Roman" w:eastAsia="Times New Roman" w:hAnsi="Times New Roman"/>
                <w:sz w:val="29"/>
                <w:szCs w:val="29"/>
                <w:color w:val="auto"/>
                <w:vertAlign w:val="superscript"/>
              </w:rPr>
              <w:t>+</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2011 Executive Incentive Compensation Plan effective as of</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40" w:type="dxa"/>
            <w:vAlign w:val="bottom"/>
            <w:gridSpan w:val="2"/>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300" w:type="dxa"/>
            <w:vAlign w:val="bottom"/>
            <w:tcBorders>
              <w:top w:val="single" w:sz="8" w:color="CCEEFF"/>
            </w:tcBorders>
            <w:gridSpan w:val="3"/>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November 1, 2010</w:t>
            </w:r>
            <w:r>
              <w:rPr>
                <w:rFonts w:ascii="Times New Roman" w:cs="Times New Roman" w:eastAsia="Times New Roman" w:hAnsi="Times New Roman"/>
                <w:sz w:val="29"/>
                <w:szCs w:val="29"/>
                <w:color w:val="auto"/>
                <w:vertAlign w:val="superscript"/>
              </w:rPr>
              <w:t>+</w:t>
            </w: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Joint Venture Framework Agreement dated November 20, 2013,</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300" w:type="dxa"/>
            <w:vAlign w:val="bottom"/>
            <w:tcBorders>
              <w:top w:val="single" w:sz="8" w:color="CCEEFF"/>
            </w:tcBorders>
            <w:gridSpan w:val="3"/>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between the Company and Dai Nippon Printing Co., Ltd.</w:t>
            </w:r>
            <w:r>
              <w:rPr>
                <w:rFonts w:ascii="Times New Roman" w:cs="Times New Roman" w:eastAsia="Times New Roman" w:hAnsi="Times New Roman"/>
                <w:sz w:val="29"/>
                <w:szCs w:val="29"/>
                <w:color w:val="auto"/>
                <w:vertAlign w:val="superscript"/>
              </w:rPr>
              <w:t>#</w:t>
            </w: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Joint Venture Operating Agreement dated November 20, 2013,</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300" w:type="dxa"/>
            <w:vAlign w:val="bottom"/>
            <w:tcBorders>
              <w:top w:val="single" w:sz="8" w:color="CCEEFF"/>
            </w:tcBorders>
            <w:gridSpan w:val="3"/>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between the Company and Dai Nippon Printing Co., Ltd.</w:t>
            </w:r>
            <w:r>
              <w:rPr>
                <w:rFonts w:ascii="Times New Roman" w:cs="Times New Roman" w:eastAsia="Times New Roman" w:hAnsi="Times New Roman"/>
                <w:sz w:val="29"/>
                <w:szCs w:val="29"/>
                <w:color w:val="auto"/>
                <w:vertAlign w:val="superscript"/>
              </w:rPr>
              <w:t>#</w:t>
            </w: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Outsourcing Agreement dated November 20, 2013, among the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Dai Nippon Printing Co., Ltd and Photronics</w:t>
            </w: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300" w:type="dxa"/>
            <w:vAlign w:val="bottom"/>
            <w:gridSpan w:val="3"/>
            <w:shd w:val="clear" w:color="auto" w:fill="CCEEFF"/>
          </w:tcPr>
          <w:p>
            <w:pPr>
              <w:ind w:left="120"/>
              <w:spacing w:after="0" w:line="271" w:lineRule="exact"/>
              <w:rPr>
                <w:sz w:val="20"/>
                <w:szCs w:val="20"/>
                <w:color w:val="auto"/>
              </w:rPr>
            </w:pPr>
            <w:r>
              <w:rPr>
                <w:rFonts w:ascii="Times New Roman" w:cs="Times New Roman" w:eastAsia="Times New Roman" w:hAnsi="Times New Roman"/>
                <w:sz w:val="18"/>
                <w:szCs w:val="18"/>
                <w:color w:val="auto"/>
              </w:rPr>
              <w:t>Semiconductor Mask Corporation</w:t>
            </w:r>
            <w:r>
              <w:rPr>
                <w:rFonts w:ascii="Times New Roman" w:cs="Times New Roman" w:eastAsia="Times New Roman" w:hAnsi="Times New Roman"/>
                <w:sz w:val="29"/>
                <w:szCs w:val="29"/>
                <w:color w:val="auto"/>
                <w:vertAlign w:val="superscript"/>
              </w:rPr>
              <w:t>#</w:t>
            </w: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License Agreement dated November 20, 2013, between the Company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300" w:type="dxa"/>
            <w:vAlign w:val="bottom"/>
            <w:tcBorders>
              <w:top w:val="single" w:sz="8" w:color="CCEEFF"/>
            </w:tcBorders>
            <w:gridSpan w:val="3"/>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and Photronics Semiconductor Mask Corporation</w:t>
            </w:r>
            <w:r>
              <w:rPr>
                <w:rFonts w:ascii="Times New Roman" w:cs="Times New Roman" w:eastAsia="Times New Roman" w:hAnsi="Times New Roman"/>
                <w:sz w:val="29"/>
                <w:szCs w:val="29"/>
                <w:color w:val="auto"/>
                <w:vertAlign w:val="superscript"/>
              </w:rPr>
              <w:t>#</w:t>
            </w: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License Agreement dated November 20, 2013, between Dai Nippon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300" w:type="dxa"/>
            <w:vAlign w:val="bottom"/>
            <w:tcBorders>
              <w:top w:val="single" w:sz="8" w:color="CCEEFF"/>
            </w:tcBorders>
            <w:gridSpan w:val="3"/>
            <w:shd w:val="clear" w:color="auto" w:fill="CCEEFF"/>
          </w:tcPr>
          <w:p>
            <w:pPr>
              <w:ind w:left="120"/>
              <w:spacing w:after="0" w:line="277" w:lineRule="exact"/>
              <w:rPr>
                <w:sz w:val="20"/>
                <w:szCs w:val="20"/>
                <w:color w:val="auto"/>
              </w:rPr>
            </w:pPr>
            <w:r>
              <w:rPr>
                <w:rFonts w:ascii="Times New Roman" w:cs="Times New Roman" w:eastAsia="Times New Roman" w:hAnsi="Times New Roman"/>
                <w:sz w:val="18"/>
                <w:szCs w:val="18"/>
                <w:color w:val="auto"/>
              </w:rPr>
              <w:t>Printing Co., Ltd and Photronics Semiconductor Mask Corporation</w:t>
            </w:r>
            <w:r>
              <w:rPr>
                <w:rFonts w:ascii="Times New Roman" w:cs="Times New Roman" w:eastAsia="Times New Roman" w:hAnsi="Times New Roman"/>
                <w:sz w:val="29"/>
                <w:szCs w:val="29"/>
                <w:color w:val="auto"/>
                <w:vertAlign w:val="superscript"/>
              </w:rPr>
              <w:t>#</w:t>
            </w: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120" w:type="dxa"/>
            <w:vAlign w:val="bottom"/>
            <w:shd w:val="clear" w:color="auto" w:fill="CCEEFF"/>
          </w:tcPr>
          <w:p>
            <w:pPr>
              <w:spacing w:after="0"/>
              <w:rPr>
                <w:sz w:val="15"/>
                <w:szCs w:val="15"/>
                <w:color w:val="auto"/>
              </w:rPr>
            </w:pPr>
          </w:p>
        </w:tc>
        <w:tc>
          <w:tcPr>
            <w:tcW w:w="53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Margin Agreement dated November 20, 2013, among the Company,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10-K/A</w:t>
            </w:r>
          </w:p>
        </w:tc>
        <w:tc>
          <w:tcPr>
            <w:tcW w:w="122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124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7/8/2015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Dai Nippon Printing Co., Ltd and Photronics Semiconductor Mask</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Corporation#</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60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606"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shd w:val="clear" w:color="auto" w:fill="CCEEFF"/>
          </w:tcPr>
          <w:p>
            <w:pPr>
              <w:jc w:val="right"/>
              <w:ind w:right="240"/>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Merger Agreement dated November 20, 2013, between Photronics</w:t>
            </w:r>
          </w:p>
        </w:tc>
        <w:tc>
          <w:tcPr>
            <w:tcW w:w="11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10-K/A</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10.25</w:t>
            </w:r>
          </w:p>
        </w:tc>
        <w:tc>
          <w:tcPr>
            <w:tcW w:w="250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w w:val="99"/>
              </w:rPr>
              <w:t>7/8/2015</w:t>
            </w:r>
          </w:p>
        </w:tc>
      </w:tr>
      <w:tr>
        <w:trPr>
          <w:trHeight w:val="222"/>
        </w:trPr>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Semiconductor Mask Corporation and DNP Photomask Technology</w:t>
            </w:r>
          </w:p>
        </w:tc>
        <w:tc>
          <w:tcPr>
            <w:tcW w:w="1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CCEEFF"/>
            </w:tcBorders>
            <w:shd w:val="clear" w:color="auto" w:fill="CCEEFF"/>
          </w:tcPr>
          <w:p>
            <w:pPr>
              <w:spacing w:after="0"/>
              <w:rPr>
                <w:sz w:val="19"/>
                <w:szCs w:val="19"/>
                <w:color w:val="auto"/>
              </w:rPr>
            </w:pPr>
          </w:p>
        </w:tc>
      </w:tr>
      <w:tr>
        <w:trPr>
          <w:trHeight w:val="271"/>
        </w:trPr>
        <w:tc>
          <w:tcPr>
            <w:tcW w:w="3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500" w:type="dxa"/>
            <w:vAlign w:val="bottom"/>
            <w:shd w:val="clear" w:color="auto" w:fill="CCEEFF"/>
          </w:tcPr>
          <w:p>
            <w:pPr>
              <w:ind w:left="240"/>
              <w:spacing w:after="0" w:line="271" w:lineRule="exact"/>
              <w:rPr>
                <w:sz w:val="20"/>
                <w:szCs w:val="20"/>
                <w:color w:val="auto"/>
              </w:rPr>
            </w:pPr>
            <w:r>
              <w:rPr>
                <w:rFonts w:ascii="Times New Roman" w:cs="Times New Roman" w:eastAsia="Times New Roman" w:hAnsi="Times New Roman"/>
                <w:sz w:val="18"/>
                <w:szCs w:val="18"/>
                <w:color w:val="auto"/>
              </w:rPr>
              <w:t>Taiwan Co., Ltd.</w:t>
            </w:r>
            <w:r>
              <w:rPr>
                <w:rFonts w:ascii="Times New Roman" w:cs="Times New Roman" w:eastAsia="Times New Roman" w:hAnsi="Times New Roman"/>
                <w:sz w:val="29"/>
                <w:szCs w:val="29"/>
                <w:color w:val="auto"/>
                <w:vertAlign w:val="superscript"/>
              </w:rPr>
              <w:t>#</w:t>
            </w:r>
          </w:p>
        </w:tc>
        <w:tc>
          <w:tcPr>
            <w:tcW w:w="1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22"/>
        </w:trPr>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Christopher J. Progler, Vice President, Chief Technology Officer</w:t>
            </w:r>
          </w:p>
        </w:tc>
        <w:tc>
          <w:tcPr>
            <w:tcW w:w="1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CCEEFF"/>
            </w:tcBorders>
            <w:shd w:val="clear" w:color="auto" w:fill="CCEEFF"/>
          </w:tcPr>
          <w:p>
            <w:pPr>
              <w:spacing w:after="0"/>
              <w:rPr>
                <w:sz w:val="19"/>
                <w:szCs w:val="19"/>
                <w:color w:val="auto"/>
              </w:rPr>
            </w:pPr>
          </w:p>
        </w:tc>
      </w:tr>
      <w:tr>
        <w:trPr>
          <w:trHeight w:val="271"/>
        </w:trPr>
        <w:tc>
          <w:tcPr>
            <w:tcW w:w="3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500" w:type="dxa"/>
            <w:vAlign w:val="bottom"/>
            <w:shd w:val="clear" w:color="auto" w:fill="CCEEFF"/>
          </w:tcPr>
          <w:p>
            <w:pPr>
              <w:ind w:left="240"/>
              <w:spacing w:after="0" w:line="271" w:lineRule="exact"/>
              <w:rPr>
                <w:sz w:val="20"/>
                <w:szCs w:val="20"/>
                <w:color w:val="auto"/>
              </w:rPr>
            </w:pPr>
            <w:r>
              <w:rPr>
                <w:rFonts w:ascii="Times New Roman" w:cs="Times New Roman" w:eastAsia="Times New Roman" w:hAnsi="Times New Roman"/>
                <w:sz w:val="18"/>
                <w:szCs w:val="18"/>
                <w:color w:val="auto"/>
              </w:rPr>
              <w:t>dated September 10, 2007</w:t>
            </w:r>
            <w:r>
              <w:rPr>
                <w:rFonts w:ascii="Times New Roman" w:cs="Times New Roman" w:eastAsia="Times New Roman" w:hAnsi="Times New Roman"/>
                <w:sz w:val="29"/>
                <w:szCs w:val="29"/>
                <w:color w:val="auto"/>
                <w:vertAlign w:val="superscript"/>
              </w:rPr>
              <w:t>+</w:t>
            </w:r>
          </w:p>
        </w:tc>
        <w:tc>
          <w:tcPr>
            <w:tcW w:w="1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2500" w:type="dxa"/>
            <w:vAlign w:val="bottom"/>
            <w:shd w:val="clear" w:color="auto" w:fill="CCEEFF"/>
          </w:tcPr>
          <w:p>
            <w:pPr>
              <w:jc w:val="center"/>
              <w:ind w:right="970"/>
              <w:spacing w:after="0" w:line="176" w:lineRule="exact"/>
              <w:rPr>
                <w:sz w:val="20"/>
                <w:szCs w:val="20"/>
                <w:color w:val="auto"/>
              </w:rPr>
            </w:pPr>
            <w:r>
              <w:rPr>
                <w:rFonts w:ascii="Times New Roman" w:cs="Times New Roman" w:eastAsia="Times New Roman" w:hAnsi="Times New Roman"/>
                <w:sz w:val="18"/>
                <w:szCs w:val="18"/>
                <w:color w:val="auto"/>
                <w:w w:val="99"/>
              </w:rPr>
              <w:t>1/7/2016</w:t>
            </w: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5500" w:type="dxa"/>
            <w:vAlign w:val="bottom"/>
            <w:tcBorders>
              <w:top w:val="single" w:sz="8" w:color="CCEEFF"/>
            </w:tcBorders>
            <w:shd w:val="clear" w:color="auto" w:fill="CCEEFF"/>
          </w:tcPr>
          <w:p>
            <w:pPr>
              <w:ind w:left="240"/>
              <w:spacing w:after="0" w:line="277" w:lineRule="exact"/>
              <w:rPr>
                <w:sz w:val="20"/>
                <w:szCs w:val="20"/>
                <w:color w:val="auto"/>
              </w:rPr>
            </w:pPr>
            <w:r>
              <w:rPr>
                <w:rFonts w:ascii="Times New Roman" w:cs="Times New Roman" w:eastAsia="Times New Roman" w:hAnsi="Times New Roman"/>
                <w:sz w:val="18"/>
                <w:szCs w:val="18"/>
                <w:color w:val="auto"/>
              </w:rPr>
              <w:t>Richelle E. Burr dated May 21, 2010</w:t>
            </w:r>
            <w:r>
              <w:rPr>
                <w:rFonts w:ascii="Times New Roman" w:cs="Times New Roman" w:eastAsia="Times New Roman" w:hAnsi="Times New Roman"/>
                <w:sz w:val="29"/>
                <w:szCs w:val="29"/>
                <w:color w:val="auto"/>
                <w:vertAlign w:val="superscript"/>
              </w:rPr>
              <w:t>+</w:t>
            </w:r>
          </w:p>
        </w:tc>
        <w:tc>
          <w:tcPr>
            <w:tcW w:w="114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500" w:type="dxa"/>
            <w:vAlign w:val="bottom"/>
            <w:tcBorders>
              <w:top w:val="single" w:sz="8" w:color="CCEEFF"/>
            </w:tcBorders>
            <w:shd w:val="clear" w:color="auto" w:fill="CCEEFF"/>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 John P.</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5500" w:type="dxa"/>
            <w:vAlign w:val="bottom"/>
            <w:tcBorders>
              <w:top w:val="single" w:sz="8" w:color="CCEEFF"/>
            </w:tcBorders>
            <w:shd w:val="clear" w:color="auto" w:fill="CCEEFF"/>
          </w:tcPr>
          <w:p>
            <w:pPr>
              <w:ind w:left="240"/>
              <w:spacing w:after="0" w:line="277" w:lineRule="exact"/>
              <w:rPr>
                <w:sz w:val="20"/>
                <w:szCs w:val="20"/>
                <w:color w:val="auto"/>
              </w:rPr>
            </w:pPr>
            <w:r>
              <w:rPr>
                <w:rFonts w:ascii="Times New Roman" w:cs="Times New Roman" w:eastAsia="Times New Roman" w:hAnsi="Times New Roman"/>
                <w:sz w:val="18"/>
                <w:szCs w:val="18"/>
                <w:color w:val="auto"/>
              </w:rPr>
              <w:t>Jordan dated September 5, 2017</w:t>
            </w:r>
            <w:r>
              <w:rPr>
                <w:rFonts w:ascii="Times New Roman" w:cs="Times New Roman" w:eastAsia="Times New Roman" w:hAnsi="Times New Roman"/>
                <w:sz w:val="29"/>
                <w:szCs w:val="29"/>
                <w:color w:val="auto"/>
                <w:vertAlign w:val="superscript"/>
              </w:rPr>
              <w:t>+</w:t>
            </w:r>
          </w:p>
        </w:tc>
        <w:tc>
          <w:tcPr>
            <w:tcW w:w="114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500" w:type="dxa"/>
            <w:vAlign w:val="bottom"/>
            <w:tcBorders>
              <w:top w:val="single" w:sz="8" w:color="CCEEFF"/>
            </w:tcBorders>
            <w:shd w:val="clear" w:color="auto" w:fill="CCEEFF"/>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Employment Agreement dated March 9, 2020, between Photronics</w:t>
            </w:r>
          </w:p>
        </w:tc>
        <w:tc>
          <w:tcPr>
            <w:tcW w:w="11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3/11/2020</w:t>
            </w: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Dai Nippon Mask Corporation, Photronics and Frank Lee</w:t>
            </w:r>
          </w:p>
        </w:tc>
        <w:tc>
          <w:tcPr>
            <w:tcW w:w="11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Form of Amendment to Executive Employment Agreement dated</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16, 2012+</w:t>
            </w:r>
          </w:p>
        </w:tc>
        <w:tc>
          <w:tcPr>
            <w:tcW w:w="11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Fourth Amended and Restated Credit Agreement dated as of</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27, 2018, among Photronics, Inc. the Foreign Subsidiary</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Borrower Party Thereto, the Lender Party Thereto, JPMorgan Chase</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 N.A. as Administrative and Collateral Agent and Bank of</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America, N.A. as syndication agent</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24</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Third Amended and Restated Security Agreement entered into as of</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27, 2018, by and among Photronics, Inc., the subsidiaries</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the Company and JPMorgan Chase Bank N.A</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Asset Loan Agreement between Photronics DNP Mask</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Corporation Xiamen and Industrial and Commercial Bank China</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Limited Xiamen Xiang’an Branch</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26</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Working Capital Loan Agreement between Industrial and</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Bureau China Limited Xiamen Xiang’an Branch and</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Photronics DNP Mask Corporation Xiamen effective as of November</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7, 2018</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27</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Investment Agreement between Xiamen Torch Hi-Tech Industrial</w:t>
            </w:r>
          </w:p>
        </w:tc>
        <w:tc>
          <w:tcPr>
            <w:tcW w:w="11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2500" w:type="dxa"/>
            <w:vAlign w:val="bottom"/>
            <w:shd w:val="clear" w:color="auto" w:fill="CCEEFF"/>
          </w:tcPr>
          <w:p>
            <w:pPr>
              <w:jc w:val="center"/>
              <w:ind w:right="970"/>
              <w:spacing w:after="0" w:line="176" w:lineRule="exact"/>
              <w:rPr>
                <w:sz w:val="20"/>
                <w:szCs w:val="20"/>
                <w:color w:val="auto"/>
              </w:rPr>
            </w:pPr>
            <w:r>
              <w:rPr>
                <w:rFonts w:ascii="Times New Roman" w:cs="Times New Roman" w:eastAsia="Times New Roman" w:hAnsi="Times New Roman"/>
                <w:sz w:val="18"/>
                <w:szCs w:val="18"/>
                <w:color w:val="auto"/>
                <w:w w:val="99"/>
              </w:rPr>
              <w:t>9/2/2016</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Development Zone Management Committee and Photronics</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 Pte. Ltd.</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28</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Amendment No. 1 to the Investment Agreement between Xiamen</w:t>
            </w:r>
          </w:p>
        </w:tc>
        <w:tc>
          <w:tcPr>
            <w:tcW w:w="11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Torch Hi-Tech Industrial Development Zone Management Committee</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Photronics Singapore Pte, Ltd. #</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29</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Amendment No. 2 to the Investment Agreement between Xiamen</w:t>
            </w:r>
          </w:p>
        </w:tc>
        <w:tc>
          <w:tcPr>
            <w:tcW w:w="11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3/10/2022</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Torch Hi-Tech Industrial Development Zone, People’s Government of</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Xiang’an Xiamen, Photronics Singapore Pte. Ltd., DNP Asia Pacific</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Pte and Xiamen American Japan Photronics Mask Co., Ltd. #</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jc w:val="right"/>
              <w:ind w:right="240"/>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30</w:t>
              </w:r>
            </w:hyperlink>
          </w:p>
        </w:tc>
        <w:tc>
          <w:tcPr>
            <w:tcW w:w="5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Amendment No. 3 to the Investment Agreement between Xiamen</w:t>
            </w:r>
          </w:p>
        </w:tc>
        <w:tc>
          <w:tcPr>
            <w:tcW w:w="11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3/10/2022</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Torch Hi-Tech Industrial Development Zone, People’s Government of</w:t>
            </w:r>
          </w:p>
        </w:tc>
        <w:tc>
          <w:tcPr>
            <w:tcW w:w="1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Xiang’an Xiamen, Photronics Singapore Pte. Ltd., DNP Asia Pacific</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Pte and Xiamen American Japan Photronics Mask Co., Ltd. #</w:t>
            </w: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570"/>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73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4"/>
        </w:trPr>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7"/>
            <w:shd w:val="clear" w:color="auto" w:fill="CCEEFF"/>
          </w:tcPr>
          <w:p>
            <w:pPr>
              <w:jc w:val="center"/>
              <w:ind w:left="50"/>
              <w:spacing w:after="0"/>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Agreement dated May 16, 2017 among Dai Nippon</w:t>
            </w:r>
          </w:p>
        </w:tc>
        <w:tc>
          <w:tcPr>
            <w:tcW w:w="11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2500" w:type="dxa"/>
            <w:vAlign w:val="bottom"/>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w w:val="99"/>
              </w:rPr>
              <w:t>12/19/2017</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Printing Co., Ltd. (“DNP), DNP Asia Pacific Pte. Ltd. (“DNP Asia</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Pacific”), Photronics, Inc. (“Photronics”), Photronics Singapore Pte.</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Ltd., (“Photronics Singapore”), and Xiamen American Japan</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Photronics Mask Co., Ltd. (“PDMCX”)#</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Joint Venture Operating Agreement dated May 16, 2017, among</w:t>
            </w:r>
          </w:p>
        </w:tc>
        <w:tc>
          <w:tcPr>
            <w:tcW w:w="11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12/19/2017</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Photronics, Photronics Singapore, DNP, and DNP Asia Pacific#</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Outsourcing Agreement dated May 16, 2017, among Photronics,</w:t>
            </w:r>
          </w:p>
        </w:tc>
        <w:tc>
          <w:tcPr>
            <w:tcW w:w="11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12/19/2017</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DNP, Photronics DNP Photomask Corporation (“PDMC”) and</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PDMCX#</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34</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Amended and Restated License Agreement dated May 16, 2017</w:t>
            </w:r>
          </w:p>
        </w:tc>
        <w:tc>
          <w:tcPr>
            <w:tcW w:w="11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12/19/2017</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between DNP and PDMC#</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Investment Cooperation Agreement between Hefei State Hi-tech</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10.42</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Industry Development Zone and Photronics UK, Ltd.</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36</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Master Lease Agreement dated October 12, 2020, between TD</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10.38</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1/15/2021</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Finance and the Company</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37</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Master Lease Agreement Dated September 5, 2019 between Bank of</w:t>
            </w:r>
          </w:p>
        </w:tc>
        <w:tc>
          <w:tcPr>
            <w:tcW w:w="11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2500" w:type="dxa"/>
            <w:vAlign w:val="bottom"/>
            <w:shd w:val="clear" w:color="auto" w:fill="CCEEFF"/>
          </w:tcPr>
          <w:p>
            <w:pPr>
              <w:jc w:val="center"/>
              <w:ind w:right="970"/>
              <w:spacing w:after="0" w:line="176" w:lineRule="exact"/>
              <w:rPr>
                <w:sz w:val="20"/>
                <w:szCs w:val="20"/>
                <w:color w:val="auto"/>
              </w:rPr>
            </w:pPr>
            <w:r>
              <w:rPr>
                <w:rFonts w:ascii="Times New Roman" w:cs="Times New Roman" w:eastAsia="Times New Roman" w:hAnsi="Times New Roman"/>
                <w:sz w:val="18"/>
                <w:szCs w:val="18"/>
                <w:color w:val="auto"/>
                <w:w w:val="99"/>
              </w:rPr>
              <w:t>9/5/2019</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America and the Company</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38</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Asset Loan Contract dated October 1, 2020, between Hefei</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10.39</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1/15/2021</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Photronics Mask Corporation and China Construction Bank</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Corporation</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0"/>
              <w:spacing w:after="0" w:line="17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39</w:t>
              </w:r>
            </w:hyperlink>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Maximum Mortgage Contract dated October 1, 2020 between</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10.40</w:t>
            </w:r>
          </w:p>
        </w:tc>
        <w:tc>
          <w:tcPr>
            <w:tcW w:w="2500" w:type="dxa"/>
            <w:vAlign w:val="bottom"/>
            <w:shd w:val="clear" w:color="auto" w:fill="CCEEFF"/>
          </w:tcPr>
          <w:p>
            <w:pPr>
              <w:jc w:val="center"/>
              <w:ind w:right="990"/>
              <w:spacing w:after="0" w:line="176" w:lineRule="exact"/>
              <w:rPr>
                <w:sz w:val="20"/>
                <w:szCs w:val="20"/>
                <w:color w:val="auto"/>
              </w:rPr>
            </w:pPr>
            <w:r>
              <w:rPr>
                <w:rFonts w:ascii="Times New Roman" w:cs="Times New Roman" w:eastAsia="Times New Roman" w:hAnsi="Times New Roman"/>
                <w:sz w:val="18"/>
                <w:szCs w:val="18"/>
                <w:color w:val="auto"/>
              </w:rPr>
              <w:t>1/15/2021</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Photronics Mask Corporation Hefei and China Construction Bank</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Corporation Hefei Shusshan Branch</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96"/>
        </w:trPr>
        <w:tc>
          <w:tcPr>
            <w:tcW w:w="660" w:type="dxa"/>
            <w:vAlign w:val="bottom"/>
            <w:gridSpan w:val="4"/>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List of Subsidiaries of the Company</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75"/>
        </w:trPr>
        <w:tc>
          <w:tcPr>
            <w:tcW w:w="780" w:type="dxa"/>
            <w:vAlign w:val="bottom"/>
            <w:gridSpan w:val="6"/>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40" w:type="dxa"/>
            <w:vAlign w:val="bottom"/>
            <w:shd w:val="clear" w:color="auto" w:fill="CCEEFF"/>
          </w:tcPr>
          <w:p>
            <w:pPr>
              <w:spacing w:after="0"/>
              <w:rPr>
                <w:sz w:val="15"/>
                <w:szCs w:val="15"/>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Consent of Deloitte &amp; Touche LLP, Independent Registered Public</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Accounting Firm</w:t>
            </w:r>
          </w:p>
        </w:tc>
        <w:tc>
          <w:tcPr>
            <w:tcW w:w="11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50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40" w:type="dxa"/>
            <w:vAlign w:val="bottom"/>
            <w:shd w:val="clear" w:color="auto" w:fill="CCEEFF"/>
          </w:tcPr>
          <w:p>
            <w:pPr>
              <w:spacing w:after="0"/>
              <w:rPr>
                <w:sz w:val="15"/>
                <w:szCs w:val="15"/>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14(a)/15d-14(a) of the Exchange Act, as adopted pursuant to Section</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40" w:type="dxa"/>
            <w:vAlign w:val="bottom"/>
            <w:shd w:val="clear" w:color="auto" w:fill="CCEEFF"/>
          </w:tcPr>
          <w:p>
            <w:pPr>
              <w:spacing w:after="0"/>
              <w:rPr>
                <w:sz w:val="15"/>
                <w:szCs w:val="15"/>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14(a)/15d-14(a) of the Exchange Act, as adopted pursuant to Section</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40" w:type="dxa"/>
            <w:vAlign w:val="bottom"/>
            <w:shd w:val="clear" w:color="auto" w:fill="CCEEFF"/>
          </w:tcPr>
          <w:p>
            <w:pPr>
              <w:spacing w:after="0"/>
              <w:rPr>
                <w:sz w:val="15"/>
                <w:szCs w:val="15"/>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6"/>
        </w:trPr>
        <w:tc>
          <w:tcPr>
            <w:tcW w:w="780" w:type="dxa"/>
            <w:vAlign w:val="bottom"/>
            <w:gridSpan w:val="6"/>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40" w:type="dxa"/>
            <w:vAlign w:val="bottom"/>
            <w:shd w:val="clear" w:color="auto" w:fill="CCEEFF"/>
          </w:tcPr>
          <w:p>
            <w:pPr>
              <w:spacing w:after="0"/>
              <w:rPr>
                <w:sz w:val="15"/>
                <w:szCs w:val="15"/>
                <w:color w:val="auto"/>
              </w:rPr>
            </w:pPr>
          </w:p>
        </w:tc>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5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2002</w:t>
            </w: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570"/>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74</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4"/>
        </w:trPr>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9"/>
              </w:rPr>
              <w:t>101.INS</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shd w:val="clear" w:color="auto" w:fill="CCEEFF"/>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10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4"/>
        </w:trPr>
        <w:tc>
          <w:tcPr>
            <w:tcW w:w="1080" w:type="dxa"/>
            <w:vAlign w:val="bottom"/>
            <w:shd w:val="clear" w:color="auto" w:fill="CCEEFF"/>
          </w:tcPr>
          <w:p>
            <w:pPr>
              <w:spacing w:after="0"/>
              <w:rPr>
                <w:sz w:val="20"/>
                <w:szCs w:val="20"/>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10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101.SCH</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rPr>
              <w:t>101.CAL</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rPr>
              <w:t>101.DEF</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rPr>
              <w:t>101.LAB</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20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9"/>
              </w:rPr>
              <w:t>101.PRE</w:t>
            </w:r>
          </w:p>
        </w:tc>
        <w:tc>
          <w:tcPr>
            <w:tcW w:w="1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5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0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660" w:type="dxa"/>
            <w:vAlign w:val="bottom"/>
            <w:shd w:val="clear" w:color="auto" w:fill="CCEEFF"/>
          </w:tcPr>
          <w:p>
            <w:pPr>
              <w:ind w:left="104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shd w:val="clear" w:color="auto" w:fill="CCEEFF"/>
          </w:tcPr>
          <w:p>
            <w:pPr>
              <w:spacing w:after="0"/>
              <w:rPr>
                <w:sz w:val="20"/>
                <w:szCs w:val="20"/>
                <w:color w:val="auto"/>
              </w:rPr>
            </w:pP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10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bl>
    <w:p>
      <w:pPr>
        <w:spacing w:after="0" w:line="8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management contract or compensatory plan or arrangement.</w:t>
      </w:r>
    </w:p>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filed with the Securities and Exchange Commission.</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62"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P. Jordan</w:t>
            </w:r>
          </w:p>
        </w:tc>
        <w:tc>
          <w:tcPr>
            <w:tcW w:w="6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By /s/ Eric Rivera</w:t>
            </w:r>
          </w:p>
        </w:tc>
      </w:tr>
      <w:tr>
        <w:trPr>
          <w:trHeight w:val="198"/>
        </w:trPr>
        <w:tc>
          <w:tcPr>
            <w:tcW w:w="340" w:type="dxa"/>
            <w:vAlign w:val="bottom"/>
          </w:tcPr>
          <w:p>
            <w:pPr>
              <w:spacing w:after="0"/>
              <w:rPr>
                <w:sz w:val="17"/>
                <w:szCs w:val="17"/>
                <w:color w:val="auto"/>
              </w:rPr>
            </w:pPr>
          </w:p>
        </w:tc>
        <w:tc>
          <w:tcPr>
            <w:tcW w:w="4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John P. Jordan</w:t>
            </w: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Eric Rivera</w:t>
            </w:r>
          </w:p>
        </w:tc>
      </w:tr>
      <w:tr>
        <w:trPr>
          <w:trHeight w:val="216"/>
        </w:trPr>
        <w:tc>
          <w:tcPr>
            <w:tcW w:w="4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Corporate Controller</w:t>
            </w:r>
          </w:p>
        </w:tc>
      </w:tr>
      <w:tr>
        <w:trPr>
          <w:trHeight w:val="216"/>
        </w:trPr>
        <w:tc>
          <w:tcPr>
            <w:tcW w:w="4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4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23, 2022</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December 23, 2022</w:t>
            </w: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ectPr>
          <w:pgSz w:w="11900" w:h="16838" w:orient="portrait"/>
          <w:cols w:equalWidth="0" w:num="1">
            <w:col w:w="11240"/>
          </w:cols>
          <w:pgMar w:left="320" w:top="115"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ind w:left="340" w:right="122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Constantine S. Macricostas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Walter M. Fiederowicz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Walter M. Fiederowicz</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Adam Lewis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Daniel Liao</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George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George Macricostas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Mary Paladino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Mary Paladino</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Mitchell G.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604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Mitchell G. Tyson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2022</w:t>
      </w:r>
    </w:p>
    <w:p>
      <w:pPr>
        <w:spacing w:after="0" w:line="459" w:lineRule="exact"/>
        <w:rPr>
          <w:sz w:val="20"/>
          <w:szCs w:val="20"/>
          <w:color w:val="auto"/>
        </w:rPr>
      </w:pPr>
    </w:p>
    <w:p>
      <w:pPr>
        <w:sectPr>
          <w:pgSz w:w="11900" w:h="16838" w:orient="portrait"/>
          <w:cols w:equalWidth="0" w:num="2">
            <w:col w:w="5140" w:space="720"/>
            <w:col w:w="5380"/>
          </w:cols>
          <w:pgMar w:left="320" w:top="11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86"/>
        </w:trPr>
        <w:tc>
          <w:tcPr>
            <w:tcW w:w="8420" w:type="dxa"/>
            <w:vAlign w:val="bottom"/>
          </w:tcPr>
          <w:p>
            <w:pPr>
              <w:spacing w:after="0"/>
              <w:rPr>
                <w:sz w:val="24"/>
                <w:szCs w:val="24"/>
                <w:color w:val="auto"/>
              </w:rPr>
            </w:pPr>
          </w:p>
        </w:tc>
        <w:tc>
          <w:tcPr>
            <w:tcW w:w="2820" w:type="dxa"/>
            <w:vAlign w:val="bottom"/>
          </w:tcPr>
          <w:p>
            <w:pPr>
              <w:ind w:left="1860"/>
              <w:spacing w:after="0"/>
              <w:rPr>
                <w:sz w:val="20"/>
                <w:szCs w:val="20"/>
                <w:color w:val="auto"/>
              </w:rPr>
            </w:pPr>
            <w:r>
              <w:rPr>
                <w:rFonts w:ascii="Times New Roman" w:cs="Times New Roman" w:eastAsia="Times New Roman" w:hAnsi="Times New Roman"/>
                <w:sz w:val="22"/>
                <w:szCs w:val="22"/>
                <w:b w:val="1"/>
                <w:bCs w:val="1"/>
                <w:color w:val="auto"/>
                <w:w w:val="96"/>
              </w:rPr>
              <w:t>Exhibit 21</w:t>
            </w:r>
          </w:p>
        </w:tc>
      </w:tr>
      <w:tr>
        <w:trPr>
          <w:trHeight w:val="447"/>
        </w:trPr>
        <w:tc>
          <w:tcPr>
            <w:tcW w:w="842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SUBSIDIARIES OF PHOTRONICS, INC.</w:t>
            </w:r>
          </w:p>
        </w:tc>
        <w:tc>
          <w:tcPr>
            <w:tcW w:w="2820" w:type="dxa"/>
            <w:vAlign w:val="bottom"/>
          </w:tcPr>
          <w:p>
            <w:pPr>
              <w:spacing w:after="0"/>
              <w:rPr>
                <w:sz w:val="24"/>
                <w:szCs w:val="24"/>
                <w:color w:val="auto"/>
              </w:rPr>
            </w:pPr>
          </w:p>
        </w:tc>
      </w:tr>
      <w:tr>
        <w:trPr>
          <w:trHeight w:val="441"/>
        </w:trPr>
        <w:tc>
          <w:tcPr>
            <w:tcW w:w="8420" w:type="dxa"/>
            <w:vAlign w:val="bottom"/>
          </w:tcPr>
          <w:p>
            <w:pPr>
              <w:spacing w:after="0"/>
              <w:rPr>
                <w:sz w:val="24"/>
                <w:szCs w:val="24"/>
                <w:color w:val="auto"/>
              </w:rPr>
            </w:pPr>
          </w:p>
        </w:tc>
        <w:tc>
          <w:tcPr>
            <w:tcW w:w="2820" w:type="dxa"/>
            <w:vAlign w:val="bottom"/>
          </w:tcPr>
          <w:p>
            <w:pPr>
              <w:jc w:val="center"/>
              <w:ind w:left="1049"/>
              <w:spacing w:after="0"/>
              <w:rPr>
                <w:sz w:val="20"/>
                <w:szCs w:val="20"/>
                <w:color w:val="auto"/>
              </w:rPr>
            </w:pPr>
            <w:r>
              <w:rPr>
                <w:rFonts w:ascii="Times New Roman" w:cs="Times New Roman" w:eastAsia="Times New Roman" w:hAnsi="Times New Roman"/>
                <w:sz w:val="18"/>
                <w:szCs w:val="18"/>
                <w:color w:val="auto"/>
              </w:rPr>
              <w:t>State or Jurisdiction of</w:t>
            </w:r>
          </w:p>
        </w:tc>
      </w:tr>
      <w:tr>
        <w:trPr>
          <w:trHeight w:val="216"/>
        </w:trPr>
        <w:tc>
          <w:tcPr>
            <w:tcW w:w="8420" w:type="dxa"/>
            <w:vAlign w:val="bottom"/>
          </w:tcPr>
          <w:p>
            <w:pPr>
              <w:spacing w:after="0"/>
              <w:rPr>
                <w:sz w:val="18"/>
                <w:szCs w:val="18"/>
                <w:color w:val="auto"/>
              </w:rPr>
            </w:pPr>
          </w:p>
        </w:tc>
        <w:tc>
          <w:tcPr>
            <w:tcW w:w="2820" w:type="dxa"/>
            <w:vAlign w:val="bottom"/>
          </w:tcPr>
          <w:p>
            <w:pPr>
              <w:jc w:val="center"/>
              <w:ind w:left="1069"/>
              <w:spacing w:after="0"/>
              <w:rPr>
                <w:sz w:val="20"/>
                <w:szCs w:val="20"/>
                <w:color w:val="auto"/>
              </w:rPr>
            </w:pPr>
            <w:r>
              <w:rPr>
                <w:rFonts w:ascii="Times New Roman" w:cs="Times New Roman" w:eastAsia="Times New Roman" w:hAnsi="Times New Roman"/>
                <w:sz w:val="18"/>
                <w:szCs w:val="18"/>
                <w:color w:val="auto"/>
              </w:rPr>
              <w:t>Incorporation or</w:t>
            </w:r>
          </w:p>
        </w:tc>
      </w:tr>
      <w:tr>
        <w:trPr>
          <w:trHeight w:val="234"/>
        </w:trPr>
        <w:tc>
          <w:tcPr>
            <w:tcW w:w="8420" w:type="dxa"/>
            <w:vAlign w:val="bottom"/>
          </w:tcPr>
          <w:p>
            <w:pPr>
              <w:spacing w:after="0"/>
              <w:rPr>
                <w:sz w:val="20"/>
                <w:szCs w:val="20"/>
                <w:color w:val="auto"/>
              </w:rPr>
            </w:pPr>
          </w:p>
        </w:tc>
        <w:tc>
          <w:tcPr>
            <w:tcW w:w="2820" w:type="dxa"/>
            <w:vAlign w:val="bottom"/>
          </w:tcPr>
          <w:p>
            <w:pPr>
              <w:jc w:val="center"/>
              <w:ind w:left="1069"/>
              <w:spacing w:after="0"/>
              <w:rPr>
                <w:sz w:val="20"/>
                <w:szCs w:val="20"/>
                <w:color w:val="auto"/>
              </w:rPr>
            </w:pPr>
            <w:r>
              <w:rPr>
                <w:rFonts w:ascii="Times New Roman" w:cs="Times New Roman" w:eastAsia="Times New Roman" w:hAnsi="Times New Roman"/>
                <w:sz w:val="18"/>
                <w:szCs w:val="18"/>
                <w:color w:val="auto"/>
                <w:w w:val="99"/>
              </w:rPr>
              <w:t>Organization</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Align-Rite International, Ltd.</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Photronics (Wales) Limited</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Idaho, Inc.</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(Idaho, USA)</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Photronics Texas Allen, Inc.</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(Texas, USA)</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MZD, GmbH</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Photronics Advanced Mask Corporation</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(Taiwan, R.O.C.)</w:t>
            </w:r>
          </w:p>
        </w:tc>
      </w:tr>
      <w:tr>
        <w:trPr>
          <w:trHeight w:val="216"/>
        </w:trPr>
        <w:tc>
          <w:tcPr>
            <w:tcW w:w="8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DNP Mask Corporation </w:t>
            </w:r>
            <w:r>
              <w:rPr>
                <w:rFonts w:ascii="Times New Roman" w:cs="Times New Roman" w:eastAsia="Times New Roman" w:hAnsi="Times New Roman"/>
                <w:sz w:val="25"/>
                <w:szCs w:val="25"/>
                <w:color w:val="auto"/>
                <w:vertAlign w:val="superscript"/>
              </w:rPr>
              <w:t>(1)</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(Taiwan, R.O.C.)</w:t>
            </w:r>
          </w:p>
        </w:tc>
      </w:tr>
      <w:tr>
        <w:trPr>
          <w:trHeight w:val="216"/>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PDMC Shanghai, Ltd.</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(Shanghai, P.R.C.)</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Singapore Pte, Ltd.</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4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Xiamen American Japan Photronics Mask Co., Ltd. </w:t>
            </w:r>
            <w:r>
              <w:rPr>
                <w:rFonts w:ascii="Times New Roman" w:cs="Times New Roman" w:eastAsia="Times New Roman" w:hAnsi="Times New Roman"/>
                <w:sz w:val="25"/>
                <w:szCs w:val="25"/>
                <w:color w:val="auto"/>
                <w:vertAlign w:val="superscript"/>
              </w:rPr>
              <w:t>(1)</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(Xiamen, P.R.C.)</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UK, Ltd.</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4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Mask Corporation Hefei </w:t>
            </w:r>
            <w:r>
              <w:rPr>
                <w:rFonts w:ascii="Times New Roman" w:cs="Times New Roman" w:eastAsia="Times New Roman" w:hAnsi="Times New Roman"/>
                <w:sz w:val="25"/>
                <w:szCs w:val="25"/>
                <w:color w:val="auto"/>
                <w:vertAlign w:val="superscript"/>
              </w:rPr>
              <w:t>(2)</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(Hefei, P.R.C.)</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Cheonan Co., Ltd.</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16"/>
        </w:trPr>
        <w:tc>
          <w:tcPr>
            <w:tcW w:w="84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Mask Corporation Hefei </w:t>
            </w:r>
            <w:r>
              <w:rPr>
                <w:rFonts w:ascii="Times New Roman" w:cs="Times New Roman" w:eastAsia="Times New Roman" w:hAnsi="Times New Roman"/>
                <w:sz w:val="25"/>
                <w:szCs w:val="25"/>
                <w:color w:val="auto"/>
                <w:vertAlign w:val="superscript"/>
              </w:rPr>
              <w:t>(2)</w:t>
            </w: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(Hefei, P.R.C.)</w:t>
            </w: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Taichung Photronics Photomask Co., Ltd.</w:t>
            </w:r>
          </w:p>
        </w:tc>
        <w:tc>
          <w:tcPr>
            <w:tcW w:w="28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(Taiwan, R.O.C.)</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right="40"/>
        <w:spacing w:after="0" w:line="282" w:lineRule="auto"/>
        <w:rPr>
          <w:sz w:val="20"/>
          <w:szCs w:val="20"/>
          <w:color w:val="auto"/>
        </w:rPr>
      </w:pPr>
      <w:r>
        <w:rPr>
          <w:rFonts w:ascii="Times New Roman" w:cs="Times New Roman" w:eastAsia="Times New Roman" w:hAnsi="Times New Roman"/>
          <w:sz w:val="18"/>
          <w:szCs w:val="18"/>
          <w:color w:val="auto"/>
        </w:rPr>
        <w:t>Note: Entities directly owned by subsidiaries of Photronics, Inc. are indented and listed below their immediate parent. Ownership is 100% unless otherwise indicated.</w:t>
      </w:r>
    </w:p>
    <w:p>
      <w:pPr>
        <w:spacing w:after="0" w:line="7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50.01% owned by Photronics, Inc. and 49.99% owned by Dai Nippon Printing Co., Ltd.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64.00% owned by Photronics UK, Ltd. and 36.00% owned by Photronics Cheonan Co., Ltd.</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of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333-252486 and 333-217676 on Form S-8 of our report dated December 23, 2022, relating to the consolidated financial statements of Photronics, Inc., and the effectiveness of Photronics, Inc.’s internal control over financial reporting appearing in this Annual Report on Form 10-K for the year ended October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52"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20" w:hanging="486"/>
        <w:spacing w:after="0" w:line="312" w:lineRule="auto"/>
        <w:tabs>
          <w:tab w:leader="none" w:pos="98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20" w:hanging="486"/>
        <w:spacing w:after="0" w:line="312" w:lineRule="auto"/>
        <w:tabs>
          <w:tab w:leader="none" w:pos="9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Frank Lee, Chief Executive Officer of Photronics, Inc. (the "Company"), certify, pursuant to Section 906 of the Sarbanes-Oxley Act of 2002, 18 U.S.C.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that:</w:t>
      </w:r>
    </w:p>
    <w:p>
      <w:pPr>
        <w:spacing w:after="0" w:line="234" w:lineRule="exact"/>
        <w:rPr>
          <w:sz w:val="20"/>
          <w:szCs w:val="20"/>
          <w:color w:val="auto"/>
        </w:rPr>
      </w:pPr>
    </w:p>
    <w:p>
      <w:pPr>
        <w:ind w:left="500" w:right="36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October 31,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79"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P. Jordan, Chief Financial Officer of Photronics, Inc. (the "Company"), certify, pursuant to Section 906 of the Sarbanes-Oxley Act of 2002,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 1350, that:</w:t>
      </w:r>
    </w:p>
    <w:p>
      <w:pPr>
        <w:spacing w:after="0" w:line="234" w:lineRule="exact"/>
        <w:rPr>
          <w:sz w:val="20"/>
          <w:szCs w:val="20"/>
          <w:color w:val="auto"/>
        </w:rPr>
      </w:pPr>
    </w:p>
    <w:p>
      <w:pPr>
        <w:ind w:left="500" w:right="18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October 31,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80"/>
      </w:cols>
      <w:pgMar w:left="320" w:top="27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14"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94" Type="http://schemas.openxmlformats.org/officeDocument/2006/relationships/hyperlink" Target="https://www.sec.gov/Archives/edgar/data/810136/000114036119023041/ex3_1.htm" TargetMode="External"/><Relationship Id="rId95" Type="http://schemas.openxmlformats.org/officeDocument/2006/relationships/hyperlink" Target="https://www.sec.gov/Archives/edgar/data/810136/000114036116079692/ex3_2.htm" TargetMode="External"/><Relationship Id="rId96" Type="http://schemas.openxmlformats.org/officeDocument/2006/relationships/hyperlink" Target="https://www.sec.gov/Archives/edgar/data/810136/000114036119023041/ex4_1.htm" TargetMode="External"/><Relationship Id="rId97" Type="http://schemas.openxmlformats.org/officeDocument/2006/relationships/hyperlink" Target="https://www.sec.gov/Archives/edgar/data/810136/000114036119017162/ex3_1.htm" TargetMode="External"/><Relationship Id="rId98" Type="http://schemas.openxmlformats.org/officeDocument/2006/relationships/hyperlink" Target="https://www.sec.gov/Archives/edgar/data/810136/000114036117046903/ex10_1.htm" TargetMode="External"/><Relationship Id="rId99" Type="http://schemas.openxmlformats.org/officeDocument/2006/relationships/hyperlink" Target="https://www.sec.gov/Archives/edgar/data/810136/000114036117000934/ex10_2.htm" TargetMode="External"/><Relationship Id="rId100" Type="http://schemas.openxmlformats.org/officeDocument/2006/relationships/hyperlink" Target="https://www.sec.gov/Archives/edgar/data/810136/000114036116047150/ex10_4.htm" TargetMode="External"/><Relationship Id="rId101" Type="http://schemas.openxmlformats.org/officeDocument/2006/relationships/hyperlink" Target="https://www.sec.gov/Archives/edgar/data/810136/000114036118045611/s002591x1_ex10-4.htm" TargetMode="External"/><Relationship Id="rId102" Type="http://schemas.openxmlformats.org/officeDocument/2006/relationships/hyperlink" Target="https://www.sec.gov/Archives/edgar/data/810136/000114036119023041/ex10_5.htm" TargetMode="External"/><Relationship Id="rId103" Type="http://schemas.openxmlformats.org/officeDocument/2006/relationships/hyperlink" Target="https://www.sec.gov/Archives/edgar/data/810136/000114036116055498/formdef14a.htm" TargetMode="External"/><Relationship Id="rId104" Type="http://schemas.openxmlformats.org/officeDocument/2006/relationships/hyperlink" Target="https://www.sec.gov/Archives/edgar/data/810136/000114036119023041/ex10_7.htm" TargetMode="External"/><Relationship Id="rId105" Type="http://schemas.openxmlformats.org/officeDocument/2006/relationships/hyperlink" Target="https://www.sec.gov/Archives/edgar/data/810136/000114036116047150/ex10_7.htm" TargetMode="External"/><Relationship Id="rId106" Type="http://schemas.openxmlformats.org/officeDocument/2006/relationships/hyperlink" Target="https://www.sec.gov/Archives/edgar/data/810136/000114036115000753/ex10_8.htm" TargetMode="External"/><Relationship Id="rId107" Type="http://schemas.openxmlformats.org/officeDocument/2006/relationships/hyperlink" Target="https://www.sec.gov/Archives/edgar/data/810136/000114036115000753/ex10_9.htm" TargetMode="External"/><Relationship Id="rId108" Type="http://schemas.openxmlformats.org/officeDocument/2006/relationships/hyperlink" Target="https://www.sec.gov/Archives/edgar/data/810136/000114036115027000/ex10_19.htm" TargetMode="External"/><Relationship Id="rId109" Type="http://schemas.openxmlformats.org/officeDocument/2006/relationships/hyperlink" Target="https://www.sec.gov/Archives/edgar/data/810136/000114036115027000/ex10_20.htm" TargetMode="External"/><Relationship Id="rId110" Type="http://schemas.openxmlformats.org/officeDocument/2006/relationships/hyperlink" Target="https://www.sec.gov/Archives/edgar/data/810136/000114036115027000/ex10_21.htm" TargetMode="External"/><Relationship Id="rId111" Type="http://schemas.openxmlformats.org/officeDocument/2006/relationships/hyperlink" Target="https://www.sec.gov/Archives/edgar/data/810136/000114036115027000/ex10_22.htm" TargetMode="External"/><Relationship Id="rId112" Type="http://schemas.openxmlformats.org/officeDocument/2006/relationships/hyperlink" Target="https://www.sec.gov/Archives/edgar/data/810136/000114036115027000/ex10_23.htm" TargetMode="External"/><Relationship Id="rId113" Type="http://schemas.openxmlformats.org/officeDocument/2006/relationships/hyperlink" Target="https://www.sec.gov/Archives/edgar/data/810136/000114036115027000/ex10_24.htm" TargetMode="External"/><Relationship Id="rId115" Type="http://schemas.openxmlformats.org/officeDocument/2006/relationships/hyperlink" Target="https://www.sec.gov/Archives/edgar/data/810136/000114036115027000/ex10_25.htm" TargetMode="External"/><Relationship Id="rId116" Type="http://schemas.openxmlformats.org/officeDocument/2006/relationships/hyperlink" Target="https://www.sec.gov/Archives/edgar/data/810136/000114036119023041/ex10_18.htm" TargetMode="External"/><Relationship Id="rId117" Type="http://schemas.openxmlformats.org/officeDocument/2006/relationships/hyperlink" Target="https://www.sec.gov/Archives/edgar/data/810136/000114036116047150/ex10_30.htm" TargetMode="External"/><Relationship Id="rId118" Type="http://schemas.openxmlformats.org/officeDocument/2006/relationships/hyperlink" Target="https://www.sec.gov/Archives/edgar/data/810136/000114036117046903/ex10_31.htm" TargetMode="External"/><Relationship Id="rId119" Type="http://schemas.openxmlformats.org/officeDocument/2006/relationships/hyperlink" Target="https://www.sec.gov/Archives/edgar/data/0000810136/000114036120005521/ex10_36.htm" TargetMode="External"/><Relationship Id="rId120" Type="http://schemas.openxmlformats.org/officeDocument/2006/relationships/hyperlink" Target="https://www.sec.gov/Archives/edgar/data/810136/000114036119023041/ex10_23.htm" TargetMode="External"/><Relationship Id="rId121" Type="http://schemas.openxmlformats.org/officeDocument/2006/relationships/hyperlink" Target="https://www.sec.gov/Archives/edgar/data/810136/000114036118045611/s002591x1_ex10-24.htm" TargetMode="External"/><Relationship Id="rId122" Type="http://schemas.openxmlformats.org/officeDocument/2006/relationships/hyperlink" Target="https://www.sec.gov/Archives/edgar/data/0000810136/000114036118045611/s002591x1_ex10-25.htm" TargetMode="External"/><Relationship Id="rId123" Type="http://schemas.openxmlformats.org/officeDocument/2006/relationships/hyperlink" Target="https://www.sec.gov/Archives/edgar/data/810136/000114036118045611/s002591x1_ex10-26.htm" TargetMode="External"/><Relationship Id="rId124" Type="http://schemas.openxmlformats.org/officeDocument/2006/relationships/hyperlink" Target="https://www.sec.gov/Archives/edgar/data/810136/000114036118045611/s002591x1_ex10-27.htm" TargetMode="External"/><Relationship Id="rId125" Type="http://schemas.openxmlformats.org/officeDocument/2006/relationships/hyperlink" Target="https://www.sec.gov/Archives/edgar/data/0000810136/000114036116078718/ex10_35.htm" TargetMode="External"/><Relationship Id="rId126" Type="http://schemas.openxmlformats.org/officeDocument/2006/relationships/hyperlink" Target="https://www.sec.gov/Archives/edgar/data/0000810136/000114036119023041/ex10_29.htm" TargetMode="External"/><Relationship Id="rId127" Type="http://schemas.openxmlformats.org/officeDocument/2006/relationships/hyperlink" Target="https://www.sec.gov/Archives/edgar/data/810136/000114036122008662/brhc10034862_ex10-41.htm" TargetMode="External"/><Relationship Id="rId128" Type="http://schemas.openxmlformats.org/officeDocument/2006/relationships/hyperlink" Target="https://www.sec.gov/Archives/edgar/data/810136/000114036122008662/brhc10034862_ex10-42.htm" TargetMode="External"/><Relationship Id="rId129" Type="http://schemas.openxmlformats.org/officeDocument/2006/relationships/hyperlink" Target="https://www.sec.gov/Archives/edgar/data/810136/000114036117046677/ex10_26.htm" TargetMode="External"/><Relationship Id="rId130" Type="http://schemas.openxmlformats.org/officeDocument/2006/relationships/hyperlink" Target="https://www.sec.gov/Archives/edgar/data/0000810136/000114036117046677/ex10_27.htm" TargetMode="External"/><Relationship Id="rId131" Type="http://schemas.openxmlformats.org/officeDocument/2006/relationships/hyperlink" Target="https://www.sec.gov/Archives/edgar/data/0000810136/000114036117046677/ex10_28.htm" TargetMode="External"/><Relationship Id="rId132" Type="http://schemas.openxmlformats.org/officeDocument/2006/relationships/hyperlink" Target="https://www.sec.gov/Archives/edgar/data/810136/000114036117046677/ex10_29.htm" TargetMode="External"/><Relationship Id="rId133" Type="http://schemas.openxmlformats.org/officeDocument/2006/relationships/hyperlink" Target="https://www.sec.gov/Archives/edgar/data/0000810136/000114036117046903/ex10_42.htm" TargetMode="External"/><Relationship Id="rId134" Type="http://schemas.openxmlformats.org/officeDocument/2006/relationships/hyperlink" Target="https://www.sec.gov/Archives/edgar/data/0000810136/000114036121001225/brhc10018426_ex10-38.htm" TargetMode="External"/><Relationship Id="rId135" Type="http://schemas.openxmlformats.org/officeDocument/2006/relationships/hyperlink" Target="https://www.sec.gov/Archives/edgar/data/810136/000114036119016110/ex10_28.htm" TargetMode="External"/><Relationship Id="rId136" Type="http://schemas.openxmlformats.org/officeDocument/2006/relationships/hyperlink" Target="https://www.sec.gov/Archives/edgar/data/0000810136/000114036121001225/brhc10018426_ex10-39.htm" TargetMode="External"/><Relationship Id="rId137" Type="http://schemas.openxmlformats.org/officeDocument/2006/relationships/hyperlink" Target="https://www.sec.gov/Archives/edgar/data/0000810136/000114036121001225/brhc10018426_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2022-12-23T17:37:55Z</dcterms:created>
  <dcterms:modified xsi:type="dcterms:W3CDTF">2022-12-23T17:37:55Z</dcterms:modified>
</cp:coreProperties>
</file>